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108"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828"/>
        <w:gridCol w:w="5528"/>
      </w:tblGrid>
      <w:tr w:rsidR="00C8586A" w:rsidRPr="005E6358" w14:paraId="1D8F963B" w14:textId="77777777" w:rsidTr="000F2FF3">
        <w:trPr>
          <w:trHeight w:val="999"/>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007B8450" w14:textId="657649C5" w:rsidR="00C8586A" w:rsidRPr="001843D3" w:rsidRDefault="00C8586A" w:rsidP="001843D3">
            <w:pPr>
              <w:spacing w:after="0" w:line="240" w:lineRule="auto"/>
              <w:jc w:val="center"/>
              <w:rPr>
                <w:b/>
                <w:color w:val="000000" w:themeColor="text1"/>
                <w:sz w:val="32"/>
                <w:szCs w:val="28"/>
              </w:rPr>
            </w:pPr>
            <w:r w:rsidRPr="005E6358">
              <w:rPr>
                <w:b/>
                <w:color w:val="000000" w:themeColor="text1"/>
                <w:sz w:val="32"/>
                <w:szCs w:val="28"/>
              </w:rPr>
              <w:t>БРОШЮРА ИССЛЕДОВАТЕЛЯ</w:t>
            </w:r>
          </w:p>
        </w:tc>
      </w:tr>
      <w:tr w:rsidR="00C8586A" w:rsidRPr="005E6358" w14:paraId="440EA7B7" w14:textId="77777777" w:rsidTr="000F2FF3">
        <w:trPr>
          <w:trHeight w:val="177"/>
        </w:trPr>
        <w:tc>
          <w:tcPr>
            <w:tcW w:w="3828" w:type="dxa"/>
            <w:tcBorders>
              <w:top w:val="thinThickSmallGap" w:sz="24" w:space="0" w:color="auto"/>
              <w:left w:val="thinThickSmallGap" w:sz="24" w:space="0" w:color="auto"/>
              <w:bottom w:val="nil"/>
              <w:right w:val="nil"/>
            </w:tcBorders>
          </w:tcPr>
          <w:p w14:paraId="28830C82" w14:textId="77777777" w:rsidR="00C8586A" w:rsidRPr="00BA2D96" w:rsidRDefault="00C8586A" w:rsidP="004C505D">
            <w:pPr>
              <w:spacing w:after="0" w:line="240" w:lineRule="auto"/>
              <w:jc w:val="left"/>
              <w:rPr>
                <w:b/>
                <w:color w:val="000000" w:themeColor="text1"/>
                <w:sz w:val="14"/>
                <w:lang w:val="en-US"/>
              </w:rPr>
            </w:pPr>
          </w:p>
        </w:tc>
        <w:tc>
          <w:tcPr>
            <w:tcW w:w="5528" w:type="dxa"/>
            <w:tcBorders>
              <w:top w:val="thinThickSmallGap" w:sz="24" w:space="0" w:color="auto"/>
              <w:left w:val="nil"/>
              <w:bottom w:val="nil"/>
              <w:right w:val="thickThinSmallGap" w:sz="24" w:space="0" w:color="auto"/>
            </w:tcBorders>
          </w:tcPr>
          <w:p w14:paraId="4683A99C" w14:textId="77777777" w:rsidR="00C8586A" w:rsidRPr="00BA2D96" w:rsidRDefault="00C8586A" w:rsidP="004C505D">
            <w:pPr>
              <w:spacing w:after="0" w:line="240" w:lineRule="auto"/>
              <w:jc w:val="left"/>
              <w:rPr>
                <w:b/>
                <w:color w:val="000000" w:themeColor="text1"/>
                <w:sz w:val="14"/>
                <w:lang w:val="en-US"/>
              </w:rPr>
            </w:pPr>
          </w:p>
        </w:tc>
      </w:tr>
      <w:tr w:rsidR="00C8586A" w:rsidRPr="005E6358" w14:paraId="14553450" w14:textId="77777777" w:rsidTr="000F2FF3">
        <w:trPr>
          <w:trHeight w:val="441"/>
        </w:trPr>
        <w:tc>
          <w:tcPr>
            <w:tcW w:w="3828" w:type="dxa"/>
            <w:tcBorders>
              <w:top w:val="nil"/>
              <w:left w:val="thinThickSmallGap" w:sz="24" w:space="0" w:color="auto"/>
              <w:bottom w:val="nil"/>
              <w:right w:val="nil"/>
            </w:tcBorders>
          </w:tcPr>
          <w:p w14:paraId="0144F824" w14:textId="77777777" w:rsidR="00C8586A" w:rsidRPr="00325C45" w:rsidRDefault="00BF01A9" w:rsidP="004C505D">
            <w:pPr>
              <w:spacing w:after="0" w:line="240" w:lineRule="auto"/>
              <w:jc w:val="left"/>
              <w:rPr>
                <w:color w:val="000000" w:themeColor="text1"/>
                <w:lang w:eastAsia="en-US"/>
              </w:rPr>
            </w:pPr>
            <w:r w:rsidRPr="00325C45">
              <w:rPr>
                <w:b/>
                <w:color w:val="000000" w:themeColor="text1"/>
              </w:rPr>
              <w:t>Код п</w:t>
            </w:r>
            <w:r w:rsidR="00C8586A" w:rsidRPr="00325C45">
              <w:rPr>
                <w:b/>
                <w:color w:val="000000" w:themeColor="text1"/>
              </w:rPr>
              <w:t>родукт</w:t>
            </w:r>
            <w:r w:rsidRPr="00325C45">
              <w:rPr>
                <w:b/>
                <w:color w:val="000000" w:themeColor="text1"/>
              </w:rPr>
              <w:t>а</w:t>
            </w:r>
            <w:r w:rsidR="00C8586A" w:rsidRPr="00325C45">
              <w:rPr>
                <w:b/>
                <w:color w:val="000000" w:themeColor="text1"/>
              </w:rPr>
              <w:t>:</w:t>
            </w:r>
          </w:p>
        </w:tc>
        <w:tc>
          <w:tcPr>
            <w:tcW w:w="5528" w:type="dxa"/>
            <w:tcBorders>
              <w:top w:val="nil"/>
              <w:left w:val="nil"/>
              <w:bottom w:val="nil"/>
              <w:right w:val="thickThinSmallGap" w:sz="24" w:space="0" w:color="auto"/>
            </w:tcBorders>
          </w:tcPr>
          <w:p w14:paraId="4DF03CB1" w14:textId="0D34B0E6" w:rsidR="00C8586A" w:rsidRPr="00325C45" w:rsidRDefault="001843D3" w:rsidP="004541CE">
            <w:pPr>
              <w:spacing w:after="0" w:line="240" w:lineRule="auto"/>
              <w:jc w:val="left"/>
              <w:rPr>
                <w:color w:val="000000" w:themeColor="text1"/>
                <w:highlight w:val="yellow"/>
                <w:lang w:eastAsia="en-US"/>
              </w:rPr>
            </w:pPr>
            <w:r w:rsidRPr="00325C45">
              <w:rPr>
                <w:lang w:val="en-US"/>
              </w:rPr>
              <w:t>DT</w:t>
            </w:r>
            <w:r w:rsidRPr="00325C45">
              <w:t>-</w:t>
            </w:r>
            <w:r w:rsidRPr="00325C45">
              <w:rPr>
                <w:lang w:val="en-US"/>
              </w:rPr>
              <w:t>BRC</w:t>
            </w:r>
            <w:r w:rsidRPr="00325C45">
              <w:rPr>
                <w:lang w:eastAsia="ru-RU"/>
              </w:rPr>
              <w:t xml:space="preserve"> (</w:t>
            </w:r>
            <w:r w:rsidRPr="00325C45">
              <w:t>L041048)</w:t>
            </w:r>
          </w:p>
        </w:tc>
      </w:tr>
      <w:tr w:rsidR="00C8586A" w:rsidRPr="005E6358" w14:paraId="2792A7AE" w14:textId="77777777" w:rsidTr="000F2FF3">
        <w:trPr>
          <w:trHeight w:val="433"/>
        </w:trPr>
        <w:tc>
          <w:tcPr>
            <w:tcW w:w="3828" w:type="dxa"/>
            <w:tcBorders>
              <w:top w:val="nil"/>
              <w:left w:val="thinThickSmallGap" w:sz="24" w:space="0" w:color="auto"/>
              <w:bottom w:val="nil"/>
              <w:right w:val="nil"/>
            </w:tcBorders>
          </w:tcPr>
          <w:p w14:paraId="23C4901F" w14:textId="77777777" w:rsidR="00C8586A" w:rsidRPr="00325C45" w:rsidRDefault="00C8586A" w:rsidP="004C505D">
            <w:pPr>
              <w:spacing w:after="0" w:line="240" w:lineRule="auto"/>
              <w:jc w:val="left"/>
              <w:rPr>
                <w:b/>
                <w:color w:val="000000" w:themeColor="text1"/>
              </w:rPr>
            </w:pPr>
            <w:r w:rsidRPr="00325C45">
              <w:rPr>
                <w:b/>
                <w:color w:val="000000" w:themeColor="text1"/>
              </w:rPr>
              <w:t>МНН:</w:t>
            </w:r>
          </w:p>
        </w:tc>
        <w:tc>
          <w:tcPr>
            <w:tcW w:w="5528" w:type="dxa"/>
            <w:tcBorders>
              <w:top w:val="nil"/>
              <w:left w:val="nil"/>
              <w:bottom w:val="nil"/>
              <w:right w:val="thickThinSmallGap" w:sz="24" w:space="0" w:color="auto"/>
            </w:tcBorders>
          </w:tcPr>
          <w:p w14:paraId="46D9AB6F" w14:textId="7F30B6E4" w:rsidR="00C8586A" w:rsidRPr="00325C45" w:rsidRDefault="005F2B08" w:rsidP="008812B3">
            <w:pPr>
              <w:spacing w:after="0" w:line="240" w:lineRule="auto"/>
              <w:jc w:val="left"/>
              <w:rPr>
                <w:bCs/>
                <w:color w:val="000000" w:themeColor="text1"/>
                <w:highlight w:val="yellow"/>
              </w:rPr>
            </w:pPr>
            <w:r w:rsidRPr="00325C45">
              <w:rPr>
                <w:bCs/>
                <w:color w:val="000000" w:themeColor="text1"/>
              </w:rPr>
              <w:t>Барицитиниб</w:t>
            </w:r>
          </w:p>
        </w:tc>
      </w:tr>
      <w:tr w:rsidR="00C8586A" w:rsidRPr="005E6358" w14:paraId="27A96549" w14:textId="77777777" w:rsidTr="000F2FF3">
        <w:trPr>
          <w:trHeight w:val="425"/>
        </w:trPr>
        <w:tc>
          <w:tcPr>
            <w:tcW w:w="3828" w:type="dxa"/>
            <w:tcBorders>
              <w:top w:val="nil"/>
              <w:left w:val="thinThickSmallGap" w:sz="24" w:space="0" w:color="auto"/>
              <w:bottom w:val="nil"/>
              <w:right w:val="nil"/>
            </w:tcBorders>
          </w:tcPr>
          <w:p w14:paraId="40377655" w14:textId="77777777" w:rsidR="00C8586A" w:rsidRPr="00325C45" w:rsidRDefault="00C8586A" w:rsidP="004C505D">
            <w:pPr>
              <w:spacing w:after="0" w:line="240" w:lineRule="auto"/>
              <w:jc w:val="left"/>
              <w:rPr>
                <w:b/>
                <w:color w:val="000000" w:themeColor="text1"/>
              </w:rPr>
            </w:pPr>
            <w:r w:rsidRPr="00325C45">
              <w:rPr>
                <w:b/>
                <w:color w:val="000000" w:themeColor="text1"/>
              </w:rPr>
              <w:t>Торговое название</w:t>
            </w:r>
          </w:p>
        </w:tc>
        <w:tc>
          <w:tcPr>
            <w:tcW w:w="5528" w:type="dxa"/>
            <w:tcBorders>
              <w:top w:val="nil"/>
              <w:left w:val="nil"/>
              <w:bottom w:val="nil"/>
              <w:right w:val="thickThinSmallGap" w:sz="24" w:space="0" w:color="auto"/>
            </w:tcBorders>
          </w:tcPr>
          <w:p w14:paraId="2AC37698" w14:textId="0C93F805" w:rsidR="00C8586A" w:rsidRPr="00325C45" w:rsidRDefault="001843D3" w:rsidP="008812B3">
            <w:pPr>
              <w:spacing w:after="0" w:line="240" w:lineRule="auto"/>
              <w:rPr>
                <w:rFonts w:eastAsia="Calibri"/>
                <w:color w:val="000000" w:themeColor="text1"/>
                <w:highlight w:val="yellow"/>
              </w:rPr>
            </w:pPr>
            <w:r w:rsidRPr="00325C45">
              <w:t>БАРИЦИТИНИБ</w:t>
            </w:r>
          </w:p>
        </w:tc>
      </w:tr>
      <w:tr w:rsidR="00284823" w:rsidRPr="005E6358" w14:paraId="0691A925" w14:textId="77777777" w:rsidTr="000F2FF3">
        <w:trPr>
          <w:trHeight w:val="80"/>
        </w:trPr>
        <w:tc>
          <w:tcPr>
            <w:tcW w:w="3828" w:type="dxa"/>
            <w:tcBorders>
              <w:top w:val="nil"/>
              <w:left w:val="thinThickSmallGap" w:sz="24" w:space="0" w:color="auto"/>
              <w:bottom w:val="nil"/>
              <w:right w:val="nil"/>
            </w:tcBorders>
            <w:hideMark/>
          </w:tcPr>
          <w:p w14:paraId="289F609C" w14:textId="77777777" w:rsidR="00C8586A" w:rsidRPr="00325C45" w:rsidRDefault="00C8586A" w:rsidP="004C505D">
            <w:pPr>
              <w:spacing w:after="0" w:line="240" w:lineRule="auto"/>
              <w:jc w:val="left"/>
              <w:rPr>
                <w:b/>
                <w:color w:val="000000" w:themeColor="text1"/>
              </w:rPr>
            </w:pPr>
            <w:r w:rsidRPr="00325C45">
              <w:rPr>
                <w:b/>
                <w:color w:val="000000" w:themeColor="text1"/>
              </w:rPr>
              <w:t>Лекарственная форма:</w:t>
            </w:r>
          </w:p>
        </w:tc>
        <w:tc>
          <w:tcPr>
            <w:tcW w:w="5528" w:type="dxa"/>
            <w:tcBorders>
              <w:top w:val="nil"/>
              <w:left w:val="nil"/>
              <w:bottom w:val="nil"/>
              <w:right w:val="thickThinSmallGap" w:sz="24" w:space="0" w:color="auto"/>
            </w:tcBorders>
            <w:hideMark/>
          </w:tcPr>
          <w:p w14:paraId="054A1844" w14:textId="7D68BED9" w:rsidR="004541CE" w:rsidRPr="00325C45" w:rsidRDefault="00FE28B3" w:rsidP="00DB6076">
            <w:pPr>
              <w:spacing w:after="0" w:line="240" w:lineRule="auto"/>
              <w:rPr>
                <w:bCs/>
              </w:rPr>
            </w:pPr>
            <w:r w:rsidRPr="00325C45">
              <w:t>Т</w:t>
            </w:r>
            <w:r w:rsidR="006F1840" w:rsidRPr="00325C45">
              <w:t>аблетки, покрытые пленочной оболочкой</w:t>
            </w:r>
          </w:p>
        </w:tc>
      </w:tr>
      <w:tr w:rsidR="00284823" w:rsidRPr="005E6358" w14:paraId="7A7CDD29" w14:textId="77777777" w:rsidTr="000F2FF3">
        <w:trPr>
          <w:trHeight w:val="1994"/>
        </w:trPr>
        <w:tc>
          <w:tcPr>
            <w:tcW w:w="3828" w:type="dxa"/>
            <w:tcBorders>
              <w:top w:val="nil"/>
              <w:left w:val="thinThickSmallGap" w:sz="24" w:space="0" w:color="auto"/>
              <w:bottom w:val="nil"/>
              <w:right w:val="nil"/>
            </w:tcBorders>
          </w:tcPr>
          <w:p w14:paraId="1D12AC03" w14:textId="77777777" w:rsidR="00C8586A" w:rsidRPr="00325C45" w:rsidRDefault="00C8586A" w:rsidP="004C505D">
            <w:pPr>
              <w:spacing w:after="0" w:line="240" w:lineRule="auto"/>
              <w:jc w:val="left"/>
              <w:rPr>
                <w:rFonts w:eastAsia="Times New Roman"/>
                <w:b/>
                <w:color w:val="000000" w:themeColor="text1"/>
                <w:lang w:eastAsia="en-US"/>
              </w:rPr>
            </w:pPr>
            <w:r w:rsidRPr="00325C45">
              <w:rPr>
                <w:b/>
                <w:color w:val="000000" w:themeColor="text1"/>
              </w:rPr>
              <w:t>Показание:</w:t>
            </w:r>
          </w:p>
          <w:p w14:paraId="705DB213" w14:textId="77777777" w:rsidR="00C8586A" w:rsidRPr="00325C45" w:rsidRDefault="00C8586A" w:rsidP="004C505D">
            <w:pPr>
              <w:spacing w:after="0" w:line="240" w:lineRule="auto"/>
              <w:jc w:val="left"/>
              <w:rPr>
                <w:color w:val="000000" w:themeColor="text1"/>
                <w:lang w:eastAsia="en-US"/>
              </w:rPr>
            </w:pPr>
          </w:p>
        </w:tc>
        <w:tc>
          <w:tcPr>
            <w:tcW w:w="5528" w:type="dxa"/>
            <w:tcBorders>
              <w:top w:val="nil"/>
              <w:left w:val="nil"/>
              <w:bottom w:val="nil"/>
              <w:right w:val="thickThinSmallGap" w:sz="24" w:space="0" w:color="auto"/>
            </w:tcBorders>
          </w:tcPr>
          <w:p w14:paraId="55856B94" w14:textId="62C8F7B5" w:rsidR="005F2B08" w:rsidRPr="00325C45" w:rsidRDefault="005F2B08">
            <w:pPr>
              <w:spacing w:after="0" w:line="240" w:lineRule="auto"/>
              <w:rPr>
                <w:lang w:eastAsia="ru-RU"/>
              </w:rPr>
            </w:pPr>
            <w:r w:rsidRPr="00325C45">
              <w:rPr>
                <w:lang w:eastAsia="ru-RU"/>
              </w:rPr>
              <w:t>Лечение ревматоидного артрита умеренной и тяжелой степени у взрослых пациентов. Лечение атопического дерматита умеренной или тяжелой степени у взрослых пациентов. Лечение очаговой алопеции тяжелой степени у взрослых пациентов. Лечение новой коронавирусной инфекции у госпита</w:t>
            </w:r>
            <w:r w:rsidR="00325C45">
              <w:rPr>
                <w:lang w:eastAsia="ru-RU"/>
              </w:rPr>
              <w:t>лизированных взрослых пациентов</w:t>
            </w:r>
            <w:r w:rsidRPr="00325C45">
              <w:rPr>
                <w:lang w:eastAsia="ru-RU"/>
              </w:rPr>
              <w:t>.</w:t>
            </w:r>
          </w:p>
        </w:tc>
      </w:tr>
      <w:tr w:rsidR="00C8586A" w:rsidRPr="005E6358" w14:paraId="04F85B15" w14:textId="77777777" w:rsidTr="000F2FF3">
        <w:trPr>
          <w:trHeight w:val="579"/>
        </w:trPr>
        <w:tc>
          <w:tcPr>
            <w:tcW w:w="3828" w:type="dxa"/>
            <w:tcBorders>
              <w:top w:val="nil"/>
              <w:left w:val="thinThickSmallGap" w:sz="24" w:space="0" w:color="auto"/>
              <w:bottom w:val="nil"/>
              <w:right w:val="nil"/>
            </w:tcBorders>
          </w:tcPr>
          <w:p w14:paraId="233D6A47" w14:textId="2710FC26" w:rsidR="00C8586A" w:rsidRPr="00325C45" w:rsidRDefault="00C8586A" w:rsidP="000F2FF3">
            <w:pPr>
              <w:spacing w:after="0" w:line="240" w:lineRule="auto"/>
              <w:jc w:val="left"/>
              <w:rPr>
                <w:rFonts w:eastAsia="Calibri"/>
                <w:b/>
                <w:color w:val="000000" w:themeColor="text1"/>
                <w:lang w:eastAsia="en-US"/>
              </w:rPr>
            </w:pPr>
            <w:r w:rsidRPr="00325C45">
              <w:rPr>
                <w:rFonts w:eastAsia="Calibri"/>
                <w:b/>
                <w:color w:val="000000" w:themeColor="text1"/>
              </w:rPr>
              <w:t>Идентификационный номер протокола исследования:</w:t>
            </w:r>
          </w:p>
        </w:tc>
        <w:tc>
          <w:tcPr>
            <w:tcW w:w="5528" w:type="dxa"/>
            <w:tcBorders>
              <w:top w:val="nil"/>
              <w:left w:val="nil"/>
              <w:bottom w:val="nil"/>
              <w:right w:val="thickThinSmallGap" w:sz="24" w:space="0" w:color="auto"/>
            </w:tcBorders>
            <w:hideMark/>
          </w:tcPr>
          <w:p w14:paraId="0622ED5A" w14:textId="1F51EAAF" w:rsidR="00C8586A" w:rsidRPr="00325C45" w:rsidRDefault="001843D3" w:rsidP="004541CE">
            <w:pPr>
              <w:spacing w:after="0" w:line="240" w:lineRule="auto"/>
              <w:rPr>
                <w:rFonts w:eastAsia="Calibri"/>
                <w:color w:val="000000" w:themeColor="text1"/>
                <w:highlight w:val="yellow"/>
                <w:lang w:eastAsia="en-US"/>
              </w:rPr>
            </w:pPr>
            <w:r w:rsidRPr="00325C45">
              <w:t>CL041048154</w:t>
            </w:r>
          </w:p>
        </w:tc>
      </w:tr>
      <w:tr w:rsidR="00C8586A" w:rsidRPr="005E6358" w14:paraId="5BB3E9EB" w14:textId="77777777" w:rsidTr="000F2FF3">
        <w:trPr>
          <w:trHeight w:val="309"/>
        </w:trPr>
        <w:tc>
          <w:tcPr>
            <w:tcW w:w="3828" w:type="dxa"/>
            <w:tcBorders>
              <w:top w:val="nil"/>
              <w:left w:val="thinThickSmallGap" w:sz="24" w:space="0" w:color="auto"/>
              <w:bottom w:val="nil"/>
              <w:right w:val="nil"/>
            </w:tcBorders>
          </w:tcPr>
          <w:p w14:paraId="46CAEFBF" w14:textId="77777777" w:rsidR="00C8586A" w:rsidRPr="00325C45" w:rsidRDefault="00C8586A" w:rsidP="004C505D">
            <w:pPr>
              <w:spacing w:after="0" w:line="240" w:lineRule="auto"/>
              <w:jc w:val="left"/>
              <w:rPr>
                <w:rFonts w:eastAsia="Times New Roman"/>
                <w:b/>
                <w:bCs/>
                <w:iCs/>
                <w:color w:val="000000" w:themeColor="text1"/>
                <w:lang w:eastAsia="en-US"/>
              </w:rPr>
            </w:pPr>
            <w:r w:rsidRPr="00325C45">
              <w:rPr>
                <w:b/>
                <w:color w:val="000000" w:themeColor="text1"/>
              </w:rPr>
              <w:t>Номер версии:</w:t>
            </w:r>
          </w:p>
        </w:tc>
        <w:tc>
          <w:tcPr>
            <w:tcW w:w="5528" w:type="dxa"/>
            <w:tcBorders>
              <w:top w:val="nil"/>
              <w:left w:val="nil"/>
              <w:bottom w:val="nil"/>
              <w:right w:val="thickThinSmallGap" w:sz="24" w:space="0" w:color="auto"/>
            </w:tcBorders>
            <w:hideMark/>
          </w:tcPr>
          <w:p w14:paraId="725C5849" w14:textId="77777777" w:rsidR="00C8586A" w:rsidRPr="00325C45" w:rsidRDefault="00D927FE" w:rsidP="004C505D">
            <w:pPr>
              <w:spacing w:after="0" w:line="240" w:lineRule="auto"/>
              <w:jc w:val="left"/>
              <w:rPr>
                <w:b/>
                <w:bCs/>
                <w:iCs/>
                <w:color w:val="000000" w:themeColor="text1"/>
                <w:lang w:eastAsia="en-US"/>
              </w:rPr>
            </w:pPr>
            <w:r w:rsidRPr="00325C45">
              <w:rPr>
                <w:color w:val="000000" w:themeColor="text1"/>
              </w:rPr>
              <w:t>1.0</w:t>
            </w:r>
          </w:p>
        </w:tc>
      </w:tr>
      <w:tr w:rsidR="00C8586A" w:rsidRPr="005E6358" w14:paraId="4E07BC59" w14:textId="77777777" w:rsidTr="000F2FF3">
        <w:trPr>
          <w:trHeight w:val="403"/>
        </w:trPr>
        <w:tc>
          <w:tcPr>
            <w:tcW w:w="3828" w:type="dxa"/>
            <w:tcBorders>
              <w:top w:val="nil"/>
              <w:left w:val="thinThickSmallGap" w:sz="24" w:space="0" w:color="auto"/>
              <w:bottom w:val="nil"/>
              <w:right w:val="nil"/>
            </w:tcBorders>
            <w:hideMark/>
          </w:tcPr>
          <w:p w14:paraId="2021D0E3" w14:textId="77777777" w:rsidR="00C8586A" w:rsidRPr="00325C45" w:rsidRDefault="00C8586A" w:rsidP="004C505D">
            <w:pPr>
              <w:spacing w:after="0" w:line="240" w:lineRule="auto"/>
              <w:rPr>
                <w:rFonts w:eastAsia="Calibri"/>
                <w:b/>
                <w:color w:val="000000" w:themeColor="text1"/>
                <w:lang w:eastAsia="en-US"/>
              </w:rPr>
            </w:pPr>
            <w:r w:rsidRPr="00325C45">
              <w:rPr>
                <w:rFonts w:eastAsia="Calibri"/>
                <w:b/>
                <w:color w:val="000000" w:themeColor="text1"/>
              </w:rPr>
              <w:t>Дата версии:</w:t>
            </w:r>
          </w:p>
        </w:tc>
        <w:tc>
          <w:tcPr>
            <w:tcW w:w="5528" w:type="dxa"/>
            <w:tcBorders>
              <w:top w:val="nil"/>
              <w:left w:val="nil"/>
              <w:bottom w:val="nil"/>
              <w:right w:val="thickThinSmallGap" w:sz="24" w:space="0" w:color="auto"/>
            </w:tcBorders>
            <w:hideMark/>
          </w:tcPr>
          <w:p w14:paraId="4C575940" w14:textId="56DA0484" w:rsidR="00C8586A" w:rsidRPr="00325C45" w:rsidRDefault="000F2FF3" w:rsidP="001843D3">
            <w:pPr>
              <w:spacing w:after="0" w:line="240" w:lineRule="auto"/>
              <w:rPr>
                <w:rFonts w:eastAsia="Calibri"/>
                <w:color w:val="000000" w:themeColor="text1"/>
                <w:lang w:eastAsia="en-US"/>
              </w:rPr>
            </w:pPr>
            <w:r>
              <w:rPr>
                <w:rFonts w:eastAsia="Calibri"/>
                <w:color w:val="000000" w:themeColor="text1"/>
              </w:rPr>
              <w:t>30</w:t>
            </w:r>
            <w:r w:rsidR="009333D1" w:rsidRPr="00325C45">
              <w:rPr>
                <w:rFonts w:eastAsia="Calibri"/>
                <w:color w:val="000000" w:themeColor="text1"/>
              </w:rPr>
              <w:t xml:space="preserve"> </w:t>
            </w:r>
            <w:r w:rsidR="001843D3" w:rsidRPr="00325C45">
              <w:rPr>
                <w:rFonts w:eastAsia="Calibri"/>
                <w:color w:val="000000" w:themeColor="text1"/>
              </w:rPr>
              <w:t>ноября</w:t>
            </w:r>
            <w:r w:rsidR="007D5382" w:rsidRPr="00325C45">
              <w:rPr>
                <w:rFonts w:eastAsia="Calibri"/>
                <w:color w:val="000000" w:themeColor="text1"/>
              </w:rPr>
              <w:t xml:space="preserve"> </w:t>
            </w:r>
            <w:r w:rsidR="00D927FE" w:rsidRPr="00325C45">
              <w:rPr>
                <w:rFonts w:eastAsia="Calibri"/>
                <w:color w:val="000000" w:themeColor="text1"/>
              </w:rPr>
              <w:t>2022</w:t>
            </w:r>
            <w:r w:rsidR="00C8586A" w:rsidRPr="00325C45">
              <w:rPr>
                <w:rFonts w:eastAsia="Calibri"/>
                <w:color w:val="000000" w:themeColor="text1"/>
              </w:rPr>
              <w:t xml:space="preserve"> г.</w:t>
            </w:r>
          </w:p>
        </w:tc>
      </w:tr>
      <w:tr w:rsidR="00325C45" w:rsidRPr="005E6358" w14:paraId="183216C3" w14:textId="77777777" w:rsidTr="000F2FF3">
        <w:trPr>
          <w:trHeight w:val="424"/>
        </w:trPr>
        <w:tc>
          <w:tcPr>
            <w:tcW w:w="3828" w:type="dxa"/>
            <w:tcBorders>
              <w:top w:val="nil"/>
              <w:left w:val="thinThickSmallGap" w:sz="24" w:space="0" w:color="auto"/>
              <w:bottom w:val="nil"/>
              <w:right w:val="nil"/>
            </w:tcBorders>
          </w:tcPr>
          <w:p w14:paraId="5DC54FDF" w14:textId="6A29CDBD" w:rsidR="00325C45" w:rsidRPr="00325C45" w:rsidRDefault="00325C45" w:rsidP="00E630FF">
            <w:pPr>
              <w:spacing w:after="0" w:line="240" w:lineRule="auto"/>
              <w:rPr>
                <w:rFonts w:eastAsia="Calibri"/>
                <w:b/>
                <w:color w:val="000000" w:themeColor="text1"/>
              </w:rPr>
            </w:pPr>
            <w:r w:rsidRPr="00325C45">
              <w:rPr>
                <w:rFonts w:eastAsia="Calibri"/>
                <w:b/>
                <w:color w:val="000000" w:themeColor="text1"/>
              </w:rPr>
              <w:t xml:space="preserve">Дата окончания сбора </w:t>
            </w:r>
            <w:r w:rsidR="00E630FF">
              <w:rPr>
                <w:rFonts w:eastAsia="Calibri"/>
                <w:b/>
                <w:color w:val="000000" w:themeColor="text1"/>
              </w:rPr>
              <w:t>данных</w:t>
            </w:r>
          </w:p>
        </w:tc>
        <w:tc>
          <w:tcPr>
            <w:tcW w:w="5528" w:type="dxa"/>
            <w:tcBorders>
              <w:top w:val="nil"/>
              <w:left w:val="nil"/>
              <w:bottom w:val="nil"/>
              <w:right w:val="thickThinSmallGap" w:sz="24" w:space="0" w:color="auto"/>
            </w:tcBorders>
          </w:tcPr>
          <w:p w14:paraId="75960B08" w14:textId="53EB2841" w:rsidR="00325C45" w:rsidRPr="00325C45" w:rsidRDefault="00325C45" w:rsidP="00325C45">
            <w:pPr>
              <w:spacing w:after="0" w:line="240" w:lineRule="auto"/>
              <w:rPr>
                <w:rFonts w:eastAsia="Calibri"/>
                <w:color w:val="000000" w:themeColor="text1"/>
              </w:rPr>
            </w:pPr>
            <w:r w:rsidRPr="00325C45">
              <w:rPr>
                <w:rFonts w:eastAsia="Calibri"/>
                <w:color w:val="000000" w:themeColor="text1"/>
              </w:rPr>
              <w:t>21 ноября 2022 г.</w:t>
            </w:r>
          </w:p>
        </w:tc>
      </w:tr>
      <w:tr w:rsidR="00C8586A" w:rsidRPr="005E6358" w14:paraId="1B4A57B1" w14:textId="77777777" w:rsidTr="000F2FF3">
        <w:trPr>
          <w:trHeight w:val="455"/>
        </w:trPr>
        <w:tc>
          <w:tcPr>
            <w:tcW w:w="3828" w:type="dxa"/>
            <w:tcBorders>
              <w:top w:val="nil"/>
              <w:left w:val="thinThickSmallGap" w:sz="24" w:space="0" w:color="auto"/>
              <w:bottom w:val="nil"/>
              <w:right w:val="nil"/>
            </w:tcBorders>
            <w:hideMark/>
          </w:tcPr>
          <w:p w14:paraId="19D182D8" w14:textId="77777777" w:rsidR="00C8586A" w:rsidRPr="00325C45" w:rsidRDefault="00C8586A">
            <w:pPr>
              <w:spacing w:after="0" w:line="240" w:lineRule="auto"/>
              <w:jc w:val="left"/>
              <w:rPr>
                <w:b/>
                <w:bCs/>
                <w:iCs/>
                <w:color w:val="000000" w:themeColor="text1"/>
                <w:lang w:eastAsia="en-US"/>
              </w:rPr>
            </w:pPr>
            <w:r w:rsidRPr="00325C45">
              <w:rPr>
                <w:b/>
                <w:color w:val="000000" w:themeColor="text1"/>
              </w:rPr>
              <w:t>Заменяет предыдущую версию номер:</w:t>
            </w:r>
          </w:p>
        </w:tc>
        <w:tc>
          <w:tcPr>
            <w:tcW w:w="5528" w:type="dxa"/>
            <w:tcBorders>
              <w:top w:val="nil"/>
              <w:left w:val="nil"/>
              <w:bottom w:val="nil"/>
              <w:right w:val="thickThinSmallGap" w:sz="24" w:space="0" w:color="auto"/>
            </w:tcBorders>
            <w:hideMark/>
          </w:tcPr>
          <w:p w14:paraId="15954A26" w14:textId="77777777" w:rsidR="00C8586A" w:rsidRPr="00325C45" w:rsidRDefault="008812B3" w:rsidP="00CB6543">
            <w:pPr>
              <w:spacing w:after="0" w:line="240" w:lineRule="auto"/>
              <w:jc w:val="left"/>
              <w:rPr>
                <w:b/>
                <w:bCs/>
                <w:iCs/>
                <w:color w:val="000000" w:themeColor="text1"/>
                <w:lang w:eastAsia="en-US"/>
              </w:rPr>
            </w:pPr>
            <w:r w:rsidRPr="00325C45">
              <w:rPr>
                <w:color w:val="000000" w:themeColor="text1"/>
              </w:rPr>
              <w:t xml:space="preserve">Не применимо </w:t>
            </w:r>
          </w:p>
        </w:tc>
      </w:tr>
      <w:tr w:rsidR="00C8586A" w:rsidRPr="005E6358" w14:paraId="58F17C69" w14:textId="77777777" w:rsidTr="000F2FF3">
        <w:trPr>
          <w:trHeight w:val="315"/>
        </w:trPr>
        <w:tc>
          <w:tcPr>
            <w:tcW w:w="3828" w:type="dxa"/>
            <w:tcBorders>
              <w:top w:val="nil"/>
              <w:left w:val="thinThickSmallGap" w:sz="24" w:space="0" w:color="auto"/>
              <w:bottom w:val="nil"/>
              <w:right w:val="nil"/>
            </w:tcBorders>
          </w:tcPr>
          <w:p w14:paraId="0E12EA82" w14:textId="77777777" w:rsidR="00C8586A" w:rsidRPr="00325C45" w:rsidRDefault="00C8586A" w:rsidP="004C505D">
            <w:pPr>
              <w:spacing w:after="0" w:line="240" w:lineRule="auto"/>
              <w:jc w:val="left"/>
              <w:rPr>
                <w:b/>
                <w:color w:val="000000" w:themeColor="text1"/>
              </w:rPr>
            </w:pPr>
            <w:r w:rsidRPr="00325C45">
              <w:rPr>
                <w:b/>
                <w:color w:val="000000" w:themeColor="text1"/>
              </w:rPr>
              <w:t>Дата предыдущей версии:</w:t>
            </w:r>
          </w:p>
        </w:tc>
        <w:tc>
          <w:tcPr>
            <w:tcW w:w="5528" w:type="dxa"/>
            <w:tcBorders>
              <w:top w:val="nil"/>
              <w:left w:val="nil"/>
              <w:bottom w:val="nil"/>
              <w:right w:val="thickThinSmallGap" w:sz="24" w:space="0" w:color="auto"/>
            </w:tcBorders>
          </w:tcPr>
          <w:p w14:paraId="06BB4277" w14:textId="77777777" w:rsidR="00C8586A" w:rsidRPr="00325C45" w:rsidRDefault="008812B3" w:rsidP="00CB6543">
            <w:pPr>
              <w:spacing w:after="0" w:line="240" w:lineRule="auto"/>
              <w:jc w:val="left"/>
              <w:rPr>
                <w:color w:val="000000" w:themeColor="text1"/>
                <w:lang w:val="en-US"/>
              </w:rPr>
            </w:pPr>
            <w:r w:rsidRPr="00325C45">
              <w:rPr>
                <w:color w:val="000000" w:themeColor="text1"/>
              </w:rPr>
              <w:t>Не применимо</w:t>
            </w:r>
          </w:p>
        </w:tc>
      </w:tr>
      <w:tr w:rsidR="00C8586A" w:rsidRPr="001843D3" w14:paraId="637103B6" w14:textId="77777777" w:rsidTr="000F2FF3">
        <w:trPr>
          <w:trHeight w:val="1536"/>
        </w:trPr>
        <w:tc>
          <w:tcPr>
            <w:tcW w:w="3828" w:type="dxa"/>
            <w:tcBorders>
              <w:top w:val="single" w:sz="4" w:space="0" w:color="auto"/>
              <w:left w:val="thinThickSmallGap" w:sz="24" w:space="0" w:color="auto"/>
              <w:bottom w:val="nil"/>
              <w:right w:val="nil"/>
            </w:tcBorders>
            <w:vAlign w:val="center"/>
          </w:tcPr>
          <w:p w14:paraId="433EB64A" w14:textId="77777777" w:rsidR="00C8586A" w:rsidRPr="00325C45" w:rsidRDefault="00C8586A" w:rsidP="00BA2D96">
            <w:pPr>
              <w:spacing w:before="120" w:after="0" w:line="240" w:lineRule="auto"/>
              <w:jc w:val="left"/>
              <w:rPr>
                <w:rFonts w:eastAsia="Calibri"/>
                <w:b/>
                <w:color w:val="000000" w:themeColor="text1"/>
              </w:rPr>
            </w:pPr>
            <w:r w:rsidRPr="00325C45">
              <w:rPr>
                <w:rFonts w:eastAsia="Calibri"/>
                <w:b/>
                <w:color w:val="000000" w:themeColor="text1"/>
              </w:rPr>
              <w:t>Наименование/имя и адрес спонсора (монитора) клинического исследования:</w:t>
            </w:r>
          </w:p>
          <w:p w14:paraId="57E40F2C" w14:textId="77777777" w:rsidR="00C8586A" w:rsidRPr="00325C45" w:rsidRDefault="00C8586A" w:rsidP="004C505D">
            <w:pPr>
              <w:spacing w:before="120" w:after="0" w:line="240" w:lineRule="auto"/>
              <w:rPr>
                <w:rFonts w:eastAsia="Calibri"/>
                <w:color w:val="000000" w:themeColor="text1"/>
                <w:lang w:eastAsia="en-US"/>
              </w:rPr>
            </w:pPr>
          </w:p>
        </w:tc>
        <w:tc>
          <w:tcPr>
            <w:tcW w:w="5528" w:type="dxa"/>
            <w:tcBorders>
              <w:top w:val="single" w:sz="4" w:space="0" w:color="auto"/>
              <w:left w:val="nil"/>
              <w:bottom w:val="nil"/>
              <w:right w:val="thickThinSmallGap" w:sz="24" w:space="0" w:color="auto"/>
            </w:tcBorders>
            <w:vAlign w:val="center"/>
            <w:hideMark/>
          </w:tcPr>
          <w:p w14:paraId="3882C1DE" w14:textId="77777777" w:rsidR="00FE28B3" w:rsidRPr="00325C45" w:rsidRDefault="00FE28B3" w:rsidP="00FE28B3">
            <w:pPr>
              <w:spacing w:after="0" w:line="240" w:lineRule="auto"/>
              <w:rPr>
                <w:rFonts w:eastAsia="Calibri"/>
              </w:rPr>
            </w:pPr>
            <w:r w:rsidRPr="00325C45">
              <w:rPr>
                <w:rFonts w:eastAsia="Calibri"/>
              </w:rPr>
              <w:t xml:space="preserve">АО «Р-Фарм», Россия </w:t>
            </w:r>
          </w:p>
          <w:p w14:paraId="0B542D54" w14:textId="77777777" w:rsidR="00FE28B3" w:rsidRPr="00325C45" w:rsidRDefault="00FE28B3" w:rsidP="00FE28B3">
            <w:pPr>
              <w:spacing w:after="0" w:line="240" w:lineRule="auto"/>
              <w:rPr>
                <w:rFonts w:eastAsia="Calibri"/>
              </w:rPr>
            </w:pPr>
            <w:r w:rsidRPr="00325C45">
              <w:rPr>
                <w:rFonts w:eastAsia="Calibri"/>
              </w:rPr>
              <w:t xml:space="preserve">Юридический адрес: </w:t>
            </w:r>
            <w:r w:rsidRPr="00325C45">
              <w:t>123154, Москва, ул.  Берзарина, д. 19, корп. 1.</w:t>
            </w:r>
          </w:p>
          <w:p w14:paraId="375BB487" w14:textId="77777777" w:rsidR="00FE28B3" w:rsidRPr="00325C45" w:rsidRDefault="00FE28B3" w:rsidP="00FE28B3">
            <w:pPr>
              <w:spacing w:after="0" w:line="240" w:lineRule="auto"/>
              <w:rPr>
                <w:rFonts w:eastAsia="Calibri"/>
              </w:rPr>
            </w:pPr>
            <w:r w:rsidRPr="00325C45">
              <w:rPr>
                <w:rFonts w:eastAsia="Calibri"/>
              </w:rPr>
              <w:t>Тел.: +7 (495) 956-79-37, факс: +7 (495) 956-79-38.</w:t>
            </w:r>
          </w:p>
          <w:p w14:paraId="56D5CEF2" w14:textId="23562012" w:rsidR="00C8586A" w:rsidRPr="00325C45" w:rsidRDefault="00FE28B3" w:rsidP="00944BB9">
            <w:pPr>
              <w:spacing w:after="0" w:line="240" w:lineRule="auto"/>
              <w:rPr>
                <w:rFonts w:eastAsia="Calibri"/>
                <w:color w:val="000000" w:themeColor="text1"/>
                <w:lang w:eastAsia="en-US"/>
              </w:rPr>
            </w:pPr>
            <w:r w:rsidRPr="00325C45">
              <w:rPr>
                <w:rFonts w:eastAsia="Calibri"/>
              </w:rPr>
              <w:t xml:space="preserve">Эл. почта: </w:t>
            </w:r>
            <w:r w:rsidRPr="00325C45">
              <w:rPr>
                <w:lang w:val="en-US"/>
              </w:rPr>
              <w:t>info</w:t>
            </w:r>
            <w:r w:rsidRPr="00325C45">
              <w:t>@</w:t>
            </w:r>
            <w:r w:rsidRPr="00325C45">
              <w:rPr>
                <w:lang w:val="en-US"/>
              </w:rPr>
              <w:t>rpharm</w:t>
            </w:r>
            <w:r w:rsidRPr="00325C45">
              <w:t>.</w:t>
            </w:r>
            <w:r w:rsidRPr="00325C45">
              <w:rPr>
                <w:lang w:val="en-US"/>
              </w:rPr>
              <w:t>ru</w:t>
            </w:r>
          </w:p>
        </w:tc>
      </w:tr>
      <w:tr w:rsidR="00C8586A" w:rsidRPr="001843D3" w14:paraId="5FEE16C7" w14:textId="77777777" w:rsidTr="000F2FF3">
        <w:trPr>
          <w:trHeight w:val="2527"/>
        </w:trPr>
        <w:tc>
          <w:tcPr>
            <w:tcW w:w="3828" w:type="dxa"/>
            <w:tcBorders>
              <w:top w:val="single" w:sz="4" w:space="0" w:color="auto"/>
              <w:left w:val="thinThickSmallGap" w:sz="24" w:space="0" w:color="auto"/>
              <w:bottom w:val="nil"/>
              <w:right w:val="nil"/>
            </w:tcBorders>
          </w:tcPr>
          <w:p w14:paraId="01A8493E" w14:textId="77777777" w:rsidR="00C8586A" w:rsidRPr="00325C45" w:rsidRDefault="00C8586A" w:rsidP="00BA2D96">
            <w:pPr>
              <w:spacing w:before="120" w:after="0" w:line="240" w:lineRule="auto"/>
              <w:jc w:val="left"/>
              <w:rPr>
                <w:rFonts w:eastAsia="Calibri"/>
                <w:color w:val="000000" w:themeColor="text1"/>
                <w:lang w:eastAsia="en-US"/>
              </w:rPr>
            </w:pPr>
            <w:r w:rsidRPr="00325C45">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5528" w:type="dxa"/>
            <w:tcBorders>
              <w:top w:val="single" w:sz="4" w:space="0" w:color="auto"/>
              <w:left w:val="nil"/>
              <w:bottom w:val="nil"/>
              <w:right w:val="thickThinSmallGap" w:sz="24" w:space="0" w:color="auto"/>
            </w:tcBorders>
          </w:tcPr>
          <w:p w14:paraId="300E871F" w14:textId="0FD55419" w:rsidR="00E62C75" w:rsidRPr="00325C45" w:rsidRDefault="001843D3" w:rsidP="00E62C75">
            <w:pPr>
              <w:spacing w:before="120" w:after="0" w:line="240" w:lineRule="auto"/>
              <w:rPr>
                <w:rFonts w:eastAsia="Calibri"/>
                <w:b/>
                <w:color w:val="000000" w:themeColor="text1"/>
              </w:rPr>
            </w:pPr>
            <w:r w:rsidRPr="00325C45">
              <w:rPr>
                <w:rFonts w:eastAsia="Calibri"/>
                <w:b/>
                <w:color w:val="000000" w:themeColor="text1"/>
              </w:rPr>
              <w:t>Никольская Мария Викторовна</w:t>
            </w:r>
          </w:p>
          <w:p w14:paraId="6DC720B9" w14:textId="7E294206" w:rsidR="00A26EEC" w:rsidRPr="00325C45" w:rsidRDefault="00A26EEC" w:rsidP="00A26EEC">
            <w:pPr>
              <w:spacing w:after="0" w:line="240" w:lineRule="auto"/>
              <w:rPr>
                <w:rFonts w:eastAsia="Calibri"/>
              </w:rPr>
            </w:pPr>
            <w:r w:rsidRPr="00325C45">
              <w:rPr>
                <w:rFonts w:eastAsia="Calibri"/>
              </w:rPr>
              <w:t>Руководитель отдела медицинской документации Департамента доклинической и клинической разработки</w:t>
            </w:r>
            <w:r w:rsidR="00BC7E97" w:rsidRPr="00325C45">
              <w:rPr>
                <w:rFonts w:eastAsia="Calibri"/>
              </w:rPr>
              <w:t xml:space="preserve"> МД</w:t>
            </w:r>
            <w:r w:rsidRPr="00325C45">
              <w:rPr>
                <w:rFonts w:eastAsia="Calibri"/>
              </w:rPr>
              <w:t xml:space="preserve"> АО «Р-Фарм»</w:t>
            </w:r>
          </w:p>
          <w:p w14:paraId="41E8ED0D" w14:textId="77777777" w:rsidR="001843D3" w:rsidRPr="00325C45" w:rsidRDefault="001843D3" w:rsidP="001843D3">
            <w:pPr>
              <w:spacing w:after="0" w:line="240" w:lineRule="auto"/>
              <w:rPr>
                <w:rFonts w:eastAsia="Calibri"/>
              </w:rPr>
            </w:pPr>
            <w:r w:rsidRPr="00325C45">
              <w:rPr>
                <w:rFonts w:eastAsia="Calibri"/>
              </w:rPr>
              <w:t xml:space="preserve">Адрес: Россия, 123154, Москва, Ленинский проспект, </w:t>
            </w:r>
            <w:r w:rsidRPr="00325C45">
              <w:rPr>
                <w:rFonts w:eastAsia="Calibri"/>
                <w:lang w:eastAsia="ru-RU"/>
              </w:rPr>
              <w:t>111, к1</w:t>
            </w:r>
            <w:r w:rsidRPr="00325C45">
              <w:rPr>
                <w:rFonts w:eastAsia="Calibri"/>
              </w:rPr>
              <w:t>.</w:t>
            </w:r>
          </w:p>
          <w:p w14:paraId="1FDAD800" w14:textId="77777777" w:rsidR="001843D3" w:rsidRPr="00325C45" w:rsidRDefault="001843D3" w:rsidP="001843D3">
            <w:pPr>
              <w:spacing w:after="0" w:line="240" w:lineRule="auto"/>
              <w:rPr>
                <w:rFonts w:eastAsia="Calibri"/>
              </w:rPr>
            </w:pPr>
            <w:r w:rsidRPr="00325C45">
              <w:rPr>
                <w:rFonts w:eastAsia="Calibri"/>
              </w:rPr>
              <w:t>Тел.: +7 (495) 956-79-37, моб.: +7 (921) 327-35-73.</w:t>
            </w:r>
          </w:p>
          <w:p w14:paraId="1E167E0A" w14:textId="299D4E65" w:rsidR="00C8586A" w:rsidRPr="00325C45" w:rsidRDefault="001843D3" w:rsidP="001843D3">
            <w:pPr>
              <w:spacing w:after="0" w:line="240" w:lineRule="auto"/>
              <w:rPr>
                <w:rFonts w:eastAsia="Calibri"/>
                <w:color w:val="000000" w:themeColor="text1"/>
                <w:lang w:val="de-DE" w:eastAsia="en-US"/>
              </w:rPr>
            </w:pPr>
            <w:r w:rsidRPr="00325C45">
              <w:rPr>
                <w:rFonts w:eastAsia="Calibri"/>
              </w:rPr>
              <w:t xml:space="preserve">Эл. почта: </w:t>
            </w:r>
            <w:r w:rsidRPr="00325C45">
              <w:t>mv.nikolskaya@rpharm.ru</w:t>
            </w:r>
          </w:p>
        </w:tc>
      </w:tr>
      <w:tr w:rsidR="00284823" w:rsidRPr="005E6358" w14:paraId="55669C8F" w14:textId="77777777" w:rsidTr="000F2FF3">
        <w:trPr>
          <w:trHeight w:val="1542"/>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146C6DB" w:rsidR="00C8586A" w:rsidRPr="00AB01E2" w:rsidRDefault="00C8586A">
            <w:pPr>
              <w:spacing w:after="0" w:line="240" w:lineRule="auto"/>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sidR="00FE28B3">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C910971" w14:textId="77777777" w:rsidR="00E30437" w:rsidRPr="005E6358" w:rsidRDefault="00E30437" w:rsidP="004C505D">
      <w:pPr>
        <w:pStyle w:val="12"/>
        <w:spacing w:line="240" w:lineRule="auto"/>
        <w:rPr>
          <w:rFonts w:cs="Times New Roman"/>
          <w:color w:val="000000" w:themeColor="text1"/>
          <w:szCs w:val="24"/>
        </w:rPr>
      </w:pPr>
      <w:bookmarkStart w:id="0" w:name="_Hlk484253716"/>
      <w:bookmarkStart w:id="1" w:name="_Toc120288094"/>
      <w:bookmarkEnd w:id="0"/>
      <w:r w:rsidRPr="005E6358">
        <w:rPr>
          <w:rFonts w:cs="Times New Roman"/>
          <w:color w:val="000000" w:themeColor="text1"/>
          <w:szCs w:val="24"/>
        </w:rPr>
        <w:lastRenderedPageBreak/>
        <w:t>СОДЕРЖАНИЕ</w:t>
      </w:r>
      <w:bookmarkEnd w:id="1"/>
    </w:p>
    <w:p w14:paraId="36A3112B" w14:textId="038BA142" w:rsidR="00325C45" w:rsidRPr="00325C45" w:rsidRDefault="005C3F89" w:rsidP="00325C45">
      <w:pPr>
        <w:pStyle w:val="14"/>
        <w:tabs>
          <w:tab w:val="clear" w:pos="9214"/>
          <w:tab w:val="right" w:leader="dot" w:pos="9356"/>
        </w:tabs>
        <w:rPr>
          <w:rFonts w:eastAsiaTheme="minorEastAsia"/>
          <w:lang w:eastAsia="ru-RU"/>
        </w:rPr>
      </w:pPr>
      <w:r w:rsidRPr="00325C45">
        <w:rPr>
          <w:bCs/>
          <w:color w:val="000000" w:themeColor="text1"/>
        </w:rPr>
        <w:fldChar w:fldCharType="begin"/>
      </w:r>
      <w:r w:rsidR="00B30F15" w:rsidRPr="00325C45">
        <w:rPr>
          <w:bCs/>
          <w:color w:val="000000" w:themeColor="text1"/>
        </w:rPr>
        <w:instrText xml:space="preserve"> TOC \o "1-5" \h \z \u </w:instrText>
      </w:r>
      <w:r w:rsidRPr="00325C45">
        <w:rPr>
          <w:bCs/>
          <w:color w:val="000000" w:themeColor="text1"/>
        </w:rPr>
        <w:fldChar w:fldCharType="separate"/>
      </w:r>
      <w:hyperlink w:anchor="_Toc120288094" w:history="1">
        <w:r w:rsidR="00325C45" w:rsidRPr="00325C45">
          <w:rPr>
            <w:rStyle w:val="aa"/>
          </w:rPr>
          <w:t>СОДЕРЖАНИЕ</w:t>
        </w:r>
        <w:r w:rsidR="00325C45" w:rsidRPr="00325C45">
          <w:rPr>
            <w:webHidden/>
          </w:rPr>
          <w:tab/>
        </w:r>
        <w:r w:rsidR="00325C45" w:rsidRPr="00325C45">
          <w:rPr>
            <w:webHidden/>
          </w:rPr>
          <w:fldChar w:fldCharType="begin"/>
        </w:r>
        <w:r w:rsidR="00325C45" w:rsidRPr="00325C45">
          <w:rPr>
            <w:webHidden/>
          </w:rPr>
          <w:instrText xml:space="preserve"> PAGEREF _Toc120288094 \h </w:instrText>
        </w:r>
        <w:r w:rsidR="00325C45" w:rsidRPr="00325C45">
          <w:rPr>
            <w:webHidden/>
          </w:rPr>
        </w:r>
        <w:r w:rsidR="00325C45" w:rsidRPr="00325C45">
          <w:rPr>
            <w:webHidden/>
          </w:rPr>
          <w:fldChar w:fldCharType="separate"/>
        </w:r>
        <w:r w:rsidR="0029110D">
          <w:rPr>
            <w:webHidden/>
          </w:rPr>
          <w:t>2</w:t>
        </w:r>
        <w:r w:rsidR="00325C45" w:rsidRPr="00325C45">
          <w:rPr>
            <w:webHidden/>
          </w:rPr>
          <w:fldChar w:fldCharType="end"/>
        </w:r>
      </w:hyperlink>
    </w:p>
    <w:p w14:paraId="28D66308" w14:textId="567E70CC" w:rsidR="00325C45" w:rsidRPr="00325C45" w:rsidRDefault="00954DDF" w:rsidP="00325C45">
      <w:pPr>
        <w:pStyle w:val="14"/>
        <w:tabs>
          <w:tab w:val="clear" w:pos="9214"/>
          <w:tab w:val="right" w:leader="dot" w:pos="9356"/>
        </w:tabs>
        <w:rPr>
          <w:rFonts w:eastAsiaTheme="minorEastAsia"/>
          <w:lang w:eastAsia="ru-RU"/>
        </w:rPr>
      </w:pPr>
      <w:hyperlink w:anchor="_Toc120288095" w:history="1">
        <w:r w:rsidR="00325C45" w:rsidRPr="00325C45">
          <w:rPr>
            <w:rStyle w:val="aa"/>
          </w:rPr>
          <w:t>ЛИСТ СОГЛАСОВАНИЯ</w:t>
        </w:r>
        <w:r w:rsidR="00325C45" w:rsidRPr="00325C45">
          <w:rPr>
            <w:webHidden/>
          </w:rPr>
          <w:tab/>
        </w:r>
        <w:r w:rsidR="00325C45" w:rsidRPr="00325C45">
          <w:rPr>
            <w:webHidden/>
          </w:rPr>
          <w:fldChar w:fldCharType="begin"/>
        </w:r>
        <w:r w:rsidR="00325C45" w:rsidRPr="00325C45">
          <w:rPr>
            <w:webHidden/>
          </w:rPr>
          <w:instrText xml:space="preserve"> PAGEREF _Toc120288095 \h </w:instrText>
        </w:r>
        <w:r w:rsidR="00325C45" w:rsidRPr="00325C45">
          <w:rPr>
            <w:webHidden/>
          </w:rPr>
        </w:r>
        <w:r w:rsidR="00325C45" w:rsidRPr="00325C45">
          <w:rPr>
            <w:webHidden/>
          </w:rPr>
          <w:fldChar w:fldCharType="separate"/>
        </w:r>
        <w:r w:rsidR="0029110D">
          <w:rPr>
            <w:webHidden/>
          </w:rPr>
          <w:t>5</w:t>
        </w:r>
        <w:r w:rsidR="00325C45" w:rsidRPr="00325C45">
          <w:rPr>
            <w:webHidden/>
          </w:rPr>
          <w:fldChar w:fldCharType="end"/>
        </w:r>
      </w:hyperlink>
    </w:p>
    <w:p w14:paraId="43A1FD87" w14:textId="3688BCDA" w:rsidR="00325C45" w:rsidRPr="00325C45" w:rsidRDefault="00954DDF" w:rsidP="00325C45">
      <w:pPr>
        <w:pStyle w:val="14"/>
        <w:tabs>
          <w:tab w:val="clear" w:pos="9214"/>
          <w:tab w:val="right" w:leader="dot" w:pos="9356"/>
        </w:tabs>
        <w:rPr>
          <w:rFonts w:eastAsiaTheme="minorEastAsia"/>
          <w:lang w:eastAsia="ru-RU"/>
        </w:rPr>
      </w:pPr>
      <w:hyperlink w:anchor="_Toc120288096" w:history="1">
        <w:r w:rsidR="00325C45" w:rsidRPr="00325C45">
          <w:rPr>
            <w:rStyle w:val="aa"/>
          </w:rPr>
          <w:t>СПИСОК СОКРАЩЕНИЙ</w:t>
        </w:r>
        <w:r w:rsidR="00325C45" w:rsidRPr="00325C45">
          <w:rPr>
            <w:webHidden/>
          </w:rPr>
          <w:tab/>
        </w:r>
        <w:r w:rsidR="00325C45" w:rsidRPr="00325C45">
          <w:rPr>
            <w:webHidden/>
          </w:rPr>
          <w:fldChar w:fldCharType="begin"/>
        </w:r>
        <w:r w:rsidR="00325C45" w:rsidRPr="00325C45">
          <w:rPr>
            <w:webHidden/>
          </w:rPr>
          <w:instrText xml:space="preserve"> PAGEREF _Toc120288096 \h </w:instrText>
        </w:r>
        <w:r w:rsidR="00325C45" w:rsidRPr="00325C45">
          <w:rPr>
            <w:webHidden/>
          </w:rPr>
        </w:r>
        <w:r w:rsidR="00325C45" w:rsidRPr="00325C45">
          <w:rPr>
            <w:webHidden/>
          </w:rPr>
          <w:fldChar w:fldCharType="separate"/>
        </w:r>
        <w:r w:rsidR="0029110D">
          <w:rPr>
            <w:webHidden/>
          </w:rPr>
          <w:t>6</w:t>
        </w:r>
        <w:r w:rsidR="00325C45" w:rsidRPr="00325C45">
          <w:rPr>
            <w:webHidden/>
          </w:rPr>
          <w:fldChar w:fldCharType="end"/>
        </w:r>
      </w:hyperlink>
    </w:p>
    <w:p w14:paraId="3887F2CB" w14:textId="3D2710C2" w:rsidR="00325C45" w:rsidRPr="00325C45" w:rsidRDefault="00954DDF" w:rsidP="00325C45">
      <w:pPr>
        <w:pStyle w:val="14"/>
        <w:tabs>
          <w:tab w:val="clear" w:pos="9214"/>
          <w:tab w:val="right" w:leader="dot" w:pos="9356"/>
        </w:tabs>
        <w:rPr>
          <w:rFonts w:eastAsiaTheme="minorEastAsia"/>
          <w:lang w:eastAsia="ru-RU"/>
        </w:rPr>
      </w:pPr>
      <w:hyperlink w:anchor="_Toc120288097" w:history="1">
        <w:r w:rsidR="00325C45" w:rsidRPr="00325C45">
          <w:rPr>
            <w:rStyle w:val="aa"/>
          </w:rPr>
          <w:t>ИСТОРИЯ ДОКУМЕНТА</w:t>
        </w:r>
        <w:r w:rsidR="00325C45" w:rsidRPr="00325C45">
          <w:rPr>
            <w:webHidden/>
          </w:rPr>
          <w:tab/>
        </w:r>
        <w:r w:rsidR="00325C45" w:rsidRPr="00325C45">
          <w:rPr>
            <w:webHidden/>
          </w:rPr>
          <w:fldChar w:fldCharType="begin"/>
        </w:r>
        <w:r w:rsidR="00325C45" w:rsidRPr="00325C45">
          <w:rPr>
            <w:webHidden/>
          </w:rPr>
          <w:instrText xml:space="preserve"> PAGEREF _Toc120288097 \h </w:instrText>
        </w:r>
        <w:r w:rsidR="00325C45" w:rsidRPr="00325C45">
          <w:rPr>
            <w:webHidden/>
          </w:rPr>
        </w:r>
        <w:r w:rsidR="00325C45" w:rsidRPr="00325C45">
          <w:rPr>
            <w:webHidden/>
          </w:rPr>
          <w:fldChar w:fldCharType="separate"/>
        </w:r>
        <w:r w:rsidR="0029110D">
          <w:rPr>
            <w:webHidden/>
          </w:rPr>
          <w:t>9</w:t>
        </w:r>
        <w:r w:rsidR="00325C45" w:rsidRPr="00325C45">
          <w:rPr>
            <w:webHidden/>
          </w:rPr>
          <w:fldChar w:fldCharType="end"/>
        </w:r>
      </w:hyperlink>
    </w:p>
    <w:p w14:paraId="527A2BEA" w14:textId="02F90A7B" w:rsidR="00325C45" w:rsidRPr="00325C45" w:rsidRDefault="00954DDF" w:rsidP="00325C45">
      <w:pPr>
        <w:pStyle w:val="14"/>
        <w:tabs>
          <w:tab w:val="clear" w:pos="9214"/>
          <w:tab w:val="right" w:leader="dot" w:pos="9356"/>
        </w:tabs>
        <w:rPr>
          <w:rFonts w:eastAsiaTheme="minorEastAsia"/>
          <w:lang w:eastAsia="ru-RU"/>
        </w:rPr>
      </w:pPr>
      <w:hyperlink w:anchor="_Toc120288098" w:history="1">
        <w:r w:rsidR="00325C45" w:rsidRPr="00325C45">
          <w:rPr>
            <w:rStyle w:val="aa"/>
          </w:rPr>
          <w:t>РЕЗЮМЕ</w:t>
        </w:r>
        <w:r w:rsidR="00325C45" w:rsidRPr="00325C45">
          <w:rPr>
            <w:webHidden/>
          </w:rPr>
          <w:tab/>
        </w:r>
        <w:r w:rsidR="00325C45" w:rsidRPr="00325C45">
          <w:rPr>
            <w:webHidden/>
          </w:rPr>
          <w:fldChar w:fldCharType="begin"/>
        </w:r>
        <w:r w:rsidR="00325C45" w:rsidRPr="00325C45">
          <w:rPr>
            <w:webHidden/>
          </w:rPr>
          <w:instrText xml:space="preserve"> PAGEREF _Toc120288098 \h </w:instrText>
        </w:r>
        <w:r w:rsidR="00325C45" w:rsidRPr="00325C45">
          <w:rPr>
            <w:webHidden/>
          </w:rPr>
        </w:r>
        <w:r w:rsidR="00325C45" w:rsidRPr="00325C45">
          <w:rPr>
            <w:webHidden/>
          </w:rPr>
          <w:fldChar w:fldCharType="separate"/>
        </w:r>
        <w:r w:rsidR="0029110D">
          <w:rPr>
            <w:webHidden/>
          </w:rPr>
          <w:t>10</w:t>
        </w:r>
        <w:r w:rsidR="00325C45" w:rsidRPr="00325C45">
          <w:rPr>
            <w:webHidden/>
          </w:rPr>
          <w:fldChar w:fldCharType="end"/>
        </w:r>
      </w:hyperlink>
    </w:p>
    <w:p w14:paraId="33F38581" w14:textId="047824E4" w:rsidR="00325C45" w:rsidRPr="00325C45" w:rsidRDefault="00954DDF" w:rsidP="00325C45">
      <w:pPr>
        <w:pStyle w:val="14"/>
        <w:tabs>
          <w:tab w:val="clear" w:pos="9214"/>
          <w:tab w:val="right" w:leader="dot" w:pos="9356"/>
        </w:tabs>
        <w:rPr>
          <w:rFonts w:eastAsiaTheme="minorEastAsia"/>
          <w:lang w:eastAsia="ru-RU"/>
        </w:rPr>
      </w:pPr>
      <w:hyperlink w:anchor="_Toc120288099" w:history="1">
        <w:r w:rsidR="00325C45" w:rsidRPr="00325C45">
          <w:rPr>
            <w:rStyle w:val="aa"/>
          </w:rPr>
          <w:t>1. ВВЕДЕНИЕ</w:t>
        </w:r>
        <w:r w:rsidR="00325C45" w:rsidRPr="00325C45">
          <w:rPr>
            <w:webHidden/>
          </w:rPr>
          <w:tab/>
        </w:r>
        <w:r w:rsidR="00325C45" w:rsidRPr="00325C45">
          <w:rPr>
            <w:webHidden/>
          </w:rPr>
          <w:fldChar w:fldCharType="begin"/>
        </w:r>
        <w:r w:rsidR="00325C45" w:rsidRPr="00325C45">
          <w:rPr>
            <w:webHidden/>
          </w:rPr>
          <w:instrText xml:space="preserve"> PAGEREF _Toc120288099 \h </w:instrText>
        </w:r>
        <w:r w:rsidR="00325C45" w:rsidRPr="00325C45">
          <w:rPr>
            <w:webHidden/>
          </w:rPr>
        </w:r>
        <w:r w:rsidR="00325C45" w:rsidRPr="00325C45">
          <w:rPr>
            <w:webHidden/>
          </w:rPr>
          <w:fldChar w:fldCharType="separate"/>
        </w:r>
        <w:r w:rsidR="0029110D">
          <w:rPr>
            <w:webHidden/>
          </w:rPr>
          <w:t>13</w:t>
        </w:r>
        <w:r w:rsidR="00325C45" w:rsidRPr="00325C45">
          <w:rPr>
            <w:webHidden/>
          </w:rPr>
          <w:fldChar w:fldCharType="end"/>
        </w:r>
      </w:hyperlink>
    </w:p>
    <w:p w14:paraId="20556302" w14:textId="1B37875E" w:rsidR="00325C45" w:rsidRPr="00325C45" w:rsidRDefault="00954DDF" w:rsidP="00325C45">
      <w:pPr>
        <w:pStyle w:val="21"/>
        <w:tabs>
          <w:tab w:val="clear" w:pos="9345"/>
          <w:tab w:val="right" w:leader="dot" w:pos="9356"/>
        </w:tabs>
        <w:rPr>
          <w:rFonts w:eastAsiaTheme="minorEastAsia"/>
          <w:noProof/>
          <w:lang w:eastAsia="ru-RU"/>
        </w:rPr>
      </w:pPr>
      <w:hyperlink w:anchor="_Toc120288100" w:history="1">
        <w:r w:rsidR="00325C45" w:rsidRPr="00325C45">
          <w:rPr>
            <w:rStyle w:val="aa"/>
            <w:noProof/>
          </w:rPr>
          <w:t>1.1. Химическое название</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_Toc120288100 \h </w:instrText>
        </w:r>
        <w:r w:rsidR="00325C45" w:rsidRPr="00325C45">
          <w:rPr>
            <w:noProof/>
            <w:webHidden/>
          </w:rPr>
        </w:r>
        <w:r w:rsidR="00325C45" w:rsidRPr="00325C45">
          <w:rPr>
            <w:noProof/>
            <w:webHidden/>
          </w:rPr>
          <w:fldChar w:fldCharType="separate"/>
        </w:r>
        <w:r w:rsidR="0029110D">
          <w:rPr>
            <w:noProof/>
            <w:webHidden/>
          </w:rPr>
          <w:t>13</w:t>
        </w:r>
        <w:r w:rsidR="00325C45" w:rsidRPr="00325C45">
          <w:rPr>
            <w:noProof/>
            <w:webHidden/>
          </w:rPr>
          <w:fldChar w:fldCharType="end"/>
        </w:r>
      </w:hyperlink>
    </w:p>
    <w:p w14:paraId="06C3FF99" w14:textId="098D3FE5" w:rsidR="00325C45" w:rsidRPr="00325C45" w:rsidRDefault="00954DDF" w:rsidP="00325C45">
      <w:pPr>
        <w:pStyle w:val="21"/>
        <w:tabs>
          <w:tab w:val="clear" w:pos="9345"/>
          <w:tab w:val="right" w:leader="dot" w:pos="9356"/>
        </w:tabs>
        <w:rPr>
          <w:rFonts w:eastAsiaTheme="minorEastAsia"/>
          <w:noProof/>
          <w:lang w:eastAsia="ru-RU"/>
        </w:rPr>
      </w:pPr>
      <w:hyperlink w:anchor="_Toc120288101" w:history="1">
        <w:r w:rsidR="00325C45" w:rsidRPr="00325C45">
          <w:rPr>
            <w:rStyle w:val="aa"/>
            <w:noProof/>
          </w:rPr>
          <w:t>1.2. Международное непатентованное название</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_Toc120288101 \h </w:instrText>
        </w:r>
        <w:r w:rsidR="00325C45" w:rsidRPr="00325C45">
          <w:rPr>
            <w:noProof/>
            <w:webHidden/>
          </w:rPr>
        </w:r>
        <w:r w:rsidR="00325C45" w:rsidRPr="00325C45">
          <w:rPr>
            <w:noProof/>
            <w:webHidden/>
          </w:rPr>
          <w:fldChar w:fldCharType="separate"/>
        </w:r>
        <w:r w:rsidR="0029110D">
          <w:rPr>
            <w:noProof/>
            <w:webHidden/>
          </w:rPr>
          <w:t>13</w:t>
        </w:r>
        <w:r w:rsidR="00325C45" w:rsidRPr="00325C45">
          <w:rPr>
            <w:noProof/>
            <w:webHidden/>
          </w:rPr>
          <w:fldChar w:fldCharType="end"/>
        </w:r>
      </w:hyperlink>
    </w:p>
    <w:p w14:paraId="28314914" w14:textId="06EA2C6E" w:rsidR="00325C45" w:rsidRPr="00325C45" w:rsidRDefault="00954DDF" w:rsidP="00325C45">
      <w:pPr>
        <w:pStyle w:val="21"/>
        <w:tabs>
          <w:tab w:val="clear" w:pos="9345"/>
          <w:tab w:val="right" w:leader="dot" w:pos="9356"/>
        </w:tabs>
        <w:rPr>
          <w:rFonts w:eastAsiaTheme="minorEastAsia"/>
          <w:noProof/>
          <w:lang w:eastAsia="ru-RU"/>
        </w:rPr>
      </w:pPr>
      <w:hyperlink w:anchor="_Toc120288102" w:history="1">
        <w:r w:rsidR="00325C45" w:rsidRPr="00325C45">
          <w:rPr>
            <w:rStyle w:val="aa"/>
            <w:noProof/>
          </w:rPr>
          <w:t>1.3. Торговое название</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_Toc120288102 \h </w:instrText>
        </w:r>
        <w:r w:rsidR="00325C45" w:rsidRPr="00325C45">
          <w:rPr>
            <w:noProof/>
            <w:webHidden/>
          </w:rPr>
        </w:r>
        <w:r w:rsidR="00325C45" w:rsidRPr="00325C45">
          <w:rPr>
            <w:noProof/>
            <w:webHidden/>
          </w:rPr>
          <w:fldChar w:fldCharType="separate"/>
        </w:r>
        <w:r w:rsidR="0029110D">
          <w:rPr>
            <w:noProof/>
            <w:webHidden/>
          </w:rPr>
          <w:t>13</w:t>
        </w:r>
        <w:r w:rsidR="00325C45" w:rsidRPr="00325C45">
          <w:rPr>
            <w:noProof/>
            <w:webHidden/>
          </w:rPr>
          <w:fldChar w:fldCharType="end"/>
        </w:r>
      </w:hyperlink>
    </w:p>
    <w:p w14:paraId="05CD5C76" w14:textId="7DCD132A" w:rsidR="00325C45" w:rsidRPr="00325C45" w:rsidRDefault="00954DDF" w:rsidP="00325C45">
      <w:pPr>
        <w:pStyle w:val="21"/>
        <w:tabs>
          <w:tab w:val="clear" w:pos="9345"/>
          <w:tab w:val="right" w:leader="dot" w:pos="9356"/>
        </w:tabs>
        <w:rPr>
          <w:rFonts w:eastAsiaTheme="minorEastAsia"/>
          <w:noProof/>
          <w:lang w:eastAsia="ru-RU"/>
        </w:rPr>
      </w:pPr>
      <w:hyperlink w:anchor="_Toc120288103" w:history="1">
        <w:r w:rsidR="00325C45" w:rsidRPr="00325C45">
          <w:rPr>
            <w:rStyle w:val="aa"/>
            <w:noProof/>
          </w:rPr>
          <w:t>1.4. Активные ингредиенты</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_Toc120288103 \h </w:instrText>
        </w:r>
        <w:r w:rsidR="00325C45" w:rsidRPr="00325C45">
          <w:rPr>
            <w:noProof/>
            <w:webHidden/>
          </w:rPr>
        </w:r>
        <w:r w:rsidR="00325C45" w:rsidRPr="00325C45">
          <w:rPr>
            <w:noProof/>
            <w:webHidden/>
          </w:rPr>
          <w:fldChar w:fldCharType="separate"/>
        </w:r>
        <w:r w:rsidR="0029110D">
          <w:rPr>
            <w:noProof/>
            <w:webHidden/>
          </w:rPr>
          <w:t>13</w:t>
        </w:r>
        <w:r w:rsidR="00325C45" w:rsidRPr="00325C45">
          <w:rPr>
            <w:noProof/>
            <w:webHidden/>
          </w:rPr>
          <w:fldChar w:fldCharType="end"/>
        </w:r>
      </w:hyperlink>
    </w:p>
    <w:p w14:paraId="3260C654" w14:textId="05657D27" w:rsidR="00325C45" w:rsidRPr="00325C45" w:rsidRDefault="00954DDF" w:rsidP="00325C45">
      <w:pPr>
        <w:pStyle w:val="21"/>
        <w:tabs>
          <w:tab w:val="clear" w:pos="9345"/>
          <w:tab w:val="right" w:leader="dot" w:pos="9356"/>
        </w:tabs>
        <w:rPr>
          <w:rFonts w:eastAsiaTheme="minorEastAsia"/>
          <w:noProof/>
          <w:lang w:eastAsia="ru-RU"/>
        </w:rPr>
      </w:pPr>
      <w:hyperlink w:anchor="_Toc120288104" w:history="1">
        <w:r w:rsidR="00325C45" w:rsidRPr="00325C45">
          <w:rPr>
            <w:rStyle w:val="aa"/>
            <w:noProof/>
          </w:rPr>
          <w:t>1.5. Фармакологическая группа</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_Toc120288104 \h </w:instrText>
        </w:r>
        <w:r w:rsidR="00325C45" w:rsidRPr="00325C45">
          <w:rPr>
            <w:noProof/>
            <w:webHidden/>
          </w:rPr>
        </w:r>
        <w:r w:rsidR="00325C45" w:rsidRPr="00325C45">
          <w:rPr>
            <w:noProof/>
            <w:webHidden/>
          </w:rPr>
          <w:fldChar w:fldCharType="separate"/>
        </w:r>
        <w:r w:rsidR="0029110D">
          <w:rPr>
            <w:noProof/>
            <w:webHidden/>
          </w:rPr>
          <w:t>13</w:t>
        </w:r>
        <w:r w:rsidR="00325C45" w:rsidRPr="00325C45">
          <w:rPr>
            <w:noProof/>
            <w:webHidden/>
          </w:rPr>
          <w:fldChar w:fldCharType="end"/>
        </w:r>
      </w:hyperlink>
    </w:p>
    <w:p w14:paraId="45A5457A" w14:textId="54AC7123" w:rsidR="00325C45" w:rsidRPr="00325C45" w:rsidRDefault="00954DDF" w:rsidP="00325C45">
      <w:pPr>
        <w:pStyle w:val="21"/>
        <w:tabs>
          <w:tab w:val="clear" w:pos="9345"/>
          <w:tab w:val="right" w:leader="dot" w:pos="9356"/>
        </w:tabs>
        <w:rPr>
          <w:rFonts w:eastAsiaTheme="minorEastAsia"/>
          <w:noProof/>
          <w:lang w:eastAsia="ru-RU"/>
        </w:rPr>
      </w:pPr>
      <w:hyperlink w:anchor="_Toc120288105" w:history="1">
        <w:r w:rsidR="00325C45" w:rsidRPr="00325C45">
          <w:rPr>
            <w:rStyle w:val="aa"/>
            <w:noProof/>
          </w:rPr>
          <w:t>1.6. Код по АТХ</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_Toc120288105 \h </w:instrText>
        </w:r>
        <w:r w:rsidR="00325C45" w:rsidRPr="00325C45">
          <w:rPr>
            <w:noProof/>
            <w:webHidden/>
          </w:rPr>
        </w:r>
        <w:r w:rsidR="00325C45" w:rsidRPr="00325C45">
          <w:rPr>
            <w:noProof/>
            <w:webHidden/>
          </w:rPr>
          <w:fldChar w:fldCharType="separate"/>
        </w:r>
        <w:r w:rsidR="0029110D">
          <w:rPr>
            <w:noProof/>
            <w:webHidden/>
          </w:rPr>
          <w:t>13</w:t>
        </w:r>
        <w:r w:rsidR="00325C45" w:rsidRPr="00325C45">
          <w:rPr>
            <w:noProof/>
            <w:webHidden/>
          </w:rPr>
          <w:fldChar w:fldCharType="end"/>
        </w:r>
      </w:hyperlink>
    </w:p>
    <w:p w14:paraId="706745AA" w14:textId="77FD46FD" w:rsidR="00325C45" w:rsidRPr="00325C45" w:rsidRDefault="00954DDF" w:rsidP="00325C45">
      <w:pPr>
        <w:pStyle w:val="21"/>
        <w:tabs>
          <w:tab w:val="clear" w:pos="9345"/>
          <w:tab w:val="right" w:leader="dot" w:pos="9356"/>
        </w:tabs>
        <w:rPr>
          <w:rFonts w:eastAsiaTheme="minorEastAsia"/>
          <w:noProof/>
          <w:lang w:eastAsia="ru-RU"/>
        </w:rPr>
      </w:pPr>
      <w:hyperlink w:anchor="_Toc120288106" w:history="1">
        <w:r w:rsidR="00325C45" w:rsidRPr="00325C45">
          <w:rPr>
            <w:rStyle w:val="aa"/>
            <w:noProof/>
          </w:rPr>
          <w:t>1.7.</w:t>
        </w:r>
        <w:r w:rsidR="00325C45">
          <w:rPr>
            <w:rFonts w:eastAsiaTheme="minorEastAsia"/>
            <w:noProof/>
            <w:lang w:eastAsia="ru-RU"/>
          </w:rPr>
          <w:t xml:space="preserve"> </w:t>
        </w:r>
        <w:r w:rsidR="00325C45" w:rsidRPr="00325C45">
          <w:rPr>
            <w:rStyle w:val="aa"/>
            <w:noProof/>
          </w:rPr>
          <w:t>Обоснование для изучения исследуемого препарата</w:t>
        </w:r>
        <w:bookmarkStart w:id="2" w:name="_GoBack"/>
        <w:bookmarkEnd w:id="2"/>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_Toc120288106 \h </w:instrText>
        </w:r>
        <w:r w:rsidR="00325C45" w:rsidRPr="00325C45">
          <w:rPr>
            <w:noProof/>
            <w:webHidden/>
          </w:rPr>
        </w:r>
        <w:r w:rsidR="00325C45" w:rsidRPr="00325C45">
          <w:rPr>
            <w:noProof/>
            <w:webHidden/>
          </w:rPr>
          <w:fldChar w:fldCharType="separate"/>
        </w:r>
        <w:r w:rsidR="0029110D">
          <w:rPr>
            <w:noProof/>
            <w:webHidden/>
          </w:rPr>
          <w:t>13</w:t>
        </w:r>
        <w:r w:rsidR="00325C45" w:rsidRPr="00325C45">
          <w:rPr>
            <w:noProof/>
            <w:webHidden/>
          </w:rPr>
          <w:fldChar w:fldCharType="end"/>
        </w:r>
      </w:hyperlink>
    </w:p>
    <w:p w14:paraId="44E87D9F" w14:textId="3E2DBD26" w:rsidR="00325C45" w:rsidRPr="00325C45" w:rsidRDefault="00954DDF" w:rsidP="00325C45">
      <w:pPr>
        <w:pStyle w:val="31"/>
        <w:rPr>
          <w:rFonts w:eastAsiaTheme="minorEastAsia"/>
          <w:lang w:eastAsia="ru-RU"/>
        </w:rPr>
      </w:pPr>
      <w:hyperlink w:anchor="_Toc120288107" w:history="1">
        <w:r w:rsidR="00325C45" w:rsidRPr="00325C45">
          <w:rPr>
            <w:rStyle w:val="aa"/>
          </w:rPr>
          <w:t>1.7.1. Общие сведения о заболевании</w:t>
        </w:r>
        <w:r w:rsidR="00325C45" w:rsidRPr="00325C45">
          <w:rPr>
            <w:webHidden/>
          </w:rPr>
          <w:tab/>
        </w:r>
        <w:r w:rsidR="00325C45" w:rsidRPr="00325C45">
          <w:rPr>
            <w:webHidden/>
          </w:rPr>
          <w:fldChar w:fldCharType="begin"/>
        </w:r>
        <w:r w:rsidR="00325C45" w:rsidRPr="00325C45">
          <w:rPr>
            <w:webHidden/>
          </w:rPr>
          <w:instrText xml:space="preserve"> PAGEREF _Toc120288107 \h </w:instrText>
        </w:r>
        <w:r w:rsidR="00325C45" w:rsidRPr="00325C45">
          <w:rPr>
            <w:webHidden/>
          </w:rPr>
        </w:r>
        <w:r w:rsidR="00325C45" w:rsidRPr="00325C45">
          <w:rPr>
            <w:webHidden/>
          </w:rPr>
          <w:fldChar w:fldCharType="separate"/>
        </w:r>
        <w:r w:rsidR="0029110D">
          <w:rPr>
            <w:webHidden/>
          </w:rPr>
          <w:t>13</w:t>
        </w:r>
        <w:r w:rsidR="00325C45" w:rsidRPr="00325C45">
          <w:rPr>
            <w:webHidden/>
          </w:rPr>
          <w:fldChar w:fldCharType="end"/>
        </w:r>
      </w:hyperlink>
    </w:p>
    <w:p w14:paraId="26282823" w14:textId="3FD7BCE3" w:rsidR="00325C45" w:rsidRPr="00325C45" w:rsidRDefault="00954DDF" w:rsidP="00325C45">
      <w:pPr>
        <w:pStyle w:val="31"/>
        <w:rPr>
          <w:rFonts w:eastAsiaTheme="minorEastAsia"/>
          <w:lang w:eastAsia="ru-RU"/>
        </w:rPr>
      </w:pPr>
      <w:hyperlink w:anchor="_Toc120288108" w:history="1">
        <w:r w:rsidR="00325C45" w:rsidRPr="00325C45">
          <w:rPr>
            <w:rStyle w:val="aa"/>
          </w:rPr>
          <w:t>1.7.2. Существующие варианты терапии</w:t>
        </w:r>
        <w:r w:rsidR="00325C45" w:rsidRPr="00325C45">
          <w:rPr>
            <w:webHidden/>
          </w:rPr>
          <w:tab/>
        </w:r>
        <w:r w:rsidR="00325C45" w:rsidRPr="00325C45">
          <w:rPr>
            <w:webHidden/>
          </w:rPr>
          <w:fldChar w:fldCharType="begin"/>
        </w:r>
        <w:r w:rsidR="00325C45" w:rsidRPr="00325C45">
          <w:rPr>
            <w:webHidden/>
          </w:rPr>
          <w:instrText xml:space="preserve"> PAGEREF _Toc120288108 \h </w:instrText>
        </w:r>
        <w:r w:rsidR="00325C45" w:rsidRPr="00325C45">
          <w:rPr>
            <w:webHidden/>
          </w:rPr>
        </w:r>
        <w:r w:rsidR="00325C45" w:rsidRPr="00325C45">
          <w:rPr>
            <w:webHidden/>
          </w:rPr>
          <w:fldChar w:fldCharType="separate"/>
        </w:r>
        <w:r w:rsidR="0029110D">
          <w:rPr>
            <w:webHidden/>
          </w:rPr>
          <w:t>16</w:t>
        </w:r>
        <w:r w:rsidR="00325C45" w:rsidRPr="00325C45">
          <w:rPr>
            <w:webHidden/>
          </w:rPr>
          <w:fldChar w:fldCharType="end"/>
        </w:r>
      </w:hyperlink>
    </w:p>
    <w:p w14:paraId="6D98855A" w14:textId="6A0F5B49" w:rsidR="00325C45" w:rsidRPr="00325C45" w:rsidRDefault="00954DDF" w:rsidP="00325C45">
      <w:pPr>
        <w:pStyle w:val="31"/>
        <w:rPr>
          <w:rFonts w:eastAsiaTheme="minorEastAsia"/>
          <w:lang w:eastAsia="ru-RU"/>
        </w:rPr>
      </w:pPr>
      <w:hyperlink w:anchor="_Toc120288109" w:history="1">
        <w:r w:rsidR="00325C45" w:rsidRPr="00325C45">
          <w:rPr>
            <w:rStyle w:val="aa"/>
          </w:rPr>
          <w:t>1.7.3.</w:t>
        </w:r>
        <w:r w:rsidR="00325C45">
          <w:rPr>
            <w:rFonts w:eastAsiaTheme="minorEastAsia"/>
            <w:lang w:eastAsia="ru-RU"/>
          </w:rPr>
          <w:t xml:space="preserve"> </w:t>
        </w:r>
        <w:r w:rsidR="00325C45" w:rsidRPr="00325C45">
          <w:rPr>
            <w:rStyle w:val="aa"/>
          </w:rPr>
          <w:t>Вводная информация по исследуемой терапии</w:t>
        </w:r>
        <w:r w:rsidR="00325C45" w:rsidRPr="00325C45">
          <w:rPr>
            <w:webHidden/>
          </w:rPr>
          <w:tab/>
        </w:r>
        <w:r w:rsidR="00325C45" w:rsidRPr="00325C45">
          <w:rPr>
            <w:webHidden/>
          </w:rPr>
          <w:fldChar w:fldCharType="begin"/>
        </w:r>
        <w:r w:rsidR="00325C45" w:rsidRPr="00325C45">
          <w:rPr>
            <w:webHidden/>
          </w:rPr>
          <w:instrText xml:space="preserve"> PAGEREF _Toc120288109 \h </w:instrText>
        </w:r>
        <w:r w:rsidR="00325C45" w:rsidRPr="00325C45">
          <w:rPr>
            <w:webHidden/>
          </w:rPr>
        </w:r>
        <w:r w:rsidR="00325C45" w:rsidRPr="00325C45">
          <w:rPr>
            <w:webHidden/>
          </w:rPr>
          <w:fldChar w:fldCharType="separate"/>
        </w:r>
        <w:r w:rsidR="0029110D">
          <w:rPr>
            <w:webHidden/>
          </w:rPr>
          <w:t>18</w:t>
        </w:r>
        <w:r w:rsidR="00325C45" w:rsidRPr="00325C45">
          <w:rPr>
            <w:webHidden/>
          </w:rPr>
          <w:fldChar w:fldCharType="end"/>
        </w:r>
      </w:hyperlink>
    </w:p>
    <w:p w14:paraId="0F40C835" w14:textId="5740D2ED" w:rsidR="00325C45" w:rsidRPr="00325C45" w:rsidRDefault="00954DDF" w:rsidP="00325C45">
      <w:pPr>
        <w:pStyle w:val="21"/>
        <w:tabs>
          <w:tab w:val="clear" w:pos="9345"/>
          <w:tab w:val="right" w:leader="dot" w:pos="9356"/>
        </w:tabs>
        <w:rPr>
          <w:rFonts w:eastAsiaTheme="minorEastAsia"/>
          <w:noProof/>
          <w:lang w:eastAsia="ru-RU"/>
        </w:rPr>
      </w:pPr>
      <w:hyperlink w:anchor="_Toc120288110" w:history="1">
        <w:r w:rsidR="00325C45" w:rsidRPr="00325C45">
          <w:rPr>
            <w:rStyle w:val="aa"/>
            <w:noProof/>
          </w:rPr>
          <w:t>1.8.</w:t>
        </w:r>
        <w:r w:rsidR="00325C45">
          <w:rPr>
            <w:rFonts w:eastAsiaTheme="minorEastAsia"/>
            <w:noProof/>
            <w:lang w:eastAsia="ru-RU"/>
          </w:rPr>
          <w:t xml:space="preserve"> </w:t>
        </w:r>
        <w:r w:rsidR="00325C45" w:rsidRPr="00325C45">
          <w:rPr>
            <w:rStyle w:val="aa"/>
            <w:noProof/>
          </w:rPr>
          <w:t>Ожидаемые показания к применению</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_Toc120288110 \h </w:instrText>
        </w:r>
        <w:r w:rsidR="00325C45" w:rsidRPr="00325C45">
          <w:rPr>
            <w:noProof/>
            <w:webHidden/>
          </w:rPr>
        </w:r>
        <w:r w:rsidR="00325C45" w:rsidRPr="00325C45">
          <w:rPr>
            <w:noProof/>
            <w:webHidden/>
          </w:rPr>
          <w:fldChar w:fldCharType="separate"/>
        </w:r>
        <w:r w:rsidR="0029110D">
          <w:rPr>
            <w:noProof/>
            <w:webHidden/>
          </w:rPr>
          <w:t>20</w:t>
        </w:r>
        <w:r w:rsidR="00325C45" w:rsidRPr="00325C45">
          <w:rPr>
            <w:noProof/>
            <w:webHidden/>
          </w:rPr>
          <w:fldChar w:fldCharType="end"/>
        </w:r>
      </w:hyperlink>
    </w:p>
    <w:p w14:paraId="434D4C21" w14:textId="50EB913B" w:rsidR="00325C45" w:rsidRPr="00325C45" w:rsidRDefault="00954DDF" w:rsidP="00325C45">
      <w:pPr>
        <w:pStyle w:val="21"/>
        <w:tabs>
          <w:tab w:val="clear" w:pos="9345"/>
          <w:tab w:val="right" w:leader="dot" w:pos="9356"/>
        </w:tabs>
        <w:rPr>
          <w:rFonts w:eastAsiaTheme="minorEastAsia"/>
          <w:noProof/>
          <w:lang w:eastAsia="ru-RU"/>
        </w:rPr>
      </w:pPr>
      <w:hyperlink w:anchor="_Toc120288111" w:history="1">
        <w:r w:rsidR="00325C45" w:rsidRPr="00325C45">
          <w:rPr>
            <w:rStyle w:val="aa"/>
            <w:noProof/>
          </w:rPr>
          <w:t>Список литературы</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_Toc120288111 \h </w:instrText>
        </w:r>
        <w:r w:rsidR="00325C45" w:rsidRPr="00325C45">
          <w:rPr>
            <w:noProof/>
            <w:webHidden/>
          </w:rPr>
        </w:r>
        <w:r w:rsidR="00325C45" w:rsidRPr="00325C45">
          <w:rPr>
            <w:noProof/>
            <w:webHidden/>
          </w:rPr>
          <w:fldChar w:fldCharType="separate"/>
        </w:r>
        <w:r w:rsidR="0029110D">
          <w:rPr>
            <w:noProof/>
            <w:webHidden/>
          </w:rPr>
          <w:t>20</w:t>
        </w:r>
        <w:r w:rsidR="00325C45" w:rsidRPr="00325C45">
          <w:rPr>
            <w:noProof/>
            <w:webHidden/>
          </w:rPr>
          <w:fldChar w:fldCharType="end"/>
        </w:r>
      </w:hyperlink>
    </w:p>
    <w:p w14:paraId="076E74A5" w14:textId="0E96A768" w:rsidR="00325C45" w:rsidRPr="00325C45" w:rsidRDefault="00954DDF" w:rsidP="00325C45">
      <w:pPr>
        <w:pStyle w:val="14"/>
        <w:tabs>
          <w:tab w:val="clear" w:pos="9214"/>
          <w:tab w:val="left" w:pos="720"/>
          <w:tab w:val="right" w:leader="dot" w:pos="9356"/>
        </w:tabs>
        <w:rPr>
          <w:rFonts w:eastAsiaTheme="minorEastAsia"/>
          <w:lang w:eastAsia="ru-RU"/>
        </w:rPr>
      </w:pPr>
      <w:hyperlink w:anchor="_Toc120288112" w:history="1">
        <w:r w:rsidR="00325C45" w:rsidRPr="00325C45">
          <w:rPr>
            <w:rStyle w:val="aa"/>
          </w:rPr>
          <w:t>2.</w:t>
        </w:r>
        <w:r w:rsidR="00325C45">
          <w:rPr>
            <w:rFonts w:eastAsiaTheme="minorEastAsia"/>
            <w:lang w:eastAsia="ru-RU"/>
          </w:rPr>
          <w:t xml:space="preserve"> </w:t>
        </w:r>
        <w:r w:rsidR="00325C45" w:rsidRPr="00325C45">
          <w:rPr>
            <w:rStyle w:val="aa"/>
          </w:rPr>
          <w:t>ФИЗИЧЕСКИЕ, ХИМИЧЕСКИЕ И ФАРМАЦЕВТИЧЕСКИЕ СВОЙСТВА И ЛЕКАРСТВЕННАЯ ФОРМА</w:t>
        </w:r>
        <w:r w:rsidR="00325C45" w:rsidRPr="00325C45">
          <w:rPr>
            <w:webHidden/>
          </w:rPr>
          <w:tab/>
        </w:r>
        <w:r w:rsidR="00325C45" w:rsidRPr="00325C45">
          <w:rPr>
            <w:webHidden/>
          </w:rPr>
          <w:fldChar w:fldCharType="begin"/>
        </w:r>
        <w:r w:rsidR="00325C45" w:rsidRPr="00325C45">
          <w:rPr>
            <w:webHidden/>
          </w:rPr>
          <w:instrText xml:space="preserve"> PAGEREF _Toc120288112 \h </w:instrText>
        </w:r>
        <w:r w:rsidR="00325C45" w:rsidRPr="00325C45">
          <w:rPr>
            <w:webHidden/>
          </w:rPr>
        </w:r>
        <w:r w:rsidR="00325C45" w:rsidRPr="00325C45">
          <w:rPr>
            <w:webHidden/>
          </w:rPr>
          <w:fldChar w:fldCharType="separate"/>
        </w:r>
        <w:r w:rsidR="0029110D">
          <w:rPr>
            <w:webHidden/>
          </w:rPr>
          <w:t>23</w:t>
        </w:r>
        <w:r w:rsidR="00325C45" w:rsidRPr="00325C45">
          <w:rPr>
            <w:webHidden/>
          </w:rPr>
          <w:fldChar w:fldCharType="end"/>
        </w:r>
      </w:hyperlink>
    </w:p>
    <w:p w14:paraId="337D8B93" w14:textId="2EC4DEE9" w:rsidR="00325C45" w:rsidRPr="00325C45" w:rsidRDefault="00954DDF" w:rsidP="00325C45">
      <w:pPr>
        <w:pStyle w:val="21"/>
        <w:tabs>
          <w:tab w:val="clear" w:pos="9345"/>
          <w:tab w:val="right" w:leader="dot" w:pos="9356"/>
        </w:tabs>
        <w:rPr>
          <w:rFonts w:eastAsiaTheme="minorEastAsia"/>
          <w:noProof/>
          <w:lang w:eastAsia="ru-RU"/>
        </w:rPr>
      </w:pPr>
      <w:hyperlink w:anchor="_Toc120288113" w:history="1">
        <w:r w:rsidR="00325C45" w:rsidRPr="00325C45">
          <w:rPr>
            <w:rStyle w:val="aa"/>
            <w:noProof/>
          </w:rPr>
          <w:t>2.1. Описание свойств исследуемого препарата</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_Toc120288113 \h </w:instrText>
        </w:r>
        <w:r w:rsidR="00325C45" w:rsidRPr="00325C45">
          <w:rPr>
            <w:noProof/>
            <w:webHidden/>
          </w:rPr>
        </w:r>
        <w:r w:rsidR="00325C45" w:rsidRPr="00325C45">
          <w:rPr>
            <w:noProof/>
            <w:webHidden/>
          </w:rPr>
          <w:fldChar w:fldCharType="separate"/>
        </w:r>
        <w:r w:rsidR="0029110D">
          <w:rPr>
            <w:noProof/>
            <w:webHidden/>
          </w:rPr>
          <w:t>23</w:t>
        </w:r>
        <w:r w:rsidR="00325C45" w:rsidRPr="00325C45">
          <w:rPr>
            <w:noProof/>
            <w:webHidden/>
          </w:rPr>
          <w:fldChar w:fldCharType="end"/>
        </w:r>
      </w:hyperlink>
    </w:p>
    <w:p w14:paraId="726051A1" w14:textId="209623FB" w:rsidR="00325C45" w:rsidRPr="00325C45" w:rsidRDefault="00954DDF" w:rsidP="00325C45">
      <w:pPr>
        <w:pStyle w:val="31"/>
        <w:rPr>
          <w:rFonts w:eastAsiaTheme="minorEastAsia"/>
          <w:lang w:eastAsia="ru-RU"/>
        </w:rPr>
      </w:pPr>
      <w:hyperlink w:anchor="_Toc120288114" w:history="1">
        <w:r w:rsidR="00325C45" w:rsidRPr="00325C45">
          <w:rPr>
            <w:rStyle w:val="aa"/>
          </w:rPr>
          <w:t>2.1.1. Химическая формула</w:t>
        </w:r>
        <w:r w:rsidR="00325C45" w:rsidRPr="00325C45">
          <w:rPr>
            <w:webHidden/>
          </w:rPr>
          <w:tab/>
        </w:r>
        <w:r w:rsidR="00325C45" w:rsidRPr="00325C45">
          <w:rPr>
            <w:webHidden/>
          </w:rPr>
          <w:fldChar w:fldCharType="begin"/>
        </w:r>
        <w:r w:rsidR="00325C45" w:rsidRPr="00325C45">
          <w:rPr>
            <w:webHidden/>
          </w:rPr>
          <w:instrText xml:space="preserve"> PAGEREF _Toc120288114 \h </w:instrText>
        </w:r>
        <w:r w:rsidR="00325C45" w:rsidRPr="00325C45">
          <w:rPr>
            <w:webHidden/>
          </w:rPr>
        </w:r>
        <w:r w:rsidR="00325C45" w:rsidRPr="00325C45">
          <w:rPr>
            <w:webHidden/>
          </w:rPr>
          <w:fldChar w:fldCharType="separate"/>
        </w:r>
        <w:r w:rsidR="0029110D">
          <w:rPr>
            <w:webHidden/>
          </w:rPr>
          <w:t>23</w:t>
        </w:r>
        <w:r w:rsidR="00325C45" w:rsidRPr="00325C45">
          <w:rPr>
            <w:webHidden/>
          </w:rPr>
          <w:fldChar w:fldCharType="end"/>
        </w:r>
      </w:hyperlink>
    </w:p>
    <w:p w14:paraId="74287569" w14:textId="473BF746" w:rsidR="00325C45" w:rsidRPr="00325C45" w:rsidRDefault="00954DDF" w:rsidP="00325C45">
      <w:pPr>
        <w:pStyle w:val="31"/>
        <w:rPr>
          <w:rFonts w:eastAsiaTheme="minorEastAsia"/>
          <w:lang w:eastAsia="ru-RU"/>
        </w:rPr>
      </w:pPr>
      <w:hyperlink w:anchor="_Toc120288115" w:history="1">
        <w:r w:rsidR="00325C45" w:rsidRPr="00325C45">
          <w:rPr>
            <w:rStyle w:val="aa"/>
          </w:rPr>
          <w:t>2.1.2. Структурная формула</w:t>
        </w:r>
        <w:r w:rsidR="00325C45" w:rsidRPr="00325C45">
          <w:rPr>
            <w:webHidden/>
          </w:rPr>
          <w:tab/>
        </w:r>
        <w:r w:rsidR="00325C45" w:rsidRPr="00325C45">
          <w:rPr>
            <w:webHidden/>
          </w:rPr>
          <w:fldChar w:fldCharType="begin"/>
        </w:r>
        <w:r w:rsidR="00325C45" w:rsidRPr="00325C45">
          <w:rPr>
            <w:webHidden/>
          </w:rPr>
          <w:instrText xml:space="preserve"> PAGEREF _Toc120288115 \h </w:instrText>
        </w:r>
        <w:r w:rsidR="00325C45" w:rsidRPr="00325C45">
          <w:rPr>
            <w:webHidden/>
          </w:rPr>
        </w:r>
        <w:r w:rsidR="00325C45" w:rsidRPr="00325C45">
          <w:rPr>
            <w:webHidden/>
          </w:rPr>
          <w:fldChar w:fldCharType="separate"/>
        </w:r>
        <w:r w:rsidR="0029110D">
          <w:rPr>
            <w:webHidden/>
          </w:rPr>
          <w:t>23</w:t>
        </w:r>
        <w:r w:rsidR="00325C45" w:rsidRPr="00325C45">
          <w:rPr>
            <w:webHidden/>
          </w:rPr>
          <w:fldChar w:fldCharType="end"/>
        </w:r>
      </w:hyperlink>
    </w:p>
    <w:p w14:paraId="4F2D3AF3" w14:textId="3960E5BC" w:rsidR="00325C45" w:rsidRPr="00325C45" w:rsidRDefault="00954DDF" w:rsidP="00325C45">
      <w:pPr>
        <w:pStyle w:val="31"/>
        <w:rPr>
          <w:rFonts w:eastAsiaTheme="minorEastAsia"/>
          <w:lang w:eastAsia="ru-RU"/>
        </w:rPr>
      </w:pPr>
      <w:hyperlink w:anchor="_Toc120288116" w:history="1">
        <w:r w:rsidR="00325C45" w:rsidRPr="00325C45">
          <w:rPr>
            <w:rStyle w:val="aa"/>
          </w:rPr>
          <w:t>2.1.3. Физико-химические и фармацевтические свойства</w:t>
        </w:r>
        <w:r w:rsidR="00325C45" w:rsidRPr="00325C45">
          <w:rPr>
            <w:webHidden/>
          </w:rPr>
          <w:tab/>
        </w:r>
        <w:r w:rsidR="00325C45" w:rsidRPr="00325C45">
          <w:rPr>
            <w:webHidden/>
          </w:rPr>
          <w:fldChar w:fldCharType="begin"/>
        </w:r>
        <w:r w:rsidR="00325C45" w:rsidRPr="00325C45">
          <w:rPr>
            <w:webHidden/>
          </w:rPr>
          <w:instrText xml:space="preserve"> PAGEREF _Toc120288116 \h </w:instrText>
        </w:r>
        <w:r w:rsidR="00325C45" w:rsidRPr="00325C45">
          <w:rPr>
            <w:webHidden/>
          </w:rPr>
        </w:r>
        <w:r w:rsidR="00325C45" w:rsidRPr="00325C45">
          <w:rPr>
            <w:webHidden/>
          </w:rPr>
          <w:fldChar w:fldCharType="separate"/>
        </w:r>
        <w:r w:rsidR="0029110D">
          <w:rPr>
            <w:webHidden/>
          </w:rPr>
          <w:t>24</w:t>
        </w:r>
        <w:r w:rsidR="00325C45" w:rsidRPr="00325C45">
          <w:rPr>
            <w:webHidden/>
          </w:rPr>
          <w:fldChar w:fldCharType="end"/>
        </w:r>
      </w:hyperlink>
    </w:p>
    <w:p w14:paraId="153B5538" w14:textId="71C8A50A" w:rsidR="00325C45" w:rsidRPr="00325C45" w:rsidRDefault="00954DDF" w:rsidP="00325C45">
      <w:pPr>
        <w:pStyle w:val="31"/>
        <w:rPr>
          <w:rFonts w:eastAsiaTheme="minorEastAsia"/>
          <w:lang w:eastAsia="ru-RU"/>
        </w:rPr>
      </w:pPr>
      <w:hyperlink w:anchor="_Toc120288117" w:history="1">
        <w:r w:rsidR="00325C45" w:rsidRPr="00325C45">
          <w:rPr>
            <w:rStyle w:val="aa"/>
          </w:rPr>
          <w:t>2.2. Лекарственная форма</w:t>
        </w:r>
        <w:r w:rsidR="00325C45" w:rsidRPr="00325C45">
          <w:rPr>
            <w:webHidden/>
          </w:rPr>
          <w:tab/>
        </w:r>
        <w:r w:rsidR="00325C45" w:rsidRPr="00325C45">
          <w:rPr>
            <w:webHidden/>
          </w:rPr>
          <w:fldChar w:fldCharType="begin"/>
        </w:r>
        <w:r w:rsidR="00325C45" w:rsidRPr="00325C45">
          <w:rPr>
            <w:webHidden/>
          </w:rPr>
          <w:instrText xml:space="preserve"> PAGEREF _Toc120288117 \h </w:instrText>
        </w:r>
        <w:r w:rsidR="00325C45" w:rsidRPr="00325C45">
          <w:rPr>
            <w:webHidden/>
          </w:rPr>
        </w:r>
        <w:r w:rsidR="00325C45" w:rsidRPr="00325C45">
          <w:rPr>
            <w:webHidden/>
          </w:rPr>
          <w:fldChar w:fldCharType="separate"/>
        </w:r>
        <w:r w:rsidR="0029110D">
          <w:rPr>
            <w:webHidden/>
          </w:rPr>
          <w:t>24</w:t>
        </w:r>
        <w:r w:rsidR="00325C45" w:rsidRPr="00325C45">
          <w:rPr>
            <w:webHidden/>
          </w:rPr>
          <w:fldChar w:fldCharType="end"/>
        </w:r>
      </w:hyperlink>
    </w:p>
    <w:p w14:paraId="20411020" w14:textId="65AE835E"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18" w:history="1">
        <w:r w:rsidR="00325C45" w:rsidRPr="00325C45">
          <w:rPr>
            <w:rStyle w:val="aa"/>
            <w:noProof/>
          </w:rPr>
          <w:t>2.2.1. Название лекарственной формы</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_Toc120288118 \h </w:instrText>
        </w:r>
        <w:r w:rsidR="00325C45" w:rsidRPr="00325C45">
          <w:rPr>
            <w:noProof/>
            <w:webHidden/>
          </w:rPr>
        </w:r>
        <w:r w:rsidR="00325C45" w:rsidRPr="00325C45">
          <w:rPr>
            <w:noProof/>
            <w:webHidden/>
          </w:rPr>
          <w:fldChar w:fldCharType="separate"/>
        </w:r>
        <w:r w:rsidR="0029110D">
          <w:rPr>
            <w:noProof/>
            <w:webHidden/>
          </w:rPr>
          <w:t>24</w:t>
        </w:r>
        <w:r w:rsidR="00325C45" w:rsidRPr="00325C45">
          <w:rPr>
            <w:noProof/>
            <w:webHidden/>
          </w:rPr>
          <w:fldChar w:fldCharType="end"/>
        </w:r>
      </w:hyperlink>
    </w:p>
    <w:p w14:paraId="7B1459BD" w14:textId="43944DFC"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19" w:history="1">
        <w:r w:rsidR="00325C45" w:rsidRPr="00325C45">
          <w:rPr>
            <w:rStyle w:val="aa"/>
            <w:noProof/>
          </w:rPr>
          <w:t>2.2.2. Описание лекарственной формы</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_Toc120288119 \h </w:instrText>
        </w:r>
        <w:r w:rsidR="00325C45" w:rsidRPr="00325C45">
          <w:rPr>
            <w:noProof/>
            <w:webHidden/>
          </w:rPr>
        </w:r>
        <w:r w:rsidR="00325C45" w:rsidRPr="00325C45">
          <w:rPr>
            <w:noProof/>
            <w:webHidden/>
          </w:rPr>
          <w:fldChar w:fldCharType="separate"/>
        </w:r>
        <w:r w:rsidR="0029110D">
          <w:rPr>
            <w:noProof/>
            <w:webHidden/>
          </w:rPr>
          <w:t>24</w:t>
        </w:r>
        <w:r w:rsidR="00325C45" w:rsidRPr="00325C45">
          <w:rPr>
            <w:noProof/>
            <w:webHidden/>
          </w:rPr>
          <w:fldChar w:fldCharType="end"/>
        </w:r>
      </w:hyperlink>
    </w:p>
    <w:p w14:paraId="56C397C0" w14:textId="34E9AAC8"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20" w:history="1">
        <w:r w:rsidR="00325C45" w:rsidRPr="00325C45">
          <w:rPr>
            <w:rStyle w:val="aa"/>
            <w:noProof/>
          </w:rPr>
          <w:t>2.2.3. Состав лекарственной формы</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_Toc120288120 \h </w:instrText>
        </w:r>
        <w:r w:rsidR="00325C45" w:rsidRPr="00325C45">
          <w:rPr>
            <w:noProof/>
            <w:webHidden/>
          </w:rPr>
        </w:r>
        <w:r w:rsidR="00325C45" w:rsidRPr="00325C45">
          <w:rPr>
            <w:noProof/>
            <w:webHidden/>
          </w:rPr>
          <w:fldChar w:fldCharType="separate"/>
        </w:r>
        <w:r w:rsidR="0029110D">
          <w:rPr>
            <w:noProof/>
            <w:webHidden/>
          </w:rPr>
          <w:t>24</w:t>
        </w:r>
        <w:r w:rsidR="00325C45" w:rsidRPr="00325C45">
          <w:rPr>
            <w:noProof/>
            <w:webHidden/>
          </w:rPr>
          <w:fldChar w:fldCharType="end"/>
        </w:r>
      </w:hyperlink>
    </w:p>
    <w:p w14:paraId="28A196C4" w14:textId="6DD5A990" w:rsidR="00325C45" w:rsidRPr="00325C45" w:rsidRDefault="00954DDF" w:rsidP="00325C45">
      <w:pPr>
        <w:pStyle w:val="31"/>
        <w:rPr>
          <w:rFonts w:eastAsiaTheme="minorEastAsia"/>
          <w:lang w:eastAsia="ru-RU"/>
        </w:rPr>
      </w:pPr>
      <w:hyperlink w:anchor="_Toc120288121" w:history="1">
        <w:r w:rsidR="00325C45" w:rsidRPr="00325C45">
          <w:rPr>
            <w:rStyle w:val="aa"/>
          </w:rPr>
          <w:t>2.2.4 Форма выпуска</w:t>
        </w:r>
        <w:r w:rsidR="00325C45" w:rsidRPr="00325C45">
          <w:rPr>
            <w:webHidden/>
          </w:rPr>
          <w:tab/>
        </w:r>
        <w:r w:rsidR="00325C45" w:rsidRPr="00325C45">
          <w:rPr>
            <w:webHidden/>
          </w:rPr>
          <w:fldChar w:fldCharType="begin"/>
        </w:r>
        <w:r w:rsidR="00325C45" w:rsidRPr="00325C45">
          <w:rPr>
            <w:webHidden/>
          </w:rPr>
          <w:instrText xml:space="preserve"> PAGEREF _Toc120288121 \h </w:instrText>
        </w:r>
        <w:r w:rsidR="00325C45" w:rsidRPr="00325C45">
          <w:rPr>
            <w:webHidden/>
          </w:rPr>
        </w:r>
        <w:r w:rsidR="00325C45" w:rsidRPr="00325C45">
          <w:rPr>
            <w:webHidden/>
          </w:rPr>
          <w:fldChar w:fldCharType="separate"/>
        </w:r>
        <w:r w:rsidR="0029110D">
          <w:rPr>
            <w:webHidden/>
          </w:rPr>
          <w:t>27</w:t>
        </w:r>
        <w:r w:rsidR="00325C45" w:rsidRPr="00325C45">
          <w:rPr>
            <w:webHidden/>
          </w:rPr>
          <w:fldChar w:fldCharType="end"/>
        </w:r>
      </w:hyperlink>
    </w:p>
    <w:p w14:paraId="5A2193E6" w14:textId="313A21D3" w:rsidR="00325C45" w:rsidRPr="00325C45" w:rsidRDefault="00954DDF" w:rsidP="00325C45">
      <w:pPr>
        <w:pStyle w:val="21"/>
        <w:tabs>
          <w:tab w:val="clear" w:pos="9345"/>
          <w:tab w:val="right" w:leader="dot" w:pos="9356"/>
        </w:tabs>
        <w:rPr>
          <w:rFonts w:eastAsiaTheme="minorEastAsia"/>
          <w:noProof/>
          <w:lang w:eastAsia="ru-RU"/>
        </w:rPr>
      </w:pPr>
      <w:hyperlink w:anchor="_Toc120288122" w:history="1">
        <w:r w:rsidR="00325C45" w:rsidRPr="00325C45">
          <w:rPr>
            <w:rStyle w:val="aa"/>
            <w:noProof/>
          </w:rPr>
          <w:t>2.3 Правила хранения и обращения</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_Toc120288122 \h </w:instrText>
        </w:r>
        <w:r w:rsidR="00325C45" w:rsidRPr="00325C45">
          <w:rPr>
            <w:noProof/>
            <w:webHidden/>
          </w:rPr>
        </w:r>
        <w:r w:rsidR="00325C45" w:rsidRPr="00325C45">
          <w:rPr>
            <w:noProof/>
            <w:webHidden/>
          </w:rPr>
          <w:fldChar w:fldCharType="separate"/>
        </w:r>
        <w:r w:rsidR="0029110D">
          <w:rPr>
            <w:noProof/>
            <w:webHidden/>
          </w:rPr>
          <w:t>28</w:t>
        </w:r>
        <w:r w:rsidR="00325C45" w:rsidRPr="00325C45">
          <w:rPr>
            <w:noProof/>
            <w:webHidden/>
          </w:rPr>
          <w:fldChar w:fldCharType="end"/>
        </w:r>
      </w:hyperlink>
    </w:p>
    <w:p w14:paraId="5533CF52" w14:textId="5C5DAFF3" w:rsidR="00325C45" w:rsidRPr="00325C45" w:rsidRDefault="00954DDF" w:rsidP="00325C45">
      <w:pPr>
        <w:pStyle w:val="31"/>
        <w:rPr>
          <w:rFonts w:eastAsiaTheme="minorEastAsia"/>
          <w:lang w:eastAsia="ru-RU"/>
        </w:rPr>
      </w:pPr>
      <w:hyperlink w:anchor="_Toc120288123" w:history="1">
        <w:r w:rsidR="00325C45" w:rsidRPr="00325C45">
          <w:rPr>
            <w:rStyle w:val="aa"/>
          </w:rPr>
          <w:t>2.3.1 Условия хранения и транспортировки</w:t>
        </w:r>
        <w:r w:rsidR="00325C45" w:rsidRPr="00325C45">
          <w:rPr>
            <w:webHidden/>
          </w:rPr>
          <w:tab/>
        </w:r>
        <w:r w:rsidR="00325C45" w:rsidRPr="00325C45">
          <w:rPr>
            <w:webHidden/>
          </w:rPr>
          <w:fldChar w:fldCharType="begin"/>
        </w:r>
        <w:r w:rsidR="00325C45" w:rsidRPr="00325C45">
          <w:rPr>
            <w:webHidden/>
          </w:rPr>
          <w:instrText xml:space="preserve"> PAGEREF _Toc120288123 \h </w:instrText>
        </w:r>
        <w:r w:rsidR="00325C45" w:rsidRPr="00325C45">
          <w:rPr>
            <w:webHidden/>
          </w:rPr>
        </w:r>
        <w:r w:rsidR="00325C45" w:rsidRPr="00325C45">
          <w:rPr>
            <w:webHidden/>
          </w:rPr>
          <w:fldChar w:fldCharType="separate"/>
        </w:r>
        <w:r w:rsidR="0029110D">
          <w:rPr>
            <w:webHidden/>
          </w:rPr>
          <w:t>28</w:t>
        </w:r>
        <w:r w:rsidR="00325C45" w:rsidRPr="00325C45">
          <w:rPr>
            <w:webHidden/>
          </w:rPr>
          <w:fldChar w:fldCharType="end"/>
        </w:r>
      </w:hyperlink>
    </w:p>
    <w:p w14:paraId="3FA564CA" w14:textId="3445262C" w:rsidR="00325C45" w:rsidRPr="00325C45" w:rsidRDefault="00954DDF" w:rsidP="00325C45">
      <w:pPr>
        <w:pStyle w:val="31"/>
        <w:rPr>
          <w:rFonts w:eastAsiaTheme="minorEastAsia"/>
          <w:lang w:eastAsia="ru-RU"/>
        </w:rPr>
      </w:pPr>
      <w:hyperlink w:anchor="_Toc120288124" w:history="1">
        <w:r w:rsidR="00325C45" w:rsidRPr="00325C45">
          <w:rPr>
            <w:rStyle w:val="aa"/>
          </w:rPr>
          <w:t>2.3.2. Срок годности</w:t>
        </w:r>
        <w:r w:rsidR="00325C45" w:rsidRPr="00325C45">
          <w:rPr>
            <w:webHidden/>
          </w:rPr>
          <w:tab/>
        </w:r>
        <w:r w:rsidR="00325C45" w:rsidRPr="00325C45">
          <w:rPr>
            <w:webHidden/>
          </w:rPr>
          <w:fldChar w:fldCharType="begin"/>
        </w:r>
        <w:r w:rsidR="00325C45" w:rsidRPr="00325C45">
          <w:rPr>
            <w:webHidden/>
          </w:rPr>
          <w:instrText xml:space="preserve"> PAGEREF _Toc120288124 \h </w:instrText>
        </w:r>
        <w:r w:rsidR="00325C45" w:rsidRPr="00325C45">
          <w:rPr>
            <w:webHidden/>
          </w:rPr>
        </w:r>
        <w:r w:rsidR="00325C45" w:rsidRPr="00325C45">
          <w:rPr>
            <w:webHidden/>
          </w:rPr>
          <w:fldChar w:fldCharType="separate"/>
        </w:r>
        <w:r w:rsidR="0029110D">
          <w:rPr>
            <w:webHidden/>
          </w:rPr>
          <w:t>28</w:t>
        </w:r>
        <w:r w:rsidR="00325C45" w:rsidRPr="00325C45">
          <w:rPr>
            <w:webHidden/>
          </w:rPr>
          <w:fldChar w:fldCharType="end"/>
        </w:r>
      </w:hyperlink>
    </w:p>
    <w:p w14:paraId="471877B8" w14:textId="04FE832B" w:rsidR="00325C45" w:rsidRPr="00325C45" w:rsidRDefault="00954DDF" w:rsidP="00325C45">
      <w:pPr>
        <w:pStyle w:val="31"/>
        <w:rPr>
          <w:rFonts w:eastAsiaTheme="minorEastAsia"/>
          <w:lang w:eastAsia="ru-RU"/>
        </w:rPr>
      </w:pPr>
      <w:hyperlink w:anchor="_Toc120288125" w:history="1">
        <w:r w:rsidR="00325C45" w:rsidRPr="00325C45">
          <w:rPr>
            <w:rStyle w:val="aa"/>
          </w:rPr>
          <w:t>2.3.3. Правила по обращению с препаратом</w:t>
        </w:r>
        <w:r w:rsidR="00325C45" w:rsidRPr="00325C45">
          <w:rPr>
            <w:webHidden/>
          </w:rPr>
          <w:tab/>
        </w:r>
        <w:r w:rsidR="00325C45" w:rsidRPr="00325C45">
          <w:rPr>
            <w:webHidden/>
          </w:rPr>
          <w:fldChar w:fldCharType="begin"/>
        </w:r>
        <w:r w:rsidR="00325C45" w:rsidRPr="00325C45">
          <w:rPr>
            <w:webHidden/>
          </w:rPr>
          <w:instrText xml:space="preserve"> PAGEREF _Toc120288125 \h </w:instrText>
        </w:r>
        <w:r w:rsidR="00325C45" w:rsidRPr="00325C45">
          <w:rPr>
            <w:webHidden/>
          </w:rPr>
        </w:r>
        <w:r w:rsidR="00325C45" w:rsidRPr="00325C45">
          <w:rPr>
            <w:webHidden/>
          </w:rPr>
          <w:fldChar w:fldCharType="separate"/>
        </w:r>
        <w:r w:rsidR="0029110D">
          <w:rPr>
            <w:webHidden/>
          </w:rPr>
          <w:t>28</w:t>
        </w:r>
        <w:r w:rsidR="00325C45" w:rsidRPr="00325C45">
          <w:rPr>
            <w:webHidden/>
          </w:rPr>
          <w:fldChar w:fldCharType="end"/>
        </w:r>
      </w:hyperlink>
    </w:p>
    <w:p w14:paraId="10B59B9F" w14:textId="6467B997" w:rsidR="00325C45" w:rsidRPr="00325C45" w:rsidRDefault="00954DDF" w:rsidP="00325C45">
      <w:pPr>
        <w:pStyle w:val="21"/>
        <w:tabs>
          <w:tab w:val="clear" w:pos="9345"/>
          <w:tab w:val="right" w:leader="dot" w:pos="9356"/>
        </w:tabs>
        <w:rPr>
          <w:rFonts w:eastAsiaTheme="minorEastAsia"/>
          <w:noProof/>
          <w:lang w:eastAsia="ru-RU"/>
        </w:rPr>
      </w:pPr>
      <w:hyperlink w:anchor="_Toc120288126" w:history="1">
        <w:r w:rsidR="00325C45" w:rsidRPr="00325C45">
          <w:rPr>
            <w:rStyle w:val="aa"/>
            <w:noProof/>
          </w:rPr>
          <w:t>Список литературы</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_Toc120288126 \h </w:instrText>
        </w:r>
        <w:r w:rsidR="00325C45" w:rsidRPr="00325C45">
          <w:rPr>
            <w:noProof/>
            <w:webHidden/>
          </w:rPr>
        </w:r>
        <w:r w:rsidR="00325C45" w:rsidRPr="00325C45">
          <w:rPr>
            <w:noProof/>
            <w:webHidden/>
          </w:rPr>
          <w:fldChar w:fldCharType="separate"/>
        </w:r>
        <w:r w:rsidR="0029110D">
          <w:rPr>
            <w:noProof/>
            <w:webHidden/>
          </w:rPr>
          <w:t>28</w:t>
        </w:r>
        <w:r w:rsidR="00325C45" w:rsidRPr="00325C45">
          <w:rPr>
            <w:noProof/>
            <w:webHidden/>
          </w:rPr>
          <w:fldChar w:fldCharType="end"/>
        </w:r>
      </w:hyperlink>
    </w:p>
    <w:p w14:paraId="221FEB12" w14:textId="6A4864F9" w:rsidR="00325C45" w:rsidRPr="00325C45" w:rsidRDefault="00954DDF" w:rsidP="00325C45">
      <w:pPr>
        <w:pStyle w:val="14"/>
        <w:tabs>
          <w:tab w:val="clear" w:pos="9214"/>
          <w:tab w:val="right" w:leader="dot" w:pos="9356"/>
        </w:tabs>
        <w:rPr>
          <w:rFonts w:eastAsiaTheme="minorEastAsia"/>
          <w:lang w:eastAsia="ru-RU"/>
        </w:rPr>
      </w:pPr>
      <w:hyperlink w:anchor="_Toc120288127" w:history="1">
        <w:r w:rsidR="00325C45" w:rsidRPr="00325C45">
          <w:rPr>
            <w:rStyle w:val="aa"/>
          </w:rPr>
          <w:t>3. РЕЗУЛЬТАТЫ ДОКЛИНИЧЕСКИХ ИССЛЕДОВАНИЙ</w:t>
        </w:r>
        <w:r w:rsidR="00325C45" w:rsidRPr="00325C45">
          <w:rPr>
            <w:webHidden/>
          </w:rPr>
          <w:tab/>
        </w:r>
        <w:r w:rsidR="00325C45" w:rsidRPr="00325C45">
          <w:rPr>
            <w:webHidden/>
          </w:rPr>
          <w:fldChar w:fldCharType="begin"/>
        </w:r>
        <w:r w:rsidR="00325C45" w:rsidRPr="00325C45">
          <w:rPr>
            <w:webHidden/>
          </w:rPr>
          <w:instrText xml:space="preserve"> PAGEREF _Toc120288127 \h </w:instrText>
        </w:r>
        <w:r w:rsidR="00325C45" w:rsidRPr="00325C45">
          <w:rPr>
            <w:webHidden/>
          </w:rPr>
        </w:r>
        <w:r w:rsidR="00325C45" w:rsidRPr="00325C45">
          <w:rPr>
            <w:webHidden/>
          </w:rPr>
          <w:fldChar w:fldCharType="separate"/>
        </w:r>
        <w:r w:rsidR="0029110D">
          <w:rPr>
            <w:webHidden/>
          </w:rPr>
          <w:t>28</w:t>
        </w:r>
        <w:r w:rsidR="00325C45" w:rsidRPr="00325C45">
          <w:rPr>
            <w:webHidden/>
          </w:rPr>
          <w:fldChar w:fldCharType="end"/>
        </w:r>
      </w:hyperlink>
    </w:p>
    <w:p w14:paraId="3D89CFE1" w14:textId="0621E650" w:rsidR="00325C45" w:rsidRPr="00325C45" w:rsidRDefault="00954DDF" w:rsidP="00325C45">
      <w:pPr>
        <w:pStyle w:val="21"/>
        <w:tabs>
          <w:tab w:val="clear" w:pos="9345"/>
          <w:tab w:val="right" w:leader="dot" w:pos="9356"/>
        </w:tabs>
        <w:rPr>
          <w:rFonts w:eastAsiaTheme="minorEastAsia"/>
          <w:noProof/>
          <w:lang w:eastAsia="ru-RU"/>
        </w:rPr>
      </w:pPr>
      <w:hyperlink w:anchor="_Toc120288128" w:history="1">
        <w:r w:rsidR="00325C45" w:rsidRPr="00325C45">
          <w:rPr>
            <w:rStyle w:val="aa"/>
            <w:noProof/>
          </w:rPr>
          <w:t>Введение и резюме</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_Toc120288128 \h </w:instrText>
        </w:r>
        <w:r w:rsidR="00325C45" w:rsidRPr="00325C45">
          <w:rPr>
            <w:noProof/>
            <w:webHidden/>
          </w:rPr>
        </w:r>
        <w:r w:rsidR="00325C45" w:rsidRPr="00325C45">
          <w:rPr>
            <w:noProof/>
            <w:webHidden/>
          </w:rPr>
          <w:fldChar w:fldCharType="separate"/>
        </w:r>
        <w:r w:rsidR="0029110D">
          <w:rPr>
            <w:noProof/>
            <w:webHidden/>
          </w:rPr>
          <w:t>28</w:t>
        </w:r>
        <w:r w:rsidR="00325C45" w:rsidRPr="00325C45">
          <w:rPr>
            <w:noProof/>
            <w:webHidden/>
          </w:rPr>
          <w:fldChar w:fldCharType="end"/>
        </w:r>
      </w:hyperlink>
    </w:p>
    <w:p w14:paraId="6AF8C95F" w14:textId="7800903F" w:rsidR="00325C45" w:rsidRPr="00325C45" w:rsidRDefault="00954DDF" w:rsidP="00325C45">
      <w:pPr>
        <w:pStyle w:val="21"/>
        <w:tabs>
          <w:tab w:val="clear" w:pos="9345"/>
          <w:tab w:val="right" w:leader="dot" w:pos="9356"/>
        </w:tabs>
        <w:rPr>
          <w:rFonts w:eastAsiaTheme="minorEastAsia"/>
          <w:noProof/>
          <w:lang w:eastAsia="ru-RU"/>
        </w:rPr>
      </w:pPr>
      <w:hyperlink w:anchor="_Toc120288129" w:history="1">
        <w:r w:rsidR="00325C45" w:rsidRPr="00325C45">
          <w:rPr>
            <w:rStyle w:val="aa"/>
            <w:noProof/>
          </w:rPr>
          <w:t>3.1 Доклиническая фармакология</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_Toc120288129 \h </w:instrText>
        </w:r>
        <w:r w:rsidR="00325C45" w:rsidRPr="00325C45">
          <w:rPr>
            <w:noProof/>
            <w:webHidden/>
          </w:rPr>
        </w:r>
        <w:r w:rsidR="00325C45" w:rsidRPr="00325C45">
          <w:rPr>
            <w:noProof/>
            <w:webHidden/>
          </w:rPr>
          <w:fldChar w:fldCharType="separate"/>
        </w:r>
        <w:r w:rsidR="0029110D">
          <w:rPr>
            <w:noProof/>
            <w:webHidden/>
          </w:rPr>
          <w:t>31</w:t>
        </w:r>
        <w:r w:rsidR="00325C45" w:rsidRPr="00325C45">
          <w:rPr>
            <w:noProof/>
            <w:webHidden/>
          </w:rPr>
          <w:fldChar w:fldCharType="end"/>
        </w:r>
      </w:hyperlink>
    </w:p>
    <w:p w14:paraId="65522B29" w14:textId="095C78C9" w:rsidR="00325C45" w:rsidRPr="00325C45" w:rsidRDefault="00954DDF" w:rsidP="00325C45">
      <w:pPr>
        <w:pStyle w:val="31"/>
        <w:rPr>
          <w:rFonts w:eastAsiaTheme="minorEastAsia"/>
          <w:lang w:eastAsia="ru-RU"/>
        </w:rPr>
      </w:pPr>
      <w:hyperlink w:anchor="_Toc120288130" w:history="1">
        <w:r w:rsidR="00325C45" w:rsidRPr="00325C45">
          <w:rPr>
            <w:rStyle w:val="aa"/>
          </w:rPr>
          <w:t>3.1.1. Механизм действия</w:t>
        </w:r>
        <w:r w:rsidR="00325C45" w:rsidRPr="00325C45">
          <w:rPr>
            <w:webHidden/>
          </w:rPr>
          <w:tab/>
        </w:r>
        <w:r w:rsidR="00325C45" w:rsidRPr="00325C45">
          <w:rPr>
            <w:webHidden/>
          </w:rPr>
          <w:fldChar w:fldCharType="begin"/>
        </w:r>
        <w:r w:rsidR="00325C45" w:rsidRPr="00325C45">
          <w:rPr>
            <w:webHidden/>
          </w:rPr>
          <w:instrText xml:space="preserve"> PAGEREF _Toc120288130 \h </w:instrText>
        </w:r>
        <w:r w:rsidR="00325C45" w:rsidRPr="00325C45">
          <w:rPr>
            <w:webHidden/>
          </w:rPr>
        </w:r>
        <w:r w:rsidR="00325C45" w:rsidRPr="00325C45">
          <w:rPr>
            <w:webHidden/>
          </w:rPr>
          <w:fldChar w:fldCharType="separate"/>
        </w:r>
        <w:r w:rsidR="0029110D">
          <w:rPr>
            <w:webHidden/>
          </w:rPr>
          <w:t>31</w:t>
        </w:r>
        <w:r w:rsidR="00325C45" w:rsidRPr="00325C45">
          <w:rPr>
            <w:webHidden/>
          </w:rPr>
          <w:fldChar w:fldCharType="end"/>
        </w:r>
      </w:hyperlink>
    </w:p>
    <w:p w14:paraId="1C4EA23B" w14:textId="62BB0721" w:rsidR="00325C45" w:rsidRPr="00325C45" w:rsidRDefault="00954DDF" w:rsidP="00325C45">
      <w:pPr>
        <w:pStyle w:val="31"/>
        <w:rPr>
          <w:rFonts w:eastAsiaTheme="minorEastAsia"/>
          <w:lang w:eastAsia="ru-RU"/>
        </w:rPr>
      </w:pPr>
      <w:hyperlink w:anchor="_Toc120288131" w:history="1">
        <w:r w:rsidR="00325C45" w:rsidRPr="00325C45">
          <w:rPr>
            <w:rStyle w:val="aa"/>
            <w:rFonts w:eastAsia="Times New Roman"/>
            <w:lang w:eastAsia="en-US"/>
          </w:rPr>
          <w:t xml:space="preserve">3.1.2. </w:t>
        </w:r>
        <w:r w:rsidR="00325C45" w:rsidRPr="00325C45">
          <w:rPr>
            <w:rStyle w:val="aa"/>
          </w:rPr>
          <w:t>Первичная фармакодинамика</w:t>
        </w:r>
        <w:r w:rsidR="00325C45" w:rsidRPr="00325C45">
          <w:rPr>
            <w:webHidden/>
          </w:rPr>
          <w:tab/>
        </w:r>
        <w:r w:rsidR="00325C45" w:rsidRPr="00325C45">
          <w:rPr>
            <w:webHidden/>
          </w:rPr>
          <w:fldChar w:fldCharType="begin"/>
        </w:r>
        <w:r w:rsidR="00325C45" w:rsidRPr="00325C45">
          <w:rPr>
            <w:webHidden/>
          </w:rPr>
          <w:instrText xml:space="preserve"> PAGEREF _Toc120288131 \h </w:instrText>
        </w:r>
        <w:r w:rsidR="00325C45" w:rsidRPr="00325C45">
          <w:rPr>
            <w:webHidden/>
          </w:rPr>
        </w:r>
        <w:r w:rsidR="00325C45" w:rsidRPr="00325C45">
          <w:rPr>
            <w:webHidden/>
          </w:rPr>
          <w:fldChar w:fldCharType="separate"/>
        </w:r>
        <w:r w:rsidR="0029110D">
          <w:rPr>
            <w:webHidden/>
          </w:rPr>
          <w:t>32</w:t>
        </w:r>
        <w:r w:rsidR="00325C45" w:rsidRPr="00325C45">
          <w:rPr>
            <w:webHidden/>
          </w:rPr>
          <w:fldChar w:fldCharType="end"/>
        </w:r>
      </w:hyperlink>
    </w:p>
    <w:p w14:paraId="0FB27F36" w14:textId="0A6179D5"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32" w:history="1">
        <w:r w:rsidR="00325C45" w:rsidRPr="00325C45">
          <w:rPr>
            <w:rStyle w:val="aa"/>
            <w:noProof/>
          </w:rPr>
          <w:t xml:space="preserve">3.1.2.1. Первичная фармакодинамика </w:t>
        </w:r>
        <w:r w:rsidR="00325C45" w:rsidRPr="00325C45">
          <w:rPr>
            <w:rStyle w:val="aa"/>
            <w:i/>
            <w:noProof/>
          </w:rPr>
          <w:t>in vitro</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_Toc120288132 \h </w:instrText>
        </w:r>
        <w:r w:rsidR="00325C45" w:rsidRPr="00325C45">
          <w:rPr>
            <w:noProof/>
            <w:webHidden/>
          </w:rPr>
        </w:r>
        <w:r w:rsidR="00325C45" w:rsidRPr="00325C45">
          <w:rPr>
            <w:noProof/>
            <w:webHidden/>
          </w:rPr>
          <w:fldChar w:fldCharType="separate"/>
        </w:r>
        <w:r w:rsidR="0029110D">
          <w:rPr>
            <w:noProof/>
            <w:webHidden/>
          </w:rPr>
          <w:t>32</w:t>
        </w:r>
        <w:r w:rsidR="00325C45" w:rsidRPr="00325C45">
          <w:rPr>
            <w:noProof/>
            <w:webHidden/>
          </w:rPr>
          <w:fldChar w:fldCharType="end"/>
        </w:r>
      </w:hyperlink>
    </w:p>
    <w:p w14:paraId="4DC702EC" w14:textId="26596447"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33" w:history="1">
        <w:r w:rsidR="00325C45" w:rsidRPr="00325C45">
          <w:rPr>
            <w:rStyle w:val="aa"/>
            <w:noProof/>
          </w:rPr>
          <w:t xml:space="preserve">3.1.2.2. Первичная фармакодинамика </w:t>
        </w:r>
        <w:r w:rsidR="00325C45" w:rsidRPr="00325C45">
          <w:rPr>
            <w:rStyle w:val="aa"/>
            <w:i/>
            <w:noProof/>
          </w:rPr>
          <w:t>in vivo</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_Toc120288133 \h </w:instrText>
        </w:r>
        <w:r w:rsidR="00325C45" w:rsidRPr="00325C45">
          <w:rPr>
            <w:noProof/>
            <w:webHidden/>
          </w:rPr>
        </w:r>
        <w:r w:rsidR="00325C45" w:rsidRPr="00325C45">
          <w:rPr>
            <w:noProof/>
            <w:webHidden/>
          </w:rPr>
          <w:fldChar w:fldCharType="separate"/>
        </w:r>
        <w:r w:rsidR="0029110D">
          <w:rPr>
            <w:noProof/>
            <w:webHidden/>
          </w:rPr>
          <w:t>33</w:t>
        </w:r>
        <w:r w:rsidR="00325C45" w:rsidRPr="00325C45">
          <w:rPr>
            <w:noProof/>
            <w:webHidden/>
          </w:rPr>
          <w:fldChar w:fldCharType="end"/>
        </w:r>
      </w:hyperlink>
    </w:p>
    <w:p w14:paraId="66C7FC70" w14:textId="378ECD11" w:rsidR="00325C45" w:rsidRPr="00325C45" w:rsidRDefault="00954DDF" w:rsidP="00325C45">
      <w:pPr>
        <w:pStyle w:val="31"/>
        <w:rPr>
          <w:rFonts w:eastAsiaTheme="minorEastAsia"/>
          <w:lang w:eastAsia="ru-RU"/>
        </w:rPr>
      </w:pPr>
      <w:hyperlink w:anchor="_Toc120288134" w:history="1">
        <w:r w:rsidR="00325C45" w:rsidRPr="00325C45">
          <w:rPr>
            <w:rStyle w:val="aa"/>
          </w:rPr>
          <w:t>3.1.3. Вторичная фармакодинамика</w:t>
        </w:r>
        <w:r w:rsidR="00325C45" w:rsidRPr="00325C45">
          <w:rPr>
            <w:webHidden/>
          </w:rPr>
          <w:tab/>
        </w:r>
        <w:r w:rsidR="00325C45" w:rsidRPr="00325C45">
          <w:rPr>
            <w:webHidden/>
          </w:rPr>
          <w:fldChar w:fldCharType="begin"/>
        </w:r>
        <w:r w:rsidR="00325C45" w:rsidRPr="00325C45">
          <w:rPr>
            <w:webHidden/>
          </w:rPr>
          <w:instrText xml:space="preserve"> PAGEREF _Toc120288134 \h </w:instrText>
        </w:r>
        <w:r w:rsidR="00325C45" w:rsidRPr="00325C45">
          <w:rPr>
            <w:webHidden/>
          </w:rPr>
        </w:r>
        <w:r w:rsidR="00325C45" w:rsidRPr="00325C45">
          <w:rPr>
            <w:webHidden/>
          </w:rPr>
          <w:fldChar w:fldCharType="separate"/>
        </w:r>
        <w:r w:rsidR="0029110D">
          <w:rPr>
            <w:webHidden/>
          </w:rPr>
          <w:t>33</w:t>
        </w:r>
        <w:r w:rsidR="00325C45" w:rsidRPr="00325C45">
          <w:rPr>
            <w:webHidden/>
          </w:rPr>
          <w:fldChar w:fldCharType="end"/>
        </w:r>
      </w:hyperlink>
    </w:p>
    <w:p w14:paraId="212C3353" w14:textId="59538C08" w:rsidR="00325C45" w:rsidRPr="00325C45" w:rsidRDefault="00954DDF" w:rsidP="00325C45">
      <w:pPr>
        <w:pStyle w:val="31"/>
        <w:rPr>
          <w:rFonts w:eastAsiaTheme="minorEastAsia"/>
          <w:lang w:eastAsia="ru-RU"/>
        </w:rPr>
      </w:pPr>
      <w:hyperlink w:anchor="_Toc120288135" w:history="1">
        <w:r w:rsidR="00325C45" w:rsidRPr="00325C45">
          <w:rPr>
            <w:rStyle w:val="aa"/>
          </w:rPr>
          <w:t>3.1.4. Фармакологическая безопасность</w:t>
        </w:r>
        <w:r w:rsidR="00325C45" w:rsidRPr="00325C45">
          <w:rPr>
            <w:webHidden/>
          </w:rPr>
          <w:tab/>
        </w:r>
        <w:r w:rsidR="00325C45" w:rsidRPr="00325C45">
          <w:rPr>
            <w:webHidden/>
          </w:rPr>
          <w:fldChar w:fldCharType="begin"/>
        </w:r>
        <w:r w:rsidR="00325C45" w:rsidRPr="00325C45">
          <w:rPr>
            <w:webHidden/>
          </w:rPr>
          <w:instrText xml:space="preserve"> PAGEREF _Toc120288135 \h </w:instrText>
        </w:r>
        <w:r w:rsidR="00325C45" w:rsidRPr="00325C45">
          <w:rPr>
            <w:webHidden/>
          </w:rPr>
        </w:r>
        <w:r w:rsidR="00325C45" w:rsidRPr="00325C45">
          <w:rPr>
            <w:webHidden/>
          </w:rPr>
          <w:fldChar w:fldCharType="separate"/>
        </w:r>
        <w:r w:rsidR="0029110D">
          <w:rPr>
            <w:webHidden/>
          </w:rPr>
          <w:t>34</w:t>
        </w:r>
        <w:r w:rsidR="00325C45" w:rsidRPr="00325C45">
          <w:rPr>
            <w:webHidden/>
          </w:rPr>
          <w:fldChar w:fldCharType="end"/>
        </w:r>
      </w:hyperlink>
    </w:p>
    <w:p w14:paraId="37B9BA70" w14:textId="0302B577" w:rsidR="00325C45" w:rsidRPr="00325C45" w:rsidRDefault="00954DDF" w:rsidP="00325C45">
      <w:pPr>
        <w:pStyle w:val="31"/>
        <w:rPr>
          <w:rFonts w:eastAsiaTheme="minorEastAsia"/>
          <w:lang w:eastAsia="ru-RU"/>
        </w:rPr>
      </w:pPr>
      <w:hyperlink w:anchor="_Toc120288136" w:history="1">
        <w:r w:rsidR="00325C45" w:rsidRPr="00325C45">
          <w:rPr>
            <w:rStyle w:val="aa"/>
          </w:rPr>
          <w:t>3.1.5. Фармакодинамические лекарственные взаимодействия</w:t>
        </w:r>
        <w:r w:rsidR="00325C45" w:rsidRPr="00325C45">
          <w:rPr>
            <w:webHidden/>
          </w:rPr>
          <w:tab/>
        </w:r>
        <w:r w:rsidR="00325C45" w:rsidRPr="00325C45">
          <w:rPr>
            <w:webHidden/>
          </w:rPr>
          <w:fldChar w:fldCharType="begin"/>
        </w:r>
        <w:r w:rsidR="00325C45" w:rsidRPr="00325C45">
          <w:rPr>
            <w:webHidden/>
          </w:rPr>
          <w:instrText xml:space="preserve"> PAGEREF _Toc120288136 \h </w:instrText>
        </w:r>
        <w:r w:rsidR="00325C45" w:rsidRPr="00325C45">
          <w:rPr>
            <w:webHidden/>
          </w:rPr>
        </w:r>
        <w:r w:rsidR="00325C45" w:rsidRPr="00325C45">
          <w:rPr>
            <w:webHidden/>
          </w:rPr>
          <w:fldChar w:fldCharType="separate"/>
        </w:r>
        <w:r w:rsidR="0029110D">
          <w:rPr>
            <w:webHidden/>
          </w:rPr>
          <w:t>34</w:t>
        </w:r>
        <w:r w:rsidR="00325C45" w:rsidRPr="00325C45">
          <w:rPr>
            <w:webHidden/>
          </w:rPr>
          <w:fldChar w:fldCharType="end"/>
        </w:r>
      </w:hyperlink>
    </w:p>
    <w:p w14:paraId="6B3238DF" w14:textId="6D528483" w:rsidR="00325C45" w:rsidRPr="00325C45" w:rsidRDefault="00954DDF" w:rsidP="00325C45">
      <w:pPr>
        <w:pStyle w:val="21"/>
        <w:tabs>
          <w:tab w:val="clear" w:pos="9345"/>
          <w:tab w:val="right" w:leader="dot" w:pos="9356"/>
        </w:tabs>
        <w:rPr>
          <w:rFonts w:eastAsiaTheme="minorEastAsia"/>
          <w:noProof/>
          <w:lang w:eastAsia="ru-RU"/>
        </w:rPr>
      </w:pPr>
      <w:hyperlink w:anchor="_Toc120288137" w:history="1">
        <w:r w:rsidR="00325C45" w:rsidRPr="00325C45">
          <w:rPr>
            <w:rStyle w:val="aa"/>
            <w:noProof/>
          </w:rPr>
          <w:t>3.2. Доклиническая фармакокинетика</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_Toc120288137 \h </w:instrText>
        </w:r>
        <w:r w:rsidR="00325C45" w:rsidRPr="00325C45">
          <w:rPr>
            <w:noProof/>
            <w:webHidden/>
          </w:rPr>
        </w:r>
        <w:r w:rsidR="00325C45" w:rsidRPr="00325C45">
          <w:rPr>
            <w:noProof/>
            <w:webHidden/>
          </w:rPr>
          <w:fldChar w:fldCharType="separate"/>
        </w:r>
        <w:r w:rsidR="0029110D">
          <w:rPr>
            <w:noProof/>
            <w:webHidden/>
          </w:rPr>
          <w:t>34</w:t>
        </w:r>
        <w:r w:rsidR="00325C45" w:rsidRPr="00325C45">
          <w:rPr>
            <w:noProof/>
            <w:webHidden/>
          </w:rPr>
          <w:fldChar w:fldCharType="end"/>
        </w:r>
      </w:hyperlink>
    </w:p>
    <w:p w14:paraId="00BCA938" w14:textId="25F63106" w:rsidR="00325C45" w:rsidRPr="00325C45" w:rsidRDefault="00954DDF" w:rsidP="00325C45">
      <w:pPr>
        <w:pStyle w:val="31"/>
        <w:rPr>
          <w:rFonts w:eastAsiaTheme="minorEastAsia"/>
          <w:lang w:eastAsia="ru-RU"/>
        </w:rPr>
      </w:pPr>
      <w:hyperlink w:anchor="_Toc120288138" w:history="1">
        <w:r w:rsidR="00325C45" w:rsidRPr="00325C45">
          <w:rPr>
            <w:rStyle w:val="aa"/>
          </w:rPr>
          <w:t xml:space="preserve">3.2.1. </w:t>
        </w:r>
        <w:r w:rsidR="00325C45" w:rsidRPr="00325C45">
          <w:rPr>
            <w:rStyle w:val="aa"/>
            <w:bCs/>
            <w:iCs/>
          </w:rPr>
          <w:t>Всасывание</w:t>
        </w:r>
        <w:r w:rsidR="00325C45" w:rsidRPr="00325C45">
          <w:rPr>
            <w:webHidden/>
          </w:rPr>
          <w:tab/>
        </w:r>
        <w:r w:rsidR="00325C45" w:rsidRPr="00325C45">
          <w:rPr>
            <w:webHidden/>
          </w:rPr>
          <w:fldChar w:fldCharType="begin"/>
        </w:r>
        <w:r w:rsidR="00325C45" w:rsidRPr="00325C45">
          <w:rPr>
            <w:webHidden/>
          </w:rPr>
          <w:instrText xml:space="preserve"> PAGEREF _Toc120288138 \h </w:instrText>
        </w:r>
        <w:r w:rsidR="00325C45" w:rsidRPr="00325C45">
          <w:rPr>
            <w:webHidden/>
          </w:rPr>
        </w:r>
        <w:r w:rsidR="00325C45" w:rsidRPr="00325C45">
          <w:rPr>
            <w:webHidden/>
          </w:rPr>
          <w:fldChar w:fldCharType="separate"/>
        </w:r>
        <w:r w:rsidR="0029110D">
          <w:rPr>
            <w:webHidden/>
          </w:rPr>
          <w:t>34</w:t>
        </w:r>
        <w:r w:rsidR="00325C45" w:rsidRPr="00325C45">
          <w:rPr>
            <w:webHidden/>
          </w:rPr>
          <w:fldChar w:fldCharType="end"/>
        </w:r>
      </w:hyperlink>
    </w:p>
    <w:p w14:paraId="60B47387" w14:textId="12BE6D92" w:rsidR="00325C45" w:rsidRPr="00325C45" w:rsidRDefault="00954DDF" w:rsidP="00325C45">
      <w:pPr>
        <w:pStyle w:val="31"/>
        <w:rPr>
          <w:rFonts w:eastAsiaTheme="minorEastAsia"/>
          <w:lang w:eastAsia="ru-RU"/>
        </w:rPr>
      </w:pPr>
      <w:hyperlink w:anchor="_Toc120288139" w:history="1">
        <w:r w:rsidR="00325C45" w:rsidRPr="00325C45">
          <w:rPr>
            <w:rStyle w:val="aa"/>
          </w:rPr>
          <w:t>3.2.2. Распределение</w:t>
        </w:r>
        <w:r w:rsidR="00325C45" w:rsidRPr="00325C45">
          <w:rPr>
            <w:webHidden/>
          </w:rPr>
          <w:tab/>
        </w:r>
        <w:r w:rsidR="00325C45" w:rsidRPr="00325C45">
          <w:rPr>
            <w:webHidden/>
          </w:rPr>
          <w:fldChar w:fldCharType="begin"/>
        </w:r>
        <w:r w:rsidR="00325C45" w:rsidRPr="00325C45">
          <w:rPr>
            <w:webHidden/>
          </w:rPr>
          <w:instrText xml:space="preserve"> PAGEREF _Toc120288139 \h </w:instrText>
        </w:r>
        <w:r w:rsidR="00325C45" w:rsidRPr="00325C45">
          <w:rPr>
            <w:webHidden/>
          </w:rPr>
        </w:r>
        <w:r w:rsidR="00325C45" w:rsidRPr="00325C45">
          <w:rPr>
            <w:webHidden/>
          </w:rPr>
          <w:fldChar w:fldCharType="separate"/>
        </w:r>
        <w:r w:rsidR="0029110D">
          <w:rPr>
            <w:webHidden/>
          </w:rPr>
          <w:t>35</w:t>
        </w:r>
        <w:r w:rsidR="00325C45" w:rsidRPr="00325C45">
          <w:rPr>
            <w:webHidden/>
          </w:rPr>
          <w:fldChar w:fldCharType="end"/>
        </w:r>
      </w:hyperlink>
    </w:p>
    <w:p w14:paraId="05C0E601" w14:textId="0D541264" w:rsidR="00325C45" w:rsidRPr="00325C45" w:rsidRDefault="00954DDF" w:rsidP="00325C45">
      <w:pPr>
        <w:pStyle w:val="31"/>
        <w:rPr>
          <w:rFonts w:eastAsiaTheme="minorEastAsia"/>
          <w:lang w:eastAsia="ru-RU"/>
        </w:rPr>
      </w:pPr>
      <w:hyperlink w:anchor="_Toc120288140" w:history="1">
        <w:r w:rsidR="00325C45" w:rsidRPr="00325C45">
          <w:rPr>
            <w:rStyle w:val="aa"/>
          </w:rPr>
          <w:t xml:space="preserve">3.2.3. </w:t>
        </w:r>
        <w:r w:rsidR="00325C45" w:rsidRPr="00325C45">
          <w:rPr>
            <w:rStyle w:val="aa"/>
            <w:bCs/>
          </w:rPr>
          <w:t>Связывание с белками плазмы</w:t>
        </w:r>
        <w:r w:rsidR="00325C45" w:rsidRPr="00325C45">
          <w:rPr>
            <w:webHidden/>
          </w:rPr>
          <w:tab/>
        </w:r>
        <w:r w:rsidR="00325C45" w:rsidRPr="00325C45">
          <w:rPr>
            <w:webHidden/>
          </w:rPr>
          <w:fldChar w:fldCharType="begin"/>
        </w:r>
        <w:r w:rsidR="00325C45" w:rsidRPr="00325C45">
          <w:rPr>
            <w:webHidden/>
          </w:rPr>
          <w:instrText xml:space="preserve"> PAGEREF _Toc120288140 \h </w:instrText>
        </w:r>
        <w:r w:rsidR="00325C45" w:rsidRPr="00325C45">
          <w:rPr>
            <w:webHidden/>
          </w:rPr>
        </w:r>
        <w:r w:rsidR="00325C45" w:rsidRPr="00325C45">
          <w:rPr>
            <w:webHidden/>
          </w:rPr>
          <w:fldChar w:fldCharType="separate"/>
        </w:r>
        <w:r w:rsidR="0029110D">
          <w:rPr>
            <w:webHidden/>
          </w:rPr>
          <w:t>36</w:t>
        </w:r>
        <w:r w:rsidR="00325C45" w:rsidRPr="00325C45">
          <w:rPr>
            <w:webHidden/>
          </w:rPr>
          <w:fldChar w:fldCharType="end"/>
        </w:r>
      </w:hyperlink>
    </w:p>
    <w:p w14:paraId="544458C7" w14:textId="365A3903" w:rsidR="00325C45" w:rsidRPr="00325C45" w:rsidRDefault="00954DDF" w:rsidP="00325C45">
      <w:pPr>
        <w:pStyle w:val="31"/>
        <w:rPr>
          <w:rFonts w:eastAsiaTheme="minorEastAsia"/>
          <w:lang w:eastAsia="ru-RU"/>
        </w:rPr>
      </w:pPr>
      <w:hyperlink w:anchor="_Toc120288141" w:history="1">
        <w:r w:rsidR="00325C45" w:rsidRPr="00325C45">
          <w:rPr>
            <w:rStyle w:val="aa"/>
          </w:rPr>
          <w:t xml:space="preserve">3.2.4. </w:t>
        </w:r>
        <w:r w:rsidR="00325C45" w:rsidRPr="00325C45">
          <w:rPr>
            <w:rStyle w:val="aa"/>
            <w:bCs/>
          </w:rPr>
          <w:t>Метаболизм</w:t>
        </w:r>
        <w:r w:rsidR="00325C45" w:rsidRPr="00325C45">
          <w:rPr>
            <w:webHidden/>
          </w:rPr>
          <w:tab/>
        </w:r>
        <w:r w:rsidR="00325C45" w:rsidRPr="00325C45">
          <w:rPr>
            <w:webHidden/>
          </w:rPr>
          <w:fldChar w:fldCharType="begin"/>
        </w:r>
        <w:r w:rsidR="00325C45" w:rsidRPr="00325C45">
          <w:rPr>
            <w:webHidden/>
          </w:rPr>
          <w:instrText xml:space="preserve"> PAGEREF _Toc120288141 \h </w:instrText>
        </w:r>
        <w:r w:rsidR="00325C45" w:rsidRPr="00325C45">
          <w:rPr>
            <w:webHidden/>
          </w:rPr>
        </w:r>
        <w:r w:rsidR="00325C45" w:rsidRPr="00325C45">
          <w:rPr>
            <w:webHidden/>
          </w:rPr>
          <w:fldChar w:fldCharType="separate"/>
        </w:r>
        <w:r w:rsidR="0029110D">
          <w:rPr>
            <w:webHidden/>
          </w:rPr>
          <w:t>36</w:t>
        </w:r>
        <w:r w:rsidR="00325C45" w:rsidRPr="00325C45">
          <w:rPr>
            <w:webHidden/>
          </w:rPr>
          <w:fldChar w:fldCharType="end"/>
        </w:r>
      </w:hyperlink>
    </w:p>
    <w:p w14:paraId="5D0EAEC5" w14:textId="4D3D6196" w:rsidR="00325C45" w:rsidRPr="00325C45" w:rsidRDefault="00954DDF" w:rsidP="00325C45">
      <w:pPr>
        <w:pStyle w:val="31"/>
        <w:rPr>
          <w:rFonts w:eastAsiaTheme="minorEastAsia"/>
          <w:lang w:eastAsia="ru-RU"/>
        </w:rPr>
      </w:pPr>
      <w:hyperlink w:anchor="_Toc120288142" w:history="1">
        <w:r w:rsidR="00325C45" w:rsidRPr="00325C45">
          <w:rPr>
            <w:rStyle w:val="aa"/>
          </w:rPr>
          <w:t xml:space="preserve">3.2.5. </w:t>
        </w:r>
        <w:r w:rsidR="00325C45" w:rsidRPr="00325C45">
          <w:rPr>
            <w:rStyle w:val="aa"/>
            <w:bCs/>
          </w:rPr>
          <w:t>Выведение</w:t>
        </w:r>
        <w:r w:rsidR="00325C45" w:rsidRPr="00325C45">
          <w:rPr>
            <w:webHidden/>
          </w:rPr>
          <w:tab/>
        </w:r>
        <w:r w:rsidR="00325C45" w:rsidRPr="00325C45">
          <w:rPr>
            <w:webHidden/>
          </w:rPr>
          <w:fldChar w:fldCharType="begin"/>
        </w:r>
        <w:r w:rsidR="00325C45" w:rsidRPr="00325C45">
          <w:rPr>
            <w:webHidden/>
          </w:rPr>
          <w:instrText xml:space="preserve"> PAGEREF _Toc120288142 \h </w:instrText>
        </w:r>
        <w:r w:rsidR="00325C45" w:rsidRPr="00325C45">
          <w:rPr>
            <w:webHidden/>
          </w:rPr>
        </w:r>
        <w:r w:rsidR="00325C45" w:rsidRPr="00325C45">
          <w:rPr>
            <w:webHidden/>
          </w:rPr>
          <w:fldChar w:fldCharType="separate"/>
        </w:r>
        <w:r w:rsidR="0029110D">
          <w:rPr>
            <w:webHidden/>
          </w:rPr>
          <w:t>37</w:t>
        </w:r>
        <w:r w:rsidR="00325C45" w:rsidRPr="00325C45">
          <w:rPr>
            <w:webHidden/>
          </w:rPr>
          <w:fldChar w:fldCharType="end"/>
        </w:r>
      </w:hyperlink>
    </w:p>
    <w:p w14:paraId="1753ABA9" w14:textId="507072DF" w:rsidR="00325C45" w:rsidRPr="00325C45" w:rsidRDefault="00954DDF" w:rsidP="00325C45">
      <w:pPr>
        <w:pStyle w:val="31"/>
        <w:rPr>
          <w:rFonts w:eastAsiaTheme="minorEastAsia"/>
          <w:lang w:eastAsia="ru-RU"/>
        </w:rPr>
      </w:pPr>
      <w:hyperlink w:anchor="_Toc120288143" w:history="1">
        <w:r w:rsidR="00325C45" w:rsidRPr="00325C45">
          <w:rPr>
            <w:rStyle w:val="aa"/>
          </w:rPr>
          <w:t xml:space="preserve">3.2.6. </w:t>
        </w:r>
        <w:r w:rsidR="00325C45" w:rsidRPr="00325C45">
          <w:rPr>
            <w:rStyle w:val="aa"/>
            <w:bCs/>
          </w:rPr>
          <w:t>Фармакокинетические лекарственные взаимодействия</w:t>
        </w:r>
        <w:r w:rsidR="00325C45" w:rsidRPr="00325C45">
          <w:rPr>
            <w:webHidden/>
          </w:rPr>
          <w:tab/>
        </w:r>
        <w:r w:rsidR="00325C45" w:rsidRPr="00325C45">
          <w:rPr>
            <w:webHidden/>
          </w:rPr>
          <w:fldChar w:fldCharType="begin"/>
        </w:r>
        <w:r w:rsidR="00325C45" w:rsidRPr="00325C45">
          <w:rPr>
            <w:webHidden/>
          </w:rPr>
          <w:instrText xml:space="preserve"> PAGEREF _Toc120288143 \h </w:instrText>
        </w:r>
        <w:r w:rsidR="00325C45" w:rsidRPr="00325C45">
          <w:rPr>
            <w:webHidden/>
          </w:rPr>
        </w:r>
        <w:r w:rsidR="00325C45" w:rsidRPr="00325C45">
          <w:rPr>
            <w:webHidden/>
          </w:rPr>
          <w:fldChar w:fldCharType="separate"/>
        </w:r>
        <w:r w:rsidR="0029110D">
          <w:rPr>
            <w:webHidden/>
          </w:rPr>
          <w:t>38</w:t>
        </w:r>
        <w:r w:rsidR="00325C45" w:rsidRPr="00325C45">
          <w:rPr>
            <w:webHidden/>
          </w:rPr>
          <w:fldChar w:fldCharType="end"/>
        </w:r>
      </w:hyperlink>
    </w:p>
    <w:p w14:paraId="7FED420A" w14:textId="77AA493C" w:rsidR="00325C45" w:rsidRPr="00325C45" w:rsidRDefault="00954DDF" w:rsidP="00325C45">
      <w:pPr>
        <w:pStyle w:val="21"/>
        <w:tabs>
          <w:tab w:val="clear" w:pos="9345"/>
          <w:tab w:val="right" w:leader="dot" w:pos="9356"/>
        </w:tabs>
        <w:rPr>
          <w:rFonts w:eastAsiaTheme="minorEastAsia"/>
          <w:noProof/>
          <w:lang w:eastAsia="ru-RU"/>
        </w:rPr>
      </w:pPr>
      <w:hyperlink w:anchor="_Toc120288144" w:history="1">
        <w:r w:rsidR="00325C45" w:rsidRPr="00325C45">
          <w:rPr>
            <w:rStyle w:val="aa"/>
            <w:noProof/>
          </w:rPr>
          <w:t>3.3. Токсикологические исследования</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_Toc120288144 \h </w:instrText>
        </w:r>
        <w:r w:rsidR="00325C45" w:rsidRPr="00325C45">
          <w:rPr>
            <w:noProof/>
            <w:webHidden/>
          </w:rPr>
        </w:r>
        <w:r w:rsidR="00325C45" w:rsidRPr="00325C45">
          <w:rPr>
            <w:noProof/>
            <w:webHidden/>
          </w:rPr>
          <w:fldChar w:fldCharType="separate"/>
        </w:r>
        <w:r w:rsidR="0029110D">
          <w:rPr>
            <w:noProof/>
            <w:webHidden/>
          </w:rPr>
          <w:t>38</w:t>
        </w:r>
        <w:r w:rsidR="00325C45" w:rsidRPr="00325C45">
          <w:rPr>
            <w:noProof/>
            <w:webHidden/>
          </w:rPr>
          <w:fldChar w:fldCharType="end"/>
        </w:r>
      </w:hyperlink>
    </w:p>
    <w:p w14:paraId="4C0B7D0E" w14:textId="4A0578B3" w:rsidR="00325C45" w:rsidRPr="00325C45" w:rsidRDefault="00954DDF" w:rsidP="00325C45">
      <w:pPr>
        <w:pStyle w:val="31"/>
        <w:rPr>
          <w:rFonts w:eastAsiaTheme="minorEastAsia"/>
          <w:lang w:eastAsia="ru-RU"/>
        </w:rPr>
      </w:pPr>
      <w:hyperlink w:anchor="_Toc120288145" w:history="1">
        <w:r w:rsidR="00325C45" w:rsidRPr="00325C45">
          <w:rPr>
            <w:rStyle w:val="aa"/>
          </w:rPr>
          <w:t>3.3.1. Токсичность при однократном введении</w:t>
        </w:r>
        <w:r w:rsidR="00325C45" w:rsidRPr="00325C45">
          <w:rPr>
            <w:webHidden/>
          </w:rPr>
          <w:tab/>
        </w:r>
        <w:r w:rsidR="00325C45" w:rsidRPr="00325C45">
          <w:rPr>
            <w:webHidden/>
          </w:rPr>
          <w:fldChar w:fldCharType="begin"/>
        </w:r>
        <w:r w:rsidR="00325C45" w:rsidRPr="00325C45">
          <w:rPr>
            <w:webHidden/>
          </w:rPr>
          <w:instrText xml:space="preserve"> PAGEREF _Toc120288145 \h </w:instrText>
        </w:r>
        <w:r w:rsidR="00325C45" w:rsidRPr="00325C45">
          <w:rPr>
            <w:webHidden/>
          </w:rPr>
        </w:r>
        <w:r w:rsidR="00325C45" w:rsidRPr="00325C45">
          <w:rPr>
            <w:webHidden/>
          </w:rPr>
          <w:fldChar w:fldCharType="separate"/>
        </w:r>
        <w:r w:rsidR="0029110D">
          <w:rPr>
            <w:webHidden/>
          </w:rPr>
          <w:t>38</w:t>
        </w:r>
        <w:r w:rsidR="00325C45" w:rsidRPr="00325C45">
          <w:rPr>
            <w:webHidden/>
          </w:rPr>
          <w:fldChar w:fldCharType="end"/>
        </w:r>
      </w:hyperlink>
    </w:p>
    <w:p w14:paraId="6FC97300" w14:textId="22CDBD00" w:rsidR="00325C45" w:rsidRPr="00325C45" w:rsidRDefault="00954DDF" w:rsidP="00325C45">
      <w:pPr>
        <w:pStyle w:val="31"/>
        <w:rPr>
          <w:rFonts w:eastAsiaTheme="minorEastAsia"/>
          <w:lang w:eastAsia="ru-RU"/>
        </w:rPr>
      </w:pPr>
      <w:hyperlink w:anchor="_Toc120288146" w:history="1">
        <w:r w:rsidR="00325C45" w:rsidRPr="00325C45">
          <w:rPr>
            <w:rStyle w:val="aa"/>
          </w:rPr>
          <w:t>3.3.2. Токсичность при многократном введении</w:t>
        </w:r>
        <w:r w:rsidR="00325C45" w:rsidRPr="00325C45">
          <w:rPr>
            <w:webHidden/>
          </w:rPr>
          <w:tab/>
        </w:r>
        <w:r w:rsidR="00325C45" w:rsidRPr="00325C45">
          <w:rPr>
            <w:webHidden/>
          </w:rPr>
          <w:fldChar w:fldCharType="begin"/>
        </w:r>
        <w:r w:rsidR="00325C45" w:rsidRPr="00325C45">
          <w:rPr>
            <w:webHidden/>
          </w:rPr>
          <w:instrText xml:space="preserve"> PAGEREF _Toc120288146 \h </w:instrText>
        </w:r>
        <w:r w:rsidR="00325C45" w:rsidRPr="00325C45">
          <w:rPr>
            <w:webHidden/>
          </w:rPr>
        </w:r>
        <w:r w:rsidR="00325C45" w:rsidRPr="00325C45">
          <w:rPr>
            <w:webHidden/>
          </w:rPr>
          <w:fldChar w:fldCharType="separate"/>
        </w:r>
        <w:r w:rsidR="0029110D">
          <w:rPr>
            <w:webHidden/>
          </w:rPr>
          <w:t>39</w:t>
        </w:r>
        <w:r w:rsidR="00325C45" w:rsidRPr="00325C45">
          <w:rPr>
            <w:webHidden/>
          </w:rPr>
          <w:fldChar w:fldCharType="end"/>
        </w:r>
      </w:hyperlink>
    </w:p>
    <w:p w14:paraId="1E4DBCF1" w14:textId="60156CAE" w:rsidR="00325C45" w:rsidRPr="00325C45" w:rsidRDefault="00954DDF" w:rsidP="00325C45">
      <w:pPr>
        <w:pStyle w:val="31"/>
        <w:rPr>
          <w:rFonts w:eastAsiaTheme="minorEastAsia"/>
          <w:lang w:eastAsia="ru-RU"/>
        </w:rPr>
      </w:pPr>
      <w:hyperlink w:anchor="_Toc120288147" w:history="1">
        <w:r w:rsidR="00325C45" w:rsidRPr="00325C45">
          <w:rPr>
            <w:rStyle w:val="aa"/>
          </w:rPr>
          <w:t xml:space="preserve">3.3.3. </w:t>
        </w:r>
        <w:r w:rsidR="00325C45" w:rsidRPr="00325C45">
          <w:rPr>
            <w:rStyle w:val="aa"/>
            <w:rFonts w:eastAsia="Calibri"/>
            <w:shd w:val="clear" w:color="auto" w:fill="FFFFFF"/>
          </w:rPr>
          <w:t>Генотоксичность</w:t>
        </w:r>
        <w:r w:rsidR="00325C45" w:rsidRPr="00325C45">
          <w:rPr>
            <w:webHidden/>
          </w:rPr>
          <w:tab/>
        </w:r>
        <w:r w:rsidR="00325C45" w:rsidRPr="00325C45">
          <w:rPr>
            <w:webHidden/>
          </w:rPr>
          <w:fldChar w:fldCharType="begin"/>
        </w:r>
        <w:r w:rsidR="00325C45" w:rsidRPr="00325C45">
          <w:rPr>
            <w:webHidden/>
          </w:rPr>
          <w:instrText xml:space="preserve"> PAGEREF _Toc120288147 \h </w:instrText>
        </w:r>
        <w:r w:rsidR="00325C45" w:rsidRPr="00325C45">
          <w:rPr>
            <w:webHidden/>
          </w:rPr>
        </w:r>
        <w:r w:rsidR="00325C45" w:rsidRPr="00325C45">
          <w:rPr>
            <w:webHidden/>
          </w:rPr>
          <w:fldChar w:fldCharType="separate"/>
        </w:r>
        <w:r w:rsidR="0029110D">
          <w:rPr>
            <w:webHidden/>
          </w:rPr>
          <w:t>42</w:t>
        </w:r>
        <w:r w:rsidR="00325C45" w:rsidRPr="00325C45">
          <w:rPr>
            <w:webHidden/>
          </w:rPr>
          <w:fldChar w:fldCharType="end"/>
        </w:r>
      </w:hyperlink>
    </w:p>
    <w:p w14:paraId="2756196F" w14:textId="18A83E1F" w:rsidR="00325C45" w:rsidRPr="00325C45" w:rsidRDefault="00954DDF" w:rsidP="00325C45">
      <w:pPr>
        <w:pStyle w:val="31"/>
        <w:rPr>
          <w:rFonts w:eastAsiaTheme="minorEastAsia"/>
          <w:lang w:eastAsia="ru-RU"/>
        </w:rPr>
      </w:pPr>
      <w:hyperlink w:anchor="_Toc120288148" w:history="1">
        <w:r w:rsidR="00325C45" w:rsidRPr="00325C45">
          <w:rPr>
            <w:rStyle w:val="aa"/>
          </w:rPr>
          <w:t>3.3.4. Канцерогенность</w:t>
        </w:r>
        <w:r w:rsidR="00325C45" w:rsidRPr="00325C45">
          <w:rPr>
            <w:webHidden/>
          </w:rPr>
          <w:tab/>
        </w:r>
        <w:r w:rsidR="00325C45" w:rsidRPr="00325C45">
          <w:rPr>
            <w:webHidden/>
          </w:rPr>
          <w:fldChar w:fldCharType="begin"/>
        </w:r>
        <w:r w:rsidR="00325C45" w:rsidRPr="00325C45">
          <w:rPr>
            <w:webHidden/>
          </w:rPr>
          <w:instrText xml:space="preserve"> PAGEREF _Toc120288148 \h </w:instrText>
        </w:r>
        <w:r w:rsidR="00325C45" w:rsidRPr="00325C45">
          <w:rPr>
            <w:webHidden/>
          </w:rPr>
        </w:r>
        <w:r w:rsidR="00325C45" w:rsidRPr="00325C45">
          <w:rPr>
            <w:webHidden/>
          </w:rPr>
          <w:fldChar w:fldCharType="separate"/>
        </w:r>
        <w:r w:rsidR="0029110D">
          <w:rPr>
            <w:webHidden/>
          </w:rPr>
          <w:t>42</w:t>
        </w:r>
        <w:r w:rsidR="00325C45" w:rsidRPr="00325C45">
          <w:rPr>
            <w:webHidden/>
          </w:rPr>
          <w:fldChar w:fldCharType="end"/>
        </w:r>
      </w:hyperlink>
    </w:p>
    <w:p w14:paraId="2D1A6D6D" w14:textId="4C0B6464" w:rsidR="00325C45" w:rsidRPr="00325C45" w:rsidRDefault="00954DDF" w:rsidP="00325C45">
      <w:pPr>
        <w:pStyle w:val="31"/>
        <w:rPr>
          <w:rFonts w:eastAsiaTheme="minorEastAsia"/>
          <w:lang w:eastAsia="ru-RU"/>
        </w:rPr>
      </w:pPr>
      <w:hyperlink w:anchor="_Toc120288149" w:history="1">
        <w:r w:rsidR="00325C45" w:rsidRPr="00325C45">
          <w:rPr>
            <w:rStyle w:val="aa"/>
          </w:rPr>
          <w:t>3.3.5. Репродуктивная и онтогенетическая токсичность</w:t>
        </w:r>
        <w:r w:rsidR="00325C45" w:rsidRPr="00325C45">
          <w:rPr>
            <w:webHidden/>
          </w:rPr>
          <w:tab/>
        </w:r>
        <w:r w:rsidR="00325C45" w:rsidRPr="00325C45">
          <w:rPr>
            <w:webHidden/>
          </w:rPr>
          <w:fldChar w:fldCharType="begin"/>
        </w:r>
        <w:r w:rsidR="00325C45" w:rsidRPr="00325C45">
          <w:rPr>
            <w:webHidden/>
          </w:rPr>
          <w:instrText xml:space="preserve"> PAGEREF _Toc120288149 \h </w:instrText>
        </w:r>
        <w:r w:rsidR="00325C45" w:rsidRPr="00325C45">
          <w:rPr>
            <w:webHidden/>
          </w:rPr>
        </w:r>
        <w:r w:rsidR="00325C45" w:rsidRPr="00325C45">
          <w:rPr>
            <w:webHidden/>
          </w:rPr>
          <w:fldChar w:fldCharType="separate"/>
        </w:r>
        <w:r w:rsidR="0029110D">
          <w:rPr>
            <w:webHidden/>
          </w:rPr>
          <w:t>43</w:t>
        </w:r>
        <w:r w:rsidR="00325C45" w:rsidRPr="00325C45">
          <w:rPr>
            <w:webHidden/>
          </w:rPr>
          <w:fldChar w:fldCharType="end"/>
        </w:r>
      </w:hyperlink>
    </w:p>
    <w:p w14:paraId="69E4A79E" w14:textId="18D80F4C"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50" w:history="1">
        <w:r w:rsidR="00325C45" w:rsidRPr="00325C45">
          <w:rPr>
            <w:rStyle w:val="aa"/>
            <w:noProof/>
          </w:rPr>
          <w:t>3.3.5.1. Влияние на фертильность и ранняя эмбриональная токсичность</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_Toc120288150 \h </w:instrText>
        </w:r>
        <w:r w:rsidR="00325C45" w:rsidRPr="00325C45">
          <w:rPr>
            <w:noProof/>
            <w:webHidden/>
          </w:rPr>
        </w:r>
        <w:r w:rsidR="00325C45" w:rsidRPr="00325C45">
          <w:rPr>
            <w:noProof/>
            <w:webHidden/>
          </w:rPr>
          <w:fldChar w:fldCharType="separate"/>
        </w:r>
        <w:r w:rsidR="0029110D">
          <w:rPr>
            <w:noProof/>
            <w:webHidden/>
          </w:rPr>
          <w:t>44</w:t>
        </w:r>
        <w:r w:rsidR="00325C45" w:rsidRPr="00325C45">
          <w:rPr>
            <w:noProof/>
            <w:webHidden/>
          </w:rPr>
          <w:fldChar w:fldCharType="end"/>
        </w:r>
      </w:hyperlink>
    </w:p>
    <w:p w14:paraId="03FF3B02" w14:textId="6612BE42"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51" w:history="1">
        <w:r w:rsidR="00325C45" w:rsidRPr="00325C45">
          <w:rPr>
            <w:rStyle w:val="aa"/>
            <w:noProof/>
          </w:rPr>
          <w:t>3.3.5.2. Эмбрио-фетальная токсичность</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_Toc120288151 \h </w:instrText>
        </w:r>
        <w:r w:rsidR="00325C45" w:rsidRPr="00325C45">
          <w:rPr>
            <w:noProof/>
            <w:webHidden/>
          </w:rPr>
        </w:r>
        <w:r w:rsidR="00325C45" w:rsidRPr="00325C45">
          <w:rPr>
            <w:noProof/>
            <w:webHidden/>
          </w:rPr>
          <w:fldChar w:fldCharType="separate"/>
        </w:r>
        <w:r w:rsidR="0029110D">
          <w:rPr>
            <w:noProof/>
            <w:webHidden/>
          </w:rPr>
          <w:t>44</w:t>
        </w:r>
        <w:r w:rsidR="00325C45" w:rsidRPr="00325C45">
          <w:rPr>
            <w:noProof/>
            <w:webHidden/>
          </w:rPr>
          <w:fldChar w:fldCharType="end"/>
        </w:r>
      </w:hyperlink>
    </w:p>
    <w:p w14:paraId="718770B3" w14:textId="199624A4"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52" w:history="1">
        <w:r w:rsidR="00325C45" w:rsidRPr="00325C45">
          <w:rPr>
            <w:rStyle w:val="aa"/>
            <w:noProof/>
          </w:rPr>
          <w:t>3.3.5.3. Влияние на пренатальное и постнатальное развитие</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_Toc120288152 \h </w:instrText>
        </w:r>
        <w:r w:rsidR="00325C45" w:rsidRPr="00325C45">
          <w:rPr>
            <w:noProof/>
            <w:webHidden/>
          </w:rPr>
        </w:r>
        <w:r w:rsidR="00325C45" w:rsidRPr="00325C45">
          <w:rPr>
            <w:noProof/>
            <w:webHidden/>
          </w:rPr>
          <w:fldChar w:fldCharType="separate"/>
        </w:r>
        <w:r w:rsidR="0029110D">
          <w:rPr>
            <w:noProof/>
            <w:webHidden/>
          </w:rPr>
          <w:t>44</w:t>
        </w:r>
        <w:r w:rsidR="00325C45" w:rsidRPr="00325C45">
          <w:rPr>
            <w:noProof/>
            <w:webHidden/>
          </w:rPr>
          <w:fldChar w:fldCharType="end"/>
        </w:r>
      </w:hyperlink>
    </w:p>
    <w:p w14:paraId="73FB6CF9" w14:textId="6867CCFD"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53" w:history="1">
        <w:r w:rsidR="00325C45" w:rsidRPr="00325C45">
          <w:rPr>
            <w:rStyle w:val="aa"/>
            <w:noProof/>
          </w:rPr>
          <w:t>3.3.5.4. Ювенильная токсичность</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_Toc120288153 \h </w:instrText>
        </w:r>
        <w:r w:rsidR="00325C45" w:rsidRPr="00325C45">
          <w:rPr>
            <w:noProof/>
            <w:webHidden/>
          </w:rPr>
        </w:r>
        <w:r w:rsidR="00325C45" w:rsidRPr="00325C45">
          <w:rPr>
            <w:noProof/>
            <w:webHidden/>
          </w:rPr>
          <w:fldChar w:fldCharType="separate"/>
        </w:r>
        <w:r w:rsidR="0029110D">
          <w:rPr>
            <w:noProof/>
            <w:webHidden/>
          </w:rPr>
          <w:t>45</w:t>
        </w:r>
        <w:r w:rsidR="00325C45" w:rsidRPr="00325C45">
          <w:rPr>
            <w:noProof/>
            <w:webHidden/>
          </w:rPr>
          <w:fldChar w:fldCharType="end"/>
        </w:r>
      </w:hyperlink>
    </w:p>
    <w:p w14:paraId="0F9086AB" w14:textId="3A78A248" w:rsidR="00325C45" w:rsidRPr="00325C45" w:rsidRDefault="00954DDF" w:rsidP="00325C45">
      <w:pPr>
        <w:pStyle w:val="31"/>
        <w:rPr>
          <w:rFonts w:eastAsiaTheme="minorEastAsia"/>
          <w:lang w:eastAsia="ru-RU"/>
        </w:rPr>
      </w:pPr>
      <w:hyperlink w:anchor="_Toc120288154" w:history="1">
        <w:r w:rsidR="00325C45" w:rsidRPr="00325C45">
          <w:rPr>
            <w:rStyle w:val="aa"/>
          </w:rPr>
          <w:t>3.3.6. Местная переносимость</w:t>
        </w:r>
        <w:r w:rsidR="00325C45" w:rsidRPr="00325C45">
          <w:rPr>
            <w:webHidden/>
          </w:rPr>
          <w:tab/>
        </w:r>
        <w:r w:rsidR="00325C45" w:rsidRPr="00325C45">
          <w:rPr>
            <w:webHidden/>
          </w:rPr>
          <w:fldChar w:fldCharType="begin"/>
        </w:r>
        <w:r w:rsidR="00325C45" w:rsidRPr="00325C45">
          <w:rPr>
            <w:webHidden/>
          </w:rPr>
          <w:instrText xml:space="preserve"> PAGEREF _Toc120288154 \h </w:instrText>
        </w:r>
        <w:r w:rsidR="00325C45" w:rsidRPr="00325C45">
          <w:rPr>
            <w:webHidden/>
          </w:rPr>
        </w:r>
        <w:r w:rsidR="00325C45" w:rsidRPr="00325C45">
          <w:rPr>
            <w:webHidden/>
          </w:rPr>
          <w:fldChar w:fldCharType="separate"/>
        </w:r>
        <w:r w:rsidR="0029110D">
          <w:rPr>
            <w:webHidden/>
          </w:rPr>
          <w:t>45</w:t>
        </w:r>
        <w:r w:rsidR="00325C45" w:rsidRPr="00325C45">
          <w:rPr>
            <w:webHidden/>
          </w:rPr>
          <w:fldChar w:fldCharType="end"/>
        </w:r>
      </w:hyperlink>
    </w:p>
    <w:p w14:paraId="368B0B7D" w14:textId="03924535" w:rsidR="00325C45" w:rsidRPr="00325C45" w:rsidRDefault="00954DDF" w:rsidP="00325C45">
      <w:pPr>
        <w:pStyle w:val="31"/>
        <w:rPr>
          <w:rFonts w:eastAsiaTheme="minorEastAsia"/>
          <w:lang w:eastAsia="ru-RU"/>
        </w:rPr>
      </w:pPr>
      <w:hyperlink w:anchor="_Toc120288155" w:history="1">
        <w:r w:rsidR="00325C45" w:rsidRPr="00325C45">
          <w:rPr>
            <w:rStyle w:val="aa"/>
          </w:rPr>
          <w:t>3.3.7. Токсикокинетика</w:t>
        </w:r>
        <w:r w:rsidR="00325C45" w:rsidRPr="00325C45">
          <w:rPr>
            <w:webHidden/>
          </w:rPr>
          <w:tab/>
        </w:r>
        <w:r w:rsidR="00325C45" w:rsidRPr="00325C45">
          <w:rPr>
            <w:webHidden/>
          </w:rPr>
          <w:fldChar w:fldCharType="begin"/>
        </w:r>
        <w:r w:rsidR="00325C45" w:rsidRPr="00325C45">
          <w:rPr>
            <w:webHidden/>
          </w:rPr>
          <w:instrText xml:space="preserve"> PAGEREF _Toc120288155 \h </w:instrText>
        </w:r>
        <w:r w:rsidR="00325C45" w:rsidRPr="00325C45">
          <w:rPr>
            <w:webHidden/>
          </w:rPr>
        </w:r>
        <w:r w:rsidR="00325C45" w:rsidRPr="00325C45">
          <w:rPr>
            <w:webHidden/>
          </w:rPr>
          <w:fldChar w:fldCharType="separate"/>
        </w:r>
        <w:r w:rsidR="0029110D">
          <w:rPr>
            <w:webHidden/>
          </w:rPr>
          <w:t>45</w:t>
        </w:r>
        <w:r w:rsidR="00325C45" w:rsidRPr="00325C45">
          <w:rPr>
            <w:webHidden/>
          </w:rPr>
          <w:fldChar w:fldCharType="end"/>
        </w:r>
      </w:hyperlink>
    </w:p>
    <w:p w14:paraId="0F448B30" w14:textId="53230F32" w:rsidR="00325C45" w:rsidRPr="00325C45" w:rsidRDefault="00954DDF" w:rsidP="00325C45">
      <w:pPr>
        <w:pStyle w:val="31"/>
        <w:rPr>
          <w:rFonts w:eastAsiaTheme="minorEastAsia"/>
          <w:lang w:eastAsia="ru-RU"/>
        </w:rPr>
      </w:pPr>
      <w:hyperlink w:anchor="_Toc120288156" w:history="1">
        <w:r w:rsidR="00325C45" w:rsidRPr="00325C45">
          <w:rPr>
            <w:rStyle w:val="aa"/>
          </w:rPr>
          <w:t>3.3.8. Прочие исследования</w:t>
        </w:r>
        <w:r w:rsidR="00325C45" w:rsidRPr="00325C45">
          <w:rPr>
            <w:webHidden/>
          </w:rPr>
          <w:tab/>
        </w:r>
        <w:r w:rsidR="00325C45" w:rsidRPr="00325C45">
          <w:rPr>
            <w:webHidden/>
          </w:rPr>
          <w:fldChar w:fldCharType="begin"/>
        </w:r>
        <w:r w:rsidR="00325C45" w:rsidRPr="00325C45">
          <w:rPr>
            <w:webHidden/>
          </w:rPr>
          <w:instrText xml:space="preserve"> PAGEREF _Toc120288156 \h </w:instrText>
        </w:r>
        <w:r w:rsidR="00325C45" w:rsidRPr="00325C45">
          <w:rPr>
            <w:webHidden/>
          </w:rPr>
        </w:r>
        <w:r w:rsidR="00325C45" w:rsidRPr="00325C45">
          <w:rPr>
            <w:webHidden/>
          </w:rPr>
          <w:fldChar w:fldCharType="separate"/>
        </w:r>
        <w:r w:rsidR="0029110D">
          <w:rPr>
            <w:webHidden/>
          </w:rPr>
          <w:t>46</w:t>
        </w:r>
        <w:r w:rsidR="00325C45" w:rsidRPr="00325C45">
          <w:rPr>
            <w:webHidden/>
          </w:rPr>
          <w:fldChar w:fldCharType="end"/>
        </w:r>
      </w:hyperlink>
    </w:p>
    <w:p w14:paraId="539C5C92" w14:textId="081C2A20"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57" w:history="1">
        <w:r w:rsidR="00325C45" w:rsidRPr="00325C45">
          <w:rPr>
            <w:rStyle w:val="aa"/>
            <w:noProof/>
          </w:rPr>
          <w:t>3.3.8.1. Фототоксичность</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_Toc120288157 \h </w:instrText>
        </w:r>
        <w:r w:rsidR="00325C45" w:rsidRPr="00325C45">
          <w:rPr>
            <w:noProof/>
            <w:webHidden/>
          </w:rPr>
        </w:r>
        <w:r w:rsidR="00325C45" w:rsidRPr="00325C45">
          <w:rPr>
            <w:noProof/>
            <w:webHidden/>
          </w:rPr>
          <w:fldChar w:fldCharType="separate"/>
        </w:r>
        <w:r w:rsidR="0029110D">
          <w:rPr>
            <w:noProof/>
            <w:webHidden/>
          </w:rPr>
          <w:t>47</w:t>
        </w:r>
        <w:r w:rsidR="00325C45" w:rsidRPr="00325C45">
          <w:rPr>
            <w:noProof/>
            <w:webHidden/>
          </w:rPr>
          <w:fldChar w:fldCharType="end"/>
        </w:r>
      </w:hyperlink>
    </w:p>
    <w:p w14:paraId="3098265B" w14:textId="4C3F19EF"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58" w:history="1">
        <w:r w:rsidR="00325C45" w:rsidRPr="00325C45">
          <w:rPr>
            <w:rStyle w:val="aa"/>
            <w:noProof/>
          </w:rPr>
          <w:t>3.3.8.2. Иммунотоксичность</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_Toc120288158 \h </w:instrText>
        </w:r>
        <w:r w:rsidR="00325C45" w:rsidRPr="00325C45">
          <w:rPr>
            <w:noProof/>
            <w:webHidden/>
          </w:rPr>
        </w:r>
        <w:r w:rsidR="00325C45" w:rsidRPr="00325C45">
          <w:rPr>
            <w:noProof/>
            <w:webHidden/>
          </w:rPr>
          <w:fldChar w:fldCharType="separate"/>
        </w:r>
        <w:r w:rsidR="0029110D">
          <w:rPr>
            <w:noProof/>
            <w:webHidden/>
          </w:rPr>
          <w:t>47</w:t>
        </w:r>
        <w:r w:rsidR="00325C45" w:rsidRPr="00325C45">
          <w:rPr>
            <w:noProof/>
            <w:webHidden/>
          </w:rPr>
          <w:fldChar w:fldCharType="end"/>
        </w:r>
      </w:hyperlink>
    </w:p>
    <w:p w14:paraId="58043850" w14:textId="37955A81"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59" w:history="1">
        <w:r w:rsidR="00325C45" w:rsidRPr="00325C45">
          <w:rPr>
            <w:rStyle w:val="aa"/>
            <w:noProof/>
          </w:rPr>
          <w:t>3.3.8.3. Токсичность метаболитов</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_Toc120288159 \h </w:instrText>
        </w:r>
        <w:r w:rsidR="00325C45" w:rsidRPr="00325C45">
          <w:rPr>
            <w:noProof/>
            <w:webHidden/>
          </w:rPr>
        </w:r>
        <w:r w:rsidR="00325C45" w:rsidRPr="00325C45">
          <w:rPr>
            <w:noProof/>
            <w:webHidden/>
          </w:rPr>
          <w:fldChar w:fldCharType="separate"/>
        </w:r>
        <w:r w:rsidR="0029110D">
          <w:rPr>
            <w:noProof/>
            <w:webHidden/>
          </w:rPr>
          <w:t>47</w:t>
        </w:r>
        <w:r w:rsidR="00325C45" w:rsidRPr="00325C45">
          <w:rPr>
            <w:noProof/>
            <w:webHidden/>
          </w:rPr>
          <w:fldChar w:fldCharType="end"/>
        </w:r>
      </w:hyperlink>
    </w:p>
    <w:p w14:paraId="34F14B4D" w14:textId="4B059501"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60" w:history="1">
        <w:r w:rsidR="00325C45" w:rsidRPr="00325C45">
          <w:rPr>
            <w:rStyle w:val="aa"/>
            <w:noProof/>
          </w:rPr>
          <w:t>3.3.8.4. Токсичность примесей</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_Toc120288160 \h </w:instrText>
        </w:r>
        <w:r w:rsidR="00325C45" w:rsidRPr="00325C45">
          <w:rPr>
            <w:noProof/>
            <w:webHidden/>
          </w:rPr>
        </w:r>
        <w:r w:rsidR="00325C45" w:rsidRPr="00325C45">
          <w:rPr>
            <w:noProof/>
            <w:webHidden/>
          </w:rPr>
          <w:fldChar w:fldCharType="separate"/>
        </w:r>
        <w:r w:rsidR="0029110D">
          <w:rPr>
            <w:noProof/>
            <w:webHidden/>
          </w:rPr>
          <w:t>47</w:t>
        </w:r>
        <w:r w:rsidR="00325C45" w:rsidRPr="00325C45">
          <w:rPr>
            <w:noProof/>
            <w:webHidden/>
          </w:rPr>
          <w:fldChar w:fldCharType="end"/>
        </w:r>
      </w:hyperlink>
    </w:p>
    <w:p w14:paraId="27E29494" w14:textId="55AF7F29" w:rsidR="00325C45" w:rsidRPr="00325C45" w:rsidRDefault="00954DDF" w:rsidP="00325C45">
      <w:pPr>
        <w:pStyle w:val="21"/>
        <w:tabs>
          <w:tab w:val="clear" w:pos="9345"/>
          <w:tab w:val="right" w:leader="dot" w:pos="9356"/>
        </w:tabs>
        <w:rPr>
          <w:rFonts w:eastAsiaTheme="minorEastAsia"/>
          <w:noProof/>
          <w:lang w:eastAsia="ru-RU"/>
        </w:rPr>
      </w:pPr>
      <w:hyperlink w:anchor="_Toc120288161" w:history="1">
        <w:r w:rsidR="00325C45" w:rsidRPr="00325C45">
          <w:rPr>
            <w:rStyle w:val="aa"/>
            <w:noProof/>
          </w:rPr>
          <w:t>Список</w:t>
        </w:r>
        <w:r w:rsidR="00325C45" w:rsidRPr="00325C45">
          <w:rPr>
            <w:rStyle w:val="aa"/>
            <w:noProof/>
            <w:lang w:val="en-US"/>
          </w:rPr>
          <w:t xml:space="preserve"> </w:t>
        </w:r>
        <w:r w:rsidR="00325C45" w:rsidRPr="00325C45">
          <w:rPr>
            <w:rStyle w:val="aa"/>
            <w:noProof/>
          </w:rPr>
          <w:t>литературы</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_Toc120288161 \h </w:instrText>
        </w:r>
        <w:r w:rsidR="00325C45" w:rsidRPr="00325C45">
          <w:rPr>
            <w:noProof/>
            <w:webHidden/>
          </w:rPr>
        </w:r>
        <w:r w:rsidR="00325C45" w:rsidRPr="00325C45">
          <w:rPr>
            <w:noProof/>
            <w:webHidden/>
          </w:rPr>
          <w:fldChar w:fldCharType="separate"/>
        </w:r>
        <w:r w:rsidR="0029110D">
          <w:rPr>
            <w:noProof/>
            <w:webHidden/>
          </w:rPr>
          <w:t>47</w:t>
        </w:r>
        <w:r w:rsidR="00325C45" w:rsidRPr="00325C45">
          <w:rPr>
            <w:noProof/>
            <w:webHidden/>
          </w:rPr>
          <w:fldChar w:fldCharType="end"/>
        </w:r>
      </w:hyperlink>
    </w:p>
    <w:p w14:paraId="3A6AAFCF" w14:textId="48305EB7" w:rsidR="00325C45" w:rsidRPr="00325C45" w:rsidRDefault="00954DDF" w:rsidP="00325C45">
      <w:pPr>
        <w:pStyle w:val="14"/>
        <w:tabs>
          <w:tab w:val="clear" w:pos="9214"/>
          <w:tab w:val="right" w:leader="dot" w:pos="9356"/>
        </w:tabs>
        <w:rPr>
          <w:rFonts w:eastAsiaTheme="minorEastAsia"/>
          <w:lang w:eastAsia="ru-RU"/>
        </w:rPr>
      </w:pPr>
      <w:hyperlink w:anchor="_Toc120288162" w:history="1">
        <w:r w:rsidR="00325C45" w:rsidRPr="00325C45">
          <w:rPr>
            <w:rStyle w:val="aa"/>
            <w:lang w:val="en-US"/>
          </w:rPr>
          <w:t xml:space="preserve">4. </w:t>
        </w:r>
        <w:r w:rsidR="00325C45" w:rsidRPr="00325C45">
          <w:rPr>
            <w:rStyle w:val="aa"/>
          </w:rPr>
          <w:t>ДЕЙСТВИЕ</w:t>
        </w:r>
        <w:r w:rsidR="00325C45" w:rsidRPr="00325C45">
          <w:rPr>
            <w:rStyle w:val="aa"/>
            <w:lang w:val="en-US"/>
          </w:rPr>
          <w:t xml:space="preserve"> </w:t>
        </w:r>
        <w:r w:rsidR="00325C45" w:rsidRPr="00325C45">
          <w:rPr>
            <w:rStyle w:val="aa"/>
          </w:rPr>
          <w:t>У</w:t>
        </w:r>
        <w:r w:rsidR="00325C45" w:rsidRPr="00325C45">
          <w:rPr>
            <w:rStyle w:val="aa"/>
            <w:lang w:val="en-US"/>
          </w:rPr>
          <w:t xml:space="preserve"> </w:t>
        </w:r>
        <w:r w:rsidR="00325C45" w:rsidRPr="00325C45">
          <w:rPr>
            <w:rStyle w:val="aa"/>
          </w:rPr>
          <w:t>ЧЕЛОВЕКА</w:t>
        </w:r>
        <w:r w:rsidR="00325C45" w:rsidRPr="00325C45">
          <w:rPr>
            <w:webHidden/>
          </w:rPr>
          <w:tab/>
        </w:r>
        <w:r w:rsidR="00325C45" w:rsidRPr="00325C45">
          <w:rPr>
            <w:webHidden/>
          </w:rPr>
          <w:fldChar w:fldCharType="begin"/>
        </w:r>
        <w:r w:rsidR="00325C45" w:rsidRPr="00325C45">
          <w:rPr>
            <w:webHidden/>
          </w:rPr>
          <w:instrText xml:space="preserve"> PAGEREF _Toc120288162 \h </w:instrText>
        </w:r>
        <w:r w:rsidR="00325C45" w:rsidRPr="00325C45">
          <w:rPr>
            <w:webHidden/>
          </w:rPr>
        </w:r>
        <w:r w:rsidR="00325C45" w:rsidRPr="00325C45">
          <w:rPr>
            <w:webHidden/>
          </w:rPr>
          <w:fldChar w:fldCharType="separate"/>
        </w:r>
        <w:r w:rsidR="0029110D">
          <w:rPr>
            <w:webHidden/>
          </w:rPr>
          <w:t>47</w:t>
        </w:r>
        <w:r w:rsidR="00325C45" w:rsidRPr="00325C45">
          <w:rPr>
            <w:webHidden/>
          </w:rPr>
          <w:fldChar w:fldCharType="end"/>
        </w:r>
      </w:hyperlink>
    </w:p>
    <w:p w14:paraId="29E75AF6" w14:textId="20265C4E" w:rsidR="00325C45" w:rsidRPr="00325C45" w:rsidRDefault="00954DDF" w:rsidP="00325C45">
      <w:pPr>
        <w:pStyle w:val="21"/>
        <w:tabs>
          <w:tab w:val="clear" w:pos="9345"/>
          <w:tab w:val="right" w:leader="dot" w:pos="9356"/>
        </w:tabs>
        <w:rPr>
          <w:rFonts w:eastAsiaTheme="minorEastAsia"/>
          <w:noProof/>
          <w:lang w:eastAsia="ru-RU"/>
        </w:rPr>
      </w:pPr>
      <w:hyperlink w:anchor="_Toc120288163" w:history="1">
        <w:r w:rsidR="00325C45" w:rsidRPr="00325C45">
          <w:rPr>
            <w:rStyle w:val="aa"/>
            <w:noProof/>
          </w:rPr>
          <w:t>Введение и резюме</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_Toc120288163 \h </w:instrText>
        </w:r>
        <w:r w:rsidR="00325C45" w:rsidRPr="00325C45">
          <w:rPr>
            <w:noProof/>
            <w:webHidden/>
          </w:rPr>
        </w:r>
        <w:r w:rsidR="00325C45" w:rsidRPr="00325C45">
          <w:rPr>
            <w:noProof/>
            <w:webHidden/>
          </w:rPr>
          <w:fldChar w:fldCharType="separate"/>
        </w:r>
        <w:r w:rsidR="0029110D">
          <w:rPr>
            <w:noProof/>
            <w:webHidden/>
          </w:rPr>
          <w:t>47</w:t>
        </w:r>
        <w:r w:rsidR="00325C45" w:rsidRPr="00325C45">
          <w:rPr>
            <w:noProof/>
            <w:webHidden/>
          </w:rPr>
          <w:fldChar w:fldCharType="end"/>
        </w:r>
      </w:hyperlink>
    </w:p>
    <w:p w14:paraId="2B996323" w14:textId="7E7D75D7" w:rsidR="00325C45" w:rsidRPr="00325C45" w:rsidRDefault="00954DDF" w:rsidP="00325C45">
      <w:pPr>
        <w:pStyle w:val="21"/>
        <w:tabs>
          <w:tab w:val="clear" w:pos="9345"/>
          <w:tab w:val="right" w:leader="dot" w:pos="9356"/>
        </w:tabs>
        <w:rPr>
          <w:rFonts w:eastAsiaTheme="minorEastAsia"/>
          <w:noProof/>
          <w:lang w:eastAsia="ru-RU"/>
        </w:rPr>
      </w:pPr>
      <w:hyperlink w:anchor="_Toc120288164" w:history="1">
        <w:r w:rsidR="00325C45" w:rsidRPr="00325C45">
          <w:rPr>
            <w:rStyle w:val="aa"/>
            <w:noProof/>
          </w:rPr>
          <w:t>4.1. Фармакокинетика и фармакодинамика у человека</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_Toc120288164 \h </w:instrText>
        </w:r>
        <w:r w:rsidR="00325C45" w:rsidRPr="00325C45">
          <w:rPr>
            <w:noProof/>
            <w:webHidden/>
          </w:rPr>
        </w:r>
        <w:r w:rsidR="00325C45" w:rsidRPr="00325C45">
          <w:rPr>
            <w:noProof/>
            <w:webHidden/>
          </w:rPr>
          <w:fldChar w:fldCharType="separate"/>
        </w:r>
        <w:r w:rsidR="0029110D">
          <w:rPr>
            <w:noProof/>
            <w:webHidden/>
          </w:rPr>
          <w:t>49</w:t>
        </w:r>
        <w:r w:rsidR="00325C45" w:rsidRPr="00325C45">
          <w:rPr>
            <w:noProof/>
            <w:webHidden/>
          </w:rPr>
          <w:fldChar w:fldCharType="end"/>
        </w:r>
      </w:hyperlink>
    </w:p>
    <w:p w14:paraId="367D1267" w14:textId="64A449BE" w:rsidR="00325C45" w:rsidRPr="00325C45" w:rsidRDefault="00954DDF" w:rsidP="00325C45">
      <w:pPr>
        <w:pStyle w:val="31"/>
        <w:rPr>
          <w:rFonts w:eastAsiaTheme="minorEastAsia"/>
          <w:lang w:eastAsia="ru-RU"/>
        </w:rPr>
      </w:pPr>
      <w:hyperlink w:anchor="_Toc120288165" w:history="1">
        <w:r w:rsidR="00325C45" w:rsidRPr="00325C45">
          <w:rPr>
            <w:rStyle w:val="aa"/>
          </w:rPr>
          <w:t>4.1.1. Фармакокинетика</w:t>
        </w:r>
        <w:r w:rsidR="00325C45" w:rsidRPr="00325C45">
          <w:rPr>
            <w:webHidden/>
          </w:rPr>
          <w:tab/>
        </w:r>
        <w:r w:rsidR="00325C45" w:rsidRPr="00325C45">
          <w:rPr>
            <w:webHidden/>
          </w:rPr>
          <w:fldChar w:fldCharType="begin"/>
        </w:r>
        <w:r w:rsidR="00325C45" w:rsidRPr="00325C45">
          <w:rPr>
            <w:webHidden/>
          </w:rPr>
          <w:instrText xml:space="preserve"> PAGEREF _Toc120288165 \h </w:instrText>
        </w:r>
        <w:r w:rsidR="00325C45" w:rsidRPr="00325C45">
          <w:rPr>
            <w:webHidden/>
          </w:rPr>
        </w:r>
        <w:r w:rsidR="00325C45" w:rsidRPr="00325C45">
          <w:rPr>
            <w:webHidden/>
          </w:rPr>
          <w:fldChar w:fldCharType="separate"/>
        </w:r>
        <w:r w:rsidR="0029110D">
          <w:rPr>
            <w:webHidden/>
          </w:rPr>
          <w:t>49</w:t>
        </w:r>
        <w:r w:rsidR="00325C45" w:rsidRPr="00325C45">
          <w:rPr>
            <w:webHidden/>
          </w:rPr>
          <w:fldChar w:fldCharType="end"/>
        </w:r>
      </w:hyperlink>
    </w:p>
    <w:p w14:paraId="7737C757" w14:textId="1ABEC4F0" w:rsidR="00325C45" w:rsidRPr="00325C45" w:rsidRDefault="00954DDF" w:rsidP="00325C45">
      <w:pPr>
        <w:pStyle w:val="31"/>
        <w:rPr>
          <w:rFonts w:eastAsiaTheme="minorEastAsia"/>
          <w:lang w:eastAsia="ru-RU"/>
        </w:rPr>
      </w:pPr>
      <w:hyperlink w:anchor="_Toc120288166" w:history="1">
        <w:r w:rsidR="00325C45" w:rsidRPr="00325C45">
          <w:rPr>
            <w:rStyle w:val="aa"/>
          </w:rPr>
          <w:t>4.1.2. Фармакодинамика у человека</w:t>
        </w:r>
        <w:r w:rsidR="00325C45" w:rsidRPr="00325C45">
          <w:rPr>
            <w:webHidden/>
          </w:rPr>
          <w:tab/>
        </w:r>
        <w:r w:rsidR="00325C45" w:rsidRPr="00325C45">
          <w:rPr>
            <w:webHidden/>
          </w:rPr>
          <w:fldChar w:fldCharType="begin"/>
        </w:r>
        <w:r w:rsidR="00325C45" w:rsidRPr="00325C45">
          <w:rPr>
            <w:webHidden/>
          </w:rPr>
          <w:instrText xml:space="preserve"> PAGEREF _Toc120288166 \h </w:instrText>
        </w:r>
        <w:r w:rsidR="00325C45" w:rsidRPr="00325C45">
          <w:rPr>
            <w:webHidden/>
          </w:rPr>
        </w:r>
        <w:r w:rsidR="00325C45" w:rsidRPr="00325C45">
          <w:rPr>
            <w:webHidden/>
          </w:rPr>
          <w:fldChar w:fldCharType="separate"/>
        </w:r>
        <w:r w:rsidR="0029110D">
          <w:rPr>
            <w:webHidden/>
          </w:rPr>
          <w:t>54</w:t>
        </w:r>
        <w:r w:rsidR="00325C45" w:rsidRPr="00325C45">
          <w:rPr>
            <w:webHidden/>
          </w:rPr>
          <w:fldChar w:fldCharType="end"/>
        </w:r>
      </w:hyperlink>
    </w:p>
    <w:p w14:paraId="31E75136" w14:textId="114511FA"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67" w:history="1">
        <w:r w:rsidR="00325C45" w:rsidRPr="00325C45">
          <w:rPr>
            <w:rStyle w:val="aa"/>
            <w:noProof/>
          </w:rPr>
          <w:t>4.1.2.1. Первичная фармакодинамика и механизм действия</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_Toc120288167 \h </w:instrText>
        </w:r>
        <w:r w:rsidR="00325C45" w:rsidRPr="00325C45">
          <w:rPr>
            <w:noProof/>
            <w:webHidden/>
          </w:rPr>
        </w:r>
        <w:r w:rsidR="00325C45" w:rsidRPr="00325C45">
          <w:rPr>
            <w:noProof/>
            <w:webHidden/>
          </w:rPr>
          <w:fldChar w:fldCharType="separate"/>
        </w:r>
        <w:r w:rsidR="0029110D">
          <w:rPr>
            <w:noProof/>
            <w:webHidden/>
          </w:rPr>
          <w:t>54</w:t>
        </w:r>
        <w:r w:rsidR="00325C45" w:rsidRPr="00325C45">
          <w:rPr>
            <w:noProof/>
            <w:webHidden/>
          </w:rPr>
          <w:fldChar w:fldCharType="end"/>
        </w:r>
      </w:hyperlink>
    </w:p>
    <w:p w14:paraId="12236128" w14:textId="2461AC8D"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68" w:history="1">
        <w:r w:rsidR="00325C45" w:rsidRPr="00325C45">
          <w:rPr>
            <w:rStyle w:val="aa"/>
            <w:noProof/>
          </w:rPr>
          <w:t>4.1.2.2. Вторичная фармакодинамика</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_Toc120288168 \h </w:instrText>
        </w:r>
        <w:r w:rsidR="00325C45" w:rsidRPr="00325C45">
          <w:rPr>
            <w:noProof/>
            <w:webHidden/>
          </w:rPr>
        </w:r>
        <w:r w:rsidR="00325C45" w:rsidRPr="00325C45">
          <w:rPr>
            <w:noProof/>
            <w:webHidden/>
          </w:rPr>
          <w:fldChar w:fldCharType="separate"/>
        </w:r>
        <w:r w:rsidR="0029110D">
          <w:rPr>
            <w:noProof/>
            <w:webHidden/>
          </w:rPr>
          <w:t>55</w:t>
        </w:r>
        <w:r w:rsidR="00325C45" w:rsidRPr="00325C45">
          <w:rPr>
            <w:noProof/>
            <w:webHidden/>
          </w:rPr>
          <w:fldChar w:fldCharType="end"/>
        </w:r>
      </w:hyperlink>
    </w:p>
    <w:p w14:paraId="7252FB84" w14:textId="29A45061"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69" w:history="1">
        <w:r w:rsidR="00325C45" w:rsidRPr="00325C45">
          <w:rPr>
            <w:rStyle w:val="aa"/>
            <w:noProof/>
          </w:rPr>
          <w:t>4.1.2.3. Фармакодинамические лекарственные взаимодействия</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_Toc120288169 \h </w:instrText>
        </w:r>
        <w:r w:rsidR="00325C45" w:rsidRPr="00325C45">
          <w:rPr>
            <w:noProof/>
            <w:webHidden/>
          </w:rPr>
        </w:r>
        <w:r w:rsidR="00325C45" w:rsidRPr="00325C45">
          <w:rPr>
            <w:noProof/>
            <w:webHidden/>
          </w:rPr>
          <w:fldChar w:fldCharType="separate"/>
        </w:r>
        <w:r w:rsidR="0029110D">
          <w:rPr>
            <w:noProof/>
            <w:webHidden/>
          </w:rPr>
          <w:t>55</w:t>
        </w:r>
        <w:r w:rsidR="00325C45" w:rsidRPr="00325C45">
          <w:rPr>
            <w:noProof/>
            <w:webHidden/>
          </w:rPr>
          <w:fldChar w:fldCharType="end"/>
        </w:r>
      </w:hyperlink>
    </w:p>
    <w:p w14:paraId="7487FBCC" w14:textId="244B1211" w:rsidR="00325C45" w:rsidRPr="00325C45" w:rsidRDefault="00954DDF" w:rsidP="00325C45">
      <w:pPr>
        <w:pStyle w:val="21"/>
        <w:tabs>
          <w:tab w:val="clear" w:pos="9345"/>
          <w:tab w:val="right" w:leader="dot" w:pos="9356"/>
        </w:tabs>
        <w:rPr>
          <w:rFonts w:eastAsiaTheme="minorEastAsia"/>
          <w:noProof/>
          <w:lang w:eastAsia="ru-RU"/>
        </w:rPr>
      </w:pPr>
      <w:hyperlink w:anchor="_Toc120288170" w:history="1">
        <w:r w:rsidR="00325C45" w:rsidRPr="00325C45">
          <w:rPr>
            <w:rStyle w:val="aa"/>
            <w:noProof/>
          </w:rPr>
          <w:t>4.2. Безопасность и эффективность</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_Toc120288170 \h </w:instrText>
        </w:r>
        <w:r w:rsidR="00325C45" w:rsidRPr="00325C45">
          <w:rPr>
            <w:noProof/>
            <w:webHidden/>
          </w:rPr>
        </w:r>
        <w:r w:rsidR="00325C45" w:rsidRPr="00325C45">
          <w:rPr>
            <w:noProof/>
            <w:webHidden/>
          </w:rPr>
          <w:fldChar w:fldCharType="separate"/>
        </w:r>
        <w:r w:rsidR="0029110D">
          <w:rPr>
            <w:noProof/>
            <w:webHidden/>
          </w:rPr>
          <w:t>55</w:t>
        </w:r>
        <w:r w:rsidR="00325C45" w:rsidRPr="00325C45">
          <w:rPr>
            <w:noProof/>
            <w:webHidden/>
          </w:rPr>
          <w:fldChar w:fldCharType="end"/>
        </w:r>
      </w:hyperlink>
    </w:p>
    <w:p w14:paraId="1FD3C343" w14:textId="13812F88" w:rsidR="00325C45" w:rsidRPr="00325C45" w:rsidRDefault="00954DDF" w:rsidP="00325C45">
      <w:pPr>
        <w:pStyle w:val="31"/>
        <w:rPr>
          <w:rFonts w:eastAsiaTheme="minorEastAsia"/>
          <w:lang w:eastAsia="ru-RU"/>
        </w:rPr>
      </w:pPr>
      <w:hyperlink w:anchor="_Toc120288171" w:history="1">
        <w:r w:rsidR="00325C45" w:rsidRPr="00325C45">
          <w:rPr>
            <w:rStyle w:val="aa"/>
          </w:rPr>
          <w:t>4.2.1. Клиническая эффективность</w:t>
        </w:r>
        <w:r w:rsidR="00325C45" w:rsidRPr="00325C45">
          <w:rPr>
            <w:webHidden/>
          </w:rPr>
          <w:tab/>
        </w:r>
        <w:r w:rsidR="00325C45" w:rsidRPr="00325C45">
          <w:rPr>
            <w:webHidden/>
          </w:rPr>
          <w:fldChar w:fldCharType="begin"/>
        </w:r>
        <w:r w:rsidR="00325C45" w:rsidRPr="00325C45">
          <w:rPr>
            <w:webHidden/>
          </w:rPr>
          <w:instrText xml:space="preserve"> PAGEREF _Toc120288171 \h </w:instrText>
        </w:r>
        <w:r w:rsidR="00325C45" w:rsidRPr="00325C45">
          <w:rPr>
            <w:webHidden/>
          </w:rPr>
        </w:r>
        <w:r w:rsidR="00325C45" w:rsidRPr="00325C45">
          <w:rPr>
            <w:webHidden/>
          </w:rPr>
          <w:fldChar w:fldCharType="separate"/>
        </w:r>
        <w:r w:rsidR="0029110D">
          <w:rPr>
            <w:webHidden/>
          </w:rPr>
          <w:t>55</w:t>
        </w:r>
        <w:r w:rsidR="00325C45" w:rsidRPr="00325C45">
          <w:rPr>
            <w:webHidden/>
          </w:rPr>
          <w:fldChar w:fldCharType="end"/>
        </w:r>
      </w:hyperlink>
    </w:p>
    <w:p w14:paraId="19F6A873" w14:textId="4C1C5B5E"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72" w:history="1">
        <w:r w:rsidR="00325C45" w:rsidRPr="00325C45">
          <w:rPr>
            <w:rStyle w:val="aa"/>
            <w:noProof/>
          </w:rPr>
          <w:t>4.2.1.1. Ревматоидный артрит</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_Toc120288172 \h </w:instrText>
        </w:r>
        <w:r w:rsidR="00325C45" w:rsidRPr="00325C45">
          <w:rPr>
            <w:noProof/>
            <w:webHidden/>
          </w:rPr>
        </w:r>
        <w:r w:rsidR="00325C45" w:rsidRPr="00325C45">
          <w:rPr>
            <w:noProof/>
            <w:webHidden/>
          </w:rPr>
          <w:fldChar w:fldCharType="separate"/>
        </w:r>
        <w:r w:rsidR="0029110D">
          <w:rPr>
            <w:noProof/>
            <w:webHidden/>
          </w:rPr>
          <w:t>55</w:t>
        </w:r>
        <w:r w:rsidR="00325C45" w:rsidRPr="00325C45">
          <w:rPr>
            <w:noProof/>
            <w:webHidden/>
          </w:rPr>
          <w:fldChar w:fldCharType="end"/>
        </w:r>
      </w:hyperlink>
    </w:p>
    <w:p w14:paraId="26A905B7" w14:textId="5F15A1DE"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73" w:history="1">
        <w:r w:rsidR="00325C45" w:rsidRPr="00325C45">
          <w:rPr>
            <w:rStyle w:val="aa"/>
            <w:noProof/>
          </w:rPr>
          <w:t>4.2.1.2. Атопический дерматит</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_Toc120288173 \h </w:instrText>
        </w:r>
        <w:r w:rsidR="00325C45" w:rsidRPr="00325C45">
          <w:rPr>
            <w:noProof/>
            <w:webHidden/>
          </w:rPr>
        </w:r>
        <w:r w:rsidR="00325C45" w:rsidRPr="00325C45">
          <w:rPr>
            <w:noProof/>
            <w:webHidden/>
          </w:rPr>
          <w:fldChar w:fldCharType="separate"/>
        </w:r>
        <w:r w:rsidR="0029110D">
          <w:rPr>
            <w:noProof/>
            <w:webHidden/>
          </w:rPr>
          <w:t>66</w:t>
        </w:r>
        <w:r w:rsidR="00325C45" w:rsidRPr="00325C45">
          <w:rPr>
            <w:noProof/>
            <w:webHidden/>
          </w:rPr>
          <w:fldChar w:fldCharType="end"/>
        </w:r>
      </w:hyperlink>
    </w:p>
    <w:p w14:paraId="3D4D1153" w14:textId="36A3D991"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74" w:history="1">
        <w:r w:rsidR="00325C45" w:rsidRPr="00325C45">
          <w:rPr>
            <w:rStyle w:val="aa"/>
            <w:noProof/>
          </w:rPr>
          <w:t>4.2.1.3. Очаговая алопеция</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_Toc120288174 \h </w:instrText>
        </w:r>
        <w:r w:rsidR="00325C45" w:rsidRPr="00325C45">
          <w:rPr>
            <w:noProof/>
            <w:webHidden/>
          </w:rPr>
        </w:r>
        <w:r w:rsidR="00325C45" w:rsidRPr="00325C45">
          <w:rPr>
            <w:noProof/>
            <w:webHidden/>
          </w:rPr>
          <w:fldChar w:fldCharType="separate"/>
        </w:r>
        <w:r w:rsidR="0029110D">
          <w:rPr>
            <w:noProof/>
            <w:webHidden/>
          </w:rPr>
          <w:t>71</w:t>
        </w:r>
        <w:r w:rsidR="00325C45" w:rsidRPr="00325C45">
          <w:rPr>
            <w:noProof/>
            <w:webHidden/>
          </w:rPr>
          <w:fldChar w:fldCharType="end"/>
        </w:r>
      </w:hyperlink>
    </w:p>
    <w:p w14:paraId="509E80CE" w14:textId="72556531"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75" w:history="1">
        <w:r w:rsidR="00325C45" w:rsidRPr="00325C45">
          <w:rPr>
            <w:rStyle w:val="aa"/>
            <w:noProof/>
          </w:rPr>
          <w:t>4.2.1.4. COVID-19</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_Toc120288175 \h </w:instrText>
        </w:r>
        <w:r w:rsidR="00325C45" w:rsidRPr="00325C45">
          <w:rPr>
            <w:noProof/>
            <w:webHidden/>
          </w:rPr>
        </w:r>
        <w:r w:rsidR="00325C45" w:rsidRPr="00325C45">
          <w:rPr>
            <w:noProof/>
            <w:webHidden/>
          </w:rPr>
          <w:fldChar w:fldCharType="separate"/>
        </w:r>
        <w:r w:rsidR="0029110D">
          <w:rPr>
            <w:noProof/>
            <w:webHidden/>
          </w:rPr>
          <w:t>73</w:t>
        </w:r>
        <w:r w:rsidR="00325C45" w:rsidRPr="00325C45">
          <w:rPr>
            <w:noProof/>
            <w:webHidden/>
          </w:rPr>
          <w:fldChar w:fldCharType="end"/>
        </w:r>
      </w:hyperlink>
    </w:p>
    <w:p w14:paraId="6BC04F00" w14:textId="2291890D" w:rsidR="00325C45" w:rsidRPr="00325C45" w:rsidRDefault="00954DDF" w:rsidP="00325C45">
      <w:pPr>
        <w:pStyle w:val="31"/>
        <w:rPr>
          <w:rFonts w:eastAsiaTheme="minorEastAsia"/>
          <w:lang w:eastAsia="ru-RU"/>
        </w:rPr>
      </w:pPr>
      <w:hyperlink w:anchor="_Toc120288176" w:history="1">
        <w:r w:rsidR="00325C45" w:rsidRPr="00325C45">
          <w:rPr>
            <w:rStyle w:val="aa"/>
            <w:rFonts w:eastAsia="Times New Roman"/>
            <w:bCs/>
            <w:iCs/>
            <w:lang w:eastAsia="en-US"/>
          </w:rPr>
          <w:t>4.3.2. Клиническая безопасность</w:t>
        </w:r>
        <w:r w:rsidR="00325C45" w:rsidRPr="00325C45">
          <w:rPr>
            <w:webHidden/>
          </w:rPr>
          <w:tab/>
        </w:r>
        <w:r w:rsidR="00325C45" w:rsidRPr="00325C45">
          <w:rPr>
            <w:webHidden/>
          </w:rPr>
          <w:fldChar w:fldCharType="begin"/>
        </w:r>
        <w:r w:rsidR="00325C45" w:rsidRPr="00325C45">
          <w:rPr>
            <w:webHidden/>
          </w:rPr>
          <w:instrText xml:space="preserve"> PAGEREF _Toc120288176 \h </w:instrText>
        </w:r>
        <w:r w:rsidR="00325C45" w:rsidRPr="00325C45">
          <w:rPr>
            <w:webHidden/>
          </w:rPr>
        </w:r>
        <w:r w:rsidR="00325C45" w:rsidRPr="00325C45">
          <w:rPr>
            <w:webHidden/>
          </w:rPr>
          <w:fldChar w:fldCharType="separate"/>
        </w:r>
        <w:r w:rsidR="0029110D">
          <w:rPr>
            <w:webHidden/>
          </w:rPr>
          <w:t>75</w:t>
        </w:r>
        <w:r w:rsidR="00325C45" w:rsidRPr="00325C45">
          <w:rPr>
            <w:webHidden/>
          </w:rPr>
          <w:fldChar w:fldCharType="end"/>
        </w:r>
      </w:hyperlink>
    </w:p>
    <w:p w14:paraId="4BA3AFFB" w14:textId="3284ECD5"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77" w:history="1">
        <w:r w:rsidR="00325C45" w:rsidRPr="00325C45">
          <w:rPr>
            <w:rStyle w:val="aa"/>
            <w:noProof/>
          </w:rPr>
          <w:t>4.3.2.1. Безопасность пациентов с ревматоидным артритом</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_Toc120288177 \h </w:instrText>
        </w:r>
        <w:r w:rsidR="00325C45" w:rsidRPr="00325C45">
          <w:rPr>
            <w:noProof/>
            <w:webHidden/>
          </w:rPr>
        </w:r>
        <w:r w:rsidR="00325C45" w:rsidRPr="00325C45">
          <w:rPr>
            <w:noProof/>
            <w:webHidden/>
          </w:rPr>
          <w:fldChar w:fldCharType="separate"/>
        </w:r>
        <w:r w:rsidR="0029110D">
          <w:rPr>
            <w:noProof/>
            <w:webHidden/>
          </w:rPr>
          <w:t>76</w:t>
        </w:r>
        <w:r w:rsidR="00325C45" w:rsidRPr="00325C45">
          <w:rPr>
            <w:noProof/>
            <w:webHidden/>
          </w:rPr>
          <w:fldChar w:fldCharType="end"/>
        </w:r>
      </w:hyperlink>
    </w:p>
    <w:p w14:paraId="61A3091F" w14:textId="7120DC35"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78" w:history="1">
        <w:r w:rsidR="00325C45" w:rsidRPr="00325C45">
          <w:rPr>
            <w:rStyle w:val="aa"/>
            <w:noProof/>
          </w:rPr>
          <w:t>4.3.2.2. Безопасность пациентов с очаговой алопецией</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_Toc120288178 \h </w:instrText>
        </w:r>
        <w:r w:rsidR="00325C45" w:rsidRPr="00325C45">
          <w:rPr>
            <w:noProof/>
            <w:webHidden/>
          </w:rPr>
        </w:r>
        <w:r w:rsidR="00325C45" w:rsidRPr="00325C45">
          <w:rPr>
            <w:noProof/>
            <w:webHidden/>
          </w:rPr>
          <w:fldChar w:fldCharType="separate"/>
        </w:r>
        <w:r w:rsidR="0029110D">
          <w:rPr>
            <w:noProof/>
            <w:webHidden/>
          </w:rPr>
          <w:t>87</w:t>
        </w:r>
        <w:r w:rsidR="00325C45" w:rsidRPr="00325C45">
          <w:rPr>
            <w:noProof/>
            <w:webHidden/>
          </w:rPr>
          <w:fldChar w:fldCharType="end"/>
        </w:r>
      </w:hyperlink>
    </w:p>
    <w:p w14:paraId="46A1DB67" w14:textId="209C1754"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79" w:history="1">
        <w:r w:rsidR="00325C45" w:rsidRPr="00325C45">
          <w:rPr>
            <w:rStyle w:val="aa"/>
            <w:noProof/>
          </w:rPr>
          <w:t>4.3.2.3. Безопасность пациентов с атопическим дерматитом</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_Toc120288179 \h </w:instrText>
        </w:r>
        <w:r w:rsidR="00325C45" w:rsidRPr="00325C45">
          <w:rPr>
            <w:noProof/>
            <w:webHidden/>
          </w:rPr>
        </w:r>
        <w:r w:rsidR="00325C45" w:rsidRPr="00325C45">
          <w:rPr>
            <w:noProof/>
            <w:webHidden/>
          </w:rPr>
          <w:fldChar w:fldCharType="separate"/>
        </w:r>
        <w:r w:rsidR="0029110D">
          <w:rPr>
            <w:noProof/>
            <w:webHidden/>
          </w:rPr>
          <w:t>97</w:t>
        </w:r>
        <w:r w:rsidR="00325C45" w:rsidRPr="00325C45">
          <w:rPr>
            <w:noProof/>
            <w:webHidden/>
          </w:rPr>
          <w:fldChar w:fldCharType="end"/>
        </w:r>
      </w:hyperlink>
    </w:p>
    <w:p w14:paraId="4A6AE2E6" w14:textId="312994E2"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80" w:history="1">
        <w:r w:rsidR="00325C45" w:rsidRPr="00325C45">
          <w:rPr>
            <w:rStyle w:val="aa"/>
            <w:noProof/>
          </w:rPr>
          <w:t xml:space="preserve">4.3.2.4. Безопасность пациентов с </w:t>
        </w:r>
        <w:r w:rsidR="00325C45" w:rsidRPr="00325C45">
          <w:rPr>
            <w:rStyle w:val="aa"/>
            <w:noProof/>
            <w:lang w:val="en-US"/>
          </w:rPr>
          <w:t>COVID</w:t>
        </w:r>
        <w:r w:rsidR="00325C45" w:rsidRPr="00325C45">
          <w:rPr>
            <w:rStyle w:val="aa"/>
            <w:noProof/>
          </w:rPr>
          <w:t>-19</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_Toc120288180 \h </w:instrText>
        </w:r>
        <w:r w:rsidR="00325C45" w:rsidRPr="00325C45">
          <w:rPr>
            <w:noProof/>
            <w:webHidden/>
          </w:rPr>
        </w:r>
        <w:r w:rsidR="00325C45" w:rsidRPr="00325C45">
          <w:rPr>
            <w:noProof/>
            <w:webHidden/>
          </w:rPr>
          <w:fldChar w:fldCharType="separate"/>
        </w:r>
        <w:r w:rsidR="0029110D">
          <w:rPr>
            <w:noProof/>
            <w:webHidden/>
          </w:rPr>
          <w:t>99</w:t>
        </w:r>
        <w:r w:rsidR="00325C45" w:rsidRPr="00325C45">
          <w:rPr>
            <w:noProof/>
            <w:webHidden/>
          </w:rPr>
          <w:fldChar w:fldCharType="end"/>
        </w:r>
      </w:hyperlink>
    </w:p>
    <w:p w14:paraId="018F5B4A" w14:textId="183C5DDE"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81" w:history="1">
        <w:r w:rsidR="00325C45" w:rsidRPr="00325C45">
          <w:rPr>
            <w:rStyle w:val="aa"/>
            <w:noProof/>
          </w:rPr>
          <w:t>4.3.2.5. Степень воздействия на пациентов</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_Toc120288181 \h </w:instrText>
        </w:r>
        <w:r w:rsidR="00325C45" w:rsidRPr="00325C45">
          <w:rPr>
            <w:noProof/>
            <w:webHidden/>
          </w:rPr>
        </w:r>
        <w:r w:rsidR="00325C45" w:rsidRPr="00325C45">
          <w:rPr>
            <w:noProof/>
            <w:webHidden/>
          </w:rPr>
          <w:fldChar w:fldCharType="separate"/>
        </w:r>
        <w:r w:rsidR="0029110D">
          <w:rPr>
            <w:noProof/>
            <w:webHidden/>
          </w:rPr>
          <w:t>100</w:t>
        </w:r>
        <w:r w:rsidR="00325C45" w:rsidRPr="00325C45">
          <w:rPr>
            <w:noProof/>
            <w:webHidden/>
          </w:rPr>
          <w:fldChar w:fldCharType="end"/>
        </w:r>
      </w:hyperlink>
    </w:p>
    <w:p w14:paraId="73ADCF2A" w14:textId="259394C9"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82" w:history="1">
        <w:r w:rsidR="00325C45" w:rsidRPr="00325C45">
          <w:rPr>
            <w:rStyle w:val="aa"/>
            <w:noProof/>
          </w:rPr>
          <w:t>4.3.2.6. Объединенные данные по безопасности</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_Toc120288182 \h </w:instrText>
        </w:r>
        <w:r w:rsidR="00325C45" w:rsidRPr="00325C45">
          <w:rPr>
            <w:noProof/>
            <w:webHidden/>
          </w:rPr>
        </w:r>
        <w:r w:rsidR="00325C45" w:rsidRPr="00325C45">
          <w:rPr>
            <w:noProof/>
            <w:webHidden/>
          </w:rPr>
          <w:fldChar w:fldCharType="separate"/>
        </w:r>
        <w:r w:rsidR="0029110D">
          <w:rPr>
            <w:noProof/>
            <w:webHidden/>
          </w:rPr>
          <w:t>101</w:t>
        </w:r>
        <w:r w:rsidR="00325C45" w:rsidRPr="00325C45">
          <w:rPr>
            <w:noProof/>
            <w:webHidden/>
          </w:rPr>
          <w:fldChar w:fldCharType="end"/>
        </w:r>
      </w:hyperlink>
    </w:p>
    <w:p w14:paraId="6DF181AE" w14:textId="0D453978"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83" w:history="1">
        <w:r w:rsidR="00325C45" w:rsidRPr="00325C45">
          <w:rPr>
            <w:rStyle w:val="aa"/>
            <w:noProof/>
          </w:rPr>
          <w:t>4.3.2.7. Безопасность, связанная с лекарственными взаимодействиями и другими взаимодействиями</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_Toc120288183 \h </w:instrText>
        </w:r>
        <w:r w:rsidR="00325C45" w:rsidRPr="00325C45">
          <w:rPr>
            <w:noProof/>
            <w:webHidden/>
          </w:rPr>
        </w:r>
        <w:r w:rsidR="00325C45" w:rsidRPr="00325C45">
          <w:rPr>
            <w:noProof/>
            <w:webHidden/>
          </w:rPr>
          <w:fldChar w:fldCharType="separate"/>
        </w:r>
        <w:r w:rsidR="0029110D">
          <w:rPr>
            <w:noProof/>
            <w:webHidden/>
          </w:rPr>
          <w:t>103</w:t>
        </w:r>
        <w:r w:rsidR="00325C45" w:rsidRPr="00325C45">
          <w:rPr>
            <w:noProof/>
            <w:webHidden/>
          </w:rPr>
          <w:fldChar w:fldCharType="end"/>
        </w:r>
      </w:hyperlink>
    </w:p>
    <w:p w14:paraId="6508EC84" w14:textId="3D4CEB44" w:rsidR="00325C45" w:rsidRPr="00325C45" w:rsidRDefault="00954DDF" w:rsidP="00325C45">
      <w:pPr>
        <w:pStyle w:val="41"/>
        <w:tabs>
          <w:tab w:val="clear" w:pos="9346"/>
          <w:tab w:val="right" w:leader="dot" w:pos="9356"/>
        </w:tabs>
        <w:spacing w:line="240" w:lineRule="auto"/>
        <w:rPr>
          <w:rFonts w:eastAsiaTheme="minorEastAsia"/>
          <w:noProof/>
          <w:lang w:eastAsia="ru-RU"/>
        </w:rPr>
      </w:pPr>
      <w:hyperlink w:anchor="_Toc120288184" w:history="1">
        <w:r w:rsidR="00325C45" w:rsidRPr="00325C45">
          <w:rPr>
            <w:rStyle w:val="aa"/>
            <w:noProof/>
          </w:rPr>
          <w:t>4.3.2.8. Прерывание терапии в связи с нежелательными явлениями</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_Toc120288184 \h </w:instrText>
        </w:r>
        <w:r w:rsidR="00325C45" w:rsidRPr="00325C45">
          <w:rPr>
            <w:noProof/>
            <w:webHidden/>
          </w:rPr>
        </w:r>
        <w:r w:rsidR="00325C45" w:rsidRPr="00325C45">
          <w:rPr>
            <w:noProof/>
            <w:webHidden/>
          </w:rPr>
          <w:fldChar w:fldCharType="separate"/>
        </w:r>
        <w:r w:rsidR="0029110D">
          <w:rPr>
            <w:noProof/>
            <w:webHidden/>
          </w:rPr>
          <w:t>103</w:t>
        </w:r>
        <w:r w:rsidR="00325C45" w:rsidRPr="00325C45">
          <w:rPr>
            <w:noProof/>
            <w:webHidden/>
          </w:rPr>
          <w:fldChar w:fldCharType="end"/>
        </w:r>
      </w:hyperlink>
    </w:p>
    <w:p w14:paraId="22666AFB" w14:textId="254AE839" w:rsidR="00325C45" w:rsidRPr="00325C45" w:rsidRDefault="00954DDF" w:rsidP="00325C45">
      <w:pPr>
        <w:pStyle w:val="31"/>
        <w:rPr>
          <w:rFonts w:eastAsiaTheme="minorEastAsia"/>
          <w:lang w:eastAsia="ru-RU"/>
        </w:rPr>
      </w:pPr>
      <w:hyperlink w:anchor="_Toc120288185" w:history="1">
        <w:r w:rsidR="00325C45" w:rsidRPr="00325C45">
          <w:rPr>
            <w:rStyle w:val="aa"/>
            <w:lang w:eastAsia="en-US"/>
          </w:rPr>
          <w:t>4.3.3. Пострегистрационный опыт применения</w:t>
        </w:r>
        <w:r w:rsidR="00325C45" w:rsidRPr="00325C45">
          <w:rPr>
            <w:webHidden/>
          </w:rPr>
          <w:tab/>
        </w:r>
        <w:r w:rsidR="00325C45" w:rsidRPr="00325C45">
          <w:rPr>
            <w:webHidden/>
          </w:rPr>
          <w:fldChar w:fldCharType="begin"/>
        </w:r>
        <w:r w:rsidR="00325C45" w:rsidRPr="00325C45">
          <w:rPr>
            <w:webHidden/>
          </w:rPr>
          <w:instrText xml:space="preserve"> PAGEREF _Toc120288185 \h </w:instrText>
        </w:r>
        <w:r w:rsidR="00325C45" w:rsidRPr="00325C45">
          <w:rPr>
            <w:webHidden/>
          </w:rPr>
        </w:r>
        <w:r w:rsidR="00325C45" w:rsidRPr="00325C45">
          <w:rPr>
            <w:webHidden/>
          </w:rPr>
          <w:fldChar w:fldCharType="separate"/>
        </w:r>
        <w:r w:rsidR="0029110D">
          <w:rPr>
            <w:webHidden/>
          </w:rPr>
          <w:t>103</w:t>
        </w:r>
        <w:r w:rsidR="00325C45" w:rsidRPr="00325C45">
          <w:rPr>
            <w:webHidden/>
          </w:rPr>
          <w:fldChar w:fldCharType="end"/>
        </w:r>
      </w:hyperlink>
    </w:p>
    <w:p w14:paraId="4E22EFA8" w14:textId="15A90CC2" w:rsidR="00325C45" w:rsidRPr="00325C45" w:rsidRDefault="00954DDF" w:rsidP="00325C45">
      <w:pPr>
        <w:pStyle w:val="21"/>
        <w:tabs>
          <w:tab w:val="clear" w:pos="9345"/>
          <w:tab w:val="right" w:leader="dot" w:pos="9356"/>
        </w:tabs>
        <w:rPr>
          <w:rFonts w:eastAsiaTheme="minorEastAsia"/>
          <w:noProof/>
          <w:lang w:eastAsia="ru-RU"/>
        </w:rPr>
      </w:pPr>
      <w:hyperlink w:anchor="_Toc120288186" w:history="1">
        <w:r w:rsidR="00325C45" w:rsidRPr="00325C45">
          <w:rPr>
            <w:rStyle w:val="aa"/>
            <w:noProof/>
          </w:rPr>
          <w:t>Список</w:t>
        </w:r>
        <w:r w:rsidR="00325C45" w:rsidRPr="00325C45">
          <w:rPr>
            <w:rStyle w:val="aa"/>
            <w:noProof/>
            <w:lang w:val="en-US"/>
          </w:rPr>
          <w:t xml:space="preserve"> </w:t>
        </w:r>
        <w:r w:rsidR="00325C45" w:rsidRPr="00325C45">
          <w:rPr>
            <w:rStyle w:val="aa"/>
            <w:noProof/>
          </w:rPr>
          <w:t>литературы</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_Toc120288186 \h </w:instrText>
        </w:r>
        <w:r w:rsidR="00325C45" w:rsidRPr="00325C45">
          <w:rPr>
            <w:noProof/>
            <w:webHidden/>
          </w:rPr>
        </w:r>
        <w:r w:rsidR="00325C45" w:rsidRPr="00325C45">
          <w:rPr>
            <w:noProof/>
            <w:webHidden/>
          </w:rPr>
          <w:fldChar w:fldCharType="separate"/>
        </w:r>
        <w:r w:rsidR="0029110D">
          <w:rPr>
            <w:noProof/>
            <w:webHidden/>
          </w:rPr>
          <w:t>106</w:t>
        </w:r>
        <w:r w:rsidR="00325C45" w:rsidRPr="00325C45">
          <w:rPr>
            <w:noProof/>
            <w:webHidden/>
          </w:rPr>
          <w:fldChar w:fldCharType="end"/>
        </w:r>
      </w:hyperlink>
    </w:p>
    <w:p w14:paraId="2D50DD05" w14:textId="1485E641" w:rsidR="00325C45" w:rsidRPr="00325C45" w:rsidRDefault="00954DDF" w:rsidP="00325C45">
      <w:pPr>
        <w:pStyle w:val="14"/>
        <w:tabs>
          <w:tab w:val="clear" w:pos="9214"/>
          <w:tab w:val="right" w:leader="dot" w:pos="9356"/>
        </w:tabs>
        <w:rPr>
          <w:rFonts w:eastAsiaTheme="minorEastAsia"/>
          <w:lang w:eastAsia="ru-RU"/>
        </w:rPr>
      </w:pPr>
      <w:hyperlink w:anchor="_Toc120288187" w:history="1">
        <w:r w:rsidR="00325C45" w:rsidRPr="00325C45">
          <w:rPr>
            <w:rStyle w:val="aa"/>
          </w:rPr>
          <w:t>5. ОБСУЖДЕНИЕ ДАННЫХ И ИНСТРУКЦИИ ДЛЯ ИССЛЕДОВАТЕЛЯ</w:t>
        </w:r>
        <w:r w:rsidR="00325C45" w:rsidRPr="00325C45">
          <w:rPr>
            <w:webHidden/>
          </w:rPr>
          <w:tab/>
        </w:r>
        <w:r w:rsidR="00325C45" w:rsidRPr="00325C45">
          <w:rPr>
            <w:webHidden/>
          </w:rPr>
          <w:fldChar w:fldCharType="begin"/>
        </w:r>
        <w:r w:rsidR="00325C45" w:rsidRPr="00325C45">
          <w:rPr>
            <w:webHidden/>
          </w:rPr>
          <w:instrText xml:space="preserve"> PAGEREF _Toc120288187 \h </w:instrText>
        </w:r>
        <w:r w:rsidR="00325C45" w:rsidRPr="00325C45">
          <w:rPr>
            <w:webHidden/>
          </w:rPr>
        </w:r>
        <w:r w:rsidR="00325C45" w:rsidRPr="00325C45">
          <w:rPr>
            <w:webHidden/>
          </w:rPr>
          <w:fldChar w:fldCharType="separate"/>
        </w:r>
        <w:r w:rsidR="0029110D">
          <w:rPr>
            <w:webHidden/>
          </w:rPr>
          <w:t>107</w:t>
        </w:r>
        <w:r w:rsidR="00325C45" w:rsidRPr="00325C45">
          <w:rPr>
            <w:webHidden/>
          </w:rPr>
          <w:fldChar w:fldCharType="end"/>
        </w:r>
      </w:hyperlink>
    </w:p>
    <w:p w14:paraId="123BCC41" w14:textId="7FE67403" w:rsidR="00325C45" w:rsidRPr="00325C45" w:rsidRDefault="00954DDF" w:rsidP="00325C45">
      <w:pPr>
        <w:pStyle w:val="21"/>
        <w:tabs>
          <w:tab w:val="clear" w:pos="9345"/>
          <w:tab w:val="right" w:leader="dot" w:pos="9356"/>
        </w:tabs>
        <w:rPr>
          <w:rFonts w:eastAsiaTheme="minorEastAsia"/>
          <w:noProof/>
          <w:lang w:eastAsia="ru-RU"/>
        </w:rPr>
      </w:pPr>
      <w:hyperlink w:anchor="_Toc120288188" w:history="1">
        <w:r w:rsidR="00325C45" w:rsidRPr="00325C45">
          <w:rPr>
            <w:rStyle w:val="aa"/>
            <w:noProof/>
          </w:rPr>
          <w:t>5.1. Обсуждение данных доклинических исследований</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_Toc120288188 \h </w:instrText>
        </w:r>
        <w:r w:rsidR="00325C45" w:rsidRPr="00325C45">
          <w:rPr>
            <w:noProof/>
            <w:webHidden/>
          </w:rPr>
        </w:r>
        <w:r w:rsidR="00325C45" w:rsidRPr="00325C45">
          <w:rPr>
            <w:noProof/>
            <w:webHidden/>
          </w:rPr>
          <w:fldChar w:fldCharType="separate"/>
        </w:r>
        <w:r w:rsidR="0029110D">
          <w:rPr>
            <w:noProof/>
            <w:webHidden/>
          </w:rPr>
          <w:t>107</w:t>
        </w:r>
        <w:r w:rsidR="00325C45" w:rsidRPr="00325C45">
          <w:rPr>
            <w:noProof/>
            <w:webHidden/>
          </w:rPr>
          <w:fldChar w:fldCharType="end"/>
        </w:r>
      </w:hyperlink>
    </w:p>
    <w:p w14:paraId="1B179F60" w14:textId="29713ECD" w:rsidR="00325C45" w:rsidRPr="00325C45" w:rsidRDefault="00954DDF" w:rsidP="00325C45">
      <w:pPr>
        <w:pStyle w:val="21"/>
        <w:tabs>
          <w:tab w:val="clear" w:pos="9345"/>
          <w:tab w:val="right" w:leader="dot" w:pos="9356"/>
        </w:tabs>
        <w:rPr>
          <w:rFonts w:eastAsiaTheme="minorEastAsia"/>
          <w:noProof/>
          <w:lang w:eastAsia="ru-RU"/>
        </w:rPr>
      </w:pPr>
      <w:hyperlink w:anchor="_Toc120288189" w:history="1">
        <w:r w:rsidR="00325C45" w:rsidRPr="00325C45">
          <w:rPr>
            <w:rStyle w:val="aa"/>
            <w:noProof/>
          </w:rPr>
          <w:t>5.2. Обсуждение данных клинических исследований</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_Toc120288189 \h </w:instrText>
        </w:r>
        <w:r w:rsidR="00325C45" w:rsidRPr="00325C45">
          <w:rPr>
            <w:noProof/>
            <w:webHidden/>
          </w:rPr>
        </w:r>
        <w:r w:rsidR="00325C45" w:rsidRPr="00325C45">
          <w:rPr>
            <w:noProof/>
            <w:webHidden/>
          </w:rPr>
          <w:fldChar w:fldCharType="separate"/>
        </w:r>
        <w:r w:rsidR="0029110D">
          <w:rPr>
            <w:noProof/>
            <w:webHidden/>
          </w:rPr>
          <w:t>110</w:t>
        </w:r>
        <w:r w:rsidR="00325C45" w:rsidRPr="00325C45">
          <w:rPr>
            <w:noProof/>
            <w:webHidden/>
          </w:rPr>
          <w:fldChar w:fldCharType="end"/>
        </w:r>
      </w:hyperlink>
    </w:p>
    <w:p w14:paraId="7449DD78" w14:textId="67A50527" w:rsidR="00325C45" w:rsidRPr="00325C45" w:rsidRDefault="00954DDF" w:rsidP="00325C45">
      <w:pPr>
        <w:pStyle w:val="21"/>
        <w:tabs>
          <w:tab w:val="clear" w:pos="9345"/>
          <w:tab w:val="right" w:leader="dot" w:pos="9356"/>
        </w:tabs>
        <w:rPr>
          <w:rFonts w:eastAsiaTheme="minorEastAsia"/>
          <w:noProof/>
          <w:lang w:eastAsia="ru-RU"/>
        </w:rPr>
      </w:pPr>
      <w:hyperlink w:anchor="_Toc120288190" w:history="1">
        <w:r w:rsidR="00325C45" w:rsidRPr="00325C45">
          <w:rPr>
            <w:rStyle w:val="aa"/>
            <w:noProof/>
          </w:rPr>
          <w:t>5.3. Инструкции для исследователя</w:t>
        </w:r>
        <w:r w:rsidR="00325C45" w:rsidRPr="00325C45">
          <w:rPr>
            <w:noProof/>
            <w:webHidden/>
          </w:rPr>
          <w:tab/>
        </w:r>
        <w:r w:rsidR="00325C45" w:rsidRPr="00325C45">
          <w:rPr>
            <w:noProof/>
            <w:webHidden/>
          </w:rPr>
          <w:fldChar w:fldCharType="begin"/>
        </w:r>
        <w:r w:rsidR="00325C45" w:rsidRPr="00325C45">
          <w:rPr>
            <w:noProof/>
            <w:webHidden/>
          </w:rPr>
          <w:instrText xml:space="preserve"> PAGEREF _Toc120288190 \h </w:instrText>
        </w:r>
        <w:r w:rsidR="00325C45" w:rsidRPr="00325C45">
          <w:rPr>
            <w:noProof/>
            <w:webHidden/>
          </w:rPr>
        </w:r>
        <w:r w:rsidR="00325C45" w:rsidRPr="00325C45">
          <w:rPr>
            <w:noProof/>
            <w:webHidden/>
          </w:rPr>
          <w:fldChar w:fldCharType="separate"/>
        </w:r>
        <w:r w:rsidR="0029110D">
          <w:rPr>
            <w:noProof/>
            <w:webHidden/>
          </w:rPr>
          <w:t>115</w:t>
        </w:r>
        <w:r w:rsidR="00325C45" w:rsidRPr="00325C45">
          <w:rPr>
            <w:noProof/>
            <w:webHidden/>
          </w:rPr>
          <w:fldChar w:fldCharType="end"/>
        </w:r>
      </w:hyperlink>
    </w:p>
    <w:p w14:paraId="50C23C41" w14:textId="66FB25BE" w:rsidR="00325C45" w:rsidRPr="00325C45" w:rsidRDefault="00954DDF" w:rsidP="00325C45">
      <w:pPr>
        <w:pStyle w:val="31"/>
        <w:rPr>
          <w:rFonts w:eastAsiaTheme="minorEastAsia"/>
          <w:lang w:eastAsia="ru-RU"/>
        </w:rPr>
      </w:pPr>
      <w:hyperlink w:anchor="_Toc120288191" w:history="1">
        <w:r w:rsidR="00325C45" w:rsidRPr="00325C45">
          <w:rPr>
            <w:rStyle w:val="aa"/>
          </w:rPr>
          <w:t>5.3.1. Показания к применению</w:t>
        </w:r>
        <w:r w:rsidR="00325C45" w:rsidRPr="00325C45">
          <w:rPr>
            <w:webHidden/>
          </w:rPr>
          <w:tab/>
        </w:r>
        <w:r w:rsidR="00325C45" w:rsidRPr="00325C45">
          <w:rPr>
            <w:webHidden/>
          </w:rPr>
          <w:fldChar w:fldCharType="begin"/>
        </w:r>
        <w:r w:rsidR="00325C45" w:rsidRPr="00325C45">
          <w:rPr>
            <w:webHidden/>
          </w:rPr>
          <w:instrText xml:space="preserve"> PAGEREF _Toc120288191 \h </w:instrText>
        </w:r>
        <w:r w:rsidR="00325C45" w:rsidRPr="00325C45">
          <w:rPr>
            <w:webHidden/>
          </w:rPr>
        </w:r>
        <w:r w:rsidR="00325C45" w:rsidRPr="00325C45">
          <w:rPr>
            <w:webHidden/>
          </w:rPr>
          <w:fldChar w:fldCharType="separate"/>
        </w:r>
        <w:r w:rsidR="0029110D">
          <w:rPr>
            <w:webHidden/>
          </w:rPr>
          <w:t>115</w:t>
        </w:r>
        <w:r w:rsidR="00325C45" w:rsidRPr="00325C45">
          <w:rPr>
            <w:webHidden/>
          </w:rPr>
          <w:fldChar w:fldCharType="end"/>
        </w:r>
      </w:hyperlink>
    </w:p>
    <w:p w14:paraId="468E6699" w14:textId="36ABACD9" w:rsidR="00325C45" w:rsidRPr="00325C45" w:rsidRDefault="00954DDF" w:rsidP="00325C45">
      <w:pPr>
        <w:pStyle w:val="31"/>
        <w:rPr>
          <w:rFonts w:eastAsiaTheme="minorEastAsia"/>
          <w:lang w:eastAsia="ru-RU"/>
        </w:rPr>
      </w:pPr>
      <w:hyperlink w:anchor="_Toc120288192" w:history="1">
        <w:r w:rsidR="00325C45" w:rsidRPr="00325C45">
          <w:rPr>
            <w:rStyle w:val="aa"/>
          </w:rPr>
          <w:t>5.3.2. Противопоказания</w:t>
        </w:r>
        <w:r w:rsidR="00325C45" w:rsidRPr="00325C45">
          <w:rPr>
            <w:webHidden/>
          </w:rPr>
          <w:tab/>
        </w:r>
        <w:r w:rsidR="00325C45" w:rsidRPr="00325C45">
          <w:rPr>
            <w:webHidden/>
          </w:rPr>
          <w:fldChar w:fldCharType="begin"/>
        </w:r>
        <w:r w:rsidR="00325C45" w:rsidRPr="00325C45">
          <w:rPr>
            <w:webHidden/>
          </w:rPr>
          <w:instrText xml:space="preserve"> PAGEREF _Toc120288192 \h </w:instrText>
        </w:r>
        <w:r w:rsidR="00325C45" w:rsidRPr="00325C45">
          <w:rPr>
            <w:webHidden/>
          </w:rPr>
        </w:r>
        <w:r w:rsidR="00325C45" w:rsidRPr="00325C45">
          <w:rPr>
            <w:webHidden/>
          </w:rPr>
          <w:fldChar w:fldCharType="separate"/>
        </w:r>
        <w:r w:rsidR="0029110D">
          <w:rPr>
            <w:webHidden/>
          </w:rPr>
          <w:t>116</w:t>
        </w:r>
        <w:r w:rsidR="00325C45" w:rsidRPr="00325C45">
          <w:rPr>
            <w:webHidden/>
          </w:rPr>
          <w:fldChar w:fldCharType="end"/>
        </w:r>
      </w:hyperlink>
    </w:p>
    <w:p w14:paraId="6002E561" w14:textId="1A37CC4C" w:rsidR="00325C45" w:rsidRPr="00325C45" w:rsidRDefault="00954DDF" w:rsidP="00325C45">
      <w:pPr>
        <w:pStyle w:val="31"/>
        <w:rPr>
          <w:rFonts w:eastAsiaTheme="minorEastAsia"/>
          <w:lang w:eastAsia="ru-RU"/>
        </w:rPr>
      </w:pPr>
      <w:hyperlink w:anchor="_Toc120288193" w:history="1">
        <w:r w:rsidR="00325C45" w:rsidRPr="00325C45">
          <w:rPr>
            <w:rStyle w:val="aa"/>
          </w:rPr>
          <w:t>5.3.3. С осторожностью</w:t>
        </w:r>
        <w:r w:rsidR="00325C45" w:rsidRPr="00325C45">
          <w:rPr>
            <w:webHidden/>
          </w:rPr>
          <w:tab/>
        </w:r>
        <w:r w:rsidR="00325C45" w:rsidRPr="00325C45">
          <w:rPr>
            <w:webHidden/>
          </w:rPr>
          <w:fldChar w:fldCharType="begin"/>
        </w:r>
        <w:r w:rsidR="00325C45" w:rsidRPr="00325C45">
          <w:rPr>
            <w:webHidden/>
          </w:rPr>
          <w:instrText xml:space="preserve"> PAGEREF _Toc120288193 \h </w:instrText>
        </w:r>
        <w:r w:rsidR="00325C45" w:rsidRPr="00325C45">
          <w:rPr>
            <w:webHidden/>
          </w:rPr>
        </w:r>
        <w:r w:rsidR="00325C45" w:rsidRPr="00325C45">
          <w:rPr>
            <w:webHidden/>
          </w:rPr>
          <w:fldChar w:fldCharType="separate"/>
        </w:r>
        <w:r w:rsidR="0029110D">
          <w:rPr>
            <w:webHidden/>
          </w:rPr>
          <w:t>116</w:t>
        </w:r>
        <w:r w:rsidR="00325C45" w:rsidRPr="00325C45">
          <w:rPr>
            <w:webHidden/>
          </w:rPr>
          <w:fldChar w:fldCharType="end"/>
        </w:r>
      </w:hyperlink>
    </w:p>
    <w:p w14:paraId="6A26A65C" w14:textId="56335CA3" w:rsidR="00325C45" w:rsidRPr="00325C45" w:rsidRDefault="00954DDF" w:rsidP="00325C45">
      <w:pPr>
        <w:pStyle w:val="31"/>
        <w:rPr>
          <w:rFonts w:eastAsiaTheme="minorEastAsia"/>
          <w:lang w:eastAsia="ru-RU"/>
        </w:rPr>
      </w:pPr>
      <w:hyperlink w:anchor="_Toc120288194" w:history="1">
        <w:r w:rsidR="00325C45" w:rsidRPr="00325C45">
          <w:rPr>
            <w:rStyle w:val="aa"/>
          </w:rPr>
          <w:t>5.3.4. Применение при беременности и в период грудного вскармливания</w:t>
        </w:r>
        <w:r w:rsidR="00325C45" w:rsidRPr="00325C45">
          <w:rPr>
            <w:webHidden/>
          </w:rPr>
          <w:tab/>
        </w:r>
        <w:r w:rsidR="00325C45" w:rsidRPr="00325C45">
          <w:rPr>
            <w:webHidden/>
          </w:rPr>
          <w:fldChar w:fldCharType="begin"/>
        </w:r>
        <w:r w:rsidR="00325C45" w:rsidRPr="00325C45">
          <w:rPr>
            <w:webHidden/>
          </w:rPr>
          <w:instrText xml:space="preserve"> PAGEREF _Toc120288194 \h </w:instrText>
        </w:r>
        <w:r w:rsidR="00325C45" w:rsidRPr="00325C45">
          <w:rPr>
            <w:webHidden/>
          </w:rPr>
        </w:r>
        <w:r w:rsidR="00325C45" w:rsidRPr="00325C45">
          <w:rPr>
            <w:webHidden/>
          </w:rPr>
          <w:fldChar w:fldCharType="separate"/>
        </w:r>
        <w:r w:rsidR="0029110D">
          <w:rPr>
            <w:webHidden/>
          </w:rPr>
          <w:t>116</w:t>
        </w:r>
        <w:r w:rsidR="00325C45" w:rsidRPr="00325C45">
          <w:rPr>
            <w:webHidden/>
          </w:rPr>
          <w:fldChar w:fldCharType="end"/>
        </w:r>
      </w:hyperlink>
    </w:p>
    <w:p w14:paraId="67C8F561" w14:textId="0015DF40" w:rsidR="00325C45" w:rsidRPr="00325C45" w:rsidRDefault="00954DDF" w:rsidP="00325C45">
      <w:pPr>
        <w:pStyle w:val="31"/>
        <w:rPr>
          <w:rFonts w:eastAsiaTheme="minorEastAsia"/>
          <w:lang w:eastAsia="ru-RU"/>
        </w:rPr>
      </w:pPr>
      <w:hyperlink w:anchor="_Toc120288195" w:history="1">
        <w:r w:rsidR="00325C45" w:rsidRPr="00325C45">
          <w:rPr>
            <w:rStyle w:val="aa"/>
          </w:rPr>
          <w:t>5.3.5. Способ применения и дозы</w:t>
        </w:r>
        <w:r w:rsidR="00325C45" w:rsidRPr="00325C45">
          <w:rPr>
            <w:webHidden/>
          </w:rPr>
          <w:tab/>
        </w:r>
        <w:r w:rsidR="00325C45" w:rsidRPr="00325C45">
          <w:rPr>
            <w:webHidden/>
          </w:rPr>
          <w:fldChar w:fldCharType="begin"/>
        </w:r>
        <w:r w:rsidR="00325C45" w:rsidRPr="00325C45">
          <w:rPr>
            <w:webHidden/>
          </w:rPr>
          <w:instrText xml:space="preserve"> PAGEREF _Toc120288195 \h </w:instrText>
        </w:r>
        <w:r w:rsidR="00325C45" w:rsidRPr="00325C45">
          <w:rPr>
            <w:webHidden/>
          </w:rPr>
        </w:r>
        <w:r w:rsidR="00325C45" w:rsidRPr="00325C45">
          <w:rPr>
            <w:webHidden/>
          </w:rPr>
          <w:fldChar w:fldCharType="separate"/>
        </w:r>
        <w:r w:rsidR="0029110D">
          <w:rPr>
            <w:webHidden/>
          </w:rPr>
          <w:t>117</w:t>
        </w:r>
        <w:r w:rsidR="00325C45" w:rsidRPr="00325C45">
          <w:rPr>
            <w:webHidden/>
          </w:rPr>
          <w:fldChar w:fldCharType="end"/>
        </w:r>
      </w:hyperlink>
    </w:p>
    <w:p w14:paraId="237A81E7" w14:textId="0D7C0E5F" w:rsidR="00325C45" w:rsidRPr="00325C45" w:rsidRDefault="00954DDF" w:rsidP="00325C45">
      <w:pPr>
        <w:pStyle w:val="31"/>
        <w:rPr>
          <w:rFonts w:eastAsiaTheme="minorEastAsia"/>
          <w:lang w:eastAsia="ru-RU"/>
        </w:rPr>
      </w:pPr>
      <w:hyperlink w:anchor="_Toc120288196" w:history="1">
        <w:r w:rsidR="00325C45" w:rsidRPr="00325C45">
          <w:rPr>
            <w:rStyle w:val="aa"/>
          </w:rPr>
          <w:t xml:space="preserve">5.3.6. </w:t>
        </w:r>
        <w:r w:rsidR="00325C45" w:rsidRPr="00325C45">
          <w:rPr>
            <w:rStyle w:val="aa"/>
            <w:lang w:eastAsia="ru-RU" w:bidi="ru-RU"/>
          </w:rPr>
          <w:t>Применение у особых групп пациентов</w:t>
        </w:r>
        <w:r w:rsidR="00325C45" w:rsidRPr="00325C45">
          <w:rPr>
            <w:webHidden/>
          </w:rPr>
          <w:tab/>
        </w:r>
        <w:r w:rsidR="00325C45" w:rsidRPr="00325C45">
          <w:rPr>
            <w:webHidden/>
          </w:rPr>
          <w:fldChar w:fldCharType="begin"/>
        </w:r>
        <w:r w:rsidR="00325C45" w:rsidRPr="00325C45">
          <w:rPr>
            <w:webHidden/>
          </w:rPr>
          <w:instrText xml:space="preserve"> PAGEREF _Toc120288196 \h </w:instrText>
        </w:r>
        <w:r w:rsidR="00325C45" w:rsidRPr="00325C45">
          <w:rPr>
            <w:webHidden/>
          </w:rPr>
        </w:r>
        <w:r w:rsidR="00325C45" w:rsidRPr="00325C45">
          <w:rPr>
            <w:webHidden/>
          </w:rPr>
          <w:fldChar w:fldCharType="separate"/>
        </w:r>
        <w:r w:rsidR="0029110D">
          <w:rPr>
            <w:webHidden/>
          </w:rPr>
          <w:t>118</w:t>
        </w:r>
        <w:r w:rsidR="00325C45" w:rsidRPr="00325C45">
          <w:rPr>
            <w:webHidden/>
          </w:rPr>
          <w:fldChar w:fldCharType="end"/>
        </w:r>
      </w:hyperlink>
    </w:p>
    <w:p w14:paraId="2DD63178" w14:textId="1C32337E" w:rsidR="00325C45" w:rsidRPr="00325C45" w:rsidRDefault="00954DDF" w:rsidP="00325C45">
      <w:pPr>
        <w:pStyle w:val="31"/>
        <w:rPr>
          <w:rFonts w:eastAsiaTheme="minorEastAsia"/>
          <w:lang w:eastAsia="ru-RU"/>
        </w:rPr>
      </w:pPr>
      <w:hyperlink w:anchor="_Toc120288197" w:history="1">
        <w:r w:rsidR="00325C45" w:rsidRPr="00325C45">
          <w:rPr>
            <w:rStyle w:val="aa"/>
          </w:rPr>
          <w:t>5.3.7. Побочное действие</w:t>
        </w:r>
        <w:r w:rsidR="00325C45" w:rsidRPr="00325C45">
          <w:rPr>
            <w:webHidden/>
          </w:rPr>
          <w:tab/>
        </w:r>
        <w:r w:rsidR="00325C45" w:rsidRPr="00325C45">
          <w:rPr>
            <w:webHidden/>
          </w:rPr>
          <w:fldChar w:fldCharType="begin"/>
        </w:r>
        <w:r w:rsidR="00325C45" w:rsidRPr="00325C45">
          <w:rPr>
            <w:webHidden/>
          </w:rPr>
          <w:instrText xml:space="preserve"> PAGEREF _Toc120288197 \h </w:instrText>
        </w:r>
        <w:r w:rsidR="00325C45" w:rsidRPr="00325C45">
          <w:rPr>
            <w:webHidden/>
          </w:rPr>
        </w:r>
        <w:r w:rsidR="00325C45" w:rsidRPr="00325C45">
          <w:rPr>
            <w:webHidden/>
          </w:rPr>
          <w:fldChar w:fldCharType="separate"/>
        </w:r>
        <w:r w:rsidR="0029110D">
          <w:rPr>
            <w:webHidden/>
          </w:rPr>
          <w:t>119</w:t>
        </w:r>
        <w:r w:rsidR="00325C45" w:rsidRPr="00325C45">
          <w:rPr>
            <w:webHidden/>
          </w:rPr>
          <w:fldChar w:fldCharType="end"/>
        </w:r>
      </w:hyperlink>
    </w:p>
    <w:p w14:paraId="0D348510" w14:textId="0FD60ED0" w:rsidR="00325C45" w:rsidRPr="00325C45" w:rsidRDefault="00954DDF" w:rsidP="00325C45">
      <w:pPr>
        <w:pStyle w:val="31"/>
        <w:rPr>
          <w:rFonts w:eastAsiaTheme="minorEastAsia"/>
          <w:lang w:eastAsia="ru-RU"/>
        </w:rPr>
      </w:pPr>
      <w:hyperlink w:anchor="_Toc120288198" w:history="1">
        <w:r w:rsidR="00325C45" w:rsidRPr="00325C45">
          <w:rPr>
            <w:rStyle w:val="aa"/>
          </w:rPr>
          <w:t>5.3.8. Передозировка</w:t>
        </w:r>
        <w:r w:rsidR="00325C45" w:rsidRPr="00325C45">
          <w:rPr>
            <w:webHidden/>
          </w:rPr>
          <w:tab/>
        </w:r>
        <w:r w:rsidR="00325C45" w:rsidRPr="00325C45">
          <w:rPr>
            <w:webHidden/>
          </w:rPr>
          <w:fldChar w:fldCharType="begin"/>
        </w:r>
        <w:r w:rsidR="00325C45" w:rsidRPr="00325C45">
          <w:rPr>
            <w:webHidden/>
          </w:rPr>
          <w:instrText xml:space="preserve"> PAGEREF _Toc120288198 \h </w:instrText>
        </w:r>
        <w:r w:rsidR="00325C45" w:rsidRPr="00325C45">
          <w:rPr>
            <w:webHidden/>
          </w:rPr>
        </w:r>
        <w:r w:rsidR="00325C45" w:rsidRPr="00325C45">
          <w:rPr>
            <w:webHidden/>
          </w:rPr>
          <w:fldChar w:fldCharType="separate"/>
        </w:r>
        <w:r w:rsidR="0029110D">
          <w:rPr>
            <w:webHidden/>
          </w:rPr>
          <w:t>120</w:t>
        </w:r>
        <w:r w:rsidR="00325C45" w:rsidRPr="00325C45">
          <w:rPr>
            <w:webHidden/>
          </w:rPr>
          <w:fldChar w:fldCharType="end"/>
        </w:r>
      </w:hyperlink>
    </w:p>
    <w:p w14:paraId="32E180B1" w14:textId="58A2410C" w:rsidR="00325C45" w:rsidRPr="00325C45" w:rsidRDefault="00954DDF" w:rsidP="00325C45">
      <w:pPr>
        <w:pStyle w:val="31"/>
        <w:rPr>
          <w:rFonts w:eastAsiaTheme="minorEastAsia"/>
          <w:lang w:eastAsia="ru-RU"/>
        </w:rPr>
      </w:pPr>
      <w:hyperlink w:anchor="_Toc120288199" w:history="1">
        <w:r w:rsidR="00325C45" w:rsidRPr="00325C45">
          <w:rPr>
            <w:rStyle w:val="aa"/>
          </w:rPr>
          <w:t xml:space="preserve">5.3.9. </w:t>
        </w:r>
        <w:r w:rsidR="00325C45" w:rsidRPr="00325C45">
          <w:rPr>
            <w:rStyle w:val="aa"/>
            <w:rFonts w:eastAsia="Courier New"/>
            <w:lang w:eastAsia="ru-RU" w:bidi="ru-RU"/>
          </w:rPr>
          <w:t>Взаимодействие с другими лекарственными средствами</w:t>
        </w:r>
        <w:r w:rsidR="00325C45" w:rsidRPr="00325C45">
          <w:rPr>
            <w:webHidden/>
          </w:rPr>
          <w:tab/>
        </w:r>
        <w:r w:rsidR="00325C45" w:rsidRPr="00325C45">
          <w:rPr>
            <w:webHidden/>
          </w:rPr>
          <w:fldChar w:fldCharType="begin"/>
        </w:r>
        <w:r w:rsidR="00325C45" w:rsidRPr="00325C45">
          <w:rPr>
            <w:webHidden/>
          </w:rPr>
          <w:instrText xml:space="preserve"> PAGEREF _Toc120288199 \h </w:instrText>
        </w:r>
        <w:r w:rsidR="00325C45" w:rsidRPr="00325C45">
          <w:rPr>
            <w:webHidden/>
          </w:rPr>
        </w:r>
        <w:r w:rsidR="00325C45" w:rsidRPr="00325C45">
          <w:rPr>
            <w:webHidden/>
          </w:rPr>
          <w:fldChar w:fldCharType="separate"/>
        </w:r>
        <w:r w:rsidR="0029110D">
          <w:rPr>
            <w:webHidden/>
          </w:rPr>
          <w:t>121</w:t>
        </w:r>
        <w:r w:rsidR="00325C45" w:rsidRPr="00325C45">
          <w:rPr>
            <w:webHidden/>
          </w:rPr>
          <w:fldChar w:fldCharType="end"/>
        </w:r>
      </w:hyperlink>
    </w:p>
    <w:p w14:paraId="1012E3E4" w14:textId="1E4FEC70" w:rsidR="00325C45" w:rsidRPr="00325C45" w:rsidRDefault="00954DDF" w:rsidP="00325C45">
      <w:pPr>
        <w:pStyle w:val="31"/>
        <w:rPr>
          <w:rFonts w:eastAsiaTheme="minorEastAsia"/>
          <w:lang w:eastAsia="ru-RU"/>
        </w:rPr>
      </w:pPr>
      <w:hyperlink w:anchor="_Toc120288200" w:history="1">
        <w:r w:rsidR="00325C45" w:rsidRPr="00325C45">
          <w:rPr>
            <w:rStyle w:val="aa"/>
          </w:rPr>
          <w:t xml:space="preserve">5.3.10. </w:t>
        </w:r>
        <w:r w:rsidR="00325C45" w:rsidRPr="00325C45">
          <w:rPr>
            <w:rStyle w:val="aa"/>
            <w:rFonts w:eastAsia="Courier New"/>
            <w:lang w:eastAsia="ru-RU" w:bidi="ru-RU"/>
          </w:rPr>
          <w:t>Особые указания</w:t>
        </w:r>
        <w:r w:rsidR="00325C45" w:rsidRPr="00325C45">
          <w:rPr>
            <w:webHidden/>
          </w:rPr>
          <w:tab/>
        </w:r>
        <w:r w:rsidR="00325C45" w:rsidRPr="00325C45">
          <w:rPr>
            <w:webHidden/>
          </w:rPr>
          <w:fldChar w:fldCharType="begin"/>
        </w:r>
        <w:r w:rsidR="00325C45" w:rsidRPr="00325C45">
          <w:rPr>
            <w:webHidden/>
          </w:rPr>
          <w:instrText xml:space="preserve"> PAGEREF _Toc120288200 \h </w:instrText>
        </w:r>
        <w:r w:rsidR="00325C45" w:rsidRPr="00325C45">
          <w:rPr>
            <w:webHidden/>
          </w:rPr>
        </w:r>
        <w:r w:rsidR="00325C45" w:rsidRPr="00325C45">
          <w:rPr>
            <w:webHidden/>
          </w:rPr>
          <w:fldChar w:fldCharType="separate"/>
        </w:r>
        <w:r w:rsidR="0029110D">
          <w:rPr>
            <w:webHidden/>
          </w:rPr>
          <w:t>122</w:t>
        </w:r>
        <w:r w:rsidR="00325C45" w:rsidRPr="00325C45">
          <w:rPr>
            <w:webHidden/>
          </w:rPr>
          <w:fldChar w:fldCharType="end"/>
        </w:r>
      </w:hyperlink>
    </w:p>
    <w:p w14:paraId="3FBD5049" w14:textId="4C392A50" w:rsidR="00325C45" w:rsidRPr="00325C45" w:rsidRDefault="00954DDF" w:rsidP="00325C45">
      <w:pPr>
        <w:pStyle w:val="31"/>
        <w:rPr>
          <w:rFonts w:eastAsiaTheme="minorEastAsia"/>
          <w:lang w:eastAsia="ru-RU"/>
        </w:rPr>
      </w:pPr>
      <w:hyperlink w:anchor="_Toc120288201" w:history="1">
        <w:r w:rsidR="00325C45" w:rsidRPr="00325C45">
          <w:rPr>
            <w:rStyle w:val="aa"/>
          </w:rPr>
          <w:t>5.3.11. Влияние на способность управлять транспортными средствами и механизмами</w:t>
        </w:r>
        <w:r w:rsidR="00325C45" w:rsidRPr="00325C45">
          <w:rPr>
            <w:webHidden/>
          </w:rPr>
          <w:tab/>
        </w:r>
        <w:r w:rsidR="00325C45" w:rsidRPr="00325C45">
          <w:rPr>
            <w:webHidden/>
          </w:rPr>
          <w:fldChar w:fldCharType="begin"/>
        </w:r>
        <w:r w:rsidR="00325C45" w:rsidRPr="00325C45">
          <w:rPr>
            <w:webHidden/>
          </w:rPr>
          <w:instrText xml:space="preserve"> PAGEREF _Toc120288201 \h </w:instrText>
        </w:r>
        <w:r w:rsidR="00325C45" w:rsidRPr="00325C45">
          <w:rPr>
            <w:webHidden/>
          </w:rPr>
        </w:r>
        <w:r w:rsidR="00325C45" w:rsidRPr="00325C45">
          <w:rPr>
            <w:webHidden/>
          </w:rPr>
          <w:fldChar w:fldCharType="separate"/>
        </w:r>
        <w:r w:rsidR="0029110D">
          <w:rPr>
            <w:webHidden/>
          </w:rPr>
          <w:t>126</w:t>
        </w:r>
        <w:r w:rsidR="00325C45" w:rsidRPr="00325C45">
          <w:rPr>
            <w:webHidden/>
          </w:rPr>
          <w:fldChar w:fldCharType="end"/>
        </w:r>
      </w:hyperlink>
    </w:p>
    <w:p w14:paraId="5CBDCBAC" w14:textId="6A4F036D" w:rsidR="00325C45" w:rsidRPr="00325C45" w:rsidRDefault="00954DDF" w:rsidP="00325C45">
      <w:pPr>
        <w:pStyle w:val="14"/>
        <w:tabs>
          <w:tab w:val="clear" w:pos="9214"/>
          <w:tab w:val="right" w:leader="dot" w:pos="9356"/>
        </w:tabs>
        <w:rPr>
          <w:rFonts w:eastAsiaTheme="minorEastAsia"/>
          <w:lang w:eastAsia="ru-RU"/>
        </w:rPr>
      </w:pPr>
      <w:hyperlink w:anchor="_Toc120288202" w:history="1">
        <w:r w:rsidR="00325C45" w:rsidRPr="00325C45">
          <w:rPr>
            <w:rStyle w:val="aa"/>
          </w:rPr>
          <w:t>6. ЗАКЛЮЧЕНИЕ</w:t>
        </w:r>
        <w:r w:rsidR="00325C45" w:rsidRPr="00325C45">
          <w:rPr>
            <w:webHidden/>
          </w:rPr>
          <w:tab/>
        </w:r>
        <w:r w:rsidR="00325C45" w:rsidRPr="00325C45">
          <w:rPr>
            <w:webHidden/>
          </w:rPr>
          <w:fldChar w:fldCharType="begin"/>
        </w:r>
        <w:r w:rsidR="00325C45" w:rsidRPr="00325C45">
          <w:rPr>
            <w:webHidden/>
          </w:rPr>
          <w:instrText xml:space="preserve"> PAGEREF _Toc120288202 \h </w:instrText>
        </w:r>
        <w:r w:rsidR="00325C45" w:rsidRPr="00325C45">
          <w:rPr>
            <w:webHidden/>
          </w:rPr>
        </w:r>
        <w:r w:rsidR="00325C45" w:rsidRPr="00325C45">
          <w:rPr>
            <w:webHidden/>
          </w:rPr>
          <w:fldChar w:fldCharType="separate"/>
        </w:r>
        <w:r w:rsidR="0029110D">
          <w:rPr>
            <w:webHidden/>
          </w:rPr>
          <w:t>127</w:t>
        </w:r>
        <w:r w:rsidR="00325C45" w:rsidRPr="00325C45">
          <w:rPr>
            <w:webHidden/>
          </w:rPr>
          <w:fldChar w:fldCharType="end"/>
        </w:r>
      </w:hyperlink>
    </w:p>
    <w:p w14:paraId="5B331A24" w14:textId="215AE229" w:rsidR="00856CA4" w:rsidRPr="00DB25F1" w:rsidRDefault="005C3F89" w:rsidP="00325C45">
      <w:pPr>
        <w:tabs>
          <w:tab w:val="right" w:leader="dot" w:pos="9356"/>
        </w:tabs>
        <w:spacing w:after="0" w:line="240" w:lineRule="auto"/>
        <w:ind w:firstLine="709"/>
        <w:rPr>
          <w:color w:val="000000" w:themeColor="text1"/>
        </w:rPr>
        <w:sectPr w:rsidR="00856CA4" w:rsidRPr="00DB25F1" w:rsidSect="00AB01E2">
          <w:headerReference w:type="default" r:id="rId8"/>
          <w:footerReference w:type="default" r:id="rId9"/>
          <w:headerReference w:type="first" r:id="rId10"/>
          <w:pgSz w:w="11906" w:h="16838"/>
          <w:pgMar w:top="1134" w:right="849" w:bottom="1134" w:left="1701" w:header="708" w:footer="709" w:gutter="0"/>
          <w:cols w:space="708"/>
          <w:docGrid w:linePitch="360"/>
        </w:sectPr>
      </w:pPr>
      <w:r w:rsidRPr="00325C45">
        <w:rPr>
          <w:bCs/>
          <w:color w:val="000000" w:themeColor="text1"/>
        </w:rPr>
        <w:fldChar w:fldCharType="end"/>
      </w:r>
    </w:p>
    <w:p w14:paraId="4F5AB4E0" w14:textId="18939B2E" w:rsidR="00A26EEC" w:rsidRPr="001843D3" w:rsidRDefault="00B16F11" w:rsidP="001843D3">
      <w:pPr>
        <w:spacing w:after="240" w:line="240" w:lineRule="auto"/>
        <w:contextualSpacing/>
        <w:outlineLvl w:val="0"/>
        <w:rPr>
          <w:b/>
        </w:rPr>
      </w:pPr>
      <w:bookmarkStart w:id="3" w:name="_Toc120288095"/>
      <w:r w:rsidRPr="001843D3">
        <w:rPr>
          <w:b/>
        </w:rPr>
        <w:lastRenderedPageBreak/>
        <w:t>ЛИСТ СОГЛАСОВАНИЯ</w:t>
      </w:r>
      <w:bookmarkEnd w:id="3"/>
    </w:p>
    <w:p w14:paraId="24234FC9" w14:textId="77777777" w:rsidR="00AA6019" w:rsidRDefault="00AA6019" w:rsidP="001843D3">
      <w:pPr>
        <w:spacing w:after="0" w:line="240" w:lineRule="auto"/>
        <w:contextualSpacing/>
      </w:pPr>
    </w:p>
    <w:p w14:paraId="4B997ACD" w14:textId="6B34FE65" w:rsidR="007D5382" w:rsidRPr="001843D3" w:rsidRDefault="00A26EEC" w:rsidP="001843D3">
      <w:pPr>
        <w:spacing w:after="0" w:line="240" w:lineRule="auto"/>
        <w:contextualSpacing/>
      </w:pPr>
      <w:r w:rsidRPr="001843D3">
        <w:t xml:space="preserve">к версии № </w:t>
      </w:r>
      <w:r w:rsidR="001843D3" w:rsidRPr="001843D3">
        <w:t>1.0</w:t>
      </w:r>
      <w:r w:rsidRPr="001843D3">
        <w:t xml:space="preserve"> от </w:t>
      </w:r>
      <w:r w:rsidR="00AB1FF1">
        <w:t>30</w:t>
      </w:r>
      <w:r w:rsidRPr="009333D1">
        <w:t xml:space="preserve"> </w:t>
      </w:r>
      <w:r w:rsidR="001843D3" w:rsidRPr="009333D1">
        <w:t>ноября</w:t>
      </w:r>
      <w:r w:rsidRPr="009333D1">
        <w:t xml:space="preserve"> 2022 г.</w:t>
      </w:r>
      <w:r w:rsidRPr="001843D3">
        <w:t xml:space="preserve"> </w:t>
      </w:r>
      <w:r w:rsidR="007D5382" w:rsidRPr="001843D3">
        <w:t xml:space="preserve">Брошюры исследователя по препарату </w:t>
      </w:r>
      <w:r w:rsidR="001843D3" w:rsidRPr="001843D3">
        <w:rPr>
          <w:lang w:val="en-US"/>
        </w:rPr>
        <w:t>DT</w:t>
      </w:r>
      <w:r w:rsidR="001843D3" w:rsidRPr="001843D3">
        <w:t>-</w:t>
      </w:r>
      <w:r w:rsidR="001843D3" w:rsidRPr="001843D3">
        <w:rPr>
          <w:lang w:val="en-US"/>
        </w:rPr>
        <w:t>BRC</w:t>
      </w:r>
      <w:r w:rsidR="007D5382" w:rsidRPr="001843D3">
        <w:t xml:space="preserve"> (МНН: </w:t>
      </w:r>
      <w:r w:rsidR="005F2B08" w:rsidRPr="001843D3">
        <w:t>барицитиниб</w:t>
      </w:r>
      <w:r w:rsidR="007D5382" w:rsidRPr="001843D3">
        <w:t xml:space="preserve">), таблетки, покрытые пленочной оболочкой, </w:t>
      </w:r>
      <w:r w:rsidR="005F2B08" w:rsidRPr="001843D3">
        <w:t>2</w:t>
      </w:r>
      <w:r w:rsidR="007D5382" w:rsidRPr="001843D3">
        <w:t xml:space="preserve"> мг</w:t>
      </w:r>
      <w:r w:rsidR="000F2FF3">
        <w:t xml:space="preserve"> и</w:t>
      </w:r>
      <w:r w:rsidR="005F2B08" w:rsidRPr="001843D3">
        <w:t xml:space="preserve"> 4 мг</w:t>
      </w:r>
      <w:r w:rsidR="00BC7E97" w:rsidRPr="001843D3">
        <w:t xml:space="preserve"> (</w:t>
      </w:r>
      <w:r w:rsidR="00850436">
        <w:t>получатель РУ</w:t>
      </w:r>
      <w:r w:rsidR="00850436" w:rsidRPr="00707D60">
        <w:t>: АО «Р-Фарм», Россия</w:t>
      </w:r>
      <w:r w:rsidR="00850436">
        <w:t xml:space="preserve">; </w:t>
      </w:r>
      <w:r w:rsidR="00BC7E97" w:rsidRPr="001843D3">
        <w:t>производитель: АО «</w:t>
      </w:r>
      <w:r w:rsidR="00850436">
        <w:t>ОРТАТ</w:t>
      </w:r>
      <w:r w:rsidR="00BC7E97" w:rsidRPr="001843D3">
        <w:t>», Россия)</w:t>
      </w:r>
      <w:r w:rsidR="00A66A77" w:rsidRPr="001843D3">
        <w:t xml:space="preserve">, являющегося воспроизведенным препаратом по отношению к оригинальному препарату </w:t>
      </w:r>
      <w:r w:rsidR="001843D3" w:rsidRPr="001843D3">
        <w:t>Олу</w:t>
      </w:r>
      <w:r w:rsidR="00B30A5C" w:rsidRPr="001843D3">
        <w:t>миант</w:t>
      </w:r>
      <w:r w:rsidR="00A66A77" w:rsidRPr="001843D3">
        <w:rPr>
          <w:vertAlign w:val="superscript"/>
        </w:rPr>
        <w:t>®</w:t>
      </w:r>
      <w:r w:rsidR="00A66A77" w:rsidRPr="001843D3">
        <w:t xml:space="preserve"> (МНН: </w:t>
      </w:r>
      <w:r w:rsidR="00B30A5C" w:rsidRPr="001843D3">
        <w:t>барицитиниб</w:t>
      </w:r>
      <w:r w:rsidR="00BC7E97" w:rsidRPr="001843D3">
        <w:t>)</w:t>
      </w:r>
      <w:r w:rsidR="00A66A77" w:rsidRPr="001843D3">
        <w:t xml:space="preserve">, таблетки, покрытые пленочной оболочкой, </w:t>
      </w:r>
      <w:r w:rsidR="00B30A5C" w:rsidRPr="001843D3">
        <w:t>2</w:t>
      </w:r>
      <w:r w:rsidR="00A66A77" w:rsidRPr="001843D3">
        <w:t xml:space="preserve"> мг</w:t>
      </w:r>
      <w:r w:rsidR="00B30A5C" w:rsidRPr="001843D3">
        <w:t>, 4 мг</w:t>
      </w:r>
      <w:r w:rsidR="00BC7E97" w:rsidRPr="001843D3">
        <w:t xml:space="preserve"> (</w:t>
      </w:r>
      <w:r w:rsidR="00850436">
        <w:rPr>
          <w:rFonts w:eastAsia="Calibri"/>
          <w:bCs/>
        </w:rPr>
        <w:t>владелец</w:t>
      </w:r>
      <w:r w:rsidR="00BC7E97" w:rsidRPr="001843D3">
        <w:rPr>
          <w:rFonts w:eastAsia="Calibri"/>
          <w:bCs/>
        </w:rPr>
        <w:t xml:space="preserve"> РУ: </w:t>
      </w:r>
      <w:r w:rsidR="00B30A5C" w:rsidRPr="001843D3">
        <w:rPr>
          <w:rFonts w:eastAsia="Calibri"/>
          <w:bCs/>
        </w:rPr>
        <w:t>Эли Лилли Восток С.А., Швейц</w:t>
      </w:r>
      <w:r w:rsidR="00A129EA" w:rsidRPr="001843D3">
        <w:rPr>
          <w:rFonts w:eastAsia="Calibri"/>
          <w:bCs/>
        </w:rPr>
        <w:t>а</w:t>
      </w:r>
      <w:r w:rsidR="00B30A5C" w:rsidRPr="001843D3">
        <w:rPr>
          <w:rFonts w:eastAsia="Calibri"/>
          <w:bCs/>
        </w:rPr>
        <w:t>рия</w:t>
      </w:r>
      <w:r w:rsidR="003239B1">
        <w:rPr>
          <w:rFonts w:eastAsia="Calibri"/>
          <w:bCs/>
        </w:rPr>
        <w:t xml:space="preserve">; </w:t>
      </w:r>
      <w:r w:rsidR="003239B1" w:rsidRPr="001843D3">
        <w:t xml:space="preserve">производитель: </w:t>
      </w:r>
      <w:r w:rsidR="003239B1" w:rsidRPr="001843D3">
        <w:rPr>
          <w:rFonts w:eastAsia="Calibri"/>
          <w:bCs/>
        </w:rPr>
        <w:t>Лилли дель Карибе, Инк., Пуэрто-Рико</w:t>
      </w:r>
      <w:r w:rsidR="00BC7E97" w:rsidRPr="001843D3">
        <w:t>)</w:t>
      </w:r>
      <w:r w:rsidR="00A66A77" w:rsidRPr="001843D3">
        <w:t>.</w:t>
      </w:r>
    </w:p>
    <w:p w14:paraId="428EF5FF" w14:textId="77777777" w:rsidR="00520493" w:rsidRPr="001843D3" w:rsidRDefault="00520493" w:rsidP="001843D3">
      <w:pPr>
        <w:spacing w:after="0" w:line="240" w:lineRule="auto"/>
        <w:contextualSpacing/>
        <w:rPr>
          <w:b/>
        </w:rPr>
      </w:pPr>
    </w:p>
    <w:p w14:paraId="2150F67A" w14:textId="77777777" w:rsidR="001843D3" w:rsidRDefault="007D5382" w:rsidP="001843D3">
      <w:pPr>
        <w:spacing w:after="0" w:line="240" w:lineRule="auto"/>
        <w:contextualSpacing/>
      </w:pPr>
      <w:r w:rsidRPr="001843D3">
        <w:rPr>
          <w:b/>
        </w:rPr>
        <w:t>Заявляемые показания:</w:t>
      </w:r>
    </w:p>
    <w:p w14:paraId="7C209C39" w14:textId="4F33E716" w:rsidR="00E630FF" w:rsidRDefault="001843D3" w:rsidP="00AB1FF1">
      <w:pPr>
        <w:pStyle w:val="af3"/>
        <w:numPr>
          <w:ilvl w:val="0"/>
          <w:numId w:val="48"/>
        </w:numPr>
        <w:spacing w:after="0" w:line="240" w:lineRule="auto"/>
        <w:rPr>
          <w:lang w:eastAsia="ru-RU"/>
        </w:rPr>
      </w:pPr>
      <w:r>
        <w:rPr>
          <w:lang w:eastAsia="ru-RU"/>
        </w:rPr>
        <w:t>Л</w:t>
      </w:r>
      <w:r w:rsidR="00B30A5C" w:rsidRPr="001843D3">
        <w:rPr>
          <w:lang w:eastAsia="ru-RU"/>
        </w:rPr>
        <w:t>ечение ревматоидного артрита умеренной и тяжелой степени у взрослых пациентов с непереносимостью или отсутствием адекватного ответа на лечение одним или несколькими базисными противоревматоидными препаратами.</w:t>
      </w:r>
      <w:r w:rsidR="00DB46DB">
        <w:rPr>
          <w:lang w:eastAsia="ru-RU"/>
        </w:rPr>
        <w:t xml:space="preserve"> Барицитиниб может применяться в виде монотерапии или в комбинированной терапии с метотрексатом.</w:t>
      </w:r>
      <w:r w:rsidR="00B30A5C" w:rsidRPr="001843D3">
        <w:rPr>
          <w:lang w:eastAsia="ru-RU"/>
        </w:rPr>
        <w:t xml:space="preserve"> </w:t>
      </w:r>
    </w:p>
    <w:p w14:paraId="7582460A" w14:textId="77777777" w:rsidR="00E630FF" w:rsidRDefault="00B30A5C" w:rsidP="00AB1FF1">
      <w:pPr>
        <w:pStyle w:val="af3"/>
        <w:numPr>
          <w:ilvl w:val="0"/>
          <w:numId w:val="48"/>
        </w:numPr>
        <w:spacing w:after="0" w:line="240" w:lineRule="auto"/>
        <w:rPr>
          <w:lang w:eastAsia="ru-RU"/>
        </w:rPr>
      </w:pPr>
      <w:r w:rsidRPr="001843D3">
        <w:rPr>
          <w:lang w:eastAsia="ru-RU"/>
        </w:rPr>
        <w:t xml:space="preserve">Лечение атопического дерматита умеренной или тяжелой степени у взрослых пациентов. </w:t>
      </w:r>
    </w:p>
    <w:p w14:paraId="12424188" w14:textId="77777777" w:rsidR="00E630FF" w:rsidRDefault="00B30A5C" w:rsidP="00AB1FF1">
      <w:pPr>
        <w:pStyle w:val="af3"/>
        <w:numPr>
          <w:ilvl w:val="0"/>
          <w:numId w:val="48"/>
        </w:numPr>
        <w:spacing w:after="0" w:line="240" w:lineRule="auto"/>
        <w:rPr>
          <w:lang w:eastAsia="ru-RU"/>
        </w:rPr>
      </w:pPr>
      <w:r w:rsidRPr="001843D3">
        <w:rPr>
          <w:lang w:eastAsia="ru-RU"/>
        </w:rPr>
        <w:t xml:space="preserve">Лечение очаговой алопеции тяжелой степени у взрослых пациентов. </w:t>
      </w:r>
    </w:p>
    <w:p w14:paraId="6AB07797" w14:textId="4D218402" w:rsidR="007D5382" w:rsidRPr="001843D3" w:rsidRDefault="00B30A5C" w:rsidP="00AB1FF1">
      <w:pPr>
        <w:pStyle w:val="af3"/>
        <w:numPr>
          <w:ilvl w:val="0"/>
          <w:numId w:val="48"/>
        </w:numPr>
        <w:spacing w:after="0" w:line="240" w:lineRule="auto"/>
        <w:rPr>
          <w:lang w:eastAsia="ru-RU"/>
        </w:rPr>
      </w:pPr>
      <w:r w:rsidRPr="001843D3">
        <w:rPr>
          <w:lang w:eastAsia="ru-RU"/>
        </w:rPr>
        <w:t>Лечение новой коронавирусной инфекции у госпитализированных взрослых пациентов, нуждающихся в низкопоточной оксигенотерапии или высокопоточной оксигенотерапии/неинвазивной искусственной вентиляции легких</w:t>
      </w:r>
      <w:r w:rsidR="00E630FF">
        <w:rPr>
          <w:lang w:eastAsia="ru-RU"/>
        </w:rPr>
        <w:t xml:space="preserve"> (НИВЛ)</w:t>
      </w:r>
      <w:r w:rsidR="007D5382" w:rsidRPr="001843D3">
        <w:rPr>
          <w:lang w:eastAsia="ru-RU"/>
        </w:rPr>
        <w:t>.</w:t>
      </w:r>
    </w:p>
    <w:p w14:paraId="01EA5200" w14:textId="17CF730E" w:rsidR="00520493" w:rsidRPr="001843D3" w:rsidRDefault="00520493" w:rsidP="001843D3">
      <w:pPr>
        <w:spacing w:after="0" w:line="240" w:lineRule="auto"/>
        <w:contextualSpacing/>
        <w:rPr>
          <w:lang w:eastAsia="ru-RU"/>
        </w:rPr>
      </w:pPr>
    </w:p>
    <w:p w14:paraId="59B7325C" w14:textId="69EE0CB6" w:rsidR="00520493" w:rsidRPr="001843D3" w:rsidRDefault="00A26EEC" w:rsidP="001843D3">
      <w:pPr>
        <w:spacing w:after="0" w:line="240" w:lineRule="auto"/>
        <w:ind w:firstLine="709"/>
        <w:contextualSpacing/>
        <w:rPr>
          <w:lang w:eastAsia="ru-RU"/>
        </w:rPr>
      </w:pPr>
      <w:r w:rsidRPr="001843D3">
        <w:rPr>
          <w:lang w:eastAsia="ru-RU"/>
        </w:rPr>
        <w:t xml:space="preserve">Я, нижеподписавшийся, одобряю </w:t>
      </w:r>
      <w:r w:rsidR="00520493" w:rsidRPr="001843D3">
        <w:rPr>
          <w:lang w:eastAsia="ru-RU"/>
        </w:rPr>
        <w:t>Брошюру</w:t>
      </w:r>
      <w:r w:rsidRPr="001843D3">
        <w:rPr>
          <w:lang w:eastAsia="ru-RU"/>
        </w:rPr>
        <w:t xml:space="preserve"> исследова</w:t>
      </w:r>
      <w:r w:rsidR="00520493" w:rsidRPr="001843D3">
        <w:rPr>
          <w:lang w:eastAsia="ru-RU"/>
        </w:rPr>
        <w:t>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w:t>
      </w:r>
      <w:r w:rsidR="00A66A77" w:rsidRPr="001843D3">
        <w:rPr>
          <w:lang w:eastAsia="ru-RU"/>
        </w:rPr>
        <w:t xml:space="preserve"> сравнения</w:t>
      </w:r>
      <w:r w:rsidR="00520493" w:rsidRPr="001843D3">
        <w:rPr>
          <w:lang w:eastAsia="ru-RU"/>
        </w:rPr>
        <w:t>, о результатах основных доклинических и клинических исследований, проведенных в рамках программы регистрации оригинального препарата,</w:t>
      </w:r>
      <w:r w:rsidR="00A66A77" w:rsidRPr="001843D3">
        <w:rPr>
          <w:lang w:eastAsia="ru-RU"/>
        </w:rPr>
        <w:t xml:space="preserve"> а также об актуальных рекомендациях по применению оригинального препарата и связанных рисках</w:t>
      </w:r>
      <w:r w:rsidR="00520493" w:rsidRPr="001843D3">
        <w:rPr>
          <w:lang w:eastAsia="ru-RU"/>
        </w:rPr>
        <w:t>.</w:t>
      </w:r>
      <w:r w:rsidRPr="001843D3">
        <w:rPr>
          <w:lang w:eastAsia="ru-RU"/>
        </w:rPr>
        <w:t xml:space="preserve"> </w:t>
      </w:r>
    </w:p>
    <w:p w14:paraId="74A4F700" w14:textId="0F911F8A" w:rsidR="00A26EEC" w:rsidRPr="001843D3" w:rsidRDefault="00A26EEC" w:rsidP="001843D3">
      <w:pPr>
        <w:spacing w:after="0" w:line="240" w:lineRule="auto"/>
        <w:ind w:firstLine="709"/>
        <w:contextualSpacing/>
        <w:rPr>
          <w:lang w:eastAsia="ru-RU"/>
        </w:rPr>
      </w:pPr>
      <w:r w:rsidRPr="001843D3">
        <w:rPr>
          <w:lang w:eastAsia="ru-RU"/>
        </w:rPr>
        <w:t>Информация, содержащаяся в данно</w:t>
      </w:r>
      <w:r w:rsidR="00520493" w:rsidRPr="001843D3">
        <w:rPr>
          <w:lang w:eastAsia="ru-RU"/>
        </w:rPr>
        <w:t>й</w:t>
      </w:r>
      <w:r w:rsidRPr="001843D3">
        <w:rPr>
          <w:lang w:eastAsia="ru-RU"/>
        </w:rPr>
        <w:t xml:space="preserve"> </w:t>
      </w:r>
      <w:r w:rsidR="00520493" w:rsidRPr="001843D3">
        <w:rPr>
          <w:lang w:eastAsia="ru-RU"/>
        </w:rPr>
        <w:t>Брошюре исследователя</w:t>
      </w:r>
      <w:r w:rsidRPr="001843D3">
        <w:rPr>
          <w:lang w:eastAsia="ru-RU"/>
        </w:rPr>
        <w:t xml:space="preserve">, соответствует текущей оценке риска и пользы исследуемого(ых) препарата(ов). </w:t>
      </w:r>
      <w:r w:rsidR="00520493" w:rsidRPr="001843D3">
        <w:rPr>
          <w:lang w:eastAsia="ru-RU"/>
        </w:rPr>
        <w:t>Брошюра</w:t>
      </w:r>
      <w:r w:rsidRPr="001843D3">
        <w:rPr>
          <w:lang w:eastAsia="ru-RU"/>
        </w:rPr>
        <w:t xml:space="preserve"> был</w:t>
      </w:r>
      <w:r w:rsidR="00520493" w:rsidRPr="001843D3">
        <w:rPr>
          <w:lang w:eastAsia="ru-RU"/>
        </w:rPr>
        <w:t>а</w:t>
      </w:r>
      <w:r w:rsidRPr="001843D3">
        <w:rPr>
          <w:lang w:eastAsia="ru-RU"/>
        </w:rPr>
        <w:t xml:space="preserve"> подвергнут</w:t>
      </w:r>
      <w:r w:rsidR="00520493" w:rsidRPr="001843D3">
        <w:rPr>
          <w:lang w:eastAsia="ru-RU"/>
        </w:rPr>
        <w:t>а</w:t>
      </w:r>
      <w:r w:rsidRPr="001843D3">
        <w:rPr>
          <w:lang w:eastAsia="ru-RU"/>
        </w:rPr>
        <w:t xml:space="preserve"> критической проверке и был</w:t>
      </w:r>
      <w:r w:rsidR="00520493" w:rsidRPr="001843D3">
        <w:rPr>
          <w:lang w:eastAsia="ru-RU"/>
        </w:rPr>
        <w:t>а</w:t>
      </w:r>
      <w:r w:rsidRPr="001843D3">
        <w:rPr>
          <w:lang w:eastAsia="ru-RU"/>
        </w:rPr>
        <w:t xml:space="preserve"> одобрен</w:t>
      </w:r>
      <w:r w:rsidR="00520493" w:rsidRPr="001843D3">
        <w:rPr>
          <w:lang w:eastAsia="ru-RU"/>
        </w:rPr>
        <w:t>а</w:t>
      </w:r>
      <w:r w:rsidRPr="001843D3">
        <w:rPr>
          <w:lang w:eastAsia="ru-RU"/>
        </w:rPr>
        <w:t xml:space="preserve"> уполномоченными сотрудниками компании-Спонсора.</w:t>
      </w:r>
    </w:p>
    <w:p w14:paraId="02F7A2F6" w14:textId="65D77540" w:rsidR="00A26EEC" w:rsidRPr="001843D3" w:rsidRDefault="00A26EEC" w:rsidP="001843D3">
      <w:pPr>
        <w:spacing w:after="0" w:line="240" w:lineRule="auto"/>
        <w:ind w:firstLine="709"/>
        <w:contextualSpacing/>
        <w:rPr>
          <w:lang w:eastAsia="ru-RU"/>
        </w:rPr>
      </w:pPr>
      <w:r w:rsidRPr="001843D3">
        <w:rPr>
          <w:lang w:eastAsia="ru-RU"/>
        </w:rPr>
        <w:t xml:space="preserve"> </w:t>
      </w:r>
    </w:p>
    <w:tbl>
      <w:tblPr>
        <w:tblW w:w="9381" w:type="dxa"/>
        <w:tblLook w:val="04A0" w:firstRow="1" w:lastRow="0" w:firstColumn="1" w:lastColumn="0" w:noHBand="0" w:noVBand="1"/>
      </w:tblPr>
      <w:tblGrid>
        <w:gridCol w:w="4962"/>
        <w:gridCol w:w="4419"/>
      </w:tblGrid>
      <w:tr w:rsidR="00A26EEC" w:rsidRPr="001843D3" w14:paraId="129E12C9" w14:textId="77777777" w:rsidTr="00A66A77">
        <w:tc>
          <w:tcPr>
            <w:tcW w:w="4962" w:type="dxa"/>
          </w:tcPr>
          <w:p w14:paraId="7133757B" w14:textId="77777777" w:rsidR="00A26EEC" w:rsidRPr="001843D3" w:rsidRDefault="00A26EEC" w:rsidP="001843D3">
            <w:pPr>
              <w:spacing w:after="0" w:line="240" w:lineRule="auto"/>
              <w:ind w:left="-108"/>
              <w:contextualSpacing/>
              <w:rPr>
                <w:b/>
                <w:lang w:eastAsia="ru-RU"/>
              </w:rPr>
            </w:pPr>
          </w:p>
          <w:p w14:paraId="5E2EDFC7" w14:textId="77777777" w:rsidR="00A26EEC" w:rsidRPr="001843D3" w:rsidRDefault="00A26EEC" w:rsidP="001843D3">
            <w:pPr>
              <w:spacing w:after="0" w:line="240" w:lineRule="auto"/>
              <w:ind w:left="-108"/>
              <w:contextualSpacing/>
              <w:rPr>
                <w:b/>
                <w:lang w:eastAsia="ru-RU"/>
              </w:rPr>
            </w:pPr>
            <w:r w:rsidRPr="001843D3">
              <w:rPr>
                <w:b/>
                <w:lang w:eastAsia="ru-RU"/>
              </w:rPr>
              <w:t>Представитель Спонсора:</w:t>
            </w:r>
          </w:p>
          <w:p w14:paraId="474BBC05" w14:textId="77777777" w:rsidR="00A26EEC" w:rsidRPr="001843D3" w:rsidRDefault="00A26EEC" w:rsidP="001843D3">
            <w:pPr>
              <w:spacing w:after="0" w:line="240" w:lineRule="auto"/>
              <w:ind w:left="-108"/>
              <w:contextualSpacing/>
              <w:rPr>
                <w:lang w:eastAsia="ru-RU"/>
              </w:rPr>
            </w:pPr>
            <w:r w:rsidRPr="001843D3">
              <w:rPr>
                <w:lang w:eastAsia="ru-RU"/>
              </w:rPr>
              <w:t>Филон Ольга Владимировна</w:t>
            </w:r>
          </w:p>
          <w:p w14:paraId="4C7ED9B0" w14:textId="77777777" w:rsidR="00BC7E97" w:rsidRPr="001843D3" w:rsidRDefault="00A26EEC" w:rsidP="001843D3">
            <w:pPr>
              <w:spacing w:after="0" w:line="240" w:lineRule="auto"/>
              <w:ind w:left="-108"/>
              <w:contextualSpacing/>
            </w:pPr>
            <w:r w:rsidRPr="001843D3">
              <w:t>Директор Департамента доклинической и клинической разработки</w:t>
            </w:r>
          </w:p>
          <w:p w14:paraId="3F78E6C8" w14:textId="78937866" w:rsidR="00A26EEC" w:rsidRPr="001843D3" w:rsidRDefault="00BC7E97" w:rsidP="001843D3">
            <w:pPr>
              <w:spacing w:after="0" w:line="240" w:lineRule="auto"/>
              <w:ind w:left="-108"/>
              <w:contextualSpacing/>
            </w:pPr>
            <w:r w:rsidRPr="001843D3">
              <w:t>Медицинской дирекции</w:t>
            </w:r>
          </w:p>
          <w:p w14:paraId="1C3A4DC4" w14:textId="77777777" w:rsidR="00A26EEC" w:rsidRPr="001843D3" w:rsidRDefault="00A26EEC" w:rsidP="001843D3">
            <w:pPr>
              <w:spacing w:after="0" w:line="240" w:lineRule="auto"/>
              <w:ind w:left="-108"/>
              <w:contextualSpacing/>
            </w:pPr>
            <w:r w:rsidRPr="001843D3">
              <w:t>АО «Р-Фарм»</w:t>
            </w:r>
          </w:p>
          <w:p w14:paraId="03C61A25" w14:textId="77777777" w:rsidR="00A26EEC" w:rsidRPr="001843D3" w:rsidRDefault="00A26EEC" w:rsidP="001843D3">
            <w:pPr>
              <w:spacing w:after="0" w:line="240" w:lineRule="auto"/>
              <w:ind w:left="-108"/>
              <w:contextualSpacing/>
              <w:rPr>
                <w:b/>
                <w:vertAlign w:val="superscript"/>
                <w:lang w:eastAsia="ru-RU"/>
              </w:rPr>
            </w:pPr>
          </w:p>
        </w:tc>
        <w:tc>
          <w:tcPr>
            <w:tcW w:w="4419" w:type="dxa"/>
          </w:tcPr>
          <w:p w14:paraId="61E5AAEC" w14:textId="77777777" w:rsidR="00A26EEC" w:rsidRPr="001843D3" w:rsidRDefault="00A26EEC" w:rsidP="001843D3">
            <w:pPr>
              <w:spacing w:after="0" w:line="240" w:lineRule="auto"/>
              <w:contextualSpacing/>
              <w:rPr>
                <w:lang w:eastAsia="ru-RU"/>
              </w:rPr>
            </w:pPr>
          </w:p>
          <w:p w14:paraId="42DB0364" w14:textId="77777777" w:rsidR="00A26EEC" w:rsidRPr="001843D3" w:rsidRDefault="00A26EEC" w:rsidP="001843D3">
            <w:pPr>
              <w:spacing w:after="0" w:line="240" w:lineRule="auto"/>
              <w:contextualSpacing/>
              <w:rPr>
                <w:lang w:eastAsia="ru-RU"/>
              </w:rPr>
            </w:pPr>
          </w:p>
          <w:p w14:paraId="671DDD21" w14:textId="77777777" w:rsidR="00A26EEC" w:rsidRPr="001843D3" w:rsidRDefault="00A26EEC" w:rsidP="001843D3">
            <w:pPr>
              <w:spacing w:after="0" w:line="240" w:lineRule="auto"/>
              <w:contextualSpacing/>
              <w:rPr>
                <w:lang w:eastAsia="ru-RU"/>
              </w:rPr>
            </w:pPr>
            <w:r w:rsidRPr="001843D3">
              <w:rPr>
                <w:lang w:eastAsia="ru-RU"/>
              </w:rPr>
              <w:t>______________________________</w:t>
            </w:r>
          </w:p>
          <w:p w14:paraId="7FB937F7" w14:textId="77777777" w:rsidR="00A26EEC" w:rsidRPr="001843D3" w:rsidRDefault="00A26EEC" w:rsidP="001843D3">
            <w:pPr>
              <w:spacing w:after="0" w:line="240" w:lineRule="auto"/>
              <w:contextualSpacing/>
              <w:jc w:val="center"/>
              <w:rPr>
                <w:vertAlign w:val="superscript"/>
                <w:lang w:eastAsia="ru-RU"/>
              </w:rPr>
            </w:pPr>
            <w:r w:rsidRPr="001843D3">
              <w:rPr>
                <w:vertAlign w:val="superscript"/>
                <w:lang w:eastAsia="ru-RU"/>
              </w:rPr>
              <w:t>Подпись</w:t>
            </w:r>
          </w:p>
          <w:p w14:paraId="7FA4FE08" w14:textId="77777777" w:rsidR="00A26EEC" w:rsidRPr="001843D3" w:rsidRDefault="00A26EEC" w:rsidP="001843D3">
            <w:pPr>
              <w:spacing w:after="0" w:line="240" w:lineRule="auto"/>
              <w:contextualSpacing/>
              <w:rPr>
                <w:lang w:eastAsia="ru-RU"/>
              </w:rPr>
            </w:pPr>
            <w:r w:rsidRPr="001843D3">
              <w:rPr>
                <w:lang w:eastAsia="ru-RU"/>
              </w:rPr>
              <w:t>______________________________</w:t>
            </w:r>
          </w:p>
          <w:p w14:paraId="77B26A1F" w14:textId="77777777" w:rsidR="00A26EEC" w:rsidRPr="001843D3" w:rsidRDefault="00A26EEC" w:rsidP="001843D3">
            <w:pPr>
              <w:spacing w:after="0" w:line="240" w:lineRule="auto"/>
              <w:contextualSpacing/>
              <w:jc w:val="center"/>
              <w:rPr>
                <w:lang w:eastAsia="ru-RU"/>
              </w:rPr>
            </w:pPr>
            <w:r w:rsidRPr="001843D3">
              <w:rPr>
                <w:vertAlign w:val="superscript"/>
                <w:lang w:eastAsia="ru-RU"/>
              </w:rPr>
              <w:t>Дата</w:t>
            </w:r>
          </w:p>
        </w:tc>
      </w:tr>
    </w:tbl>
    <w:p w14:paraId="5E9E2B30" w14:textId="1316D1A0" w:rsidR="00A26EEC" w:rsidRDefault="00A26EEC">
      <w:pPr>
        <w:jc w:val="left"/>
        <w:rPr>
          <w:b/>
          <w:bCs/>
          <w:color w:val="000000" w:themeColor="text1"/>
          <w:kern w:val="32"/>
          <w:szCs w:val="32"/>
        </w:rPr>
      </w:pPr>
      <w:r>
        <w:rPr>
          <w:color w:val="000000" w:themeColor="text1"/>
        </w:rPr>
        <w:br w:type="page"/>
      </w:r>
    </w:p>
    <w:p w14:paraId="527ECB97" w14:textId="7B9A604B" w:rsidR="00BF29B1" w:rsidRDefault="00E30437" w:rsidP="00284823">
      <w:pPr>
        <w:pStyle w:val="12"/>
        <w:spacing w:line="240" w:lineRule="auto"/>
        <w:rPr>
          <w:rFonts w:cs="Times New Roman"/>
          <w:color w:val="000000" w:themeColor="text1"/>
        </w:rPr>
      </w:pPr>
      <w:bookmarkStart w:id="4" w:name="_Toc120288096"/>
      <w:r w:rsidRPr="005E6358">
        <w:rPr>
          <w:rFonts w:cs="Times New Roman"/>
          <w:color w:val="000000" w:themeColor="text1"/>
        </w:rPr>
        <w:lastRenderedPageBreak/>
        <w:t>СПИСОК СОКРАЩЕНИЙ</w:t>
      </w:r>
      <w:bookmarkEnd w:id="4"/>
    </w:p>
    <w:tbl>
      <w:tblPr>
        <w:tblStyle w:val="210"/>
        <w:tblW w:w="4888" w:type="pct"/>
        <w:tblInd w:w="108" w:type="dxa"/>
        <w:tblLook w:val="04A0" w:firstRow="1" w:lastRow="0" w:firstColumn="1" w:lastColumn="0" w:noHBand="0" w:noVBand="1"/>
      </w:tblPr>
      <w:tblGrid>
        <w:gridCol w:w="2210"/>
        <w:gridCol w:w="7147"/>
      </w:tblGrid>
      <w:tr w:rsidR="008E7231" w:rsidRPr="00734A6B" w14:paraId="42FF06A9" w14:textId="77777777" w:rsidTr="00AB1FF1">
        <w:tc>
          <w:tcPr>
            <w:tcW w:w="2210" w:type="dxa"/>
          </w:tcPr>
          <w:p w14:paraId="7AFCD02D" w14:textId="77777777" w:rsidR="008E7231" w:rsidRPr="00734A6B" w:rsidRDefault="008E7231" w:rsidP="00511EB4">
            <w:pPr>
              <w:spacing w:line="23" w:lineRule="atLeast"/>
              <w:rPr>
                <w:lang w:val="en-US"/>
              </w:rPr>
            </w:pPr>
            <w:r w:rsidRPr="00717AF1">
              <w:rPr>
                <w:rFonts w:eastAsia="Times New Roman"/>
                <w:lang w:eastAsia="ru-RU"/>
              </w:rPr>
              <w:t>ААК1</w:t>
            </w:r>
          </w:p>
        </w:tc>
        <w:tc>
          <w:tcPr>
            <w:tcW w:w="7146" w:type="dxa"/>
          </w:tcPr>
          <w:p w14:paraId="4FCB3D64" w14:textId="77777777" w:rsidR="008E7231" w:rsidRPr="00734A6B" w:rsidRDefault="008E7231" w:rsidP="00511EB4">
            <w:pPr>
              <w:spacing w:line="23" w:lineRule="atLeast"/>
              <w:rPr>
                <w:rFonts w:eastAsia="Times New Roman"/>
                <w:lang w:eastAsia="ru-RU"/>
              </w:rPr>
            </w:pPr>
            <w:r w:rsidRPr="00717AF1">
              <w:rPr>
                <w:rFonts w:eastAsia="Times New Roman"/>
                <w:lang w:eastAsia="ru-RU"/>
              </w:rPr>
              <w:t>АР2-ассоциированной протеинкиназе 1</w:t>
            </w:r>
          </w:p>
        </w:tc>
      </w:tr>
      <w:tr w:rsidR="008E7231" w:rsidRPr="00700121" w14:paraId="7AC223B7" w14:textId="77777777" w:rsidTr="00AB1FF1">
        <w:tc>
          <w:tcPr>
            <w:tcW w:w="2210" w:type="dxa"/>
          </w:tcPr>
          <w:p w14:paraId="4CAF595C" w14:textId="77777777" w:rsidR="008E7231" w:rsidRPr="00717AF1" w:rsidRDefault="008E7231" w:rsidP="00511EB4">
            <w:pPr>
              <w:spacing w:line="23" w:lineRule="atLeast"/>
              <w:rPr>
                <w:rFonts w:eastAsia="Times New Roman"/>
              </w:rPr>
            </w:pPr>
            <w:r w:rsidRPr="00700121">
              <w:rPr>
                <w:rFonts w:eastAsia="Times New Roman"/>
              </w:rPr>
              <w:t>ACR</w:t>
            </w:r>
          </w:p>
        </w:tc>
        <w:tc>
          <w:tcPr>
            <w:tcW w:w="7146" w:type="dxa"/>
          </w:tcPr>
          <w:p w14:paraId="7E0401B3" w14:textId="77777777" w:rsidR="008E7231" w:rsidRPr="00700121" w:rsidRDefault="008E7231" w:rsidP="00511EB4">
            <w:pPr>
              <w:spacing w:line="23" w:lineRule="atLeast"/>
              <w:rPr>
                <w:rFonts w:eastAsia="Times New Roman"/>
              </w:rPr>
            </w:pPr>
            <w:bookmarkStart w:id="5" w:name="_Hlk118481552"/>
            <w:r w:rsidRPr="00700121">
              <w:rPr>
                <w:rFonts w:eastAsia="Times New Roman"/>
              </w:rPr>
              <w:t xml:space="preserve">критерии </w:t>
            </w:r>
            <w:r>
              <w:rPr>
                <w:rFonts w:eastAsia="Times New Roman"/>
              </w:rPr>
              <w:t>ревматоидного</w:t>
            </w:r>
            <w:r w:rsidRPr="00700121">
              <w:rPr>
                <w:rFonts w:eastAsia="Times New Roman"/>
              </w:rPr>
              <w:t xml:space="preserve"> </w:t>
            </w:r>
            <w:r>
              <w:rPr>
                <w:rFonts w:eastAsia="Times New Roman"/>
              </w:rPr>
              <w:t>артрита</w:t>
            </w:r>
            <w:r w:rsidRPr="00700121">
              <w:rPr>
                <w:rFonts w:eastAsia="Times New Roman"/>
              </w:rPr>
              <w:t xml:space="preserve">, </w:t>
            </w:r>
            <w:r>
              <w:rPr>
                <w:rFonts w:eastAsia="Times New Roman"/>
              </w:rPr>
              <w:t xml:space="preserve">разработанные </w:t>
            </w:r>
            <w:r w:rsidRPr="00700121">
              <w:rPr>
                <w:rFonts w:eastAsia="Times New Roman"/>
              </w:rPr>
              <w:t xml:space="preserve">Американской коллегии ревматологов </w:t>
            </w:r>
            <w:bookmarkEnd w:id="5"/>
          </w:p>
        </w:tc>
      </w:tr>
      <w:tr w:rsidR="008E7231" w:rsidRPr="00700121" w14:paraId="4F81D2C3" w14:textId="77777777" w:rsidTr="00AB1FF1">
        <w:tc>
          <w:tcPr>
            <w:tcW w:w="2210" w:type="dxa"/>
          </w:tcPr>
          <w:p w14:paraId="04E10EB5" w14:textId="77777777" w:rsidR="008E7231" w:rsidRPr="00700121" w:rsidRDefault="008E7231" w:rsidP="00511EB4">
            <w:pPr>
              <w:spacing w:line="23" w:lineRule="atLeast"/>
              <w:rPr>
                <w:rFonts w:eastAsia="Times New Roman"/>
              </w:rPr>
            </w:pPr>
            <w:r w:rsidRPr="00211930">
              <w:rPr>
                <w:rFonts w:eastAsia="Times New Roman"/>
              </w:rPr>
              <w:t>АСРА</w:t>
            </w:r>
          </w:p>
        </w:tc>
        <w:tc>
          <w:tcPr>
            <w:tcW w:w="7146" w:type="dxa"/>
          </w:tcPr>
          <w:p w14:paraId="48FDE688" w14:textId="77777777" w:rsidR="008E7231" w:rsidRPr="00700121" w:rsidRDefault="008E7231" w:rsidP="00511EB4">
            <w:pPr>
              <w:spacing w:line="23" w:lineRule="atLeast"/>
              <w:rPr>
                <w:rFonts w:eastAsia="Times New Roman"/>
              </w:rPr>
            </w:pPr>
            <w:r w:rsidRPr="00211930">
              <w:rPr>
                <w:rFonts w:eastAsia="Times New Roman"/>
              </w:rPr>
              <w:t>антитела к циклическому цитруллинсодержащему пептиду</w:t>
            </w:r>
          </w:p>
        </w:tc>
      </w:tr>
      <w:tr w:rsidR="008E7231" w:rsidRPr="00700121" w14:paraId="3EB82B95" w14:textId="77777777" w:rsidTr="00AB1FF1">
        <w:tc>
          <w:tcPr>
            <w:tcW w:w="2210" w:type="dxa"/>
          </w:tcPr>
          <w:p w14:paraId="427F5722" w14:textId="77777777" w:rsidR="008E7231" w:rsidRPr="00211930" w:rsidRDefault="008E7231" w:rsidP="00511EB4">
            <w:pPr>
              <w:spacing w:line="23" w:lineRule="atLeast"/>
              <w:rPr>
                <w:rFonts w:eastAsia="Times New Roman"/>
              </w:rPr>
            </w:pPr>
            <w:r w:rsidRPr="003C7F3C">
              <w:rPr>
                <w:rFonts w:eastAsia="Times New Roman"/>
              </w:rPr>
              <w:t>ACR20/50/70</w:t>
            </w:r>
          </w:p>
        </w:tc>
        <w:tc>
          <w:tcPr>
            <w:tcW w:w="7146" w:type="dxa"/>
          </w:tcPr>
          <w:p w14:paraId="2A3E9A74" w14:textId="77777777" w:rsidR="008E7231" w:rsidRPr="00211930" w:rsidRDefault="008E7231" w:rsidP="00511EB4">
            <w:pPr>
              <w:spacing w:line="23" w:lineRule="atLeast"/>
              <w:rPr>
                <w:rFonts w:eastAsia="Times New Roman"/>
              </w:rPr>
            </w:pPr>
            <w:r w:rsidRPr="003C7F3C">
              <w:rPr>
                <w:rFonts w:eastAsia="Times New Roman"/>
              </w:rPr>
              <w:t>улучшение на 20/50/70% по данным критерия Американского колледжа ревматологии</w:t>
            </w:r>
          </w:p>
        </w:tc>
      </w:tr>
      <w:tr w:rsidR="008E7231" w:rsidRPr="00700121" w14:paraId="34093304" w14:textId="77777777" w:rsidTr="00AB1FF1">
        <w:tc>
          <w:tcPr>
            <w:tcW w:w="2210" w:type="dxa"/>
          </w:tcPr>
          <w:p w14:paraId="3A6CCBFF" w14:textId="77777777" w:rsidR="008E7231" w:rsidRPr="00211930" w:rsidRDefault="008E7231" w:rsidP="00511EB4">
            <w:pPr>
              <w:spacing w:line="23" w:lineRule="atLeast"/>
              <w:rPr>
                <w:rFonts w:eastAsia="Times New Roman"/>
              </w:rPr>
            </w:pPr>
            <w:r w:rsidRPr="003C7F3C">
              <w:rPr>
                <w:rFonts w:eastAsia="Times New Roman"/>
              </w:rPr>
              <w:t>ADA</w:t>
            </w:r>
          </w:p>
        </w:tc>
        <w:tc>
          <w:tcPr>
            <w:tcW w:w="7146" w:type="dxa"/>
          </w:tcPr>
          <w:p w14:paraId="7ADAB972" w14:textId="77777777" w:rsidR="008E7231" w:rsidRPr="00211930" w:rsidRDefault="008E7231" w:rsidP="00511EB4">
            <w:pPr>
              <w:spacing w:line="23" w:lineRule="atLeast"/>
              <w:rPr>
                <w:rFonts w:eastAsia="Times New Roman"/>
              </w:rPr>
            </w:pPr>
            <w:r w:rsidRPr="003C7F3C">
              <w:rPr>
                <w:rFonts w:eastAsia="Times New Roman"/>
              </w:rPr>
              <w:t>адалимумаб</w:t>
            </w:r>
          </w:p>
        </w:tc>
      </w:tr>
      <w:tr w:rsidR="008E7231" w:rsidRPr="00734A6B" w14:paraId="75FA70D0" w14:textId="77777777" w:rsidTr="00AB1FF1">
        <w:tc>
          <w:tcPr>
            <w:tcW w:w="2210" w:type="dxa"/>
          </w:tcPr>
          <w:p w14:paraId="5FF6E9CE" w14:textId="77777777" w:rsidR="008E7231" w:rsidRPr="00717AF1" w:rsidRDefault="008E7231" w:rsidP="00511EB4">
            <w:pPr>
              <w:spacing w:line="23" w:lineRule="atLeast"/>
              <w:rPr>
                <w:rFonts w:eastAsia="Times New Roman"/>
              </w:rPr>
            </w:pPr>
            <w:r w:rsidRPr="004A0C22">
              <w:rPr>
                <w:rFonts w:eastAsia="Times New Roman"/>
              </w:rPr>
              <w:t>AUC</w:t>
            </w:r>
          </w:p>
        </w:tc>
        <w:tc>
          <w:tcPr>
            <w:tcW w:w="7146" w:type="dxa"/>
          </w:tcPr>
          <w:p w14:paraId="1E747D5F" w14:textId="77777777" w:rsidR="008E7231" w:rsidRPr="00717AF1" w:rsidRDefault="008E7231" w:rsidP="00511EB4">
            <w:pPr>
              <w:spacing w:line="23" w:lineRule="atLeast"/>
              <w:rPr>
                <w:rFonts w:eastAsia="Times New Roman"/>
              </w:rPr>
            </w:pPr>
            <w:r w:rsidRPr="004A0C22">
              <w:rPr>
                <w:rFonts w:eastAsia="Times New Roman"/>
              </w:rPr>
              <w:t>площадь под фармакокинетической кривой «плазменная концентрация–время»</w:t>
            </w:r>
          </w:p>
        </w:tc>
      </w:tr>
      <w:tr w:rsidR="008E7231" w:rsidRPr="00734A6B" w14:paraId="06E94106" w14:textId="77777777" w:rsidTr="00AB1FF1">
        <w:tc>
          <w:tcPr>
            <w:tcW w:w="2210" w:type="dxa"/>
          </w:tcPr>
          <w:p w14:paraId="23C6CA75" w14:textId="77777777" w:rsidR="008E7231" w:rsidRPr="004A0C22" w:rsidRDefault="008E7231" w:rsidP="00511EB4">
            <w:pPr>
              <w:spacing w:line="23" w:lineRule="atLeast"/>
              <w:rPr>
                <w:rFonts w:eastAsia="Times New Roman"/>
              </w:rPr>
            </w:pPr>
            <w:r w:rsidRPr="00A96A3F">
              <w:rPr>
                <w:rFonts w:eastAsia="Times New Roman"/>
              </w:rPr>
              <w:t>AUCτ,ss</w:t>
            </w:r>
          </w:p>
        </w:tc>
        <w:tc>
          <w:tcPr>
            <w:tcW w:w="7146" w:type="dxa"/>
          </w:tcPr>
          <w:p w14:paraId="1C51BDC0" w14:textId="77777777" w:rsidR="008E7231" w:rsidRPr="004A0C22" w:rsidRDefault="008E7231" w:rsidP="00511EB4">
            <w:pPr>
              <w:spacing w:line="23" w:lineRule="atLeast"/>
              <w:rPr>
                <w:rFonts w:eastAsia="Times New Roman"/>
              </w:rPr>
            </w:pPr>
            <w:r w:rsidRPr="004A0C22">
              <w:rPr>
                <w:rFonts w:eastAsia="Times New Roman"/>
              </w:rPr>
              <w:t>площадь под фармакокинетической кривой «плазменная концентрация–время»</w:t>
            </w:r>
            <w:r>
              <w:rPr>
                <w:rFonts w:eastAsia="Times New Roman"/>
              </w:rPr>
              <w:t xml:space="preserve"> </w:t>
            </w:r>
            <w:r w:rsidRPr="00A96A3F">
              <w:rPr>
                <w:rFonts w:eastAsia="Times New Roman"/>
              </w:rPr>
              <w:t>в течение интервала дозирования в равновесном состоянии ()</w:t>
            </w:r>
          </w:p>
        </w:tc>
      </w:tr>
      <w:tr w:rsidR="008E7231" w:rsidRPr="00734A6B" w14:paraId="54CAFA12" w14:textId="77777777" w:rsidTr="00AB1FF1">
        <w:tc>
          <w:tcPr>
            <w:tcW w:w="2210" w:type="dxa"/>
          </w:tcPr>
          <w:p w14:paraId="3D704797" w14:textId="77777777" w:rsidR="008E7231" w:rsidRPr="00A96A3F" w:rsidRDefault="008E7231" w:rsidP="00511EB4">
            <w:pPr>
              <w:spacing w:line="23" w:lineRule="atLeast"/>
              <w:rPr>
                <w:rFonts w:eastAsia="Times New Roman"/>
              </w:rPr>
            </w:pPr>
            <w:r w:rsidRPr="00476E0E">
              <w:rPr>
                <w:rFonts w:eastAsia="Times New Roman"/>
              </w:rPr>
              <w:t>BCRP</w:t>
            </w:r>
          </w:p>
        </w:tc>
        <w:tc>
          <w:tcPr>
            <w:tcW w:w="7146" w:type="dxa"/>
          </w:tcPr>
          <w:p w14:paraId="17773F7A" w14:textId="77777777" w:rsidR="008E7231" w:rsidRPr="004A0C22" w:rsidRDefault="008E7231" w:rsidP="00511EB4">
            <w:pPr>
              <w:spacing w:line="23" w:lineRule="atLeast"/>
              <w:rPr>
                <w:rFonts w:eastAsia="Times New Roman"/>
              </w:rPr>
            </w:pPr>
            <w:r w:rsidRPr="00476E0E">
              <w:rPr>
                <w:rFonts w:eastAsia="Times New Roman"/>
              </w:rPr>
              <w:t>белок устойчивости к раку молочной железы</w:t>
            </w:r>
          </w:p>
        </w:tc>
      </w:tr>
      <w:tr w:rsidR="008E7231" w:rsidRPr="00734A6B" w14:paraId="5ED8FF64" w14:textId="77777777" w:rsidTr="00AB1FF1">
        <w:tc>
          <w:tcPr>
            <w:tcW w:w="2210" w:type="dxa"/>
          </w:tcPr>
          <w:p w14:paraId="09E85AB6" w14:textId="77777777" w:rsidR="008E7231" w:rsidRPr="00734A6B" w:rsidRDefault="008E7231" w:rsidP="00511EB4">
            <w:pPr>
              <w:spacing w:line="23" w:lineRule="atLeast"/>
              <w:rPr>
                <w:lang w:val="en-US"/>
              </w:rPr>
            </w:pPr>
            <w:r w:rsidRPr="00717AF1">
              <w:rPr>
                <w:rFonts w:eastAsia="Times New Roman"/>
                <w:lang w:eastAsia="ru-RU"/>
              </w:rPr>
              <w:t>ВIКЕ</w:t>
            </w:r>
          </w:p>
        </w:tc>
        <w:tc>
          <w:tcPr>
            <w:tcW w:w="7146" w:type="dxa"/>
          </w:tcPr>
          <w:p w14:paraId="31ECA740" w14:textId="27F155C7" w:rsidR="008E7231" w:rsidRPr="00734A6B" w:rsidRDefault="008E7231" w:rsidP="00511EB4">
            <w:pPr>
              <w:spacing w:line="23" w:lineRule="atLeast"/>
              <w:rPr>
                <w:rFonts w:eastAsia="Times New Roman"/>
                <w:lang w:eastAsia="ru-RU"/>
              </w:rPr>
            </w:pPr>
            <w:r w:rsidRPr="00717AF1">
              <w:rPr>
                <w:rFonts w:eastAsia="Times New Roman"/>
                <w:lang w:eastAsia="ru-RU"/>
              </w:rPr>
              <w:t>ВМР-2-индуцибельной киназ</w:t>
            </w:r>
            <w:r w:rsidR="007F72CA">
              <w:rPr>
                <w:rFonts w:eastAsia="Times New Roman"/>
                <w:lang w:eastAsia="ru-RU"/>
              </w:rPr>
              <w:t>а</w:t>
            </w:r>
            <w:r w:rsidRPr="00717AF1">
              <w:rPr>
                <w:rFonts w:eastAsia="Times New Roman"/>
                <w:lang w:eastAsia="ru-RU"/>
              </w:rPr>
              <w:t xml:space="preserve"> </w:t>
            </w:r>
          </w:p>
        </w:tc>
      </w:tr>
      <w:tr w:rsidR="008E7231" w:rsidRPr="00734A6B" w14:paraId="1A25C264" w14:textId="77777777" w:rsidTr="00AB1FF1">
        <w:tc>
          <w:tcPr>
            <w:tcW w:w="2210" w:type="dxa"/>
          </w:tcPr>
          <w:p w14:paraId="45CA818F" w14:textId="77777777" w:rsidR="008E7231" w:rsidRPr="00717AF1" w:rsidRDefault="008E7231" w:rsidP="00511EB4">
            <w:pPr>
              <w:spacing w:line="23" w:lineRule="atLeast"/>
              <w:rPr>
                <w:rFonts w:eastAsia="Times New Roman"/>
              </w:rPr>
            </w:pPr>
            <w:r w:rsidRPr="00FB6502">
              <w:rPr>
                <w:rFonts w:eastAsia="Times New Roman"/>
              </w:rPr>
              <w:t>BSA</w:t>
            </w:r>
          </w:p>
        </w:tc>
        <w:tc>
          <w:tcPr>
            <w:tcW w:w="7146" w:type="dxa"/>
          </w:tcPr>
          <w:p w14:paraId="04D929D0" w14:textId="77777777" w:rsidR="008E7231" w:rsidRPr="00717AF1" w:rsidRDefault="008E7231" w:rsidP="00511EB4">
            <w:pPr>
              <w:spacing w:line="23" w:lineRule="atLeast"/>
              <w:rPr>
                <w:rFonts w:eastAsia="Times New Roman"/>
              </w:rPr>
            </w:pPr>
            <w:r w:rsidRPr="00FB6502">
              <w:rPr>
                <w:rFonts w:eastAsia="Times New Roman"/>
              </w:rPr>
              <w:t>площад</w:t>
            </w:r>
            <w:r>
              <w:rPr>
                <w:rFonts w:eastAsia="Times New Roman"/>
              </w:rPr>
              <w:t>ь</w:t>
            </w:r>
            <w:r w:rsidRPr="00FB6502">
              <w:rPr>
                <w:rFonts w:eastAsia="Times New Roman"/>
              </w:rPr>
              <w:t xml:space="preserve"> поверхности тела</w:t>
            </w:r>
          </w:p>
        </w:tc>
      </w:tr>
      <w:tr w:rsidR="008E7231" w:rsidRPr="00734A6B" w14:paraId="1DC0FB56" w14:textId="77777777" w:rsidTr="00AB1FF1">
        <w:tc>
          <w:tcPr>
            <w:tcW w:w="2210" w:type="dxa"/>
          </w:tcPr>
          <w:p w14:paraId="359F4827" w14:textId="77777777" w:rsidR="008E7231" w:rsidRPr="00717AF1" w:rsidRDefault="008E7231" w:rsidP="00511EB4">
            <w:pPr>
              <w:spacing w:line="23" w:lineRule="atLeast"/>
              <w:rPr>
                <w:rFonts w:eastAsia="Times New Roman"/>
              </w:rPr>
            </w:pPr>
            <w:r w:rsidRPr="004A0C22">
              <w:rPr>
                <w:rFonts w:eastAsia="Times New Roman"/>
              </w:rPr>
              <w:t>CaMK2d</w:t>
            </w:r>
          </w:p>
        </w:tc>
        <w:tc>
          <w:tcPr>
            <w:tcW w:w="7146" w:type="dxa"/>
          </w:tcPr>
          <w:p w14:paraId="3A9FC122" w14:textId="77777777" w:rsidR="008E7231" w:rsidRPr="00717AF1" w:rsidRDefault="008E7231" w:rsidP="00511EB4">
            <w:pPr>
              <w:spacing w:line="23" w:lineRule="atLeast"/>
              <w:rPr>
                <w:rFonts w:eastAsia="Times New Roman"/>
              </w:rPr>
            </w:pPr>
            <w:r w:rsidRPr="004A0C22">
              <w:rPr>
                <w:rFonts w:eastAsia="Times New Roman"/>
              </w:rPr>
              <w:t>кальций/кальмодулинзависимая протеинкиназа</w:t>
            </w:r>
          </w:p>
        </w:tc>
      </w:tr>
      <w:tr w:rsidR="008E7231" w:rsidRPr="00734A6B" w14:paraId="2634C9D3" w14:textId="77777777" w:rsidTr="00AB1FF1">
        <w:tc>
          <w:tcPr>
            <w:tcW w:w="2210" w:type="dxa"/>
          </w:tcPr>
          <w:p w14:paraId="0F76DEBF" w14:textId="77777777" w:rsidR="008E7231" w:rsidRPr="004A0C22" w:rsidRDefault="008E7231" w:rsidP="00511EB4">
            <w:pPr>
              <w:spacing w:line="23" w:lineRule="atLeast"/>
              <w:rPr>
                <w:rFonts w:eastAsia="Times New Roman"/>
              </w:rPr>
            </w:pPr>
            <w:r w:rsidRPr="004A0C22">
              <w:rPr>
                <w:rFonts w:eastAsia="Times New Roman"/>
              </w:rPr>
              <w:t>CaMK2g</w:t>
            </w:r>
          </w:p>
        </w:tc>
        <w:tc>
          <w:tcPr>
            <w:tcW w:w="7146" w:type="dxa"/>
          </w:tcPr>
          <w:p w14:paraId="5E4C0A52" w14:textId="77777777" w:rsidR="008E7231" w:rsidRPr="004A0C22" w:rsidRDefault="008E7231" w:rsidP="00511EB4">
            <w:pPr>
              <w:spacing w:line="23" w:lineRule="atLeast"/>
              <w:rPr>
                <w:rFonts w:eastAsia="Times New Roman"/>
              </w:rPr>
            </w:pPr>
            <w:r w:rsidRPr="004A0C22">
              <w:rPr>
                <w:rFonts w:eastAsia="Times New Roman"/>
              </w:rPr>
              <w:t>кальций/кальмодулинзависимая протеинкиназа II ℽ</w:t>
            </w:r>
          </w:p>
        </w:tc>
      </w:tr>
      <w:tr w:rsidR="008E7231" w:rsidRPr="00734A6B" w14:paraId="77FF6B19" w14:textId="77777777" w:rsidTr="00AB1FF1">
        <w:tc>
          <w:tcPr>
            <w:tcW w:w="2210" w:type="dxa"/>
          </w:tcPr>
          <w:p w14:paraId="522F7BEB" w14:textId="77777777" w:rsidR="008E7231" w:rsidRPr="00717AF1" w:rsidRDefault="008E7231" w:rsidP="00511EB4">
            <w:pPr>
              <w:spacing w:line="23" w:lineRule="atLeast"/>
              <w:rPr>
                <w:rFonts w:eastAsia="Times New Roman"/>
              </w:rPr>
            </w:pPr>
            <w:r w:rsidRPr="00E46CB6">
              <w:rPr>
                <w:rFonts w:eastAsia="Times New Roman"/>
                <w:lang w:eastAsia="ru-RU"/>
              </w:rPr>
              <w:t>ССL19</w:t>
            </w:r>
          </w:p>
        </w:tc>
        <w:tc>
          <w:tcPr>
            <w:tcW w:w="7146" w:type="dxa"/>
          </w:tcPr>
          <w:p w14:paraId="02B1BF2A" w14:textId="77777777" w:rsidR="008E7231" w:rsidRPr="00717AF1" w:rsidRDefault="008E7231" w:rsidP="00511EB4">
            <w:pPr>
              <w:spacing w:line="23" w:lineRule="atLeast"/>
              <w:rPr>
                <w:rFonts w:eastAsia="Times New Roman"/>
              </w:rPr>
            </w:pPr>
            <w:r w:rsidRPr="00E46CB6">
              <w:rPr>
                <w:rFonts w:eastAsia="Times New Roman"/>
                <w:lang w:eastAsia="ru-RU"/>
              </w:rPr>
              <w:t>воспалительный белок макрофагов 3β</w:t>
            </w:r>
          </w:p>
        </w:tc>
      </w:tr>
      <w:tr w:rsidR="008E7231" w:rsidRPr="00734A6B" w14:paraId="302EA5EB" w14:textId="77777777" w:rsidTr="00AB1FF1">
        <w:tc>
          <w:tcPr>
            <w:tcW w:w="2210" w:type="dxa"/>
          </w:tcPr>
          <w:p w14:paraId="1CBC8ACF" w14:textId="77777777" w:rsidR="008E7231" w:rsidRPr="00E46CB6" w:rsidRDefault="008E7231" w:rsidP="00511EB4">
            <w:pPr>
              <w:spacing w:line="23" w:lineRule="atLeast"/>
              <w:rPr>
                <w:rFonts w:eastAsia="Times New Roman"/>
              </w:rPr>
            </w:pPr>
            <w:r w:rsidRPr="00211930">
              <w:rPr>
                <w:rFonts w:eastAsia="Times New Roman"/>
              </w:rPr>
              <w:t>CDAI</w:t>
            </w:r>
          </w:p>
        </w:tc>
        <w:tc>
          <w:tcPr>
            <w:tcW w:w="7146" w:type="dxa"/>
          </w:tcPr>
          <w:p w14:paraId="0825E0D3" w14:textId="77777777" w:rsidR="008E7231" w:rsidRPr="00E46CB6" w:rsidRDefault="008E7231" w:rsidP="00511EB4">
            <w:pPr>
              <w:spacing w:line="23" w:lineRule="atLeast"/>
              <w:rPr>
                <w:rFonts w:eastAsia="Times New Roman"/>
              </w:rPr>
            </w:pPr>
            <w:r w:rsidRPr="00211930">
              <w:rPr>
                <w:rFonts w:eastAsia="Times New Roman"/>
              </w:rPr>
              <w:t>клинический индекс активности болезни</w:t>
            </w:r>
          </w:p>
        </w:tc>
      </w:tr>
      <w:tr w:rsidR="008E7231" w:rsidRPr="00734A6B" w14:paraId="05DC6D33" w14:textId="77777777" w:rsidTr="00AB1FF1">
        <w:tc>
          <w:tcPr>
            <w:tcW w:w="2210" w:type="dxa"/>
          </w:tcPr>
          <w:p w14:paraId="089FE2BE" w14:textId="40EEEEDA" w:rsidR="008E7231" w:rsidRPr="00E46CB6" w:rsidRDefault="008E7231" w:rsidP="00511EB4">
            <w:pPr>
              <w:spacing w:line="23" w:lineRule="atLeast"/>
              <w:rPr>
                <w:rFonts w:eastAsia="Times New Roman"/>
              </w:rPr>
            </w:pPr>
            <w:r w:rsidRPr="00A6699D">
              <w:rPr>
                <w:rFonts w:eastAsia="Times New Roman"/>
              </w:rPr>
              <w:t>C</w:t>
            </w:r>
            <w:r w:rsidR="008F28F6">
              <w:rPr>
                <w:rFonts w:eastAsia="Times New Roman"/>
                <w:lang w:val="en-US"/>
              </w:rPr>
              <w:t>L</w:t>
            </w:r>
          </w:p>
        </w:tc>
        <w:tc>
          <w:tcPr>
            <w:tcW w:w="7146" w:type="dxa"/>
          </w:tcPr>
          <w:p w14:paraId="78CA599A" w14:textId="77777777" w:rsidR="008E7231" w:rsidRPr="00E46CB6" w:rsidRDefault="008E7231" w:rsidP="00511EB4">
            <w:pPr>
              <w:spacing w:line="23" w:lineRule="atLeast"/>
              <w:rPr>
                <w:rFonts w:eastAsia="Times New Roman"/>
              </w:rPr>
            </w:pPr>
            <w:r w:rsidRPr="00A6699D">
              <w:rPr>
                <w:rFonts w:eastAsia="Times New Roman"/>
              </w:rPr>
              <w:t>клиренс</w:t>
            </w:r>
          </w:p>
        </w:tc>
      </w:tr>
      <w:tr w:rsidR="008E7231" w:rsidRPr="00734A6B" w14:paraId="38524E2F" w14:textId="77777777" w:rsidTr="00AB1FF1">
        <w:tc>
          <w:tcPr>
            <w:tcW w:w="2210" w:type="dxa"/>
          </w:tcPr>
          <w:p w14:paraId="7455E191" w14:textId="77777777" w:rsidR="008E7231" w:rsidRPr="00A6699D" w:rsidRDefault="008E7231" w:rsidP="00511EB4">
            <w:pPr>
              <w:spacing w:line="23" w:lineRule="atLeast"/>
              <w:rPr>
                <w:rFonts w:eastAsia="Times New Roman"/>
              </w:rPr>
            </w:pPr>
            <w:r w:rsidRPr="00E42D4D">
              <w:rPr>
                <w:rFonts w:eastAsia="Times New Roman"/>
              </w:rPr>
              <w:t>CL/F</w:t>
            </w:r>
          </w:p>
        </w:tc>
        <w:tc>
          <w:tcPr>
            <w:tcW w:w="7146" w:type="dxa"/>
          </w:tcPr>
          <w:p w14:paraId="1DBB5FAE" w14:textId="77777777" w:rsidR="008E7231" w:rsidRPr="00A6699D" w:rsidRDefault="008E7231" w:rsidP="00511EB4">
            <w:pPr>
              <w:spacing w:line="23" w:lineRule="atLeast"/>
              <w:rPr>
                <w:rFonts w:eastAsia="Times New Roman"/>
              </w:rPr>
            </w:pPr>
            <w:r w:rsidRPr="00E42D4D">
              <w:rPr>
                <w:rFonts w:eastAsia="Times New Roman"/>
              </w:rPr>
              <w:t>клиренс при внесосудистом введении</w:t>
            </w:r>
          </w:p>
        </w:tc>
      </w:tr>
      <w:tr w:rsidR="008E7231" w:rsidRPr="00734A6B" w14:paraId="7B4CF833" w14:textId="77777777" w:rsidTr="00AB1FF1">
        <w:tc>
          <w:tcPr>
            <w:tcW w:w="2210" w:type="dxa"/>
          </w:tcPr>
          <w:p w14:paraId="488E2ED9" w14:textId="77777777" w:rsidR="008E7231" w:rsidRPr="00E46CB6" w:rsidRDefault="008E7231" w:rsidP="00511EB4">
            <w:pPr>
              <w:spacing w:line="23" w:lineRule="atLeast"/>
              <w:rPr>
                <w:rFonts w:eastAsia="Times New Roman"/>
              </w:rPr>
            </w:pPr>
            <w:r w:rsidRPr="0098696B">
              <w:rPr>
                <w:rFonts w:eastAsia="Times New Roman"/>
              </w:rPr>
              <w:t>C</w:t>
            </w:r>
            <w:r w:rsidRPr="00AB1FF1">
              <w:rPr>
                <w:rFonts w:eastAsia="Times New Roman"/>
                <w:vertAlign w:val="subscript"/>
              </w:rPr>
              <w:t>max</w:t>
            </w:r>
          </w:p>
        </w:tc>
        <w:tc>
          <w:tcPr>
            <w:tcW w:w="7146" w:type="dxa"/>
          </w:tcPr>
          <w:p w14:paraId="11A82981" w14:textId="77777777" w:rsidR="008E7231" w:rsidRPr="00E46CB6" w:rsidRDefault="008E7231" w:rsidP="00511EB4">
            <w:pPr>
              <w:spacing w:line="23" w:lineRule="atLeast"/>
              <w:rPr>
                <w:rFonts w:eastAsia="Times New Roman"/>
              </w:rPr>
            </w:pPr>
            <w:r w:rsidRPr="0098696B">
              <w:rPr>
                <w:rFonts w:eastAsia="Times New Roman"/>
              </w:rPr>
              <w:t>максимальная концентрация</w:t>
            </w:r>
          </w:p>
        </w:tc>
      </w:tr>
      <w:tr w:rsidR="008E7231" w:rsidRPr="00734A6B" w14:paraId="690B2392" w14:textId="77777777" w:rsidTr="00AB1FF1">
        <w:tc>
          <w:tcPr>
            <w:tcW w:w="2210" w:type="dxa"/>
          </w:tcPr>
          <w:p w14:paraId="52DAC186" w14:textId="77777777" w:rsidR="008E7231" w:rsidRPr="0098696B" w:rsidRDefault="008E7231" w:rsidP="00511EB4">
            <w:pPr>
              <w:spacing w:line="23" w:lineRule="atLeast"/>
              <w:rPr>
                <w:rFonts w:eastAsia="Times New Roman"/>
              </w:rPr>
            </w:pPr>
            <w:r w:rsidRPr="00476E0E">
              <w:rPr>
                <w:rFonts w:eastAsia="Times New Roman"/>
              </w:rPr>
              <w:t>C</w:t>
            </w:r>
            <w:r w:rsidRPr="00AB1FF1">
              <w:rPr>
                <w:rFonts w:eastAsia="Times New Roman"/>
                <w:vertAlign w:val="subscript"/>
              </w:rPr>
              <w:t>maxss</w:t>
            </w:r>
          </w:p>
        </w:tc>
        <w:tc>
          <w:tcPr>
            <w:tcW w:w="7146" w:type="dxa"/>
          </w:tcPr>
          <w:p w14:paraId="2D3F1B68" w14:textId="77777777" w:rsidR="008E7231" w:rsidRPr="0098696B" w:rsidRDefault="008E7231" w:rsidP="00511EB4">
            <w:pPr>
              <w:spacing w:line="23" w:lineRule="atLeast"/>
              <w:rPr>
                <w:rFonts w:eastAsia="Times New Roman"/>
              </w:rPr>
            </w:pPr>
            <w:r w:rsidRPr="00476E0E">
              <w:rPr>
                <w:rFonts w:eastAsia="Times New Roman"/>
              </w:rPr>
              <w:t>максимальная концентрация в плазме во время интервала дозирования в равновесном состоянии</w:t>
            </w:r>
          </w:p>
        </w:tc>
      </w:tr>
      <w:tr w:rsidR="008E7231" w:rsidRPr="00734A6B" w14:paraId="16C19383" w14:textId="77777777" w:rsidTr="00AB1FF1">
        <w:tc>
          <w:tcPr>
            <w:tcW w:w="2210" w:type="dxa"/>
          </w:tcPr>
          <w:p w14:paraId="6B607A1E" w14:textId="77777777" w:rsidR="008E7231" w:rsidRPr="00734A6B" w:rsidRDefault="008E7231" w:rsidP="00511EB4">
            <w:pPr>
              <w:spacing w:line="23" w:lineRule="atLeast"/>
              <w:rPr>
                <w:lang w:val="en-US"/>
              </w:rPr>
            </w:pPr>
            <w:r w:rsidRPr="00734A6B">
              <w:rPr>
                <w:rFonts w:eastAsia="Times New Roman"/>
                <w:iCs/>
                <w:lang w:eastAsia="ru-RU"/>
              </w:rPr>
              <w:t>COVID-19</w:t>
            </w:r>
          </w:p>
        </w:tc>
        <w:tc>
          <w:tcPr>
            <w:tcW w:w="7146" w:type="dxa"/>
          </w:tcPr>
          <w:p w14:paraId="6F39C82F" w14:textId="77777777" w:rsidR="008E7231" w:rsidRPr="00734A6B" w:rsidRDefault="008E7231" w:rsidP="00511EB4">
            <w:pPr>
              <w:autoSpaceDE w:val="0"/>
              <w:autoSpaceDN w:val="0"/>
              <w:adjustRightInd w:val="0"/>
              <w:rPr>
                <w:rFonts w:eastAsia="Times New Roman"/>
                <w:lang w:eastAsia="ru-RU"/>
              </w:rPr>
            </w:pPr>
            <w:r w:rsidRPr="00734A6B">
              <w:rPr>
                <w:rFonts w:eastAsia="Times New Roman"/>
                <w:iCs/>
                <w:lang w:eastAsia="ru-RU"/>
              </w:rPr>
              <w:t>нов</w:t>
            </w:r>
            <w:r>
              <w:rPr>
                <w:rFonts w:eastAsia="Times New Roman"/>
                <w:iCs/>
                <w:lang w:eastAsia="ru-RU"/>
              </w:rPr>
              <w:t>ая</w:t>
            </w:r>
            <w:r w:rsidRPr="00734A6B">
              <w:rPr>
                <w:rFonts w:eastAsia="Times New Roman"/>
                <w:iCs/>
                <w:lang w:eastAsia="ru-RU"/>
              </w:rPr>
              <w:t xml:space="preserve"> коронавирусн</w:t>
            </w:r>
            <w:r>
              <w:rPr>
                <w:rFonts w:eastAsia="Times New Roman"/>
                <w:iCs/>
                <w:lang w:eastAsia="ru-RU"/>
              </w:rPr>
              <w:t>ая</w:t>
            </w:r>
            <w:r w:rsidRPr="00734A6B">
              <w:rPr>
                <w:rFonts w:eastAsia="Times New Roman"/>
                <w:iCs/>
                <w:lang w:eastAsia="ru-RU"/>
              </w:rPr>
              <w:t xml:space="preserve"> инфекци</w:t>
            </w:r>
            <w:r>
              <w:rPr>
                <w:rFonts w:eastAsia="Times New Roman"/>
                <w:iCs/>
                <w:lang w:eastAsia="ru-RU"/>
              </w:rPr>
              <w:t>я</w:t>
            </w:r>
          </w:p>
        </w:tc>
      </w:tr>
      <w:tr w:rsidR="008E7231" w:rsidRPr="00734A6B" w14:paraId="2B6BC7E8" w14:textId="77777777" w:rsidTr="00AB1FF1">
        <w:tc>
          <w:tcPr>
            <w:tcW w:w="2210" w:type="dxa"/>
          </w:tcPr>
          <w:p w14:paraId="1B44B360" w14:textId="77777777" w:rsidR="008E7231" w:rsidRPr="00734A6B" w:rsidRDefault="008E7231" w:rsidP="00511EB4">
            <w:pPr>
              <w:spacing w:line="23" w:lineRule="atLeast"/>
              <w:rPr>
                <w:rFonts w:eastAsia="Times New Roman"/>
                <w:color w:val="000000"/>
                <w:lang w:eastAsia="ru-RU"/>
              </w:rPr>
            </w:pPr>
            <w:r w:rsidRPr="00974183">
              <w:rPr>
                <w:rFonts w:eastAsia="Times New Roman"/>
                <w:lang w:eastAsia="ru-RU"/>
              </w:rPr>
              <w:t>CYP</w:t>
            </w:r>
          </w:p>
        </w:tc>
        <w:tc>
          <w:tcPr>
            <w:tcW w:w="7146" w:type="dxa"/>
          </w:tcPr>
          <w:p w14:paraId="35A238DA" w14:textId="77777777" w:rsidR="008E7231" w:rsidRPr="00734A6B" w:rsidRDefault="008E7231" w:rsidP="00511EB4">
            <w:pPr>
              <w:spacing w:line="23" w:lineRule="atLeast"/>
              <w:rPr>
                <w:rFonts w:eastAsia="Times New Roman"/>
                <w:lang w:eastAsia="ru-RU"/>
              </w:rPr>
            </w:pPr>
            <w:r w:rsidRPr="00974183">
              <w:rPr>
                <w:rFonts w:eastAsia="Times New Roman"/>
                <w:lang w:eastAsia="ru-RU"/>
              </w:rPr>
              <w:t>цитохром Р450</w:t>
            </w:r>
          </w:p>
        </w:tc>
      </w:tr>
      <w:tr w:rsidR="008E7231" w:rsidRPr="00734A6B" w14:paraId="6C523B98" w14:textId="77777777" w:rsidTr="00AB1FF1">
        <w:tc>
          <w:tcPr>
            <w:tcW w:w="2210" w:type="dxa"/>
          </w:tcPr>
          <w:p w14:paraId="60E0D869" w14:textId="77777777" w:rsidR="008E7231" w:rsidRPr="00974183" w:rsidRDefault="008E7231" w:rsidP="00511EB4">
            <w:pPr>
              <w:spacing w:line="23" w:lineRule="atLeast"/>
              <w:rPr>
                <w:rFonts w:eastAsia="Times New Roman"/>
              </w:rPr>
            </w:pPr>
            <w:r w:rsidRPr="00211930">
              <w:rPr>
                <w:rFonts w:eastAsia="Times New Roman"/>
              </w:rPr>
              <w:t>DAS28-hsCRP</w:t>
            </w:r>
          </w:p>
        </w:tc>
        <w:tc>
          <w:tcPr>
            <w:tcW w:w="7146" w:type="dxa"/>
          </w:tcPr>
          <w:p w14:paraId="2CDB18C6" w14:textId="77777777" w:rsidR="008E7231" w:rsidRPr="00974183" w:rsidRDefault="008E7231" w:rsidP="00511EB4">
            <w:pPr>
              <w:spacing w:line="23" w:lineRule="atLeast"/>
              <w:rPr>
                <w:rFonts w:eastAsia="Times New Roman"/>
              </w:rPr>
            </w:pPr>
            <w:r w:rsidRPr="00211930">
              <w:rPr>
                <w:rFonts w:eastAsia="Times New Roman"/>
              </w:rPr>
              <w:t>показатель активности заболевания в 28 суставах с помощью высокочувствительного анализа С-реактивного белка</w:t>
            </w:r>
          </w:p>
        </w:tc>
      </w:tr>
      <w:tr w:rsidR="008E7231" w:rsidRPr="00734A6B" w14:paraId="79C7226F" w14:textId="77777777" w:rsidTr="00AB1FF1">
        <w:tc>
          <w:tcPr>
            <w:tcW w:w="2210" w:type="dxa"/>
          </w:tcPr>
          <w:p w14:paraId="29C523FE" w14:textId="77777777" w:rsidR="008E7231" w:rsidRPr="00211930" w:rsidRDefault="008E7231" w:rsidP="00511EB4">
            <w:pPr>
              <w:spacing w:line="23" w:lineRule="atLeast"/>
              <w:rPr>
                <w:rFonts w:eastAsia="Times New Roman"/>
              </w:rPr>
            </w:pPr>
            <w:r w:rsidRPr="00FB6502">
              <w:rPr>
                <w:rFonts w:eastAsia="Times New Roman"/>
              </w:rPr>
              <w:t>DLQI</w:t>
            </w:r>
          </w:p>
        </w:tc>
        <w:tc>
          <w:tcPr>
            <w:tcW w:w="7146" w:type="dxa"/>
          </w:tcPr>
          <w:p w14:paraId="0B027ECD" w14:textId="77777777" w:rsidR="008E7231" w:rsidRPr="00211930" w:rsidRDefault="008E7231" w:rsidP="00511EB4">
            <w:pPr>
              <w:spacing w:line="23" w:lineRule="atLeast"/>
              <w:rPr>
                <w:rFonts w:eastAsia="Times New Roman"/>
              </w:rPr>
            </w:pPr>
            <w:r w:rsidRPr="00FB6502">
              <w:rPr>
                <w:rFonts w:eastAsia="Times New Roman"/>
              </w:rPr>
              <w:t>дерматологический индекс качества жизни</w:t>
            </w:r>
          </w:p>
        </w:tc>
      </w:tr>
      <w:tr w:rsidR="008E7231" w:rsidRPr="00734A6B" w14:paraId="3AAE133F" w14:textId="77777777" w:rsidTr="00AB1FF1">
        <w:tc>
          <w:tcPr>
            <w:tcW w:w="2210" w:type="dxa"/>
          </w:tcPr>
          <w:p w14:paraId="678103B8" w14:textId="77777777" w:rsidR="008E7231" w:rsidRPr="00211930" w:rsidRDefault="008E7231" w:rsidP="00511EB4">
            <w:pPr>
              <w:spacing w:line="23" w:lineRule="atLeast"/>
              <w:rPr>
                <w:rFonts w:eastAsia="Times New Roman"/>
              </w:rPr>
            </w:pPr>
            <w:r w:rsidRPr="00FB6502">
              <w:rPr>
                <w:rFonts w:eastAsia="Times New Roman"/>
              </w:rPr>
              <w:t>EASI</w:t>
            </w:r>
          </w:p>
        </w:tc>
        <w:tc>
          <w:tcPr>
            <w:tcW w:w="7146" w:type="dxa"/>
          </w:tcPr>
          <w:p w14:paraId="5B788C60" w14:textId="77777777" w:rsidR="008E7231" w:rsidRPr="00211930" w:rsidRDefault="008E7231" w:rsidP="00511EB4">
            <w:pPr>
              <w:spacing w:line="23" w:lineRule="atLeast"/>
              <w:rPr>
                <w:rFonts w:eastAsia="Times New Roman"/>
              </w:rPr>
            </w:pPr>
            <w:r w:rsidRPr="00FB6502">
              <w:rPr>
                <w:rFonts w:eastAsia="Times New Roman"/>
              </w:rPr>
              <w:t>индекс площади и тяжести экземы</w:t>
            </w:r>
          </w:p>
        </w:tc>
      </w:tr>
      <w:tr w:rsidR="008E7231" w:rsidRPr="00734A6B" w14:paraId="00F4D060" w14:textId="77777777" w:rsidTr="00AB1FF1">
        <w:tc>
          <w:tcPr>
            <w:tcW w:w="2210" w:type="dxa"/>
          </w:tcPr>
          <w:p w14:paraId="43251F98" w14:textId="77777777" w:rsidR="008E7231" w:rsidRPr="00974183" w:rsidRDefault="008E7231" w:rsidP="00511EB4">
            <w:pPr>
              <w:spacing w:line="23" w:lineRule="atLeast"/>
              <w:rPr>
                <w:rFonts w:eastAsia="Times New Roman"/>
              </w:rPr>
            </w:pPr>
            <w:r w:rsidRPr="00700121">
              <w:rPr>
                <w:rFonts w:eastAsia="Times New Roman"/>
              </w:rPr>
              <w:t>EULAR</w:t>
            </w:r>
          </w:p>
        </w:tc>
        <w:tc>
          <w:tcPr>
            <w:tcW w:w="7146" w:type="dxa"/>
          </w:tcPr>
          <w:p w14:paraId="0239DD8B" w14:textId="77777777" w:rsidR="008E7231" w:rsidRPr="00974183" w:rsidRDefault="008E7231" w:rsidP="00511EB4">
            <w:pPr>
              <w:spacing w:line="23" w:lineRule="atLeast"/>
              <w:rPr>
                <w:rFonts w:eastAsia="Times New Roman"/>
              </w:rPr>
            </w:pPr>
            <w:bookmarkStart w:id="6" w:name="_Hlk118481697"/>
            <w:r w:rsidRPr="00700121">
              <w:rPr>
                <w:rFonts w:eastAsia="Times New Roman"/>
              </w:rPr>
              <w:t>критерии ревматоидного артрита Европейской</w:t>
            </w:r>
            <w:r>
              <w:rPr>
                <w:rFonts w:eastAsia="Times New Roman"/>
              </w:rPr>
              <w:t xml:space="preserve"> </w:t>
            </w:r>
            <w:r w:rsidRPr="00700121">
              <w:rPr>
                <w:rFonts w:eastAsia="Times New Roman"/>
              </w:rPr>
              <w:t>антиревматической лиги</w:t>
            </w:r>
            <w:bookmarkEnd w:id="6"/>
          </w:p>
        </w:tc>
      </w:tr>
      <w:tr w:rsidR="008E7231" w:rsidRPr="00734A6B" w14:paraId="708295AA" w14:textId="77777777" w:rsidTr="00AB1FF1">
        <w:tc>
          <w:tcPr>
            <w:tcW w:w="2210" w:type="dxa"/>
          </w:tcPr>
          <w:p w14:paraId="4AEAB32A" w14:textId="77777777" w:rsidR="008E7231" w:rsidRPr="00734A6B" w:rsidRDefault="008E7231" w:rsidP="00511EB4">
            <w:pPr>
              <w:spacing w:line="23" w:lineRule="atLeast"/>
            </w:pPr>
            <w:r w:rsidRPr="00717AF1">
              <w:t>GАК</w:t>
            </w:r>
          </w:p>
        </w:tc>
        <w:tc>
          <w:tcPr>
            <w:tcW w:w="7146" w:type="dxa"/>
          </w:tcPr>
          <w:p w14:paraId="28E83D40" w14:textId="77777777" w:rsidR="008E7231" w:rsidRPr="00734A6B" w:rsidRDefault="008E7231" w:rsidP="00511EB4">
            <w:pPr>
              <w:spacing w:line="23" w:lineRule="atLeast"/>
            </w:pPr>
            <w:r w:rsidRPr="00717AF1">
              <w:t>G-ассоциированн</w:t>
            </w:r>
            <w:r>
              <w:t>ая</w:t>
            </w:r>
            <w:r w:rsidRPr="00717AF1">
              <w:t xml:space="preserve"> киназ</w:t>
            </w:r>
            <w:r>
              <w:t>а</w:t>
            </w:r>
          </w:p>
        </w:tc>
      </w:tr>
      <w:tr w:rsidR="008E7231" w:rsidRPr="00734A6B" w14:paraId="637D99F4" w14:textId="77777777" w:rsidTr="00AB1FF1">
        <w:tc>
          <w:tcPr>
            <w:tcW w:w="2210" w:type="dxa"/>
          </w:tcPr>
          <w:p w14:paraId="5CB49DA8" w14:textId="77777777" w:rsidR="008E7231" w:rsidRPr="00717AF1" w:rsidRDefault="008E7231" w:rsidP="00511EB4">
            <w:pPr>
              <w:spacing w:line="23" w:lineRule="atLeast"/>
            </w:pPr>
            <w:r w:rsidRPr="0098696B">
              <w:t>G-CSF</w:t>
            </w:r>
          </w:p>
        </w:tc>
        <w:tc>
          <w:tcPr>
            <w:tcW w:w="7146" w:type="dxa"/>
          </w:tcPr>
          <w:p w14:paraId="18111C76" w14:textId="77777777" w:rsidR="008E7231" w:rsidRPr="00717AF1" w:rsidRDefault="008E7231" w:rsidP="00511EB4">
            <w:pPr>
              <w:spacing w:line="23" w:lineRule="atLeast"/>
            </w:pPr>
            <w:r w:rsidRPr="0098696B">
              <w:t>гранулоцитарно-макрофагальный колониестимулирующий фактор</w:t>
            </w:r>
          </w:p>
        </w:tc>
      </w:tr>
      <w:tr w:rsidR="008E7231" w:rsidRPr="00734A6B" w14:paraId="509252BF" w14:textId="77777777" w:rsidTr="00AB1FF1">
        <w:tc>
          <w:tcPr>
            <w:tcW w:w="2210" w:type="dxa"/>
          </w:tcPr>
          <w:p w14:paraId="64882398" w14:textId="77777777" w:rsidR="008E7231" w:rsidRPr="0098696B" w:rsidRDefault="008E7231" w:rsidP="00511EB4">
            <w:pPr>
              <w:spacing w:line="23" w:lineRule="atLeast"/>
            </w:pPr>
            <w:r w:rsidRPr="00FB6502">
              <w:t>HADS</w:t>
            </w:r>
          </w:p>
        </w:tc>
        <w:tc>
          <w:tcPr>
            <w:tcW w:w="7146" w:type="dxa"/>
          </w:tcPr>
          <w:p w14:paraId="55CA6505" w14:textId="77777777" w:rsidR="008E7231" w:rsidRPr="0098696B" w:rsidRDefault="008E7231" w:rsidP="00511EB4">
            <w:pPr>
              <w:spacing w:line="23" w:lineRule="atLeast"/>
            </w:pPr>
            <w:r w:rsidRPr="00FB6502">
              <w:t>шкала депрессии</w:t>
            </w:r>
          </w:p>
        </w:tc>
      </w:tr>
      <w:tr w:rsidR="008E7231" w:rsidRPr="00734A6B" w14:paraId="0005C6C9" w14:textId="77777777" w:rsidTr="00AB1FF1">
        <w:tc>
          <w:tcPr>
            <w:tcW w:w="2210" w:type="dxa"/>
          </w:tcPr>
          <w:p w14:paraId="187D52BD" w14:textId="77777777" w:rsidR="008E7231" w:rsidRPr="00FB6502" w:rsidRDefault="008E7231" w:rsidP="00511EB4">
            <w:pPr>
              <w:spacing w:line="23" w:lineRule="atLeast"/>
            </w:pPr>
            <w:r w:rsidRPr="00617A74">
              <w:t>Hb</w:t>
            </w:r>
          </w:p>
        </w:tc>
        <w:tc>
          <w:tcPr>
            <w:tcW w:w="7146" w:type="dxa"/>
          </w:tcPr>
          <w:p w14:paraId="1ADBDEF9" w14:textId="77777777" w:rsidR="008E7231" w:rsidRPr="00FB6502" w:rsidRDefault="008E7231" w:rsidP="00511EB4">
            <w:pPr>
              <w:spacing w:line="23" w:lineRule="atLeast"/>
            </w:pPr>
            <w:r w:rsidRPr="00617A74">
              <w:t>гемоглобин</w:t>
            </w:r>
          </w:p>
        </w:tc>
      </w:tr>
      <w:tr w:rsidR="008E7231" w:rsidRPr="00734A6B" w14:paraId="7CCDF144" w14:textId="77777777" w:rsidTr="00AB1FF1">
        <w:trPr>
          <w:trHeight w:val="252"/>
        </w:trPr>
        <w:tc>
          <w:tcPr>
            <w:tcW w:w="2210" w:type="dxa"/>
          </w:tcPr>
          <w:p w14:paraId="78A7B5B4" w14:textId="77777777" w:rsidR="008E7231" w:rsidRPr="00734A6B" w:rsidRDefault="008E7231" w:rsidP="00511EB4">
            <w:pPr>
              <w:spacing w:line="23" w:lineRule="atLeast"/>
            </w:pPr>
            <w:r w:rsidRPr="00120F6F">
              <w:t>HLA</w:t>
            </w:r>
          </w:p>
        </w:tc>
        <w:tc>
          <w:tcPr>
            <w:tcW w:w="7146" w:type="dxa"/>
          </w:tcPr>
          <w:p w14:paraId="54F2AC6F" w14:textId="77777777" w:rsidR="008E7231" w:rsidRPr="00734A6B" w:rsidRDefault="008E7231" w:rsidP="00511EB4">
            <w:pPr>
              <w:spacing w:line="23" w:lineRule="atLeast"/>
              <w:rPr>
                <w:rFonts w:eastAsia="Times New Roman"/>
                <w:iCs/>
                <w:lang w:eastAsia="ru-RU"/>
              </w:rPr>
            </w:pPr>
            <w:r w:rsidRPr="00120F6F">
              <w:t>лейкоцитарны</w:t>
            </w:r>
            <w:r>
              <w:t>й</w:t>
            </w:r>
            <w:r w:rsidRPr="00120F6F">
              <w:t xml:space="preserve"> антиген человек</w:t>
            </w:r>
          </w:p>
        </w:tc>
      </w:tr>
      <w:tr w:rsidR="008E7231" w:rsidRPr="00734A6B" w14:paraId="034AD183" w14:textId="77777777" w:rsidTr="00AB1FF1">
        <w:trPr>
          <w:trHeight w:val="252"/>
        </w:trPr>
        <w:tc>
          <w:tcPr>
            <w:tcW w:w="2210" w:type="dxa"/>
          </w:tcPr>
          <w:p w14:paraId="03ADC0D5" w14:textId="77777777" w:rsidR="008E7231" w:rsidRPr="00120F6F" w:rsidRDefault="008E7231" w:rsidP="00511EB4">
            <w:pPr>
              <w:spacing w:line="23" w:lineRule="atLeast"/>
            </w:pPr>
            <w:r w:rsidRPr="00617A74">
              <w:t>Ht</w:t>
            </w:r>
          </w:p>
        </w:tc>
        <w:tc>
          <w:tcPr>
            <w:tcW w:w="7146" w:type="dxa"/>
          </w:tcPr>
          <w:p w14:paraId="3BCB5A0F" w14:textId="77777777" w:rsidR="008E7231" w:rsidRPr="00120F6F" w:rsidRDefault="008E7231" w:rsidP="00511EB4">
            <w:pPr>
              <w:spacing w:line="23" w:lineRule="atLeast"/>
            </w:pPr>
            <w:r w:rsidRPr="00617A74">
              <w:t>гематокрит</w:t>
            </w:r>
          </w:p>
        </w:tc>
      </w:tr>
      <w:tr w:rsidR="008E7231" w:rsidRPr="00FB6502" w14:paraId="6D311BE0" w14:textId="77777777" w:rsidTr="00AB1FF1">
        <w:trPr>
          <w:trHeight w:val="255"/>
        </w:trPr>
        <w:tc>
          <w:tcPr>
            <w:tcW w:w="2210" w:type="dxa"/>
          </w:tcPr>
          <w:p w14:paraId="68543CD2" w14:textId="77777777" w:rsidR="008E7231" w:rsidRPr="00120F6F" w:rsidRDefault="008E7231" w:rsidP="00511EB4">
            <w:pPr>
              <w:spacing w:line="23" w:lineRule="atLeast"/>
            </w:pPr>
            <w:r w:rsidRPr="00FB6502">
              <w:rPr>
                <w:lang w:val="en-US"/>
              </w:rPr>
              <w:t>IGA</w:t>
            </w:r>
          </w:p>
        </w:tc>
        <w:tc>
          <w:tcPr>
            <w:tcW w:w="7146" w:type="dxa"/>
          </w:tcPr>
          <w:p w14:paraId="02AE20E8" w14:textId="77777777" w:rsidR="008E7231" w:rsidRPr="00FB6502" w:rsidRDefault="008E7231" w:rsidP="00511EB4">
            <w:pPr>
              <w:spacing w:line="23" w:lineRule="atLeast"/>
              <w:rPr>
                <w:lang w:val="en-US"/>
              </w:rPr>
            </w:pPr>
            <w:r>
              <w:t>ш</w:t>
            </w:r>
            <w:r w:rsidRPr="00FB6502">
              <w:t>кал</w:t>
            </w:r>
            <w:r>
              <w:t>а</w:t>
            </w:r>
            <w:r w:rsidRPr="00FB6502">
              <w:rPr>
                <w:lang w:val="en-US"/>
              </w:rPr>
              <w:t xml:space="preserve"> </w:t>
            </w:r>
            <w:r>
              <w:t>тяжести</w:t>
            </w:r>
            <w:r w:rsidRPr="00FB6502">
              <w:rPr>
                <w:lang w:val="en-US"/>
              </w:rPr>
              <w:t xml:space="preserve"> </w:t>
            </w:r>
            <w:r>
              <w:t>атопического</w:t>
            </w:r>
            <w:r w:rsidRPr="00FB6502">
              <w:rPr>
                <w:lang w:val="en-US"/>
              </w:rPr>
              <w:t xml:space="preserve"> </w:t>
            </w:r>
            <w:r>
              <w:t>дерматита</w:t>
            </w:r>
          </w:p>
        </w:tc>
      </w:tr>
      <w:tr w:rsidR="008E7231" w:rsidRPr="00734A6B" w14:paraId="386FF5D7" w14:textId="77777777" w:rsidTr="00AB1FF1">
        <w:tc>
          <w:tcPr>
            <w:tcW w:w="2210" w:type="dxa"/>
          </w:tcPr>
          <w:p w14:paraId="1007580B" w14:textId="77777777" w:rsidR="008E7231" w:rsidRPr="00734A6B" w:rsidRDefault="008E7231" w:rsidP="00511EB4">
            <w:pPr>
              <w:spacing w:line="23" w:lineRule="atLeast"/>
              <w:rPr>
                <w:color w:val="000000"/>
              </w:rPr>
            </w:pPr>
            <w:r w:rsidRPr="00734A6B">
              <w:rPr>
                <w:color w:val="000000"/>
              </w:rPr>
              <w:t>JAK1 и JAK2</w:t>
            </w:r>
          </w:p>
        </w:tc>
        <w:tc>
          <w:tcPr>
            <w:tcW w:w="7146" w:type="dxa"/>
          </w:tcPr>
          <w:p w14:paraId="04C94530" w14:textId="77777777" w:rsidR="008E7231" w:rsidRPr="00734A6B" w:rsidRDefault="008E7231" w:rsidP="00511EB4">
            <w:pPr>
              <w:spacing w:line="23" w:lineRule="atLeast"/>
              <w:rPr>
                <w:color w:val="000000"/>
              </w:rPr>
            </w:pPr>
            <w:r>
              <w:rPr>
                <w:color w:val="000000"/>
              </w:rPr>
              <w:t>я</w:t>
            </w:r>
            <w:r w:rsidRPr="00734A6B">
              <w:rPr>
                <w:color w:val="000000"/>
              </w:rPr>
              <w:t>нус-киназ</w:t>
            </w:r>
            <w:r>
              <w:rPr>
                <w:color w:val="000000"/>
              </w:rPr>
              <w:t>а</w:t>
            </w:r>
            <w:r w:rsidRPr="00734A6B">
              <w:rPr>
                <w:color w:val="000000"/>
              </w:rPr>
              <w:t xml:space="preserve"> 1 и 2 </w:t>
            </w:r>
          </w:p>
        </w:tc>
      </w:tr>
      <w:tr w:rsidR="008E7231" w:rsidRPr="00734A6B" w14:paraId="0D0D88F9" w14:textId="77777777" w:rsidTr="00AB1FF1">
        <w:tc>
          <w:tcPr>
            <w:tcW w:w="2210" w:type="dxa"/>
          </w:tcPr>
          <w:p w14:paraId="3A3703CF" w14:textId="77777777" w:rsidR="008E7231" w:rsidRPr="00734A6B" w:rsidRDefault="008E7231" w:rsidP="00511EB4">
            <w:pPr>
              <w:spacing w:line="23" w:lineRule="atLeast"/>
            </w:pPr>
            <w:r w:rsidRPr="00717AF1">
              <w:rPr>
                <w:rFonts w:eastAsia="Times New Roman"/>
                <w:iCs/>
                <w:lang w:eastAsia="ru-RU"/>
              </w:rPr>
              <w:t>IC50</w:t>
            </w:r>
          </w:p>
        </w:tc>
        <w:tc>
          <w:tcPr>
            <w:tcW w:w="7146" w:type="dxa"/>
          </w:tcPr>
          <w:p w14:paraId="6B99F9B5" w14:textId="77777777" w:rsidR="008E7231" w:rsidRPr="00734A6B" w:rsidRDefault="008E7231" w:rsidP="00511EB4">
            <w:pPr>
              <w:spacing w:line="23" w:lineRule="atLeast"/>
              <w:rPr>
                <w:rFonts w:eastAsia="Times New Roman"/>
                <w:iCs/>
                <w:lang w:eastAsia="ru-RU"/>
              </w:rPr>
            </w:pPr>
            <w:r w:rsidRPr="00717AF1">
              <w:rPr>
                <w:rFonts w:eastAsia="Times New Roman"/>
                <w:iCs/>
                <w:lang w:eastAsia="ru-RU"/>
              </w:rPr>
              <w:t>медианная ингибирующая концентрация</w:t>
            </w:r>
          </w:p>
        </w:tc>
      </w:tr>
      <w:tr w:rsidR="008E7231" w:rsidRPr="00A96A3F" w14:paraId="5453D5D5" w14:textId="77777777" w:rsidTr="00AB1FF1">
        <w:tc>
          <w:tcPr>
            <w:tcW w:w="2210" w:type="dxa"/>
          </w:tcPr>
          <w:p w14:paraId="5B4C6171" w14:textId="77777777" w:rsidR="008E7231" w:rsidRPr="00A96A3F" w:rsidRDefault="008E7231" w:rsidP="00511EB4">
            <w:pPr>
              <w:spacing w:line="23" w:lineRule="atLeast"/>
              <w:rPr>
                <w:rFonts w:eastAsia="Times New Roman"/>
                <w:color w:val="000000"/>
                <w:lang w:eastAsia="ru-RU"/>
              </w:rPr>
            </w:pPr>
            <w:r w:rsidRPr="00A96A3F">
              <w:rPr>
                <w:rFonts w:eastAsia="Times New Roman"/>
                <w:lang w:eastAsia="ru-RU"/>
              </w:rPr>
              <w:t>Ig</w:t>
            </w:r>
          </w:p>
        </w:tc>
        <w:tc>
          <w:tcPr>
            <w:tcW w:w="7146" w:type="dxa"/>
          </w:tcPr>
          <w:p w14:paraId="1C43139B" w14:textId="77777777" w:rsidR="008E7231" w:rsidRPr="00A96A3F" w:rsidRDefault="008E7231" w:rsidP="00511EB4">
            <w:pPr>
              <w:spacing w:line="23" w:lineRule="atLeast"/>
              <w:rPr>
                <w:rFonts w:eastAsia="Times New Roman"/>
                <w:lang w:eastAsia="ru-RU"/>
              </w:rPr>
            </w:pPr>
            <w:r w:rsidRPr="00A96A3F">
              <w:rPr>
                <w:rFonts w:eastAsia="Times New Roman"/>
                <w:lang w:eastAsia="ru-RU"/>
              </w:rPr>
              <w:t>иммуноглобулин</w:t>
            </w:r>
          </w:p>
        </w:tc>
      </w:tr>
      <w:tr w:rsidR="008E7231" w:rsidRPr="00734A6B" w14:paraId="75E4CE5D" w14:textId="77777777" w:rsidTr="00AB1FF1">
        <w:tc>
          <w:tcPr>
            <w:tcW w:w="2210" w:type="dxa"/>
          </w:tcPr>
          <w:p w14:paraId="2F3F32E2" w14:textId="77777777" w:rsidR="008E7231" w:rsidRPr="00734A6B" w:rsidRDefault="008E7231" w:rsidP="00511EB4">
            <w:pPr>
              <w:spacing w:line="23" w:lineRule="atLeast"/>
              <w:rPr>
                <w:rFonts w:eastAsia="Times New Roman"/>
                <w:color w:val="000000"/>
                <w:lang w:eastAsia="ru-RU"/>
              </w:rPr>
            </w:pPr>
            <w:r w:rsidRPr="00A95C94">
              <w:rPr>
                <w:rFonts w:eastAsia="Times New Roman"/>
                <w:color w:val="000000"/>
                <w:lang w:eastAsia="ru-RU"/>
              </w:rPr>
              <w:t>IL</w:t>
            </w:r>
          </w:p>
        </w:tc>
        <w:tc>
          <w:tcPr>
            <w:tcW w:w="7146" w:type="dxa"/>
          </w:tcPr>
          <w:p w14:paraId="268FCE29" w14:textId="2942CF86" w:rsidR="008E7231" w:rsidRPr="00734A6B" w:rsidRDefault="003A3709" w:rsidP="00511EB4">
            <w:pPr>
              <w:spacing w:line="23" w:lineRule="atLeast"/>
              <w:rPr>
                <w:rFonts w:eastAsia="Times New Roman"/>
                <w:lang w:eastAsia="ru-RU"/>
              </w:rPr>
            </w:pPr>
            <w:r w:rsidRPr="00A95C94">
              <w:rPr>
                <w:rFonts w:eastAsia="Times New Roman"/>
                <w:color w:val="000000"/>
                <w:lang w:eastAsia="ru-RU"/>
              </w:rPr>
              <w:t>инте</w:t>
            </w:r>
            <w:r>
              <w:rPr>
                <w:rFonts w:eastAsia="Times New Roman"/>
                <w:color w:val="000000"/>
                <w:lang w:eastAsia="ru-RU"/>
              </w:rPr>
              <w:t>р</w:t>
            </w:r>
            <w:r w:rsidRPr="00A95C94">
              <w:rPr>
                <w:rFonts w:eastAsia="Times New Roman"/>
                <w:color w:val="000000"/>
                <w:lang w:eastAsia="ru-RU"/>
              </w:rPr>
              <w:t>лейкин</w:t>
            </w:r>
          </w:p>
        </w:tc>
      </w:tr>
      <w:tr w:rsidR="008E7231" w:rsidRPr="00734A6B" w14:paraId="787881E8" w14:textId="77777777" w:rsidTr="00AB1FF1">
        <w:tc>
          <w:tcPr>
            <w:tcW w:w="2210" w:type="dxa"/>
          </w:tcPr>
          <w:p w14:paraId="65CDACF6" w14:textId="782286A9" w:rsidR="008E7231" w:rsidRPr="00734A6B" w:rsidRDefault="008E7231" w:rsidP="00511EB4">
            <w:pPr>
              <w:spacing w:line="23" w:lineRule="atLeast"/>
            </w:pPr>
            <w:bookmarkStart w:id="7" w:name="_Hlk118469321"/>
            <w:r w:rsidRPr="00A95C94">
              <w:t>INF</w:t>
            </w:r>
            <w:bookmarkEnd w:id="7"/>
          </w:p>
        </w:tc>
        <w:tc>
          <w:tcPr>
            <w:tcW w:w="7146" w:type="dxa"/>
          </w:tcPr>
          <w:p w14:paraId="1E7137DB" w14:textId="77777777" w:rsidR="008E7231" w:rsidRPr="00734A6B" w:rsidRDefault="008E7231" w:rsidP="00511EB4">
            <w:pPr>
              <w:spacing w:line="23" w:lineRule="atLeast"/>
            </w:pPr>
            <w:r w:rsidRPr="00A95C94">
              <w:t>интерферон</w:t>
            </w:r>
          </w:p>
        </w:tc>
      </w:tr>
      <w:tr w:rsidR="008E7231" w:rsidRPr="00734A6B" w14:paraId="1A7078B8" w14:textId="77777777" w:rsidTr="00AB1FF1">
        <w:tc>
          <w:tcPr>
            <w:tcW w:w="2210" w:type="dxa"/>
          </w:tcPr>
          <w:p w14:paraId="421C87B5" w14:textId="77777777" w:rsidR="008E7231" w:rsidRPr="00A95C94" w:rsidRDefault="008E7231" w:rsidP="00511EB4">
            <w:pPr>
              <w:spacing w:line="23" w:lineRule="atLeast"/>
            </w:pPr>
            <w:r w:rsidRPr="00A81B9B">
              <w:t>LD50</w:t>
            </w:r>
          </w:p>
        </w:tc>
        <w:tc>
          <w:tcPr>
            <w:tcW w:w="7146" w:type="dxa"/>
          </w:tcPr>
          <w:p w14:paraId="5B8F1048" w14:textId="77777777" w:rsidR="008E7231" w:rsidRPr="00A95C94" w:rsidRDefault="008E7231" w:rsidP="00511EB4">
            <w:pPr>
              <w:spacing w:line="23" w:lineRule="atLeast"/>
            </w:pPr>
            <w:r w:rsidRPr="00A81B9B">
              <w:t xml:space="preserve">медианная летальная доза </w:t>
            </w:r>
          </w:p>
        </w:tc>
      </w:tr>
      <w:tr w:rsidR="008E7231" w:rsidRPr="00734A6B" w14:paraId="13F3745C" w14:textId="77777777" w:rsidTr="00AB1FF1">
        <w:tc>
          <w:tcPr>
            <w:tcW w:w="2210" w:type="dxa"/>
          </w:tcPr>
          <w:p w14:paraId="67D3E729" w14:textId="77777777" w:rsidR="008E7231" w:rsidRPr="00A81B9B" w:rsidRDefault="008E7231" w:rsidP="00511EB4">
            <w:pPr>
              <w:spacing w:line="23" w:lineRule="atLeast"/>
            </w:pPr>
            <w:r w:rsidRPr="002C6928">
              <w:lastRenderedPageBreak/>
              <w:t>MACE</w:t>
            </w:r>
          </w:p>
        </w:tc>
        <w:tc>
          <w:tcPr>
            <w:tcW w:w="7146" w:type="dxa"/>
          </w:tcPr>
          <w:p w14:paraId="4757F233" w14:textId="77777777" w:rsidR="008E7231" w:rsidRPr="00A81B9B" w:rsidRDefault="008E7231" w:rsidP="00511EB4">
            <w:pPr>
              <w:spacing w:line="23" w:lineRule="atLeast"/>
            </w:pPr>
            <w:r w:rsidRPr="002C6928">
              <w:t>серьезные неблагоприятные сердечно-сосудистые события</w:t>
            </w:r>
          </w:p>
        </w:tc>
      </w:tr>
      <w:tr w:rsidR="008E7231" w:rsidRPr="00734A6B" w14:paraId="60A3D5F4" w14:textId="77777777" w:rsidTr="00AB1FF1">
        <w:tc>
          <w:tcPr>
            <w:tcW w:w="2210" w:type="dxa"/>
          </w:tcPr>
          <w:p w14:paraId="7DC39B20" w14:textId="77777777" w:rsidR="008E7231" w:rsidRPr="00A95C94" w:rsidRDefault="008E7231" w:rsidP="00511EB4">
            <w:pPr>
              <w:spacing w:line="23" w:lineRule="atLeast"/>
            </w:pPr>
            <w:r w:rsidRPr="00A81B9B">
              <w:t>MATE</w:t>
            </w:r>
          </w:p>
        </w:tc>
        <w:tc>
          <w:tcPr>
            <w:tcW w:w="7146" w:type="dxa"/>
          </w:tcPr>
          <w:p w14:paraId="5423132F" w14:textId="77777777" w:rsidR="008E7231" w:rsidRPr="00A95C94" w:rsidRDefault="008E7231" w:rsidP="00511EB4">
            <w:pPr>
              <w:spacing w:line="23" w:lineRule="atLeast"/>
            </w:pPr>
            <w:r w:rsidRPr="00A81B9B">
              <w:t xml:space="preserve">мультирезистентный и токсина экструзии белок </w:t>
            </w:r>
          </w:p>
        </w:tc>
      </w:tr>
      <w:tr w:rsidR="008E7231" w:rsidRPr="00A96A3F" w14:paraId="747F0257" w14:textId="77777777" w:rsidTr="00AB1FF1">
        <w:tc>
          <w:tcPr>
            <w:tcW w:w="2210" w:type="dxa"/>
          </w:tcPr>
          <w:p w14:paraId="0853D05B" w14:textId="77777777" w:rsidR="008E7231" w:rsidRPr="00A96A3F" w:rsidRDefault="008E7231" w:rsidP="00511EB4">
            <w:pPr>
              <w:spacing w:line="23" w:lineRule="atLeast"/>
            </w:pPr>
            <w:r w:rsidRPr="00A96A3F">
              <w:rPr>
                <w:rFonts w:eastAsia="Times New Roman"/>
                <w:iCs/>
                <w:lang w:eastAsia="ru-RU"/>
              </w:rPr>
              <w:t>МСР</w:t>
            </w:r>
            <w:r>
              <w:rPr>
                <w:rFonts w:eastAsia="Times New Roman"/>
                <w:iCs/>
                <w:lang w:eastAsia="ru-RU"/>
              </w:rPr>
              <w:t xml:space="preserve">-1, </w:t>
            </w:r>
            <w:r w:rsidRPr="00A96A3F">
              <w:rPr>
                <w:rFonts w:eastAsia="Times New Roman"/>
                <w:iCs/>
                <w:lang w:eastAsia="ru-RU"/>
              </w:rPr>
              <w:t>МСР-2, МСР-3</w:t>
            </w:r>
          </w:p>
        </w:tc>
        <w:tc>
          <w:tcPr>
            <w:tcW w:w="7146" w:type="dxa"/>
          </w:tcPr>
          <w:p w14:paraId="126CD6F4" w14:textId="77777777" w:rsidR="008E7231" w:rsidRPr="00A96A3F" w:rsidRDefault="008E7231" w:rsidP="00511EB4">
            <w:pPr>
              <w:spacing w:line="23" w:lineRule="atLeast"/>
              <w:rPr>
                <w:rFonts w:eastAsia="Times New Roman"/>
                <w:iCs/>
                <w:lang w:eastAsia="ru-RU"/>
              </w:rPr>
            </w:pPr>
            <w:r w:rsidRPr="00A96A3F">
              <w:rPr>
                <w:rFonts w:eastAsia="Times New Roman"/>
                <w:iCs/>
                <w:lang w:eastAsia="ru-RU"/>
              </w:rPr>
              <w:t xml:space="preserve">хемотаксический белок моноцитов </w:t>
            </w:r>
            <w:r>
              <w:rPr>
                <w:rFonts w:eastAsia="Times New Roman"/>
                <w:iCs/>
                <w:lang w:eastAsia="ru-RU"/>
              </w:rPr>
              <w:t xml:space="preserve">1, </w:t>
            </w:r>
            <w:r w:rsidRPr="00A96A3F">
              <w:rPr>
                <w:rFonts w:eastAsia="Times New Roman"/>
                <w:iCs/>
                <w:lang w:eastAsia="ru-RU"/>
              </w:rPr>
              <w:t>2</w:t>
            </w:r>
            <w:r>
              <w:rPr>
                <w:rFonts w:eastAsia="Times New Roman"/>
                <w:iCs/>
                <w:lang w:eastAsia="ru-RU"/>
              </w:rPr>
              <w:t>,</w:t>
            </w:r>
            <w:r w:rsidRPr="00A96A3F">
              <w:rPr>
                <w:rFonts w:eastAsia="Times New Roman"/>
                <w:iCs/>
                <w:lang w:eastAsia="ru-RU"/>
              </w:rPr>
              <w:t xml:space="preserve"> 3</w:t>
            </w:r>
          </w:p>
        </w:tc>
      </w:tr>
      <w:tr w:rsidR="008E7231" w:rsidRPr="00A96A3F" w14:paraId="06F186AB" w14:textId="77777777" w:rsidTr="00AB1FF1">
        <w:tc>
          <w:tcPr>
            <w:tcW w:w="2210" w:type="dxa"/>
          </w:tcPr>
          <w:p w14:paraId="4789AA2F" w14:textId="77777777" w:rsidR="008E7231" w:rsidRPr="00A96A3F" w:rsidRDefault="008E7231" w:rsidP="00511EB4">
            <w:pPr>
              <w:spacing w:line="23" w:lineRule="atLeast"/>
              <w:rPr>
                <w:rFonts w:eastAsia="Times New Roman"/>
                <w:iCs/>
              </w:rPr>
            </w:pPr>
            <w:r w:rsidRPr="00A96A3F">
              <w:rPr>
                <w:rFonts w:eastAsia="Times New Roman"/>
                <w:iCs/>
              </w:rPr>
              <w:t>MHRD</w:t>
            </w:r>
          </w:p>
        </w:tc>
        <w:tc>
          <w:tcPr>
            <w:tcW w:w="7146" w:type="dxa"/>
          </w:tcPr>
          <w:p w14:paraId="07529A2E" w14:textId="77777777" w:rsidR="008E7231" w:rsidRPr="00A96A3F" w:rsidRDefault="008E7231" w:rsidP="00511EB4">
            <w:pPr>
              <w:spacing w:line="23" w:lineRule="atLeast"/>
              <w:rPr>
                <w:rFonts w:eastAsia="Times New Roman"/>
                <w:iCs/>
              </w:rPr>
            </w:pPr>
            <w:r w:rsidRPr="00A96A3F">
              <w:rPr>
                <w:rFonts w:eastAsia="Times New Roman"/>
                <w:iCs/>
              </w:rPr>
              <w:t>максимальная рекомендуемая человеку доза</w:t>
            </w:r>
          </w:p>
        </w:tc>
      </w:tr>
      <w:tr w:rsidR="008E7231" w:rsidRPr="00A96A3F" w14:paraId="3767B529" w14:textId="77777777" w:rsidTr="00AB1FF1">
        <w:tc>
          <w:tcPr>
            <w:tcW w:w="2210" w:type="dxa"/>
          </w:tcPr>
          <w:p w14:paraId="7AC80B2F" w14:textId="77777777" w:rsidR="008E7231" w:rsidRPr="00A96A3F" w:rsidRDefault="008E7231" w:rsidP="00511EB4">
            <w:pPr>
              <w:spacing w:line="23" w:lineRule="atLeast"/>
              <w:rPr>
                <w:rFonts w:eastAsia="Times New Roman"/>
                <w:iCs/>
              </w:rPr>
            </w:pPr>
            <w:r w:rsidRPr="003C7F3C">
              <w:rPr>
                <w:rFonts w:eastAsia="Times New Roman"/>
                <w:iCs/>
              </w:rPr>
              <w:t>mTSS</w:t>
            </w:r>
          </w:p>
        </w:tc>
        <w:tc>
          <w:tcPr>
            <w:tcW w:w="7146" w:type="dxa"/>
          </w:tcPr>
          <w:p w14:paraId="67620BB3" w14:textId="77777777" w:rsidR="008E7231" w:rsidRPr="00A96A3F" w:rsidRDefault="008E7231" w:rsidP="00511EB4">
            <w:pPr>
              <w:spacing w:line="23" w:lineRule="atLeast"/>
              <w:rPr>
                <w:rFonts w:eastAsia="Times New Roman"/>
                <w:iCs/>
              </w:rPr>
            </w:pPr>
            <w:bookmarkStart w:id="8" w:name="_Hlk118482590"/>
            <w:r w:rsidRPr="003C7F3C">
              <w:rPr>
                <w:rFonts w:eastAsia="Times New Roman"/>
                <w:iCs/>
              </w:rPr>
              <w:t>модифицированная общая оценка Sharp</w:t>
            </w:r>
            <w:bookmarkEnd w:id="8"/>
          </w:p>
        </w:tc>
      </w:tr>
      <w:tr w:rsidR="008E7231" w:rsidRPr="00A96A3F" w14:paraId="1269E015" w14:textId="77777777" w:rsidTr="00AB1FF1">
        <w:tc>
          <w:tcPr>
            <w:tcW w:w="2210" w:type="dxa"/>
          </w:tcPr>
          <w:p w14:paraId="209DA549" w14:textId="77777777" w:rsidR="008E7231" w:rsidRPr="00A96A3F" w:rsidRDefault="008E7231" w:rsidP="00511EB4">
            <w:pPr>
              <w:spacing w:line="23" w:lineRule="atLeast"/>
              <w:rPr>
                <w:rFonts w:eastAsia="Times New Roman"/>
                <w:iCs/>
              </w:rPr>
            </w:pPr>
            <w:r w:rsidRPr="00700121">
              <w:rPr>
                <w:rFonts w:eastAsia="Times New Roman"/>
                <w:iCs/>
              </w:rPr>
              <w:t>NK</w:t>
            </w:r>
          </w:p>
        </w:tc>
        <w:tc>
          <w:tcPr>
            <w:tcW w:w="7146" w:type="dxa"/>
          </w:tcPr>
          <w:p w14:paraId="5ADAAE9F" w14:textId="77777777" w:rsidR="008E7231" w:rsidRPr="00A96A3F" w:rsidRDefault="008E7231" w:rsidP="00511EB4">
            <w:pPr>
              <w:spacing w:line="23" w:lineRule="atLeast"/>
              <w:rPr>
                <w:rFonts w:eastAsia="Times New Roman"/>
                <w:iCs/>
              </w:rPr>
            </w:pPr>
            <w:r w:rsidRPr="00700121">
              <w:rPr>
                <w:rFonts w:eastAsia="Times New Roman"/>
                <w:iCs/>
              </w:rPr>
              <w:t>натуральные киллеры</w:t>
            </w:r>
          </w:p>
        </w:tc>
      </w:tr>
      <w:tr w:rsidR="008E7231" w:rsidRPr="00A96A3F" w14:paraId="20FA4415" w14:textId="77777777" w:rsidTr="00AB1FF1">
        <w:tc>
          <w:tcPr>
            <w:tcW w:w="2210" w:type="dxa"/>
          </w:tcPr>
          <w:p w14:paraId="02C642B3" w14:textId="77777777" w:rsidR="008E7231" w:rsidRPr="00A96A3F" w:rsidRDefault="008E7231" w:rsidP="00511EB4">
            <w:pPr>
              <w:spacing w:line="23" w:lineRule="atLeast"/>
              <w:rPr>
                <w:rFonts w:eastAsia="Times New Roman"/>
                <w:iCs/>
              </w:rPr>
            </w:pPr>
            <w:r w:rsidRPr="00A96A3F">
              <w:rPr>
                <w:rFonts w:eastAsia="Times New Roman"/>
                <w:iCs/>
              </w:rPr>
              <w:t>NOAEL</w:t>
            </w:r>
          </w:p>
        </w:tc>
        <w:tc>
          <w:tcPr>
            <w:tcW w:w="7146" w:type="dxa"/>
          </w:tcPr>
          <w:p w14:paraId="0AF981EE" w14:textId="77777777" w:rsidR="008E7231" w:rsidRPr="00A96A3F" w:rsidRDefault="008E7231" w:rsidP="00511EB4">
            <w:pPr>
              <w:spacing w:line="23" w:lineRule="atLeast"/>
              <w:rPr>
                <w:rFonts w:eastAsia="Times New Roman"/>
                <w:iCs/>
              </w:rPr>
            </w:pPr>
            <w:r w:rsidRPr="00A96A3F">
              <w:rPr>
                <w:rFonts w:eastAsia="Times New Roman"/>
                <w:iCs/>
              </w:rPr>
              <w:t>доза, не оказывающая наблюдаемого нежелательного эффекта</w:t>
            </w:r>
          </w:p>
        </w:tc>
      </w:tr>
      <w:tr w:rsidR="008E7231" w:rsidRPr="00A96A3F" w14:paraId="0FF2A63F" w14:textId="77777777" w:rsidTr="00AB1FF1">
        <w:tc>
          <w:tcPr>
            <w:tcW w:w="2210" w:type="dxa"/>
          </w:tcPr>
          <w:p w14:paraId="3C12A213" w14:textId="77777777" w:rsidR="008E7231" w:rsidRPr="00A96A3F" w:rsidRDefault="008E7231" w:rsidP="00511EB4">
            <w:pPr>
              <w:spacing w:line="23" w:lineRule="atLeast"/>
              <w:rPr>
                <w:rFonts w:eastAsia="Times New Roman"/>
                <w:iCs/>
              </w:rPr>
            </w:pPr>
            <w:r w:rsidRPr="00A96A3F">
              <w:rPr>
                <w:rFonts w:eastAsia="Times New Roman"/>
                <w:iCs/>
              </w:rPr>
              <w:t>NOEL</w:t>
            </w:r>
          </w:p>
        </w:tc>
        <w:tc>
          <w:tcPr>
            <w:tcW w:w="7146" w:type="dxa"/>
          </w:tcPr>
          <w:p w14:paraId="31E0964C" w14:textId="77777777" w:rsidR="008E7231" w:rsidRPr="00A96A3F" w:rsidRDefault="008E7231" w:rsidP="00511EB4">
            <w:pPr>
              <w:spacing w:line="23" w:lineRule="atLeast"/>
              <w:rPr>
                <w:rFonts w:eastAsia="Times New Roman"/>
                <w:iCs/>
              </w:rPr>
            </w:pPr>
            <w:r>
              <w:rPr>
                <w:rFonts w:eastAsia="Times New Roman"/>
                <w:iCs/>
              </w:rPr>
              <w:t>у</w:t>
            </w:r>
            <w:r w:rsidRPr="00A96A3F">
              <w:rPr>
                <w:rFonts w:eastAsia="Times New Roman"/>
                <w:iCs/>
              </w:rPr>
              <w:t>ровень отсутствия наблюдаемого воздействия</w:t>
            </w:r>
          </w:p>
        </w:tc>
      </w:tr>
      <w:tr w:rsidR="008E7231" w:rsidRPr="00734A6B" w14:paraId="06C9139E" w14:textId="77777777" w:rsidTr="00AB1FF1">
        <w:tc>
          <w:tcPr>
            <w:tcW w:w="2210" w:type="dxa"/>
          </w:tcPr>
          <w:p w14:paraId="6AE0810C" w14:textId="77777777" w:rsidR="008E7231" w:rsidRPr="00734A6B" w:rsidRDefault="008E7231" w:rsidP="00511EB4">
            <w:pPr>
              <w:spacing w:line="23" w:lineRule="atLeast"/>
            </w:pPr>
            <w:r w:rsidRPr="00717AF1">
              <w:t>Numb-associated kinase</w:t>
            </w:r>
          </w:p>
        </w:tc>
        <w:tc>
          <w:tcPr>
            <w:tcW w:w="7146" w:type="dxa"/>
          </w:tcPr>
          <w:p w14:paraId="41C3921C" w14:textId="77777777" w:rsidR="008E7231" w:rsidRPr="00734A6B" w:rsidRDefault="008E7231" w:rsidP="00511EB4">
            <w:pPr>
              <w:spacing w:line="23" w:lineRule="atLeast"/>
            </w:pPr>
            <w:r w:rsidRPr="00717AF1">
              <w:t>член</w:t>
            </w:r>
            <w:r>
              <w:t>ы</w:t>
            </w:r>
            <w:r w:rsidRPr="00717AF1">
              <w:t xml:space="preserve"> семейства нечувствительных киназ</w:t>
            </w:r>
          </w:p>
        </w:tc>
      </w:tr>
      <w:tr w:rsidR="008E7231" w:rsidRPr="00734A6B" w14:paraId="703BFB3E" w14:textId="77777777" w:rsidTr="00AB1FF1">
        <w:tc>
          <w:tcPr>
            <w:tcW w:w="2210" w:type="dxa"/>
          </w:tcPr>
          <w:p w14:paraId="6B0246E6" w14:textId="77777777" w:rsidR="008E7231" w:rsidRPr="00717AF1" w:rsidRDefault="008E7231" w:rsidP="00511EB4">
            <w:pPr>
              <w:spacing w:line="23" w:lineRule="atLeast"/>
            </w:pPr>
            <w:r w:rsidRPr="00FB6502">
              <w:t>NRS</w:t>
            </w:r>
          </w:p>
        </w:tc>
        <w:tc>
          <w:tcPr>
            <w:tcW w:w="7146" w:type="dxa"/>
          </w:tcPr>
          <w:p w14:paraId="5166CFBA" w14:textId="77777777" w:rsidR="008E7231" w:rsidRPr="00717AF1" w:rsidRDefault="008E7231" w:rsidP="00511EB4">
            <w:pPr>
              <w:spacing w:line="23" w:lineRule="atLeast"/>
            </w:pPr>
            <w:r w:rsidRPr="00FB6502">
              <w:t>числов</w:t>
            </w:r>
            <w:r>
              <w:t>ая</w:t>
            </w:r>
            <w:r w:rsidRPr="00FB6502">
              <w:t xml:space="preserve"> шкал</w:t>
            </w:r>
            <w:r>
              <w:t>а</w:t>
            </w:r>
            <w:r w:rsidRPr="00FB6502">
              <w:t xml:space="preserve"> оценки зуда </w:t>
            </w:r>
          </w:p>
        </w:tc>
      </w:tr>
      <w:tr w:rsidR="008E7231" w:rsidRPr="00734A6B" w14:paraId="2B9BE9CD" w14:textId="77777777" w:rsidTr="00AB1FF1">
        <w:tc>
          <w:tcPr>
            <w:tcW w:w="2210" w:type="dxa"/>
          </w:tcPr>
          <w:p w14:paraId="48227036" w14:textId="77777777" w:rsidR="008E7231" w:rsidRPr="00717AF1" w:rsidRDefault="008E7231" w:rsidP="00511EB4">
            <w:pPr>
              <w:spacing w:line="23" w:lineRule="atLeast"/>
            </w:pPr>
            <w:r w:rsidRPr="00A81B9B">
              <w:t>OAT1</w:t>
            </w:r>
          </w:p>
        </w:tc>
        <w:tc>
          <w:tcPr>
            <w:tcW w:w="7146" w:type="dxa"/>
          </w:tcPr>
          <w:p w14:paraId="6C3796AA" w14:textId="77777777" w:rsidR="008E7231" w:rsidRPr="00717AF1" w:rsidRDefault="008E7231" w:rsidP="00511EB4">
            <w:pPr>
              <w:spacing w:line="23" w:lineRule="atLeast"/>
            </w:pPr>
            <w:r w:rsidRPr="00A81B9B">
              <w:t>транспортер органических анионов 1</w:t>
            </w:r>
          </w:p>
        </w:tc>
      </w:tr>
      <w:tr w:rsidR="008E7231" w:rsidRPr="00734A6B" w14:paraId="5EE8E0DD" w14:textId="77777777" w:rsidTr="00AB1FF1">
        <w:tc>
          <w:tcPr>
            <w:tcW w:w="2210" w:type="dxa"/>
          </w:tcPr>
          <w:p w14:paraId="176522A2" w14:textId="77777777" w:rsidR="008E7231" w:rsidRPr="00A81B9B" w:rsidRDefault="008E7231" w:rsidP="00511EB4">
            <w:pPr>
              <w:spacing w:line="23" w:lineRule="atLeast"/>
            </w:pPr>
            <w:r w:rsidRPr="00A81B9B">
              <w:t>OATP1B1, OATP1B3</w:t>
            </w:r>
          </w:p>
        </w:tc>
        <w:tc>
          <w:tcPr>
            <w:tcW w:w="7146" w:type="dxa"/>
          </w:tcPr>
          <w:p w14:paraId="1DEE6D6E" w14:textId="77777777" w:rsidR="008E7231" w:rsidRPr="00A81B9B" w:rsidRDefault="008E7231" w:rsidP="00511EB4">
            <w:pPr>
              <w:spacing w:line="23" w:lineRule="atLeast"/>
            </w:pPr>
            <w:r w:rsidRPr="00A81B9B">
              <w:t>ингибиторы полипептидов 1B1 и 1B3, переносящих органические анионы</w:t>
            </w:r>
          </w:p>
        </w:tc>
      </w:tr>
      <w:tr w:rsidR="008E7231" w:rsidRPr="00734A6B" w14:paraId="34CEC7E4" w14:textId="77777777" w:rsidTr="00AB1FF1">
        <w:tc>
          <w:tcPr>
            <w:tcW w:w="2210" w:type="dxa"/>
          </w:tcPr>
          <w:p w14:paraId="27075833" w14:textId="77777777" w:rsidR="008E7231" w:rsidRPr="00A81B9B" w:rsidRDefault="008E7231" w:rsidP="00511EB4">
            <w:pPr>
              <w:spacing w:line="23" w:lineRule="atLeast"/>
            </w:pPr>
            <w:r w:rsidRPr="00A81B9B">
              <w:t>OCT</w:t>
            </w:r>
          </w:p>
        </w:tc>
        <w:tc>
          <w:tcPr>
            <w:tcW w:w="7146" w:type="dxa"/>
          </w:tcPr>
          <w:p w14:paraId="5FCF752A" w14:textId="77777777" w:rsidR="008E7231" w:rsidRPr="00A81B9B" w:rsidRDefault="008E7231" w:rsidP="00511EB4">
            <w:pPr>
              <w:spacing w:line="23" w:lineRule="atLeast"/>
            </w:pPr>
            <w:r w:rsidRPr="00A81B9B">
              <w:t xml:space="preserve">транспортер органических катионов </w:t>
            </w:r>
          </w:p>
        </w:tc>
      </w:tr>
      <w:tr w:rsidR="008E7231" w:rsidRPr="00734A6B" w14:paraId="32064D8A" w14:textId="77777777" w:rsidTr="00AB1FF1">
        <w:tc>
          <w:tcPr>
            <w:tcW w:w="2210" w:type="dxa"/>
          </w:tcPr>
          <w:p w14:paraId="7BD7446D" w14:textId="57DEBA7F" w:rsidR="008E7231" w:rsidRPr="00717AF1" w:rsidRDefault="008E7231" w:rsidP="00511EB4">
            <w:pPr>
              <w:spacing w:line="23" w:lineRule="atLeast"/>
            </w:pPr>
            <w:bookmarkStart w:id="9" w:name="_Hlk118481074"/>
            <w:r w:rsidRPr="0098696B">
              <w:t>PBMC</w:t>
            </w:r>
            <w:bookmarkEnd w:id="9"/>
          </w:p>
        </w:tc>
        <w:tc>
          <w:tcPr>
            <w:tcW w:w="7146" w:type="dxa"/>
          </w:tcPr>
          <w:p w14:paraId="0C68F832" w14:textId="021D43B8" w:rsidR="008E7231" w:rsidRPr="00717AF1" w:rsidRDefault="003A3709" w:rsidP="00511EB4">
            <w:pPr>
              <w:spacing w:line="23" w:lineRule="atLeast"/>
            </w:pPr>
            <w:r w:rsidRPr="0098696B">
              <w:t>мононуклеарны</w:t>
            </w:r>
            <w:r>
              <w:t>х</w:t>
            </w:r>
            <w:r w:rsidR="008E7231" w:rsidRPr="0098696B">
              <w:t xml:space="preserve"> клет</w:t>
            </w:r>
            <w:r w:rsidR="008E7231">
              <w:t>ок</w:t>
            </w:r>
            <w:r w:rsidR="008E7231" w:rsidRPr="0098696B">
              <w:t xml:space="preserve"> периферической крови</w:t>
            </w:r>
          </w:p>
        </w:tc>
      </w:tr>
      <w:tr w:rsidR="008E7231" w:rsidRPr="00734A6B" w14:paraId="47811659" w14:textId="77777777" w:rsidTr="00AB1FF1">
        <w:tc>
          <w:tcPr>
            <w:tcW w:w="2210" w:type="dxa"/>
          </w:tcPr>
          <w:p w14:paraId="36D96387" w14:textId="77777777" w:rsidR="008E7231" w:rsidRPr="00717AF1" w:rsidRDefault="008E7231" w:rsidP="00511EB4">
            <w:pPr>
              <w:spacing w:line="23" w:lineRule="atLeast"/>
            </w:pPr>
            <w:r w:rsidRPr="00E46CB6">
              <w:t>РТХЗ</w:t>
            </w:r>
          </w:p>
        </w:tc>
        <w:tc>
          <w:tcPr>
            <w:tcW w:w="7146" w:type="dxa"/>
          </w:tcPr>
          <w:p w14:paraId="4CCBF4F4" w14:textId="77777777" w:rsidR="008E7231" w:rsidRPr="00717AF1" w:rsidRDefault="008E7231" w:rsidP="00511EB4">
            <w:pPr>
              <w:spacing w:line="23" w:lineRule="atLeast"/>
            </w:pPr>
            <w:r w:rsidRPr="00E46CB6">
              <w:t>пентраксин-3</w:t>
            </w:r>
          </w:p>
        </w:tc>
      </w:tr>
      <w:tr w:rsidR="008E7231" w:rsidRPr="00734A6B" w14:paraId="1CB0814C" w14:textId="77777777" w:rsidTr="00AB1FF1">
        <w:tc>
          <w:tcPr>
            <w:tcW w:w="2210" w:type="dxa"/>
          </w:tcPr>
          <w:p w14:paraId="3E4328C7" w14:textId="77777777" w:rsidR="008E7231" w:rsidRPr="00E46CB6" w:rsidRDefault="008E7231" w:rsidP="00511EB4">
            <w:pPr>
              <w:spacing w:line="23" w:lineRule="atLeast"/>
            </w:pPr>
            <w:r w:rsidRPr="008C239A">
              <w:t>PYE</w:t>
            </w:r>
          </w:p>
        </w:tc>
        <w:tc>
          <w:tcPr>
            <w:tcW w:w="7146" w:type="dxa"/>
          </w:tcPr>
          <w:p w14:paraId="318028F8" w14:textId="77777777" w:rsidR="008E7231" w:rsidRPr="00E46CB6" w:rsidRDefault="008E7231" w:rsidP="00511EB4">
            <w:pPr>
              <w:spacing w:line="23" w:lineRule="atLeast"/>
            </w:pPr>
            <w:r w:rsidRPr="008C239A">
              <w:t>пациенто-лет воздействия</w:t>
            </w:r>
          </w:p>
        </w:tc>
      </w:tr>
      <w:tr w:rsidR="008E7231" w:rsidRPr="00734A6B" w14:paraId="089B327B" w14:textId="77777777" w:rsidTr="00AB1FF1">
        <w:tc>
          <w:tcPr>
            <w:tcW w:w="2210" w:type="dxa"/>
          </w:tcPr>
          <w:p w14:paraId="3A5CF3DC" w14:textId="77777777" w:rsidR="008E7231" w:rsidRPr="00E42D4D" w:rsidRDefault="008E7231" w:rsidP="00511EB4">
            <w:pPr>
              <w:spacing w:line="23" w:lineRule="atLeast"/>
            </w:pPr>
            <w:r w:rsidRPr="00211930">
              <w:t>RF</w:t>
            </w:r>
          </w:p>
        </w:tc>
        <w:tc>
          <w:tcPr>
            <w:tcW w:w="7146" w:type="dxa"/>
          </w:tcPr>
          <w:p w14:paraId="1B04220E" w14:textId="77777777" w:rsidR="008E7231" w:rsidRDefault="008E7231" w:rsidP="00511EB4">
            <w:pPr>
              <w:spacing w:line="23" w:lineRule="atLeast"/>
            </w:pPr>
            <w:r w:rsidRPr="00211930">
              <w:t>ревматоидный фактор</w:t>
            </w:r>
          </w:p>
        </w:tc>
      </w:tr>
      <w:tr w:rsidR="008E7231" w:rsidRPr="00734A6B" w14:paraId="4C6B4CA7" w14:textId="77777777" w:rsidTr="00AB1FF1">
        <w:tc>
          <w:tcPr>
            <w:tcW w:w="2210" w:type="dxa"/>
          </w:tcPr>
          <w:p w14:paraId="44EC3F6C" w14:textId="77777777" w:rsidR="008E7231" w:rsidRPr="00E46CB6" w:rsidRDefault="008E7231" w:rsidP="00511EB4">
            <w:pPr>
              <w:spacing w:line="23" w:lineRule="atLeast"/>
            </w:pPr>
            <w:r w:rsidRPr="00E42D4D">
              <w:t>SALT</w:t>
            </w:r>
          </w:p>
        </w:tc>
        <w:tc>
          <w:tcPr>
            <w:tcW w:w="7146" w:type="dxa"/>
          </w:tcPr>
          <w:p w14:paraId="3649E88D" w14:textId="77777777" w:rsidR="008E7231" w:rsidRPr="00E46CB6" w:rsidRDefault="008E7231" w:rsidP="00511EB4">
            <w:pPr>
              <w:spacing w:line="23" w:lineRule="atLeast"/>
            </w:pPr>
            <w:bookmarkStart w:id="10" w:name="_Hlk118556314"/>
            <w:r>
              <w:t xml:space="preserve">шкала оценки </w:t>
            </w:r>
            <w:r w:rsidRPr="00E42D4D">
              <w:t>степени тяжести алопеции</w:t>
            </w:r>
            <w:bookmarkEnd w:id="10"/>
          </w:p>
        </w:tc>
      </w:tr>
      <w:tr w:rsidR="008E7231" w:rsidRPr="00755BAC" w14:paraId="4D0224DE" w14:textId="77777777" w:rsidTr="00AB1FF1">
        <w:tc>
          <w:tcPr>
            <w:tcW w:w="2210" w:type="dxa"/>
          </w:tcPr>
          <w:p w14:paraId="4B687DEE" w14:textId="77777777" w:rsidR="008E7231" w:rsidRPr="00755BAC" w:rsidRDefault="008E7231" w:rsidP="00511EB4">
            <w:pPr>
              <w:spacing w:line="23" w:lineRule="atLeast"/>
            </w:pPr>
            <w:r w:rsidRPr="00755BAC">
              <w:rPr>
                <w:color w:val="000000"/>
              </w:rPr>
              <w:t>SDAI</w:t>
            </w:r>
          </w:p>
        </w:tc>
        <w:tc>
          <w:tcPr>
            <w:tcW w:w="7146" w:type="dxa"/>
          </w:tcPr>
          <w:p w14:paraId="02B3F672" w14:textId="77777777" w:rsidR="008E7231" w:rsidRPr="00755BAC" w:rsidRDefault="008E7231" w:rsidP="00511EB4">
            <w:pPr>
              <w:spacing w:line="23" w:lineRule="atLeast"/>
            </w:pPr>
            <w:r w:rsidRPr="00755BAC">
              <w:rPr>
                <w:color w:val="000000"/>
              </w:rPr>
              <w:t>упрощенный индекс активности болезни</w:t>
            </w:r>
          </w:p>
        </w:tc>
      </w:tr>
      <w:tr w:rsidR="008E7231" w:rsidRPr="00755BAC" w14:paraId="6DEC20E0" w14:textId="77777777" w:rsidTr="00AB1FF1">
        <w:tc>
          <w:tcPr>
            <w:tcW w:w="2210" w:type="dxa"/>
          </w:tcPr>
          <w:p w14:paraId="664D2DFE" w14:textId="77777777" w:rsidR="008E7231" w:rsidRPr="00755BAC" w:rsidRDefault="008E7231" w:rsidP="00511EB4">
            <w:pPr>
              <w:spacing w:line="23" w:lineRule="atLeast"/>
              <w:rPr>
                <w:rFonts w:eastAsia="Times New Roman"/>
                <w:color w:val="000000"/>
                <w:lang w:eastAsia="ru-RU"/>
              </w:rPr>
            </w:pPr>
            <w:r w:rsidRPr="00755BAC">
              <w:rPr>
                <w:rFonts w:eastAsia="Times New Roman"/>
                <w:lang w:eastAsia="ru-RU"/>
              </w:rPr>
              <w:t>SТАТ</w:t>
            </w:r>
          </w:p>
        </w:tc>
        <w:tc>
          <w:tcPr>
            <w:tcW w:w="7146" w:type="dxa"/>
          </w:tcPr>
          <w:p w14:paraId="39EA55D8" w14:textId="77777777" w:rsidR="008E7231" w:rsidRPr="00755BAC" w:rsidRDefault="008E7231" w:rsidP="00511EB4">
            <w:pPr>
              <w:spacing w:line="23" w:lineRule="atLeast"/>
              <w:rPr>
                <w:rFonts w:eastAsia="Times New Roman"/>
                <w:lang w:eastAsia="ru-RU"/>
              </w:rPr>
            </w:pPr>
            <w:r w:rsidRPr="00755BAC">
              <w:rPr>
                <w:rFonts w:eastAsia="Times New Roman"/>
                <w:lang w:eastAsia="ru-RU"/>
              </w:rPr>
              <w:t>транспортеры сигнала и активаторы транскрипции</w:t>
            </w:r>
          </w:p>
        </w:tc>
      </w:tr>
      <w:tr w:rsidR="008E7231" w:rsidRPr="00755BAC" w14:paraId="4CCAF67E" w14:textId="77777777" w:rsidTr="00AB1FF1">
        <w:tc>
          <w:tcPr>
            <w:tcW w:w="2210" w:type="dxa"/>
          </w:tcPr>
          <w:p w14:paraId="16B61050" w14:textId="77777777" w:rsidR="008E7231" w:rsidRPr="00755BAC" w:rsidRDefault="008E7231" w:rsidP="00511EB4">
            <w:pPr>
              <w:spacing w:line="23" w:lineRule="atLeast"/>
              <w:rPr>
                <w:rFonts w:eastAsia="Times New Roman"/>
              </w:rPr>
            </w:pPr>
            <w:r w:rsidRPr="00755BAC">
              <w:rPr>
                <w:rFonts w:eastAsia="Times New Roman"/>
              </w:rPr>
              <w:t>TEAE</w:t>
            </w:r>
          </w:p>
        </w:tc>
        <w:tc>
          <w:tcPr>
            <w:tcW w:w="7146" w:type="dxa"/>
          </w:tcPr>
          <w:p w14:paraId="619C85EE" w14:textId="77777777" w:rsidR="008E7231" w:rsidRPr="00755BAC" w:rsidRDefault="008E7231" w:rsidP="00511EB4">
            <w:pPr>
              <w:spacing w:line="23" w:lineRule="atLeast"/>
              <w:rPr>
                <w:rFonts w:eastAsia="Times New Roman"/>
              </w:rPr>
            </w:pPr>
            <w:r>
              <w:rPr>
                <w:rFonts w:eastAsia="Times New Roman"/>
              </w:rPr>
              <w:t>н</w:t>
            </w:r>
            <w:r w:rsidRPr="00755BAC">
              <w:rPr>
                <w:rFonts w:eastAsia="Times New Roman"/>
              </w:rPr>
              <w:t>ежелательные явления, возникшие во время лечения, нежелательные явления, отсутствовавшие до начала лечения, или уже имеющиеся явления, интенсивность или частота которых ухудшаются после лечения</w:t>
            </w:r>
          </w:p>
        </w:tc>
      </w:tr>
      <w:tr w:rsidR="008E7231" w:rsidRPr="00755BAC" w14:paraId="6C4D57ED" w14:textId="77777777" w:rsidTr="00AB1FF1">
        <w:tc>
          <w:tcPr>
            <w:tcW w:w="2210" w:type="dxa"/>
          </w:tcPr>
          <w:p w14:paraId="215F235B" w14:textId="77777777" w:rsidR="008E7231" w:rsidRPr="00755BAC" w:rsidRDefault="008E7231" w:rsidP="00511EB4">
            <w:pPr>
              <w:spacing w:line="23" w:lineRule="atLeast"/>
              <w:rPr>
                <w:rFonts w:eastAsia="Times New Roman"/>
                <w:color w:val="000000"/>
                <w:lang w:eastAsia="ru-RU"/>
              </w:rPr>
            </w:pPr>
            <w:r w:rsidRPr="00755BAC">
              <w:t>Th17</w:t>
            </w:r>
          </w:p>
        </w:tc>
        <w:tc>
          <w:tcPr>
            <w:tcW w:w="7146" w:type="dxa"/>
          </w:tcPr>
          <w:p w14:paraId="59DC1CE5" w14:textId="77777777" w:rsidR="008E7231" w:rsidRPr="00755BAC" w:rsidRDefault="008E7231" w:rsidP="00511EB4">
            <w:pPr>
              <w:spacing w:line="23" w:lineRule="atLeast"/>
            </w:pPr>
            <w:r w:rsidRPr="00755BAC">
              <w:t>Т-хелперные клетки типа 17</w:t>
            </w:r>
          </w:p>
        </w:tc>
      </w:tr>
      <w:tr w:rsidR="008E7231" w:rsidRPr="00755BAC" w14:paraId="22DFB102" w14:textId="77777777" w:rsidTr="00AB1FF1">
        <w:tc>
          <w:tcPr>
            <w:tcW w:w="2210" w:type="dxa"/>
          </w:tcPr>
          <w:p w14:paraId="6E331E06" w14:textId="77777777" w:rsidR="008E7231" w:rsidRPr="00755BAC" w:rsidRDefault="008E7231" w:rsidP="00511EB4">
            <w:pPr>
              <w:spacing w:line="23" w:lineRule="atLeast"/>
            </w:pPr>
            <w:r w:rsidRPr="00755BAC">
              <w:rPr>
                <w:color w:val="000000"/>
                <w:lang w:val="en-US"/>
              </w:rPr>
              <w:t>TNF</w:t>
            </w:r>
          </w:p>
        </w:tc>
        <w:tc>
          <w:tcPr>
            <w:tcW w:w="7146" w:type="dxa"/>
          </w:tcPr>
          <w:p w14:paraId="3A13C0FE" w14:textId="77777777" w:rsidR="008E7231" w:rsidRPr="00755BAC" w:rsidRDefault="008E7231" w:rsidP="00511EB4">
            <w:pPr>
              <w:spacing w:line="23" w:lineRule="atLeast"/>
            </w:pPr>
            <w:r w:rsidRPr="00755BAC">
              <w:rPr>
                <w:color w:val="000000"/>
              </w:rPr>
              <w:t>фактор некроза опухоли</w:t>
            </w:r>
          </w:p>
        </w:tc>
      </w:tr>
      <w:tr w:rsidR="008E7231" w:rsidRPr="00734A6B" w14:paraId="02C608E6" w14:textId="77777777" w:rsidTr="00AB1FF1">
        <w:tc>
          <w:tcPr>
            <w:tcW w:w="2210" w:type="dxa"/>
          </w:tcPr>
          <w:p w14:paraId="7A96604E" w14:textId="41068CBA" w:rsidR="008E7231" w:rsidRPr="00734A6B" w:rsidRDefault="003A3709" w:rsidP="00511EB4">
            <w:pPr>
              <w:spacing w:line="23" w:lineRule="atLeast"/>
            </w:pPr>
            <w:r>
              <w:rPr>
                <w:lang w:val="en-US"/>
              </w:rPr>
              <w:t>T</w:t>
            </w:r>
            <w:r w:rsidRPr="00A6699D">
              <w:t>max</w:t>
            </w:r>
          </w:p>
        </w:tc>
        <w:tc>
          <w:tcPr>
            <w:tcW w:w="7146" w:type="dxa"/>
          </w:tcPr>
          <w:p w14:paraId="75F99495" w14:textId="77777777" w:rsidR="008E7231" w:rsidRPr="00734A6B" w:rsidRDefault="008E7231" w:rsidP="00511EB4">
            <w:pPr>
              <w:spacing w:line="23" w:lineRule="atLeast"/>
            </w:pPr>
            <w:r w:rsidRPr="00A6699D">
              <w:t>время достижения максимальной концентрации</w:t>
            </w:r>
          </w:p>
        </w:tc>
      </w:tr>
      <w:tr w:rsidR="008E7231" w:rsidRPr="00734A6B" w14:paraId="77FB1460" w14:textId="77777777" w:rsidTr="00AB1FF1">
        <w:tc>
          <w:tcPr>
            <w:tcW w:w="2210" w:type="dxa"/>
          </w:tcPr>
          <w:p w14:paraId="02502145" w14:textId="2744F41C" w:rsidR="008E7231" w:rsidRPr="00734A6B" w:rsidRDefault="008F28F6" w:rsidP="00511EB4">
            <w:pPr>
              <w:spacing w:line="23" w:lineRule="atLeast"/>
            </w:pPr>
            <w:r>
              <w:rPr>
                <w:rFonts w:eastAsia="Times New Roman"/>
                <w:iCs/>
                <w:lang w:val="en-US" w:eastAsia="ru-RU"/>
              </w:rPr>
              <w:t>T</w:t>
            </w:r>
            <w:r w:rsidR="008E7231" w:rsidRPr="00AB1FF1">
              <w:rPr>
                <w:rFonts w:eastAsia="Times New Roman"/>
                <w:iCs/>
                <w:vertAlign w:val="subscript"/>
                <w:lang w:eastAsia="ru-RU"/>
              </w:rPr>
              <w:t>1/2</w:t>
            </w:r>
          </w:p>
        </w:tc>
        <w:tc>
          <w:tcPr>
            <w:tcW w:w="7146" w:type="dxa"/>
          </w:tcPr>
          <w:p w14:paraId="57191302" w14:textId="77777777" w:rsidR="008E7231" w:rsidRPr="00734A6B" w:rsidRDefault="008E7231" w:rsidP="00511EB4">
            <w:pPr>
              <w:spacing w:line="23" w:lineRule="atLeast"/>
              <w:rPr>
                <w:rFonts w:eastAsia="Times New Roman"/>
                <w:iCs/>
                <w:lang w:eastAsia="ru-RU"/>
              </w:rPr>
            </w:pPr>
            <w:r w:rsidRPr="00A6699D">
              <w:rPr>
                <w:rFonts w:eastAsia="Times New Roman"/>
                <w:iCs/>
                <w:lang w:eastAsia="ru-RU"/>
              </w:rPr>
              <w:t>период полувыведения]</w:t>
            </w:r>
          </w:p>
        </w:tc>
      </w:tr>
      <w:tr w:rsidR="008E7231" w:rsidRPr="00734A6B" w14:paraId="7A7230F6" w14:textId="77777777" w:rsidTr="00AB1FF1">
        <w:tc>
          <w:tcPr>
            <w:tcW w:w="2210" w:type="dxa"/>
          </w:tcPr>
          <w:p w14:paraId="7649AB92" w14:textId="77777777" w:rsidR="008E7231" w:rsidRPr="00A6699D" w:rsidRDefault="008E7231" w:rsidP="00511EB4">
            <w:pPr>
              <w:spacing w:line="23" w:lineRule="atLeast"/>
              <w:rPr>
                <w:rFonts w:eastAsia="Times New Roman"/>
                <w:iCs/>
              </w:rPr>
            </w:pPr>
            <w:r w:rsidRPr="00476E0E">
              <w:rPr>
                <w:rFonts w:eastAsia="Times New Roman"/>
                <w:iCs/>
              </w:rPr>
              <w:t>Vd</w:t>
            </w:r>
          </w:p>
        </w:tc>
        <w:tc>
          <w:tcPr>
            <w:tcW w:w="7146" w:type="dxa"/>
          </w:tcPr>
          <w:p w14:paraId="0347F442" w14:textId="77777777" w:rsidR="008E7231" w:rsidRPr="00A6699D" w:rsidRDefault="008E7231" w:rsidP="00511EB4">
            <w:pPr>
              <w:spacing w:line="23" w:lineRule="atLeast"/>
              <w:rPr>
                <w:rFonts w:eastAsia="Times New Roman"/>
                <w:iCs/>
              </w:rPr>
            </w:pPr>
            <w:r w:rsidRPr="00476E0E">
              <w:rPr>
                <w:rFonts w:eastAsia="Times New Roman"/>
                <w:iCs/>
              </w:rPr>
              <w:t>объем распределения</w:t>
            </w:r>
          </w:p>
        </w:tc>
      </w:tr>
      <w:tr w:rsidR="008E7231" w:rsidRPr="00734A6B" w14:paraId="1F3080A6" w14:textId="77777777" w:rsidTr="00AB1FF1">
        <w:tc>
          <w:tcPr>
            <w:tcW w:w="2210" w:type="dxa"/>
          </w:tcPr>
          <w:p w14:paraId="09CD34ED" w14:textId="77777777" w:rsidR="008E7231" w:rsidRPr="00734A6B" w:rsidRDefault="008E7231" w:rsidP="00511EB4">
            <w:pPr>
              <w:spacing w:line="23" w:lineRule="atLeast"/>
            </w:pPr>
            <w:r w:rsidRPr="00476E0E">
              <w:rPr>
                <w:rFonts w:eastAsia="Times New Roman"/>
                <w:iCs/>
                <w:lang w:eastAsia="ru-RU"/>
              </w:rPr>
              <w:t>V/F</w:t>
            </w:r>
          </w:p>
        </w:tc>
        <w:tc>
          <w:tcPr>
            <w:tcW w:w="7146" w:type="dxa"/>
          </w:tcPr>
          <w:p w14:paraId="20740D57" w14:textId="77777777" w:rsidR="008E7231" w:rsidRPr="00734A6B" w:rsidRDefault="008E7231" w:rsidP="00511EB4">
            <w:pPr>
              <w:spacing w:line="23" w:lineRule="atLeast"/>
              <w:rPr>
                <w:rFonts w:eastAsia="Times New Roman"/>
                <w:iCs/>
                <w:lang w:eastAsia="ru-RU"/>
              </w:rPr>
            </w:pPr>
            <w:r w:rsidRPr="00476E0E">
              <w:rPr>
                <w:rFonts w:eastAsia="Times New Roman"/>
                <w:iCs/>
                <w:lang w:eastAsia="ru-RU"/>
              </w:rPr>
              <w:t>объем распределения вещества при внесосудистом введении</w:t>
            </w:r>
          </w:p>
        </w:tc>
      </w:tr>
      <w:tr w:rsidR="008E7231" w:rsidRPr="00734A6B" w14:paraId="6EB71E99" w14:textId="77777777" w:rsidTr="00AB1FF1">
        <w:tc>
          <w:tcPr>
            <w:tcW w:w="2210" w:type="dxa"/>
          </w:tcPr>
          <w:p w14:paraId="22C42311" w14:textId="77777777" w:rsidR="008E7231" w:rsidRPr="00734A6B" w:rsidRDefault="008E7231" w:rsidP="00511EB4">
            <w:pPr>
              <w:spacing w:line="23" w:lineRule="atLeast"/>
            </w:pPr>
            <w:r w:rsidRPr="00A6699D">
              <w:rPr>
                <w:rFonts w:eastAsia="Times New Roman"/>
                <w:iCs/>
                <w:lang w:eastAsia="ru-RU"/>
              </w:rPr>
              <w:t>Vss</w:t>
            </w:r>
          </w:p>
        </w:tc>
        <w:tc>
          <w:tcPr>
            <w:tcW w:w="7146" w:type="dxa"/>
          </w:tcPr>
          <w:p w14:paraId="598216F2" w14:textId="77777777" w:rsidR="008E7231" w:rsidRPr="00734A6B" w:rsidRDefault="008E7231" w:rsidP="00511EB4">
            <w:pPr>
              <w:spacing w:line="23" w:lineRule="atLeast"/>
              <w:rPr>
                <w:rFonts w:eastAsia="Times New Roman"/>
                <w:iCs/>
                <w:lang w:eastAsia="ru-RU"/>
              </w:rPr>
            </w:pPr>
            <w:r>
              <w:rPr>
                <w:rFonts w:eastAsia="Times New Roman"/>
                <w:iCs/>
                <w:lang w:eastAsia="ru-RU"/>
              </w:rPr>
              <w:t>о</w:t>
            </w:r>
            <w:r w:rsidRPr="00A6699D">
              <w:rPr>
                <w:rFonts w:eastAsia="Times New Roman"/>
                <w:iCs/>
                <w:lang w:eastAsia="ru-RU"/>
              </w:rPr>
              <w:t xml:space="preserve">бъем распределения в равновесном состоянии </w:t>
            </w:r>
          </w:p>
        </w:tc>
      </w:tr>
      <w:tr w:rsidR="008E7231" w:rsidRPr="00734A6B" w14:paraId="76D67613" w14:textId="77777777" w:rsidTr="00AB1FF1">
        <w:tc>
          <w:tcPr>
            <w:tcW w:w="2210" w:type="dxa"/>
          </w:tcPr>
          <w:p w14:paraId="021DC7E0" w14:textId="77777777" w:rsidR="008E7231" w:rsidRPr="00734A6B" w:rsidRDefault="008E7231" w:rsidP="00511EB4">
            <w:pPr>
              <w:spacing w:line="23" w:lineRule="atLeast"/>
              <w:rPr>
                <w:rFonts w:eastAsia="Times New Roman"/>
                <w:color w:val="000000"/>
                <w:lang w:eastAsia="ru-RU"/>
              </w:rPr>
            </w:pPr>
            <w:r w:rsidRPr="00734A6B">
              <w:rPr>
                <w:rFonts w:eastAsia="Times New Roman"/>
                <w:iCs/>
                <w:lang w:eastAsia="ru-RU"/>
              </w:rPr>
              <w:t>АД</w:t>
            </w:r>
          </w:p>
        </w:tc>
        <w:tc>
          <w:tcPr>
            <w:tcW w:w="7146" w:type="dxa"/>
          </w:tcPr>
          <w:p w14:paraId="4B898C41" w14:textId="77777777" w:rsidR="008E7231" w:rsidRPr="00734A6B" w:rsidRDefault="008E7231" w:rsidP="00511EB4">
            <w:pPr>
              <w:spacing w:line="23" w:lineRule="atLeast"/>
              <w:rPr>
                <w:rFonts w:eastAsia="Times New Roman"/>
                <w:iCs/>
                <w:lang w:eastAsia="ru-RU"/>
              </w:rPr>
            </w:pPr>
            <w:r w:rsidRPr="00734A6B">
              <w:rPr>
                <w:rFonts w:eastAsia="Times New Roman"/>
                <w:iCs/>
                <w:lang w:eastAsia="ru-RU"/>
              </w:rPr>
              <w:t>атопическ</w:t>
            </w:r>
            <w:r>
              <w:rPr>
                <w:rFonts w:eastAsia="Times New Roman"/>
                <w:iCs/>
                <w:lang w:eastAsia="ru-RU"/>
              </w:rPr>
              <w:t>ий</w:t>
            </w:r>
            <w:r w:rsidRPr="00734A6B">
              <w:rPr>
                <w:rFonts w:eastAsia="Times New Roman"/>
                <w:iCs/>
                <w:lang w:eastAsia="ru-RU"/>
              </w:rPr>
              <w:t xml:space="preserve"> дерматит</w:t>
            </w:r>
          </w:p>
        </w:tc>
      </w:tr>
      <w:tr w:rsidR="008E7231" w:rsidRPr="00734A6B" w14:paraId="7D0C1065" w14:textId="77777777" w:rsidTr="00AB1FF1">
        <w:tc>
          <w:tcPr>
            <w:tcW w:w="2210" w:type="dxa"/>
          </w:tcPr>
          <w:p w14:paraId="1C7CAD4B" w14:textId="77777777" w:rsidR="008E7231" w:rsidRPr="00734A6B" w:rsidRDefault="008E7231" w:rsidP="00511EB4">
            <w:pPr>
              <w:spacing w:line="23" w:lineRule="atLeast"/>
              <w:rPr>
                <w:rFonts w:eastAsia="Times New Roman"/>
                <w:iCs/>
              </w:rPr>
            </w:pPr>
            <w:r w:rsidRPr="000B02A7">
              <w:rPr>
                <w:rFonts w:eastAsia="Times New Roman"/>
                <w:iCs/>
              </w:rPr>
              <w:t>АЛТ</w:t>
            </w:r>
          </w:p>
        </w:tc>
        <w:tc>
          <w:tcPr>
            <w:tcW w:w="7146" w:type="dxa"/>
          </w:tcPr>
          <w:p w14:paraId="7610C96B" w14:textId="14501FA8" w:rsidR="008E7231" w:rsidRPr="00734A6B" w:rsidRDefault="003A3709" w:rsidP="00511EB4">
            <w:pPr>
              <w:spacing w:line="23" w:lineRule="atLeast"/>
              <w:rPr>
                <w:rFonts w:eastAsia="Times New Roman"/>
                <w:iCs/>
              </w:rPr>
            </w:pPr>
            <w:r w:rsidRPr="000B02A7">
              <w:rPr>
                <w:rFonts w:eastAsia="Times New Roman"/>
                <w:iCs/>
              </w:rPr>
              <w:t>аланин</w:t>
            </w:r>
            <w:r>
              <w:rPr>
                <w:rFonts w:eastAsia="Times New Roman"/>
                <w:iCs/>
              </w:rPr>
              <w:t>мино</w:t>
            </w:r>
            <w:r w:rsidRPr="000B02A7">
              <w:rPr>
                <w:rFonts w:eastAsia="Times New Roman"/>
                <w:iCs/>
              </w:rPr>
              <w:t>транс</w:t>
            </w:r>
            <w:r>
              <w:rPr>
                <w:rFonts w:eastAsia="Times New Roman"/>
                <w:iCs/>
              </w:rPr>
              <w:t>фераза</w:t>
            </w:r>
          </w:p>
        </w:tc>
      </w:tr>
      <w:tr w:rsidR="008E7231" w:rsidRPr="00734A6B" w14:paraId="72DEC3E8" w14:textId="77777777" w:rsidTr="00AB1FF1">
        <w:tc>
          <w:tcPr>
            <w:tcW w:w="2210" w:type="dxa"/>
          </w:tcPr>
          <w:p w14:paraId="52DDDCB7" w14:textId="77777777" w:rsidR="008E7231" w:rsidRPr="00734A6B" w:rsidRDefault="008E7231" w:rsidP="00511EB4">
            <w:pPr>
              <w:spacing w:line="23" w:lineRule="atLeast"/>
              <w:rPr>
                <w:rFonts w:eastAsia="Times New Roman"/>
                <w:iCs/>
              </w:rPr>
            </w:pPr>
            <w:r w:rsidRPr="000B02A7">
              <w:rPr>
                <w:rFonts w:eastAsia="Times New Roman"/>
                <w:iCs/>
              </w:rPr>
              <w:t>АСТ</w:t>
            </w:r>
          </w:p>
        </w:tc>
        <w:tc>
          <w:tcPr>
            <w:tcW w:w="7146" w:type="dxa"/>
          </w:tcPr>
          <w:p w14:paraId="24693338" w14:textId="77777777" w:rsidR="008E7231" w:rsidRPr="00734A6B" w:rsidRDefault="008E7231" w:rsidP="00511EB4">
            <w:pPr>
              <w:spacing w:line="23" w:lineRule="atLeast"/>
              <w:rPr>
                <w:rFonts w:eastAsia="Times New Roman"/>
                <w:iCs/>
              </w:rPr>
            </w:pPr>
            <w:r w:rsidRPr="000B02A7">
              <w:rPr>
                <w:rFonts w:eastAsia="Times New Roman"/>
                <w:iCs/>
              </w:rPr>
              <w:t>аспартатаминотрансфераз</w:t>
            </w:r>
            <w:r>
              <w:rPr>
                <w:rFonts w:eastAsia="Times New Roman"/>
                <w:iCs/>
              </w:rPr>
              <w:t>а</w:t>
            </w:r>
          </w:p>
        </w:tc>
      </w:tr>
      <w:tr w:rsidR="008E7231" w:rsidRPr="00734A6B" w14:paraId="204259F2" w14:textId="77777777" w:rsidTr="00AB1FF1">
        <w:tc>
          <w:tcPr>
            <w:tcW w:w="2210" w:type="dxa"/>
          </w:tcPr>
          <w:p w14:paraId="670E8FF1" w14:textId="77777777" w:rsidR="008E7231" w:rsidRPr="000B02A7" w:rsidRDefault="008E7231" w:rsidP="00511EB4">
            <w:pPr>
              <w:spacing w:line="23" w:lineRule="atLeast"/>
              <w:rPr>
                <w:rFonts w:eastAsia="Times New Roman"/>
                <w:iCs/>
              </w:rPr>
            </w:pPr>
            <w:r w:rsidRPr="002C6928">
              <w:rPr>
                <w:rFonts w:eastAsia="Times New Roman"/>
                <w:iCs/>
              </w:rPr>
              <w:t>ВПН</w:t>
            </w:r>
          </w:p>
        </w:tc>
        <w:tc>
          <w:tcPr>
            <w:tcW w:w="7146" w:type="dxa"/>
          </w:tcPr>
          <w:p w14:paraId="34B509B6" w14:textId="77777777" w:rsidR="008E7231" w:rsidRPr="000B02A7" w:rsidRDefault="008E7231" w:rsidP="00511EB4">
            <w:pPr>
              <w:spacing w:line="23" w:lineRule="atLeast"/>
              <w:rPr>
                <w:rFonts w:eastAsia="Times New Roman"/>
                <w:iCs/>
              </w:rPr>
            </w:pPr>
            <w:r w:rsidRPr="002C6928">
              <w:rPr>
                <w:rFonts w:eastAsia="Times New Roman"/>
                <w:iCs/>
              </w:rPr>
              <w:t>верхний предел нормы</w:t>
            </w:r>
          </w:p>
        </w:tc>
      </w:tr>
      <w:tr w:rsidR="008E7231" w:rsidRPr="00734A6B" w14:paraId="23758E95" w14:textId="77777777" w:rsidTr="00AB1FF1">
        <w:tc>
          <w:tcPr>
            <w:tcW w:w="2210" w:type="dxa"/>
          </w:tcPr>
          <w:p w14:paraId="2C814FB0" w14:textId="77777777" w:rsidR="008E7231" w:rsidRPr="002C6928" w:rsidRDefault="008E7231" w:rsidP="00511EB4">
            <w:pPr>
              <w:spacing w:line="23" w:lineRule="atLeast"/>
              <w:rPr>
                <w:rFonts w:eastAsia="Times New Roman"/>
                <w:iCs/>
              </w:rPr>
            </w:pPr>
            <w:r w:rsidRPr="008070DE">
              <w:rPr>
                <w:rFonts w:eastAsia="Times New Roman"/>
                <w:iCs/>
              </w:rPr>
              <w:t>ВТЭ</w:t>
            </w:r>
          </w:p>
        </w:tc>
        <w:tc>
          <w:tcPr>
            <w:tcW w:w="7146" w:type="dxa"/>
          </w:tcPr>
          <w:p w14:paraId="77DAE44E" w14:textId="77777777" w:rsidR="008E7231" w:rsidRPr="002C6928" w:rsidRDefault="008E7231" w:rsidP="00511EB4">
            <w:pPr>
              <w:spacing w:line="23" w:lineRule="atLeast"/>
              <w:rPr>
                <w:rFonts w:eastAsia="Times New Roman"/>
                <w:iCs/>
              </w:rPr>
            </w:pPr>
            <w:r w:rsidRPr="008070DE">
              <w:rPr>
                <w:rFonts w:eastAsia="Times New Roman"/>
                <w:iCs/>
              </w:rPr>
              <w:t>венозные тромбоэмболии</w:t>
            </w:r>
          </w:p>
        </w:tc>
      </w:tr>
      <w:tr w:rsidR="008E7231" w:rsidRPr="00734A6B" w14:paraId="34FB075C" w14:textId="77777777" w:rsidTr="00AB1FF1">
        <w:tc>
          <w:tcPr>
            <w:tcW w:w="2210" w:type="dxa"/>
          </w:tcPr>
          <w:p w14:paraId="6FEBA28C" w14:textId="77777777" w:rsidR="008E7231" w:rsidRPr="00734A6B" w:rsidRDefault="008E7231" w:rsidP="00511EB4">
            <w:pPr>
              <w:spacing w:line="23" w:lineRule="atLeast"/>
              <w:rPr>
                <w:rFonts w:eastAsia="Times New Roman"/>
                <w:iCs/>
              </w:rPr>
            </w:pPr>
            <w:r w:rsidRPr="000B02A7">
              <w:rPr>
                <w:rFonts w:eastAsia="Times New Roman"/>
                <w:iCs/>
              </w:rPr>
              <w:t>ГГТ</w:t>
            </w:r>
          </w:p>
        </w:tc>
        <w:tc>
          <w:tcPr>
            <w:tcW w:w="7146" w:type="dxa"/>
          </w:tcPr>
          <w:p w14:paraId="3DC7CC72" w14:textId="48A53305" w:rsidR="008E7231" w:rsidRPr="00734A6B" w:rsidRDefault="008E7231" w:rsidP="00511EB4">
            <w:pPr>
              <w:spacing w:line="23" w:lineRule="atLeast"/>
              <w:rPr>
                <w:rFonts w:eastAsia="Times New Roman"/>
                <w:iCs/>
              </w:rPr>
            </w:pPr>
            <w:r w:rsidRPr="000B02A7">
              <w:rPr>
                <w:rFonts w:eastAsia="Times New Roman"/>
                <w:iCs/>
              </w:rPr>
              <w:t>гамма-</w:t>
            </w:r>
            <w:r w:rsidR="003A3709" w:rsidRPr="000B02A7">
              <w:rPr>
                <w:rFonts w:eastAsia="Times New Roman"/>
                <w:iCs/>
              </w:rPr>
              <w:t>глутамилтранс</w:t>
            </w:r>
            <w:r w:rsidR="003A3709">
              <w:rPr>
                <w:rFonts w:eastAsia="Times New Roman"/>
                <w:iCs/>
              </w:rPr>
              <w:t>пептидаза</w:t>
            </w:r>
          </w:p>
        </w:tc>
      </w:tr>
      <w:tr w:rsidR="008E7231" w:rsidRPr="00734A6B" w14:paraId="26F1F154" w14:textId="77777777" w:rsidTr="00AB1FF1">
        <w:tc>
          <w:tcPr>
            <w:tcW w:w="2210" w:type="dxa"/>
          </w:tcPr>
          <w:p w14:paraId="1D561503" w14:textId="77777777" w:rsidR="008E7231" w:rsidRPr="00734A6B" w:rsidRDefault="008E7231" w:rsidP="00511EB4">
            <w:pPr>
              <w:spacing w:line="23" w:lineRule="atLeast"/>
              <w:rPr>
                <w:rFonts w:eastAsia="Times New Roman"/>
                <w:iCs/>
              </w:rPr>
            </w:pPr>
            <w:r w:rsidRPr="00F44C2F">
              <w:rPr>
                <w:rFonts w:eastAsia="Times New Roman"/>
                <w:iCs/>
                <w:lang w:eastAsia="ru-RU"/>
              </w:rPr>
              <w:t>ГИБП</w:t>
            </w:r>
          </w:p>
        </w:tc>
        <w:tc>
          <w:tcPr>
            <w:tcW w:w="7146" w:type="dxa"/>
          </w:tcPr>
          <w:p w14:paraId="0A70DD99" w14:textId="77777777" w:rsidR="008E7231" w:rsidRPr="00734A6B" w:rsidRDefault="008E7231" w:rsidP="00511EB4">
            <w:pPr>
              <w:spacing w:line="23" w:lineRule="atLeast"/>
              <w:rPr>
                <w:rFonts w:eastAsia="Times New Roman"/>
                <w:iCs/>
              </w:rPr>
            </w:pPr>
            <w:r w:rsidRPr="00F44C2F">
              <w:rPr>
                <w:rFonts w:eastAsia="Times New Roman"/>
                <w:iCs/>
                <w:lang w:eastAsia="ru-RU"/>
              </w:rPr>
              <w:t>генно-инженерные биологические препараты</w:t>
            </w:r>
          </w:p>
        </w:tc>
      </w:tr>
      <w:tr w:rsidR="008E7231" w:rsidRPr="00734A6B" w14:paraId="7609E98F" w14:textId="77777777" w:rsidTr="00AB1FF1">
        <w:tc>
          <w:tcPr>
            <w:tcW w:w="2210" w:type="dxa"/>
          </w:tcPr>
          <w:p w14:paraId="2AC3E694" w14:textId="77777777" w:rsidR="008E7231" w:rsidRPr="00F44C2F" w:rsidRDefault="008E7231" w:rsidP="00511EB4">
            <w:pPr>
              <w:spacing w:line="23" w:lineRule="atLeast"/>
              <w:rPr>
                <w:rFonts w:eastAsia="Times New Roman"/>
                <w:iCs/>
              </w:rPr>
            </w:pPr>
            <w:r w:rsidRPr="00F44C2F">
              <w:rPr>
                <w:rFonts w:eastAsia="Times New Roman"/>
                <w:iCs/>
                <w:lang w:eastAsia="ru-RU"/>
              </w:rPr>
              <w:t>ГК</w:t>
            </w:r>
          </w:p>
        </w:tc>
        <w:tc>
          <w:tcPr>
            <w:tcW w:w="7146" w:type="dxa"/>
          </w:tcPr>
          <w:p w14:paraId="3871850C" w14:textId="77777777" w:rsidR="008E7231" w:rsidRPr="00F44C2F" w:rsidRDefault="008E7231" w:rsidP="00511EB4">
            <w:pPr>
              <w:spacing w:line="23" w:lineRule="atLeast"/>
              <w:rPr>
                <w:rFonts w:eastAsia="Times New Roman"/>
                <w:iCs/>
              </w:rPr>
            </w:pPr>
            <w:r w:rsidRPr="00F44C2F">
              <w:rPr>
                <w:rFonts w:eastAsia="Times New Roman"/>
                <w:iCs/>
                <w:lang w:eastAsia="ru-RU"/>
              </w:rPr>
              <w:t>глюкокортикостероиды</w:t>
            </w:r>
          </w:p>
        </w:tc>
      </w:tr>
      <w:tr w:rsidR="008E7231" w:rsidRPr="00734A6B" w14:paraId="3846E2C5" w14:textId="77777777" w:rsidTr="00AB1FF1">
        <w:tc>
          <w:tcPr>
            <w:tcW w:w="2210" w:type="dxa"/>
          </w:tcPr>
          <w:p w14:paraId="755208BC" w14:textId="77777777" w:rsidR="008E7231" w:rsidRPr="00F44C2F" w:rsidRDefault="008E7231" w:rsidP="00511EB4">
            <w:pPr>
              <w:spacing w:line="23" w:lineRule="atLeast"/>
              <w:rPr>
                <w:rFonts w:eastAsia="Times New Roman"/>
                <w:iCs/>
              </w:rPr>
            </w:pPr>
            <w:r w:rsidRPr="003C7F3C">
              <w:rPr>
                <w:rFonts w:eastAsia="Times New Roman"/>
                <w:iCs/>
              </w:rPr>
              <w:t>ДИ</w:t>
            </w:r>
          </w:p>
        </w:tc>
        <w:tc>
          <w:tcPr>
            <w:tcW w:w="7146" w:type="dxa"/>
          </w:tcPr>
          <w:p w14:paraId="672602D0" w14:textId="77777777" w:rsidR="008E7231" w:rsidRPr="00F44C2F" w:rsidRDefault="008E7231" w:rsidP="00511EB4">
            <w:pPr>
              <w:spacing w:line="23" w:lineRule="atLeast"/>
              <w:rPr>
                <w:rFonts w:eastAsia="Times New Roman"/>
                <w:iCs/>
              </w:rPr>
            </w:pPr>
            <w:r w:rsidRPr="003C7F3C">
              <w:rPr>
                <w:rFonts w:eastAsia="Times New Roman"/>
                <w:iCs/>
              </w:rPr>
              <w:t>доверительный интервал</w:t>
            </w:r>
          </w:p>
        </w:tc>
      </w:tr>
      <w:tr w:rsidR="008E7231" w:rsidRPr="00734A6B" w14:paraId="5FB05051" w14:textId="77777777" w:rsidTr="00AB1FF1">
        <w:tc>
          <w:tcPr>
            <w:tcW w:w="2210" w:type="dxa"/>
          </w:tcPr>
          <w:p w14:paraId="1276670D" w14:textId="77777777" w:rsidR="008E7231" w:rsidRPr="003C7F3C" w:rsidRDefault="008E7231" w:rsidP="00511EB4">
            <w:pPr>
              <w:spacing w:line="23" w:lineRule="atLeast"/>
              <w:rPr>
                <w:rFonts w:eastAsia="Times New Roman"/>
                <w:iCs/>
              </w:rPr>
            </w:pPr>
            <w:r w:rsidRPr="00114468">
              <w:rPr>
                <w:rFonts w:eastAsia="Times New Roman"/>
                <w:iCs/>
              </w:rPr>
              <w:t>ДНК</w:t>
            </w:r>
          </w:p>
        </w:tc>
        <w:tc>
          <w:tcPr>
            <w:tcW w:w="7146" w:type="dxa"/>
          </w:tcPr>
          <w:p w14:paraId="635C1C23" w14:textId="77777777" w:rsidR="008E7231" w:rsidRPr="003C7F3C" w:rsidRDefault="008E7231" w:rsidP="00511EB4">
            <w:pPr>
              <w:spacing w:line="23" w:lineRule="atLeast"/>
              <w:rPr>
                <w:rFonts w:eastAsia="Times New Roman"/>
                <w:iCs/>
              </w:rPr>
            </w:pPr>
            <w:r w:rsidRPr="00114468">
              <w:rPr>
                <w:rFonts w:eastAsia="Times New Roman"/>
                <w:iCs/>
              </w:rPr>
              <w:t>дезоксирибонуклеиновая кислота</w:t>
            </w:r>
          </w:p>
        </w:tc>
      </w:tr>
      <w:tr w:rsidR="008E7231" w:rsidRPr="00734A6B" w14:paraId="1904B236" w14:textId="77777777" w:rsidTr="00AB1FF1">
        <w:tc>
          <w:tcPr>
            <w:tcW w:w="2210" w:type="dxa"/>
          </w:tcPr>
          <w:p w14:paraId="0A0618F5" w14:textId="77777777" w:rsidR="008E7231" w:rsidRPr="00F44C2F" w:rsidRDefault="008E7231" w:rsidP="00511EB4">
            <w:pPr>
              <w:spacing w:line="23" w:lineRule="atLeast"/>
              <w:rPr>
                <w:rFonts w:eastAsia="Times New Roman"/>
                <w:iCs/>
              </w:rPr>
            </w:pPr>
            <w:r w:rsidRPr="00A6699D">
              <w:rPr>
                <w:rFonts w:eastAsia="Times New Roman"/>
                <w:iCs/>
              </w:rPr>
              <w:t>ЖКТ</w:t>
            </w:r>
          </w:p>
        </w:tc>
        <w:tc>
          <w:tcPr>
            <w:tcW w:w="7146" w:type="dxa"/>
          </w:tcPr>
          <w:p w14:paraId="26F82734" w14:textId="77777777" w:rsidR="008E7231" w:rsidRPr="00F44C2F" w:rsidRDefault="008E7231" w:rsidP="00511EB4">
            <w:pPr>
              <w:spacing w:line="23" w:lineRule="atLeast"/>
              <w:rPr>
                <w:rFonts w:eastAsia="Times New Roman"/>
                <w:iCs/>
              </w:rPr>
            </w:pPr>
            <w:r w:rsidRPr="00A6699D">
              <w:rPr>
                <w:rFonts w:eastAsia="Times New Roman"/>
                <w:iCs/>
              </w:rPr>
              <w:t>желудочно-кишечн</w:t>
            </w:r>
            <w:r>
              <w:rPr>
                <w:rFonts w:eastAsia="Times New Roman"/>
                <w:iCs/>
              </w:rPr>
              <w:t>ый</w:t>
            </w:r>
            <w:r w:rsidRPr="00A6699D">
              <w:rPr>
                <w:rFonts w:eastAsia="Times New Roman"/>
                <w:iCs/>
              </w:rPr>
              <w:t xml:space="preserve"> тракт</w:t>
            </w:r>
          </w:p>
        </w:tc>
      </w:tr>
      <w:tr w:rsidR="008E7231" w:rsidRPr="00734A6B" w14:paraId="7D3CF25C" w14:textId="77777777" w:rsidTr="00AB1FF1">
        <w:tc>
          <w:tcPr>
            <w:tcW w:w="2210" w:type="dxa"/>
          </w:tcPr>
          <w:p w14:paraId="64357D8F" w14:textId="77777777" w:rsidR="008E7231" w:rsidRPr="00A6699D" w:rsidRDefault="008E7231" w:rsidP="00511EB4">
            <w:pPr>
              <w:spacing w:line="23" w:lineRule="atLeast"/>
              <w:rPr>
                <w:rFonts w:eastAsia="Times New Roman"/>
                <w:iCs/>
              </w:rPr>
            </w:pPr>
            <w:r w:rsidRPr="00DD4E3E">
              <w:rPr>
                <w:rFonts w:eastAsia="Times New Roman"/>
                <w:iCs/>
              </w:rPr>
              <w:t>ИМТ</w:t>
            </w:r>
          </w:p>
        </w:tc>
        <w:tc>
          <w:tcPr>
            <w:tcW w:w="7146" w:type="dxa"/>
          </w:tcPr>
          <w:p w14:paraId="731EBCC6" w14:textId="77777777" w:rsidR="008E7231" w:rsidRPr="00A6699D" w:rsidRDefault="008E7231" w:rsidP="00511EB4">
            <w:pPr>
              <w:spacing w:line="23" w:lineRule="atLeast"/>
              <w:rPr>
                <w:rFonts w:eastAsia="Times New Roman"/>
                <w:iCs/>
              </w:rPr>
            </w:pPr>
            <w:r w:rsidRPr="00DD4E3E">
              <w:rPr>
                <w:rFonts w:eastAsia="Times New Roman"/>
                <w:iCs/>
              </w:rPr>
              <w:t>индекс массы тела</w:t>
            </w:r>
          </w:p>
        </w:tc>
      </w:tr>
      <w:tr w:rsidR="008E7231" w:rsidRPr="00734A6B" w14:paraId="64DA384D" w14:textId="77777777" w:rsidTr="00AB1FF1">
        <w:tc>
          <w:tcPr>
            <w:tcW w:w="2210" w:type="dxa"/>
          </w:tcPr>
          <w:p w14:paraId="262AAC22" w14:textId="77777777" w:rsidR="008E7231" w:rsidRPr="00A6699D" w:rsidRDefault="008E7231" w:rsidP="00511EB4">
            <w:pPr>
              <w:spacing w:line="23" w:lineRule="atLeast"/>
              <w:rPr>
                <w:rFonts w:eastAsia="Times New Roman"/>
                <w:iCs/>
              </w:rPr>
            </w:pPr>
            <w:r w:rsidRPr="00940EB7">
              <w:rPr>
                <w:rFonts w:eastAsia="Times New Roman"/>
                <w:iCs/>
              </w:rPr>
              <w:lastRenderedPageBreak/>
              <w:t>ЛПВП</w:t>
            </w:r>
          </w:p>
        </w:tc>
        <w:tc>
          <w:tcPr>
            <w:tcW w:w="7146" w:type="dxa"/>
          </w:tcPr>
          <w:p w14:paraId="4E1A5FCE" w14:textId="77777777" w:rsidR="008E7231" w:rsidRPr="00A6699D" w:rsidRDefault="008E7231" w:rsidP="00511EB4">
            <w:pPr>
              <w:spacing w:line="23" w:lineRule="atLeast"/>
              <w:rPr>
                <w:rFonts w:eastAsia="Times New Roman"/>
                <w:iCs/>
              </w:rPr>
            </w:pPr>
            <w:r w:rsidRPr="00940EB7">
              <w:rPr>
                <w:rFonts w:eastAsia="Times New Roman"/>
                <w:iCs/>
              </w:rPr>
              <w:t xml:space="preserve">липопротеиды высокой плотности </w:t>
            </w:r>
          </w:p>
        </w:tc>
      </w:tr>
      <w:tr w:rsidR="008E7231" w:rsidRPr="00734A6B" w14:paraId="043C74DC" w14:textId="77777777" w:rsidTr="00AB1FF1">
        <w:tc>
          <w:tcPr>
            <w:tcW w:w="2210" w:type="dxa"/>
          </w:tcPr>
          <w:p w14:paraId="22AED357" w14:textId="77777777" w:rsidR="008E7231" w:rsidRPr="00A6699D" w:rsidRDefault="008E7231" w:rsidP="00511EB4">
            <w:pPr>
              <w:spacing w:line="23" w:lineRule="atLeast"/>
              <w:rPr>
                <w:rFonts w:eastAsia="Times New Roman"/>
                <w:iCs/>
              </w:rPr>
            </w:pPr>
            <w:r w:rsidRPr="002C6928">
              <w:rPr>
                <w:rFonts w:eastAsia="Times New Roman"/>
                <w:iCs/>
              </w:rPr>
              <w:t>ЛПНП</w:t>
            </w:r>
          </w:p>
        </w:tc>
        <w:tc>
          <w:tcPr>
            <w:tcW w:w="7146" w:type="dxa"/>
          </w:tcPr>
          <w:p w14:paraId="27EE83A1" w14:textId="77777777" w:rsidR="008E7231" w:rsidRPr="00A6699D" w:rsidRDefault="008E7231" w:rsidP="00511EB4">
            <w:pPr>
              <w:spacing w:line="23" w:lineRule="atLeast"/>
              <w:rPr>
                <w:rFonts w:eastAsia="Times New Roman"/>
                <w:iCs/>
              </w:rPr>
            </w:pPr>
            <w:r w:rsidRPr="002C6928">
              <w:rPr>
                <w:rFonts w:eastAsia="Times New Roman"/>
                <w:iCs/>
              </w:rPr>
              <w:t>липопротеид</w:t>
            </w:r>
            <w:r>
              <w:rPr>
                <w:rFonts w:eastAsia="Times New Roman"/>
                <w:iCs/>
              </w:rPr>
              <w:t>ы</w:t>
            </w:r>
            <w:r w:rsidRPr="002C6928">
              <w:rPr>
                <w:rFonts w:eastAsia="Times New Roman"/>
                <w:iCs/>
              </w:rPr>
              <w:t xml:space="preserve"> низкой плотности</w:t>
            </w:r>
          </w:p>
        </w:tc>
      </w:tr>
      <w:tr w:rsidR="008E7231" w:rsidRPr="00734A6B" w14:paraId="0FDAA531" w14:textId="77777777" w:rsidTr="00AB1FF1">
        <w:tc>
          <w:tcPr>
            <w:tcW w:w="2210" w:type="dxa"/>
          </w:tcPr>
          <w:p w14:paraId="1E5BC655" w14:textId="77777777" w:rsidR="008E7231" w:rsidRPr="002C6928" w:rsidRDefault="008E7231" w:rsidP="00511EB4">
            <w:pPr>
              <w:spacing w:line="23" w:lineRule="atLeast"/>
              <w:rPr>
                <w:rFonts w:eastAsia="Times New Roman"/>
                <w:iCs/>
              </w:rPr>
            </w:pPr>
            <w:r w:rsidRPr="00940EB7">
              <w:rPr>
                <w:rFonts w:eastAsia="Times New Roman"/>
                <w:iCs/>
              </w:rPr>
              <w:t>ЛПП</w:t>
            </w:r>
          </w:p>
        </w:tc>
        <w:tc>
          <w:tcPr>
            <w:tcW w:w="7146" w:type="dxa"/>
          </w:tcPr>
          <w:p w14:paraId="41D47D60" w14:textId="77777777" w:rsidR="008E7231" w:rsidRPr="002C6928" w:rsidRDefault="008E7231" w:rsidP="00511EB4">
            <w:pPr>
              <w:spacing w:line="23" w:lineRule="atLeast"/>
              <w:rPr>
                <w:rFonts w:eastAsia="Times New Roman"/>
                <w:iCs/>
              </w:rPr>
            </w:pPr>
            <w:r w:rsidRPr="00940EB7">
              <w:rPr>
                <w:rFonts w:eastAsia="Times New Roman"/>
                <w:iCs/>
              </w:rPr>
              <w:t>лекарственное поражение печени</w:t>
            </w:r>
          </w:p>
        </w:tc>
      </w:tr>
      <w:tr w:rsidR="008E7231" w:rsidRPr="00734A6B" w14:paraId="09A83EC2" w14:textId="77777777" w:rsidTr="00AB1FF1">
        <w:tc>
          <w:tcPr>
            <w:tcW w:w="2210" w:type="dxa"/>
          </w:tcPr>
          <w:p w14:paraId="5200100F" w14:textId="77777777" w:rsidR="008E7231" w:rsidRPr="00A6699D" w:rsidRDefault="008E7231" w:rsidP="00511EB4">
            <w:pPr>
              <w:spacing w:line="23" w:lineRule="atLeast"/>
              <w:rPr>
                <w:rFonts w:eastAsia="Times New Roman"/>
                <w:iCs/>
              </w:rPr>
            </w:pPr>
            <w:r w:rsidRPr="000B02A7">
              <w:rPr>
                <w:rFonts w:eastAsia="Times New Roman"/>
                <w:iCs/>
              </w:rPr>
              <w:t>МПД</w:t>
            </w:r>
          </w:p>
        </w:tc>
        <w:tc>
          <w:tcPr>
            <w:tcW w:w="7146" w:type="dxa"/>
          </w:tcPr>
          <w:p w14:paraId="6774DF52" w14:textId="77777777" w:rsidR="008E7231" w:rsidRPr="00A6699D" w:rsidRDefault="008E7231" w:rsidP="00511EB4">
            <w:pPr>
              <w:spacing w:line="23" w:lineRule="atLeast"/>
              <w:rPr>
                <w:rFonts w:eastAsia="Times New Roman"/>
                <w:iCs/>
              </w:rPr>
            </w:pPr>
            <w:r w:rsidRPr="000B02A7">
              <w:rPr>
                <w:rFonts w:eastAsia="Times New Roman"/>
                <w:iCs/>
              </w:rPr>
              <w:t>максимально переносим</w:t>
            </w:r>
            <w:r>
              <w:rPr>
                <w:rFonts w:eastAsia="Times New Roman"/>
                <w:iCs/>
              </w:rPr>
              <w:t>ая</w:t>
            </w:r>
            <w:r w:rsidRPr="000B02A7">
              <w:rPr>
                <w:rFonts w:eastAsia="Times New Roman"/>
                <w:iCs/>
              </w:rPr>
              <w:t xml:space="preserve"> доз</w:t>
            </w:r>
            <w:r>
              <w:rPr>
                <w:rFonts w:eastAsia="Times New Roman"/>
                <w:iCs/>
              </w:rPr>
              <w:t>а</w:t>
            </w:r>
          </w:p>
        </w:tc>
      </w:tr>
      <w:tr w:rsidR="008E7231" w:rsidRPr="00734A6B" w14:paraId="6D53A608" w14:textId="77777777" w:rsidTr="00AB1FF1">
        <w:tc>
          <w:tcPr>
            <w:tcW w:w="2210" w:type="dxa"/>
          </w:tcPr>
          <w:p w14:paraId="167C5685" w14:textId="77777777" w:rsidR="008E7231" w:rsidRPr="00F44C2F" w:rsidRDefault="008E7231" w:rsidP="00511EB4">
            <w:pPr>
              <w:spacing w:line="23" w:lineRule="atLeast"/>
            </w:pPr>
            <w:r w:rsidRPr="004A0C22">
              <w:t>мРНК</w:t>
            </w:r>
          </w:p>
        </w:tc>
        <w:tc>
          <w:tcPr>
            <w:tcW w:w="7146" w:type="dxa"/>
          </w:tcPr>
          <w:p w14:paraId="3B0FEF14" w14:textId="77777777" w:rsidR="008E7231" w:rsidRPr="00F44C2F" w:rsidRDefault="008E7231" w:rsidP="00511EB4">
            <w:pPr>
              <w:spacing w:line="23" w:lineRule="atLeast"/>
            </w:pPr>
            <w:r w:rsidRPr="004A0C22">
              <w:t>матричн</w:t>
            </w:r>
            <w:r>
              <w:t>ая</w:t>
            </w:r>
            <w:r w:rsidRPr="004A0C22">
              <w:t xml:space="preserve"> рибонуклеинов</w:t>
            </w:r>
            <w:r>
              <w:t>ая</w:t>
            </w:r>
            <w:r w:rsidRPr="004A0C22">
              <w:t xml:space="preserve"> кислот</w:t>
            </w:r>
            <w:r>
              <w:t>а</w:t>
            </w:r>
          </w:p>
        </w:tc>
      </w:tr>
      <w:tr w:rsidR="008E7231" w:rsidRPr="00734A6B" w14:paraId="6A632F92" w14:textId="77777777" w:rsidTr="00AB1FF1">
        <w:tc>
          <w:tcPr>
            <w:tcW w:w="2210" w:type="dxa"/>
          </w:tcPr>
          <w:p w14:paraId="3D1583F5" w14:textId="77777777" w:rsidR="008E7231" w:rsidRPr="00F44C2F" w:rsidRDefault="008E7231" w:rsidP="00511EB4">
            <w:pPr>
              <w:spacing w:line="23" w:lineRule="atLeast"/>
              <w:rPr>
                <w:rFonts w:eastAsia="Times New Roman"/>
                <w:iCs/>
              </w:rPr>
            </w:pPr>
            <w:r w:rsidRPr="00F44C2F">
              <w:t>МТХ</w:t>
            </w:r>
          </w:p>
        </w:tc>
        <w:tc>
          <w:tcPr>
            <w:tcW w:w="7146" w:type="dxa"/>
          </w:tcPr>
          <w:p w14:paraId="7D741C00" w14:textId="77777777" w:rsidR="008E7231" w:rsidRPr="00F44C2F" w:rsidRDefault="008E7231" w:rsidP="00511EB4">
            <w:pPr>
              <w:spacing w:line="23" w:lineRule="atLeast"/>
              <w:rPr>
                <w:rFonts w:eastAsia="Times New Roman"/>
                <w:iCs/>
              </w:rPr>
            </w:pPr>
            <w:r w:rsidRPr="00F44C2F">
              <w:t>метотрексат</w:t>
            </w:r>
          </w:p>
        </w:tc>
      </w:tr>
      <w:tr w:rsidR="008E7231" w:rsidRPr="00734A6B" w14:paraId="57EBD1E4" w14:textId="77777777" w:rsidTr="00AB1FF1">
        <w:tc>
          <w:tcPr>
            <w:tcW w:w="2210" w:type="dxa"/>
          </w:tcPr>
          <w:p w14:paraId="7A24F2BD" w14:textId="77777777" w:rsidR="008E7231" w:rsidRPr="00F44C2F" w:rsidRDefault="008E7231" w:rsidP="00511EB4">
            <w:pPr>
              <w:spacing w:line="23" w:lineRule="atLeast"/>
            </w:pPr>
            <w:r w:rsidRPr="002C6928">
              <w:t>НЛР</w:t>
            </w:r>
          </w:p>
        </w:tc>
        <w:tc>
          <w:tcPr>
            <w:tcW w:w="7146" w:type="dxa"/>
          </w:tcPr>
          <w:p w14:paraId="768142C7" w14:textId="77777777" w:rsidR="008E7231" w:rsidRPr="00F44C2F" w:rsidRDefault="008E7231" w:rsidP="00511EB4">
            <w:pPr>
              <w:spacing w:line="23" w:lineRule="atLeast"/>
            </w:pPr>
            <w:r w:rsidRPr="002C6928">
              <w:t>нежелательные лекарственные реакции</w:t>
            </w:r>
          </w:p>
        </w:tc>
      </w:tr>
      <w:tr w:rsidR="008E7231" w:rsidRPr="00734A6B" w14:paraId="21F56A93" w14:textId="77777777" w:rsidTr="00AB1FF1">
        <w:tc>
          <w:tcPr>
            <w:tcW w:w="2210" w:type="dxa"/>
          </w:tcPr>
          <w:p w14:paraId="0CDFEC93" w14:textId="77777777" w:rsidR="008E7231" w:rsidRPr="002C6928" w:rsidRDefault="008E7231" w:rsidP="00511EB4">
            <w:pPr>
              <w:spacing w:line="23" w:lineRule="atLeast"/>
            </w:pPr>
            <w:r w:rsidRPr="00114468">
              <w:t>НМРК</w:t>
            </w:r>
          </w:p>
        </w:tc>
        <w:tc>
          <w:tcPr>
            <w:tcW w:w="7146" w:type="dxa"/>
          </w:tcPr>
          <w:p w14:paraId="05838797" w14:textId="77777777" w:rsidR="008E7231" w:rsidRPr="002C6928" w:rsidRDefault="008E7231" w:rsidP="00511EB4">
            <w:pPr>
              <w:spacing w:line="23" w:lineRule="atLeast"/>
            </w:pPr>
            <w:r w:rsidRPr="00114468">
              <w:t>немеланомн</w:t>
            </w:r>
            <w:r>
              <w:t>ый</w:t>
            </w:r>
            <w:r w:rsidRPr="00114468">
              <w:t xml:space="preserve"> рак кожи</w:t>
            </w:r>
          </w:p>
        </w:tc>
      </w:tr>
      <w:tr w:rsidR="008E7231" w:rsidRPr="00734A6B" w14:paraId="30387EAD" w14:textId="77777777" w:rsidTr="00AB1FF1">
        <w:tc>
          <w:tcPr>
            <w:tcW w:w="2210" w:type="dxa"/>
          </w:tcPr>
          <w:p w14:paraId="5F063E26" w14:textId="77777777" w:rsidR="008E7231" w:rsidRPr="00F44C2F" w:rsidRDefault="008E7231" w:rsidP="00511EB4">
            <w:pPr>
              <w:spacing w:line="23" w:lineRule="atLeast"/>
              <w:rPr>
                <w:rFonts w:eastAsia="Times New Roman"/>
                <w:iCs/>
              </w:rPr>
            </w:pPr>
            <w:r w:rsidRPr="00F44C2F">
              <w:rPr>
                <w:rFonts w:eastAsia="Times New Roman"/>
                <w:iCs/>
                <w:lang w:eastAsia="ru-RU"/>
              </w:rPr>
              <w:t>НПВП</w:t>
            </w:r>
          </w:p>
        </w:tc>
        <w:tc>
          <w:tcPr>
            <w:tcW w:w="7146" w:type="dxa"/>
          </w:tcPr>
          <w:p w14:paraId="0D8B3337" w14:textId="77777777" w:rsidR="008E7231" w:rsidRPr="00F44C2F" w:rsidRDefault="008E7231" w:rsidP="00511EB4">
            <w:pPr>
              <w:spacing w:line="23" w:lineRule="atLeast"/>
              <w:rPr>
                <w:rFonts w:eastAsia="Times New Roman"/>
                <w:iCs/>
              </w:rPr>
            </w:pPr>
            <w:r w:rsidRPr="00F44C2F">
              <w:rPr>
                <w:rFonts w:eastAsia="Times New Roman"/>
                <w:iCs/>
                <w:lang w:eastAsia="ru-RU"/>
              </w:rPr>
              <w:t>нестероидные противовоспалительные препараты</w:t>
            </w:r>
          </w:p>
        </w:tc>
      </w:tr>
      <w:tr w:rsidR="008E7231" w:rsidRPr="00734A6B" w14:paraId="3B8FFEB8" w14:textId="77777777" w:rsidTr="00AB1FF1">
        <w:tc>
          <w:tcPr>
            <w:tcW w:w="2210" w:type="dxa"/>
          </w:tcPr>
          <w:p w14:paraId="02608772" w14:textId="77777777" w:rsidR="008E7231" w:rsidRPr="00F44C2F" w:rsidRDefault="008E7231" w:rsidP="00511EB4">
            <w:pPr>
              <w:spacing w:line="23" w:lineRule="atLeast"/>
              <w:rPr>
                <w:rFonts w:eastAsia="Times New Roman"/>
                <w:iCs/>
              </w:rPr>
            </w:pPr>
            <w:r w:rsidRPr="002C6928">
              <w:rPr>
                <w:rFonts w:eastAsia="Times New Roman"/>
                <w:iCs/>
              </w:rPr>
              <w:t>НЯ</w:t>
            </w:r>
          </w:p>
        </w:tc>
        <w:tc>
          <w:tcPr>
            <w:tcW w:w="7146" w:type="dxa"/>
          </w:tcPr>
          <w:p w14:paraId="4C38D6A9" w14:textId="77777777" w:rsidR="008E7231" w:rsidRPr="00F44C2F" w:rsidRDefault="008E7231" w:rsidP="00511EB4">
            <w:pPr>
              <w:spacing w:line="23" w:lineRule="atLeast"/>
              <w:rPr>
                <w:rFonts w:eastAsia="Times New Roman"/>
                <w:iCs/>
              </w:rPr>
            </w:pPr>
            <w:r>
              <w:rPr>
                <w:rFonts w:eastAsia="Times New Roman"/>
                <w:iCs/>
              </w:rPr>
              <w:t>н</w:t>
            </w:r>
            <w:r w:rsidRPr="002C6928">
              <w:rPr>
                <w:rFonts w:eastAsia="Times New Roman"/>
                <w:iCs/>
              </w:rPr>
              <w:t>ежелательные явления</w:t>
            </w:r>
          </w:p>
        </w:tc>
      </w:tr>
      <w:tr w:rsidR="008E7231" w:rsidRPr="00734A6B" w14:paraId="3A2A24ED" w14:textId="77777777" w:rsidTr="00AB1FF1">
        <w:tc>
          <w:tcPr>
            <w:tcW w:w="2210" w:type="dxa"/>
          </w:tcPr>
          <w:p w14:paraId="1E2BA3D9" w14:textId="77777777" w:rsidR="008E7231" w:rsidRPr="00734A6B" w:rsidRDefault="008E7231" w:rsidP="00511EB4">
            <w:pPr>
              <w:spacing w:line="23" w:lineRule="atLeast"/>
            </w:pPr>
            <w:r w:rsidRPr="00734A6B">
              <w:rPr>
                <w:rFonts w:eastAsia="Times New Roman"/>
                <w:iCs/>
                <w:lang w:eastAsia="ru-RU"/>
              </w:rPr>
              <w:t>ОА</w:t>
            </w:r>
          </w:p>
        </w:tc>
        <w:tc>
          <w:tcPr>
            <w:tcW w:w="7146" w:type="dxa"/>
          </w:tcPr>
          <w:p w14:paraId="0B398EDB" w14:textId="77777777" w:rsidR="008E7231" w:rsidRPr="00734A6B" w:rsidRDefault="008E7231" w:rsidP="00511EB4">
            <w:pPr>
              <w:spacing w:line="23" w:lineRule="atLeast"/>
              <w:rPr>
                <w:rFonts w:eastAsia="Times New Roman"/>
                <w:iCs/>
                <w:lang w:eastAsia="ru-RU"/>
              </w:rPr>
            </w:pPr>
            <w:r w:rsidRPr="00734A6B">
              <w:rPr>
                <w:rFonts w:eastAsia="Times New Roman"/>
                <w:iCs/>
                <w:lang w:eastAsia="ru-RU"/>
              </w:rPr>
              <w:t>очагов</w:t>
            </w:r>
            <w:r>
              <w:rPr>
                <w:rFonts w:eastAsia="Times New Roman"/>
                <w:iCs/>
                <w:lang w:eastAsia="ru-RU"/>
              </w:rPr>
              <w:t>ая</w:t>
            </w:r>
            <w:r w:rsidRPr="00734A6B">
              <w:rPr>
                <w:rFonts w:eastAsia="Times New Roman"/>
                <w:iCs/>
                <w:lang w:eastAsia="ru-RU"/>
              </w:rPr>
              <w:t xml:space="preserve"> алопеци</w:t>
            </w:r>
            <w:r>
              <w:rPr>
                <w:rFonts w:eastAsia="Times New Roman"/>
                <w:iCs/>
                <w:lang w:eastAsia="ru-RU"/>
              </w:rPr>
              <w:t>я</w:t>
            </w:r>
          </w:p>
        </w:tc>
      </w:tr>
      <w:tr w:rsidR="008E7231" w:rsidRPr="00734A6B" w14:paraId="45E3259E" w14:textId="77777777" w:rsidTr="00AB1FF1">
        <w:tc>
          <w:tcPr>
            <w:tcW w:w="2210" w:type="dxa"/>
          </w:tcPr>
          <w:p w14:paraId="7DD768DE" w14:textId="77777777" w:rsidR="008E7231" w:rsidRPr="00734A6B" w:rsidRDefault="008E7231" w:rsidP="00511EB4">
            <w:pPr>
              <w:spacing w:line="23" w:lineRule="atLeast"/>
              <w:rPr>
                <w:rFonts w:eastAsia="Times New Roman"/>
                <w:iCs/>
              </w:rPr>
            </w:pPr>
            <w:r>
              <w:rPr>
                <w:rFonts w:eastAsia="Times New Roman"/>
                <w:iCs/>
              </w:rPr>
              <w:t>ОИ</w:t>
            </w:r>
          </w:p>
        </w:tc>
        <w:tc>
          <w:tcPr>
            <w:tcW w:w="7146" w:type="dxa"/>
          </w:tcPr>
          <w:p w14:paraId="4BDF0582" w14:textId="77777777" w:rsidR="008E7231" w:rsidRPr="00734A6B" w:rsidRDefault="008E7231" w:rsidP="00511EB4">
            <w:pPr>
              <w:spacing w:line="23" w:lineRule="atLeast"/>
              <w:rPr>
                <w:rFonts w:eastAsia="Times New Roman"/>
                <w:iCs/>
              </w:rPr>
            </w:pPr>
            <w:r>
              <w:rPr>
                <w:rFonts w:eastAsia="Times New Roman"/>
                <w:iCs/>
              </w:rPr>
              <w:t>оппортунистические инфекции</w:t>
            </w:r>
          </w:p>
        </w:tc>
      </w:tr>
      <w:tr w:rsidR="008E7231" w:rsidRPr="00734A6B" w14:paraId="419360B7" w14:textId="77777777" w:rsidTr="00AB1FF1">
        <w:trPr>
          <w:trHeight w:val="200"/>
        </w:trPr>
        <w:tc>
          <w:tcPr>
            <w:tcW w:w="2210" w:type="dxa"/>
          </w:tcPr>
          <w:p w14:paraId="3626ECA0" w14:textId="77777777" w:rsidR="008E7231" w:rsidRPr="00734A6B" w:rsidRDefault="008E7231" w:rsidP="00511EB4">
            <w:pPr>
              <w:spacing w:line="23" w:lineRule="atLeast"/>
              <w:rPr>
                <w:rFonts w:eastAsia="Times New Roman"/>
                <w:color w:val="000000"/>
                <w:lang w:eastAsia="ru-RU"/>
              </w:rPr>
            </w:pPr>
            <w:r w:rsidRPr="00FF3CD1">
              <w:rPr>
                <w:rFonts w:eastAsia="Times New Roman"/>
                <w:lang w:eastAsia="ru-RU"/>
              </w:rPr>
              <w:t>ОРВИ</w:t>
            </w:r>
          </w:p>
        </w:tc>
        <w:tc>
          <w:tcPr>
            <w:tcW w:w="7146" w:type="dxa"/>
          </w:tcPr>
          <w:p w14:paraId="0E5081E2" w14:textId="77777777" w:rsidR="008E7231" w:rsidRPr="00734A6B" w:rsidRDefault="008E7231" w:rsidP="00511EB4">
            <w:pPr>
              <w:spacing w:line="23" w:lineRule="atLeast"/>
              <w:rPr>
                <w:rFonts w:eastAsia="Times New Roman"/>
                <w:lang w:eastAsia="ru-RU"/>
              </w:rPr>
            </w:pPr>
            <w:r>
              <w:rPr>
                <w:rFonts w:eastAsia="Times New Roman"/>
                <w:lang w:eastAsia="ru-RU"/>
              </w:rPr>
              <w:t>о</w:t>
            </w:r>
            <w:r w:rsidRPr="00FF3CD1">
              <w:rPr>
                <w:rFonts w:eastAsia="Times New Roman"/>
                <w:lang w:eastAsia="ru-RU"/>
              </w:rPr>
              <w:t>стр</w:t>
            </w:r>
            <w:r>
              <w:rPr>
                <w:rFonts w:eastAsia="Times New Roman"/>
                <w:lang w:eastAsia="ru-RU"/>
              </w:rPr>
              <w:t>ая</w:t>
            </w:r>
            <w:r w:rsidRPr="00FF3CD1">
              <w:rPr>
                <w:rFonts w:eastAsia="Times New Roman"/>
                <w:lang w:eastAsia="ru-RU"/>
              </w:rPr>
              <w:t xml:space="preserve"> респираторн</w:t>
            </w:r>
            <w:r>
              <w:rPr>
                <w:rFonts w:eastAsia="Times New Roman"/>
                <w:lang w:eastAsia="ru-RU"/>
              </w:rPr>
              <w:t>ая</w:t>
            </w:r>
            <w:r w:rsidRPr="00FF3CD1">
              <w:rPr>
                <w:rFonts w:eastAsia="Times New Roman"/>
                <w:lang w:eastAsia="ru-RU"/>
              </w:rPr>
              <w:t xml:space="preserve"> инфекци</w:t>
            </w:r>
            <w:r>
              <w:rPr>
                <w:rFonts w:eastAsia="Times New Roman"/>
                <w:lang w:eastAsia="ru-RU"/>
              </w:rPr>
              <w:t>я</w:t>
            </w:r>
            <w:r w:rsidRPr="00FF3CD1">
              <w:rPr>
                <w:rFonts w:eastAsia="Times New Roman"/>
                <w:lang w:eastAsia="ru-RU"/>
              </w:rPr>
              <w:t xml:space="preserve"> </w:t>
            </w:r>
          </w:p>
        </w:tc>
      </w:tr>
      <w:tr w:rsidR="008E7231" w:rsidRPr="00734A6B" w14:paraId="7E480EFA" w14:textId="77777777" w:rsidTr="00AB1FF1">
        <w:trPr>
          <w:trHeight w:val="200"/>
        </w:trPr>
        <w:tc>
          <w:tcPr>
            <w:tcW w:w="2210" w:type="dxa"/>
          </w:tcPr>
          <w:p w14:paraId="4DF22D5D" w14:textId="77777777" w:rsidR="008E7231" w:rsidRPr="00FF3CD1" w:rsidRDefault="008E7231" w:rsidP="00511EB4">
            <w:pPr>
              <w:spacing w:line="23" w:lineRule="atLeast"/>
              <w:rPr>
                <w:rFonts w:eastAsia="Times New Roman"/>
              </w:rPr>
            </w:pPr>
            <w:r w:rsidRPr="002C6928">
              <w:rPr>
                <w:rFonts w:eastAsia="Times New Roman"/>
              </w:rPr>
              <w:t>ОШ</w:t>
            </w:r>
          </w:p>
        </w:tc>
        <w:tc>
          <w:tcPr>
            <w:tcW w:w="7146" w:type="dxa"/>
          </w:tcPr>
          <w:p w14:paraId="5EC31D4D" w14:textId="77777777" w:rsidR="008E7231" w:rsidRDefault="008E7231" w:rsidP="00511EB4">
            <w:pPr>
              <w:spacing w:line="23" w:lineRule="atLeast"/>
              <w:rPr>
                <w:rFonts w:eastAsia="Times New Roman"/>
              </w:rPr>
            </w:pPr>
            <w:r w:rsidRPr="002C6928">
              <w:rPr>
                <w:rFonts w:eastAsia="Times New Roman"/>
              </w:rPr>
              <w:t>отношение шансов</w:t>
            </w:r>
          </w:p>
        </w:tc>
      </w:tr>
      <w:tr w:rsidR="008E7231" w:rsidRPr="00734A6B" w14:paraId="4DFBF7DD" w14:textId="77777777" w:rsidTr="00AB1FF1">
        <w:trPr>
          <w:trHeight w:val="200"/>
        </w:trPr>
        <w:tc>
          <w:tcPr>
            <w:tcW w:w="2210" w:type="dxa"/>
          </w:tcPr>
          <w:p w14:paraId="2D737E43" w14:textId="77777777" w:rsidR="008E7231" w:rsidRPr="00734A6B" w:rsidRDefault="008E7231" w:rsidP="00511EB4">
            <w:pPr>
              <w:spacing w:line="23" w:lineRule="atLeast"/>
            </w:pPr>
            <w:r w:rsidRPr="00734A6B">
              <w:rPr>
                <w:rFonts w:eastAsia="Times New Roman"/>
                <w:iCs/>
                <w:lang w:eastAsia="ru-RU"/>
              </w:rPr>
              <w:t>РА</w:t>
            </w:r>
          </w:p>
        </w:tc>
        <w:tc>
          <w:tcPr>
            <w:tcW w:w="7146" w:type="dxa"/>
          </w:tcPr>
          <w:p w14:paraId="42BFAA7B" w14:textId="77777777" w:rsidR="008E7231" w:rsidRPr="00734A6B" w:rsidRDefault="008E7231" w:rsidP="00511EB4">
            <w:pPr>
              <w:spacing w:line="23" w:lineRule="atLeast"/>
              <w:rPr>
                <w:rFonts w:eastAsia="Times New Roman"/>
                <w:iCs/>
                <w:lang w:eastAsia="ru-RU"/>
              </w:rPr>
            </w:pPr>
            <w:r w:rsidRPr="00734A6B">
              <w:rPr>
                <w:rFonts w:eastAsia="Times New Roman"/>
                <w:iCs/>
                <w:lang w:eastAsia="ru-RU"/>
              </w:rPr>
              <w:t>ревматоидн</w:t>
            </w:r>
            <w:r>
              <w:rPr>
                <w:rFonts w:eastAsia="Times New Roman"/>
                <w:iCs/>
                <w:lang w:eastAsia="ru-RU"/>
              </w:rPr>
              <w:t>ый</w:t>
            </w:r>
            <w:r w:rsidRPr="00734A6B">
              <w:rPr>
                <w:rFonts w:eastAsia="Times New Roman"/>
                <w:iCs/>
                <w:lang w:eastAsia="ru-RU"/>
              </w:rPr>
              <w:t xml:space="preserve"> артрит</w:t>
            </w:r>
          </w:p>
        </w:tc>
      </w:tr>
      <w:tr w:rsidR="008E7231" w:rsidRPr="00734A6B" w14:paraId="038A1DBC" w14:textId="77777777" w:rsidTr="00AB1FF1">
        <w:trPr>
          <w:trHeight w:val="200"/>
        </w:trPr>
        <w:tc>
          <w:tcPr>
            <w:tcW w:w="2210" w:type="dxa"/>
          </w:tcPr>
          <w:p w14:paraId="5660C88D" w14:textId="0BF62B02" w:rsidR="008E7231" w:rsidRPr="00734A6B" w:rsidRDefault="008E7231" w:rsidP="00511EB4">
            <w:pPr>
              <w:spacing w:line="23" w:lineRule="atLeast"/>
            </w:pPr>
            <w:bookmarkStart w:id="11" w:name="_Hlk118492653"/>
            <w:r w:rsidRPr="00F44C2F">
              <w:rPr>
                <w:rFonts w:eastAsia="Times New Roman"/>
                <w:iCs/>
                <w:lang w:eastAsia="ru-RU"/>
              </w:rPr>
              <w:t>сБ</w:t>
            </w:r>
            <w:r w:rsidR="00D139A4">
              <w:rPr>
                <w:rFonts w:eastAsia="Times New Roman"/>
                <w:iCs/>
                <w:lang w:eastAsia="ru-RU"/>
              </w:rPr>
              <w:t>МАР</w:t>
            </w:r>
            <w:r w:rsidRPr="00F44C2F">
              <w:rPr>
                <w:rFonts w:eastAsia="Times New Roman"/>
                <w:iCs/>
                <w:lang w:eastAsia="ru-RU"/>
              </w:rPr>
              <w:t>П</w:t>
            </w:r>
            <w:bookmarkEnd w:id="11"/>
          </w:p>
        </w:tc>
        <w:tc>
          <w:tcPr>
            <w:tcW w:w="7146" w:type="dxa"/>
          </w:tcPr>
          <w:p w14:paraId="59FABF4F" w14:textId="45BAF444" w:rsidR="008E7231" w:rsidRPr="00734A6B" w:rsidRDefault="008E7231" w:rsidP="00511EB4">
            <w:pPr>
              <w:spacing w:line="23" w:lineRule="atLeast"/>
            </w:pPr>
            <w:r w:rsidRPr="00F44C2F">
              <w:rPr>
                <w:rFonts w:eastAsia="Times New Roman"/>
                <w:iCs/>
                <w:lang w:eastAsia="ru-RU"/>
              </w:rPr>
              <w:t xml:space="preserve">синтетические </w:t>
            </w:r>
            <w:r w:rsidR="00D139A4">
              <w:rPr>
                <w:rFonts w:eastAsia="Times New Roman"/>
                <w:iCs/>
                <w:lang w:eastAsia="ru-RU"/>
              </w:rPr>
              <w:t xml:space="preserve">болезнь-модифицирующие антиревматические </w:t>
            </w:r>
            <w:r w:rsidRPr="00F44C2F">
              <w:rPr>
                <w:rFonts w:eastAsia="Times New Roman"/>
                <w:iCs/>
                <w:lang w:eastAsia="ru-RU"/>
              </w:rPr>
              <w:t>препараты</w:t>
            </w:r>
          </w:p>
        </w:tc>
      </w:tr>
      <w:tr w:rsidR="008E7231" w:rsidRPr="00734A6B" w14:paraId="1A6C08E0" w14:textId="77777777" w:rsidTr="00AB1FF1">
        <w:trPr>
          <w:trHeight w:val="200"/>
        </w:trPr>
        <w:tc>
          <w:tcPr>
            <w:tcW w:w="2210" w:type="dxa"/>
          </w:tcPr>
          <w:p w14:paraId="64A35537" w14:textId="77777777" w:rsidR="008E7231" w:rsidRPr="00F44C2F" w:rsidRDefault="008E7231" w:rsidP="00511EB4">
            <w:pPr>
              <w:spacing w:line="23" w:lineRule="atLeast"/>
              <w:rPr>
                <w:rFonts w:eastAsia="Times New Roman"/>
                <w:iCs/>
              </w:rPr>
            </w:pPr>
            <w:r w:rsidRPr="002C6928">
              <w:rPr>
                <w:rFonts w:eastAsia="Times New Roman"/>
                <w:iCs/>
              </w:rPr>
              <w:t>СНЯ</w:t>
            </w:r>
          </w:p>
        </w:tc>
        <w:tc>
          <w:tcPr>
            <w:tcW w:w="7146" w:type="dxa"/>
          </w:tcPr>
          <w:p w14:paraId="6909075A" w14:textId="77777777" w:rsidR="008E7231" w:rsidRPr="00F44C2F" w:rsidRDefault="008E7231" w:rsidP="00511EB4">
            <w:pPr>
              <w:spacing w:line="23" w:lineRule="atLeast"/>
              <w:rPr>
                <w:rFonts w:eastAsia="Times New Roman"/>
                <w:iCs/>
              </w:rPr>
            </w:pPr>
            <w:r w:rsidRPr="002C6928">
              <w:rPr>
                <w:rFonts w:eastAsia="Times New Roman"/>
                <w:iCs/>
              </w:rPr>
              <w:t>серьёзные нежелательные явления</w:t>
            </w:r>
          </w:p>
        </w:tc>
      </w:tr>
      <w:tr w:rsidR="008E7231" w:rsidRPr="00734A6B" w14:paraId="35E725BB" w14:textId="77777777" w:rsidTr="00AB1FF1">
        <w:trPr>
          <w:trHeight w:val="200"/>
        </w:trPr>
        <w:tc>
          <w:tcPr>
            <w:tcW w:w="2210" w:type="dxa"/>
          </w:tcPr>
          <w:p w14:paraId="3D9D328C" w14:textId="77777777" w:rsidR="008E7231" w:rsidRPr="00F44C2F" w:rsidRDefault="008E7231" w:rsidP="00511EB4">
            <w:pPr>
              <w:spacing w:line="23" w:lineRule="atLeast"/>
              <w:rPr>
                <w:rFonts w:eastAsia="Times New Roman"/>
                <w:iCs/>
              </w:rPr>
            </w:pPr>
            <w:r w:rsidRPr="00476E0E">
              <w:rPr>
                <w:rFonts w:eastAsia="Times New Roman"/>
                <w:iCs/>
              </w:rPr>
              <w:t>СКФ</w:t>
            </w:r>
          </w:p>
        </w:tc>
        <w:tc>
          <w:tcPr>
            <w:tcW w:w="7146" w:type="dxa"/>
          </w:tcPr>
          <w:p w14:paraId="52A8EF0A" w14:textId="77777777" w:rsidR="008E7231" w:rsidRPr="00F44C2F" w:rsidRDefault="008E7231" w:rsidP="00511EB4">
            <w:pPr>
              <w:spacing w:line="23" w:lineRule="atLeast"/>
              <w:rPr>
                <w:rFonts w:eastAsia="Times New Roman"/>
                <w:iCs/>
              </w:rPr>
            </w:pPr>
            <w:r w:rsidRPr="00476E0E">
              <w:rPr>
                <w:rFonts w:eastAsia="Times New Roman"/>
                <w:iCs/>
              </w:rPr>
              <w:t>скорост</w:t>
            </w:r>
            <w:r>
              <w:rPr>
                <w:rFonts w:eastAsia="Times New Roman"/>
                <w:iCs/>
              </w:rPr>
              <w:t>ь</w:t>
            </w:r>
            <w:r w:rsidRPr="00476E0E">
              <w:rPr>
                <w:rFonts w:eastAsia="Times New Roman"/>
                <w:iCs/>
              </w:rPr>
              <w:t xml:space="preserve"> клубочковой фильтрации</w:t>
            </w:r>
          </w:p>
        </w:tc>
      </w:tr>
      <w:tr w:rsidR="008E7231" w:rsidRPr="00734A6B" w14:paraId="29566FCB" w14:textId="77777777" w:rsidTr="00AB1FF1">
        <w:trPr>
          <w:trHeight w:val="200"/>
        </w:trPr>
        <w:tc>
          <w:tcPr>
            <w:tcW w:w="2210" w:type="dxa"/>
          </w:tcPr>
          <w:p w14:paraId="7F9F3B44" w14:textId="77777777" w:rsidR="008E7231" w:rsidRPr="00476E0E" w:rsidRDefault="008E7231" w:rsidP="00511EB4">
            <w:pPr>
              <w:spacing w:line="23" w:lineRule="atLeast"/>
              <w:rPr>
                <w:rFonts w:eastAsia="Times New Roman"/>
                <w:iCs/>
              </w:rPr>
            </w:pPr>
            <w:r w:rsidRPr="002C6928">
              <w:rPr>
                <w:rFonts w:eastAsia="Times New Roman"/>
                <w:iCs/>
              </w:rPr>
              <w:t>ТБ</w:t>
            </w:r>
          </w:p>
        </w:tc>
        <w:tc>
          <w:tcPr>
            <w:tcW w:w="7146" w:type="dxa"/>
          </w:tcPr>
          <w:p w14:paraId="1AB192B8" w14:textId="77777777" w:rsidR="008E7231" w:rsidRPr="00476E0E" w:rsidRDefault="008E7231" w:rsidP="00511EB4">
            <w:pPr>
              <w:spacing w:line="23" w:lineRule="atLeast"/>
              <w:rPr>
                <w:rFonts w:eastAsia="Times New Roman"/>
                <w:iCs/>
              </w:rPr>
            </w:pPr>
            <w:r w:rsidRPr="002C6928">
              <w:rPr>
                <w:rFonts w:eastAsia="Times New Roman"/>
                <w:iCs/>
              </w:rPr>
              <w:t>туберкулез</w:t>
            </w:r>
          </w:p>
        </w:tc>
      </w:tr>
      <w:tr w:rsidR="008E7231" w:rsidRPr="00734A6B" w14:paraId="08667271" w14:textId="77777777" w:rsidTr="00AB1FF1">
        <w:trPr>
          <w:trHeight w:val="200"/>
        </w:trPr>
        <w:tc>
          <w:tcPr>
            <w:tcW w:w="2210" w:type="dxa"/>
          </w:tcPr>
          <w:p w14:paraId="740B7524" w14:textId="77777777" w:rsidR="008E7231" w:rsidRPr="002C6928" w:rsidRDefault="008E7231" w:rsidP="00511EB4">
            <w:pPr>
              <w:spacing w:line="23" w:lineRule="atLeast"/>
              <w:rPr>
                <w:rFonts w:eastAsia="Times New Roman"/>
                <w:iCs/>
              </w:rPr>
            </w:pPr>
            <w:r w:rsidRPr="008070DE">
              <w:rPr>
                <w:rFonts w:eastAsia="Times New Roman"/>
                <w:iCs/>
                <w:lang w:eastAsia="ru-RU"/>
              </w:rPr>
              <w:t>ТГВ</w:t>
            </w:r>
          </w:p>
        </w:tc>
        <w:tc>
          <w:tcPr>
            <w:tcW w:w="7146" w:type="dxa"/>
          </w:tcPr>
          <w:p w14:paraId="7699E155" w14:textId="77777777" w:rsidR="008E7231" w:rsidRPr="002C6928" w:rsidRDefault="008E7231" w:rsidP="00511EB4">
            <w:pPr>
              <w:spacing w:line="23" w:lineRule="atLeast"/>
              <w:rPr>
                <w:rFonts w:eastAsia="Times New Roman"/>
                <w:iCs/>
              </w:rPr>
            </w:pPr>
            <w:r w:rsidRPr="008070DE">
              <w:rPr>
                <w:rFonts w:eastAsia="Times New Roman"/>
                <w:iCs/>
                <w:lang w:eastAsia="ru-RU"/>
              </w:rPr>
              <w:t>тромбоз глубоких вен</w:t>
            </w:r>
          </w:p>
        </w:tc>
      </w:tr>
      <w:tr w:rsidR="008E7231" w:rsidRPr="00734A6B" w14:paraId="48BB7B38" w14:textId="77777777" w:rsidTr="00AB1FF1">
        <w:trPr>
          <w:trHeight w:val="200"/>
        </w:trPr>
        <w:tc>
          <w:tcPr>
            <w:tcW w:w="2210" w:type="dxa"/>
          </w:tcPr>
          <w:p w14:paraId="5D411691" w14:textId="77777777" w:rsidR="008E7231" w:rsidRPr="00734A6B" w:rsidRDefault="008E7231" w:rsidP="00511EB4">
            <w:pPr>
              <w:spacing w:line="23" w:lineRule="atLeast"/>
              <w:rPr>
                <w:rFonts w:eastAsia="TimesNewRomanPSMT"/>
              </w:rPr>
            </w:pPr>
            <w:r w:rsidRPr="00FB6502">
              <w:rPr>
                <w:rFonts w:eastAsia="TimesNewRomanPSMT"/>
              </w:rPr>
              <w:t>ТКС</w:t>
            </w:r>
          </w:p>
        </w:tc>
        <w:tc>
          <w:tcPr>
            <w:tcW w:w="7146" w:type="dxa"/>
          </w:tcPr>
          <w:p w14:paraId="250B9763" w14:textId="77777777" w:rsidR="008E7231" w:rsidRPr="00734A6B" w:rsidRDefault="008E7231" w:rsidP="00511EB4">
            <w:pPr>
              <w:spacing w:line="23" w:lineRule="atLeast"/>
              <w:rPr>
                <w:rFonts w:eastAsia="TimesNewRomanPSMT"/>
              </w:rPr>
            </w:pPr>
            <w:r w:rsidRPr="00FB6502">
              <w:rPr>
                <w:rFonts w:eastAsia="TimesNewRomanPSMT"/>
              </w:rPr>
              <w:t>топически</w:t>
            </w:r>
            <w:r>
              <w:rPr>
                <w:rFonts w:eastAsia="TimesNewRomanPSMT"/>
              </w:rPr>
              <w:t>е</w:t>
            </w:r>
            <w:r w:rsidRPr="00FB6502">
              <w:rPr>
                <w:rFonts w:eastAsia="TimesNewRomanPSMT"/>
              </w:rPr>
              <w:t xml:space="preserve"> кортикостероид</w:t>
            </w:r>
            <w:r>
              <w:rPr>
                <w:rFonts w:eastAsia="TimesNewRomanPSMT"/>
              </w:rPr>
              <w:t>ы</w:t>
            </w:r>
          </w:p>
        </w:tc>
      </w:tr>
      <w:tr w:rsidR="008E7231" w:rsidRPr="00734A6B" w14:paraId="2810B773" w14:textId="77777777" w:rsidTr="00AB1FF1">
        <w:trPr>
          <w:trHeight w:val="200"/>
        </w:trPr>
        <w:tc>
          <w:tcPr>
            <w:tcW w:w="2210" w:type="dxa"/>
          </w:tcPr>
          <w:p w14:paraId="5B72ED68" w14:textId="19CC76C2" w:rsidR="008E7231" w:rsidRPr="00734A6B" w:rsidRDefault="008E7231" w:rsidP="00511EB4">
            <w:pPr>
              <w:spacing w:line="23" w:lineRule="atLeast"/>
            </w:pPr>
            <w:r w:rsidRPr="00F44C2F">
              <w:rPr>
                <w:rFonts w:eastAsia="Times New Roman"/>
                <w:iCs/>
                <w:lang w:eastAsia="ru-RU"/>
              </w:rPr>
              <w:t>тс</w:t>
            </w:r>
            <w:r w:rsidR="00D139A4">
              <w:rPr>
                <w:rFonts w:eastAsia="Times New Roman"/>
                <w:iCs/>
                <w:lang w:eastAsia="ru-RU"/>
              </w:rPr>
              <w:t>БМАРП</w:t>
            </w:r>
          </w:p>
        </w:tc>
        <w:tc>
          <w:tcPr>
            <w:tcW w:w="7146" w:type="dxa"/>
          </w:tcPr>
          <w:p w14:paraId="630A955B" w14:textId="6BEF118D" w:rsidR="008E7231" w:rsidRPr="00734A6B" w:rsidRDefault="008E7231" w:rsidP="00511EB4">
            <w:pPr>
              <w:spacing w:line="23" w:lineRule="atLeast"/>
            </w:pPr>
            <w:r w:rsidRPr="00F44C2F">
              <w:rPr>
                <w:rFonts w:eastAsia="Times New Roman"/>
                <w:iCs/>
                <w:lang w:eastAsia="ru-RU"/>
              </w:rPr>
              <w:t xml:space="preserve">таргетные синтетические </w:t>
            </w:r>
            <w:r w:rsidR="00D139A4">
              <w:rPr>
                <w:rFonts w:eastAsia="Times New Roman"/>
                <w:iCs/>
                <w:lang w:eastAsia="ru-RU"/>
              </w:rPr>
              <w:t>БМАРП</w:t>
            </w:r>
          </w:p>
        </w:tc>
      </w:tr>
      <w:tr w:rsidR="008E7231" w:rsidRPr="00734A6B" w14:paraId="6B14D63C" w14:textId="77777777" w:rsidTr="00AB1FF1">
        <w:trPr>
          <w:trHeight w:val="184"/>
        </w:trPr>
        <w:tc>
          <w:tcPr>
            <w:tcW w:w="2210" w:type="dxa"/>
          </w:tcPr>
          <w:p w14:paraId="245A8621" w14:textId="77777777" w:rsidR="008E7231" w:rsidRPr="00734A6B" w:rsidRDefault="008E7231" w:rsidP="00511EB4">
            <w:pPr>
              <w:spacing w:line="23" w:lineRule="atLeast"/>
            </w:pPr>
            <w:r w:rsidRPr="008070DE">
              <w:rPr>
                <w:rFonts w:eastAsia="Times New Roman"/>
                <w:iCs/>
                <w:lang w:eastAsia="ru-RU"/>
              </w:rPr>
              <w:t>ТЭЛА</w:t>
            </w:r>
          </w:p>
        </w:tc>
        <w:tc>
          <w:tcPr>
            <w:tcW w:w="7146" w:type="dxa"/>
          </w:tcPr>
          <w:p w14:paraId="3FD8612D" w14:textId="77777777" w:rsidR="008E7231" w:rsidRPr="00734A6B" w:rsidRDefault="008E7231" w:rsidP="00511EB4">
            <w:pPr>
              <w:spacing w:line="23" w:lineRule="atLeast"/>
              <w:rPr>
                <w:rFonts w:eastAsia="Times New Roman"/>
                <w:iCs/>
                <w:lang w:eastAsia="ru-RU"/>
              </w:rPr>
            </w:pPr>
            <w:r>
              <w:rPr>
                <w:rFonts w:eastAsia="Times New Roman"/>
                <w:iCs/>
                <w:lang w:eastAsia="ru-RU"/>
              </w:rPr>
              <w:t>т</w:t>
            </w:r>
            <w:r w:rsidRPr="008070DE">
              <w:rPr>
                <w:rFonts w:eastAsia="Times New Roman"/>
                <w:iCs/>
                <w:lang w:eastAsia="ru-RU"/>
              </w:rPr>
              <w:t xml:space="preserve">ромбоэмболия легочной артерии </w:t>
            </w:r>
          </w:p>
        </w:tc>
      </w:tr>
      <w:tr w:rsidR="008E7231" w:rsidRPr="00734A6B" w14:paraId="58DF4860" w14:textId="77777777" w:rsidTr="00AB1FF1">
        <w:tc>
          <w:tcPr>
            <w:tcW w:w="2210" w:type="dxa"/>
          </w:tcPr>
          <w:p w14:paraId="196BA24D" w14:textId="77777777" w:rsidR="008E7231" w:rsidRPr="00734A6B" w:rsidRDefault="008E7231" w:rsidP="00511EB4">
            <w:pPr>
              <w:spacing w:line="23" w:lineRule="atLeast"/>
            </w:pPr>
            <w:r w:rsidRPr="00A6699D">
              <w:t>ЦНС</w:t>
            </w:r>
          </w:p>
        </w:tc>
        <w:tc>
          <w:tcPr>
            <w:tcW w:w="7146" w:type="dxa"/>
          </w:tcPr>
          <w:p w14:paraId="513E2A08" w14:textId="77777777" w:rsidR="008E7231" w:rsidRPr="00734A6B" w:rsidRDefault="008E7231" w:rsidP="00511EB4">
            <w:pPr>
              <w:spacing w:line="23" w:lineRule="atLeast"/>
            </w:pPr>
            <w:r w:rsidRPr="00A6699D">
              <w:t>центральн</w:t>
            </w:r>
            <w:r>
              <w:t>ая</w:t>
            </w:r>
            <w:r w:rsidRPr="00A6699D">
              <w:t xml:space="preserve"> нервн</w:t>
            </w:r>
            <w:r>
              <w:t>ая</w:t>
            </w:r>
            <w:r w:rsidRPr="00A6699D">
              <w:t xml:space="preserve"> систем</w:t>
            </w:r>
            <w:r>
              <w:t>а</w:t>
            </w:r>
          </w:p>
        </w:tc>
      </w:tr>
      <w:tr w:rsidR="008E7231" w:rsidRPr="00734A6B" w14:paraId="4B255C18" w14:textId="77777777" w:rsidTr="00AB1FF1">
        <w:tc>
          <w:tcPr>
            <w:tcW w:w="2210" w:type="dxa"/>
          </w:tcPr>
          <w:p w14:paraId="08E8720E" w14:textId="77777777" w:rsidR="008E7231" w:rsidRPr="00734A6B" w:rsidRDefault="008E7231" w:rsidP="00511EB4">
            <w:pPr>
              <w:spacing w:line="23" w:lineRule="atLeast"/>
              <w:rPr>
                <w:rFonts w:eastAsia="Times New Roman"/>
                <w:color w:val="000000"/>
                <w:lang w:eastAsia="ru-RU"/>
              </w:rPr>
            </w:pPr>
            <w:r w:rsidRPr="004A0C22">
              <w:rPr>
                <w:rFonts w:eastAsia="Times New Roman"/>
                <w:lang w:eastAsia="ru-RU"/>
              </w:rPr>
              <w:t>ЭКГ</w:t>
            </w:r>
          </w:p>
        </w:tc>
        <w:tc>
          <w:tcPr>
            <w:tcW w:w="7146" w:type="dxa"/>
          </w:tcPr>
          <w:p w14:paraId="586C3B22" w14:textId="77777777" w:rsidR="008E7231" w:rsidRPr="00734A6B" w:rsidRDefault="008E7231" w:rsidP="00511EB4">
            <w:pPr>
              <w:spacing w:line="23" w:lineRule="atLeast"/>
              <w:rPr>
                <w:rFonts w:eastAsia="Times New Roman"/>
                <w:lang w:eastAsia="ru-RU"/>
              </w:rPr>
            </w:pPr>
            <w:r w:rsidRPr="004A0C22">
              <w:rPr>
                <w:rFonts w:eastAsia="Times New Roman"/>
                <w:lang w:eastAsia="ru-RU"/>
              </w:rPr>
              <w:t>электрокардиограмм</w:t>
            </w:r>
            <w:r>
              <w:rPr>
                <w:rFonts w:eastAsia="Times New Roman"/>
                <w:lang w:eastAsia="ru-RU"/>
              </w:rPr>
              <w:t>а</w:t>
            </w:r>
          </w:p>
        </w:tc>
      </w:tr>
    </w:tbl>
    <w:p w14:paraId="225317E0" w14:textId="77777777" w:rsidR="008000F1" w:rsidRDefault="008000F1" w:rsidP="00746E6A">
      <w:pPr>
        <w:spacing w:after="0" w:line="240" w:lineRule="auto"/>
        <w:rPr>
          <w:rFonts w:eastAsia="Times New Roman"/>
          <w:b/>
          <w:color w:val="000000"/>
          <w:sz w:val="22"/>
          <w:szCs w:val="22"/>
          <w:lang w:eastAsia="ru-RU"/>
        </w:rPr>
      </w:pPr>
    </w:p>
    <w:p w14:paraId="68C7B1D5" w14:textId="77777777" w:rsidR="00CC29A8" w:rsidRPr="005E6358" w:rsidRDefault="00CC29A8" w:rsidP="004C505D">
      <w:pPr>
        <w:pStyle w:val="12"/>
        <w:pageBreakBefore/>
        <w:spacing w:line="240" w:lineRule="auto"/>
        <w:rPr>
          <w:rFonts w:cs="Times New Roman"/>
          <w:color w:val="000000" w:themeColor="text1"/>
          <w:szCs w:val="24"/>
        </w:rPr>
      </w:pPr>
      <w:bookmarkStart w:id="12" w:name="_Toc395011854"/>
      <w:bookmarkStart w:id="13" w:name="_Toc120288097"/>
      <w:r w:rsidRPr="005E6358">
        <w:rPr>
          <w:rFonts w:cs="Times New Roman"/>
          <w:color w:val="000000" w:themeColor="text1"/>
          <w:szCs w:val="24"/>
        </w:rPr>
        <w:lastRenderedPageBreak/>
        <w:t>ИСТОРИЯ ДОКУМЕНТА</w:t>
      </w:r>
      <w:bookmarkEnd w:id="12"/>
      <w:bookmarkEnd w:id="13"/>
    </w:p>
    <w:tbl>
      <w:tblPr>
        <w:tblStyle w:val="a8"/>
        <w:tblW w:w="0" w:type="auto"/>
        <w:tblInd w:w="108" w:type="dxa"/>
        <w:tblLook w:val="04A0" w:firstRow="1" w:lastRow="0" w:firstColumn="1" w:lastColumn="0" w:noHBand="0" w:noVBand="1"/>
      </w:tblPr>
      <w:tblGrid>
        <w:gridCol w:w="2835"/>
        <w:gridCol w:w="6521"/>
      </w:tblGrid>
      <w:tr w:rsidR="00E630FF" w:rsidRPr="0038618C" w14:paraId="499A8222" w14:textId="77777777" w:rsidTr="00EB77C9">
        <w:trPr>
          <w:trHeight w:val="659"/>
        </w:trPr>
        <w:tc>
          <w:tcPr>
            <w:tcW w:w="2835" w:type="dxa"/>
            <w:shd w:val="clear" w:color="auto" w:fill="D9D9D9" w:themeFill="background1" w:themeFillShade="D9"/>
            <w:vAlign w:val="center"/>
          </w:tcPr>
          <w:p w14:paraId="1FA44F6A" w14:textId="3DC6B5DA" w:rsidR="00E630FF" w:rsidRPr="0038618C" w:rsidRDefault="00E630FF" w:rsidP="001451CD">
            <w:pPr>
              <w:jc w:val="center"/>
              <w:rPr>
                <w:b/>
              </w:rPr>
            </w:pPr>
            <w:r w:rsidRPr="0038618C">
              <w:rPr>
                <w:b/>
              </w:rPr>
              <w:t xml:space="preserve">Версия </w:t>
            </w:r>
          </w:p>
        </w:tc>
        <w:tc>
          <w:tcPr>
            <w:tcW w:w="6521" w:type="dxa"/>
            <w:shd w:val="clear" w:color="auto" w:fill="D9D9D9" w:themeFill="background1" w:themeFillShade="D9"/>
            <w:vAlign w:val="center"/>
          </w:tcPr>
          <w:p w14:paraId="7D874622" w14:textId="77777777" w:rsidR="00E630FF" w:rsidRPr="0038618C" w:rsidRDefault="00E630FF" w:rsidP="00EB77C9">
            <w:pPr>
              <w:jc w:val="center"/>
              <w:rPr>
                <w:b/>
              </w:rPr>
            </w:pPr>
            <w:r w:rsidRPr="0038618C">
              <w:rPr>
                <w:b/>
              </w:rPr>
              <w:t>Описание изменений</w:t>
            </w:r>
          </w:p>
        </w:tc>
      </w:tr>
      <w:tr w:rsidR="00E630FF" w:rsidRPr="000E22E4" w14:paraId="4BC45069" w14:textId="77777777" w:rsidTr="00EB77C9">
        <w:trPr>
          <w:trHeight w:val="304"/>
        </w:trPr>
        <w:tc>
          <w:tcPr>
            <w:tcW w:w="2835" w:type="dxa"/>
            <w:shd w:val="clear" w:color="auto" w:fill="auto"/>
            <w:vAlign w:val="center"/>
          </w:tcPr>
          <w:p w14:paraId="477F2EE3" w14:textId="72189DC7" w:rsidR="00E630FF" w:rsidRPr="000E22E4" w:rsidRDefault="00E630FF" w:rsidP="00EB77C9">
            <w:pPr>
              <w:jc w:val="left"/>
            </w:pPr>
            <w:r>
              <w:t xml:space="preserve">1.0 от </w:t>
            </w:r>
            <w:r w:rsidR="007B5610">
              <w:rPr>
                <w:lang w:val="en-US"/>
              </w:rPr>
              <w:t>30</w:t>
            </w:r>
            <w:r w:rsidRPr="004944FB">
              <w:t xml:space="preserve"> ноября 2022 г.</w:t>
            </w:r>
          </w:p>
        </w:tc>
        <w:tc>
          <w:tcPr>
            <w:tcW w:w="6521" w:type="dxa"/>
            <w:shd w:val="clear" w:color="auto" w:fill="auto"/>
            <w:vAlign w:val="center"/>
          </w:tcPr>
          <w:p w14:paraId="7536A0D0" w14:textId="77777777" w:rsidR="00E630FF" w:rsidRPr="000E22E4" w:rsidRDefault="00E630FF" w:rsidP="00EB77C9">
            <w:r w:rsidRPr="006D06B7">
              <w:t>Исходная версия.</w:t>
            </w:r>
          </w:p>
        </w:tc>
      </w:tr>
    </w:tbl>
    <w:p w14:paraId="672EDB85" w14:textId="77777777" w:rsidR="00F10DC1" w:rsidRPr="005E6358" w:rsidRDefault="00F10DC1" w:rsidP="004C505D">
      <w:pPr>
        <w:spacing w:line="240" w:lineRule="auto"/>
        <w:rPr>
          <w:color w:val="000000" w:themeColor="text1"/>
        </w:rPr>
      </w:pPr>
    </w:p>
    <w:p w14:paraId="0BA86E3D" w14:textId="77777777" w:rsidR="00F10DC1" w:rsidRPr="005E6358" w:rsidRDefault="00F10DC1" w:rsidP="004C505D">
      <w:pPr>
        <w:spacing w:line="240" w:lineRule="auto"/>
        <w:rPr>
          <w:color w:val="000000" w:themeColor="text1"/>
        </w:rPr>
      </w:pPr>
    </w:p>
    <w:p w14:paraId="5799C35F" w14:textId="77777777" w:rsidR="00F10DC1" w:rsidRPr="005E6358" w:rsidRDefault="00F10DC1" w:rsidP="004C505D">
      <w:pPr>
        <w:spacing w:line="240" w:lineRule="auto"/>
        <w:rPr>
          <w:color w:val="000000" w:themeColor="text1"/>
        </w:rPr>
      </w:pPr>
    </w:p>
    <w:p w14:paraId="40E8E99B" w14:textId="77777777" w:rsidR="00F10DC1" w:rsidRPr="005E6358" w:rsidRDefault="00F10DC1" w:rsidP="004C505D">
      <w:pPr>
        <w:spacing w:line="240" w:lineRule="auto"/>
        <w:rPr>
          <w:color w:val="000000" w:themeColor="text1"/>
        </w:rPr>
      </w:pPr>
    </w:p>
    <w:p w14:paraId="4256ADD5" w14:textId="77777777" w:rsidR="00CC29A8" w:rsidRPr="005E6358" w:rsidRDefault="00F10DC1" w:rsidP="004C505D">
      <w:pPr>
        <w:tabs>
          <w:tab w:val="center" w:pos="4677"/>
        </w:tabs>
        <w:spacing w:line="240" w:lineRule="auto"/>
        <w:rPr>
          <w:color w:val="000000" w:themeColor="text1"/>
        </w:rPr>
        <w:sectPr w:rsidR="00CC29A8" w:rsidRPr="005E6358" w:rsidSect="00C0440F">
          <w:pgSz w:w="11906" w:h="16838"/>
          <w:pgMar w:top="1393" w:right="850" w:bottom="1134" w:left="1701" w:header="708" w:footer="708" w:gutter="0"/>
          <w:cols w:space="708"/>
          <w:docGrid w:linePitch="360"/>
        </w:sectPr>
      </w:pPr>
      <w:r w:rsidRPr="005E6358">
        <w:rPr>
          <w:color w:val="000000" w:themeColor="text1"/>
        </w:rPr>
        <w:tab/>
      </w:r>
    </w:p>
    <w:p w14:paraId="1257AC02" w14:textId="77777777" w:rsidR="00E30437" w:rsidRPr="007A2314" w:rsidRDefault="00E30437" w:rsidP="004C505D">
      <w:pPr>
        <w:pStyle w:val="12"/>
        <w:spacing w:line="240" w:lineRule="auto"/>
        <w:rPr>
          <w:rFonts w:cs="Times New Roman"/>
          <w:color w:val="000000" w:themeColor="text1"/>
        </w:rPr>
      </w:pPr>
      <w:bookmarkStart w:id="14" w:name="_Toc120288098"/>
      <w:r w:rsidRPr="007A2314">
        <w:rPr>
          <w:rFonts w:cs="Times New Roman"/>
          <w:color w:val="000000" w:themeColor="text1"/>
        </w:rPr>
        <w:lastRenderedPageBreak/>
        <w:t>РЕЗЮМЕ</w:t>
      </w:r>
      <w:bookmarkEnd w:id="14"/>
    </w:p>
    <w:p w14:paraId="486E8438" w14:textId="0AC14FE1" w:rsidR="00D30341" w:rsidRPr="00494670" w:rsidRDefault="00B30A5C" w:rsidP="006856BF">
      <w:pPr>
        <w:spacing w:after="0" w:line="240" w:lineRule="auto"/>
        <w:ind w:firstLine="708"/>
        <w:rPr>
          <w:lang w:eastAsia="ru-RU"/>
        </w:rPr>
      </w:pPr>
      <w:r w:rsidRPr="00494670">
        <w:rPr>
          <w:lang w:eastAsia="ru-RU"/>
        </w:rPr>
        <w:t>Барицитиниб</w:t>
      </w:r>
      <w:r w:rsidR="00D30341" w:rsidRPr="00494670">
        <w:rPr>
          <w:lang w:eastAsia="ru-RU"/>
        </w:rPr>
        <w:t xml:space="preserve"> является селективным</w:t>
      </w:r>
      <w:r w:rsidRPr="00494670">
        <w:rPr>
          <w:lang w:eastAsia="ru-RU"/>
        </w:rPr>
        <w:t xml:space="preserve"> и обратимым</w:t>
      </w:r>
      <w:r w:rsidR="00D30341" w:rsidRPr="00494670">
        <w:rPr>
          <w:lang w:eastAsia="ru-RU"/>
        </w:rPr>
        <w:t xml:space="preserve"> ингибитором </w:t>
      </w:r>
      <w:r w:rsidRPr="00494670">
        <w:rPr>
          <w:lang w:eastAsia="ru-RU"/>
        </w:rPr>
        <w:t>Янус-киназы 1 и 2 (</w:t>
      </w:r>
      <w:r w:rsidRPr="00494670">
        <w:rPr>
          <w:lang w:val="en-US" w:eastAsia="ru-RU"/>
        </w:rPr>
        <w:t>JAK</w:t>
      </w:r>
      <w:r w:rsidRPr="00494670">
        <w:rPr>
          <w:lang w:eastAsia="ru-RU"/>
        </w:rPr>
        <w:t xml:space="preserve">1 и </w:t>
      </w:r>
      <w:r w:rsidRPr="00494670">
        <w:rPr>
          <w:lang w:val="en-US" w:eastAsia="ru-RU"/>
        </w:rPr>
        <w:t>JAK</w:t>
      </w:r>
      <w:r w:rsidRPr="00494670">
        <w:rPr>
          <w:lang w:eastAsia="ru-RU"/>
        </w:rPr>
        <w:t>2)</w:t>
      </w:r>
      <w:r w:rsidR="00D30341" w:rsidRPr="00494670">
        <w:rPr>
          <w:lang w:eastAsia="ru-RU"/>
        </w:rPr>
        <w:t xml:space="preserve">, предназначен для приема внутрь при лечении </w:t>
      </w:r>
      <w:r w:rsidRPr="00494670">
        <w:rPr>
          <w:lang w:eastAsia="ru-RU"/>
        </w:rPr>
        <w:t>ревматоидного артрита</w:t>
      </w:r>
      <w:r w:rsidR="00494670" w:rsidRPr="00494670">
        <w:rPr>
          <w:lang w:eastAsia="ru-RU"/>
        </w:rPr>
        <w:t xml:space="preserve"> (РА)</w:t>
      </w:r>
      <w:r w:rsidRPr="00494670">
        <w:rPr>
          <w:lang w:eastAsia="ru-RU"/>
        </w:rPr>
        <w:t xml:space="preserve"> умеренной и тяжелой степени у взрослых пациентов, атопического дерматита</w:t>
      </w:r>
      <w:r w:rsidR="00494670" w:rsidRPr="00494670">
        <w:rPr>
          <w:lang w:eastAsia="ru-RU"/>
        </w:rPr>
        <w:t xml:space="preserve"> (АД)</w:t>
      </w:r>
      <w:r w:rsidRPr="00494670">
        <w:rPr>
          <w:lang w:eastAsia="ru-RU"/>
        </w:rPr>
        <w:t xml:space="preserve"> умеренной или тяжелой степени у взрослых пациентов</w:t>
      </w:r>
      <w:r w:rsidR="00494670" w:rsidRPr="00494670">
        <w:rPr>
          <w:lang w:eastAsia="ru-RU"/>
        </w:rPr>
        <w:t xml:space="preserve">, </w:t>
      </w:r>
      <w:r w:rsidRPr="00494670">
        <w:rPr>
          <w:lang w:eastAsia="ru-RU"/>
        </w:rPr>
        <w:t>очаговой алопеции</w:t>
      </w:r>
      <w:r w:rsidR="00494670" w:rsidRPr="00494670">
        <w:rPr>
          <w:lang w:eastAsia="ru-RU"/>
        </w:rPr>
        <w:t xml:space="preserve"> (ОА)</w:t>
      </w:r>
      <w:r w:rsidRPr="00494670">
        <w:rPr>
          <w:lang w:eastAsia="ru-RU"/>
        </w:rPr>
        <w:t xml:space="preserve"> тяжелой степени у взрослых пациентов</w:t>
      </w:r>
      <w:r w:rsidR="00494670" w:rsidRPr="00494670">
        <w:rPr>
          <w:lang w:eastAsia="ru-RU"/>
        </w:rPr>
        <w:t xml:space="preserve"> и </w:t>
      </w:r>
      <w:r w:rsidRPr="00494670">
        <w:rPr>
          <w:lang w:eastAsia="ru-RU"/>
        </w:rPr>
        <w:t>новой коронавирусной инфекции</w:t>
      </w:r>
      <w:r w:rsidR="00494670" w:rsidRPr="00494670">
        <w:rPr>
          <w:lang w:eastAsia="ru-RU"/>
        </w:rPr>
        <w:t xml:space="preserve"> (</w:t>
      </w:r>
      <w:r w:rsidR="00494670" w:rsidRPr="00494670">
        <w:rPr>
          <w:lang w:val="en-US" w:eastAsia="ru-RU"/>
        </w:rPr>
        <w:t>COVID</w:t>
      </w:r>
      <w:r w:rsidR="00494670" w:rsidRPr="00494670">
        <w:rPr>
          <w:lang w:eastAsia="ru-RU"/>
        </w:rPr>
        <w:t>-19)</w:t>
      </w:r>
      <w:r w:rsidRPr="00494670">
        <w:rPr>
          <w:lang w:eastAsia="ru-RU"/>
        </w:rPr>
        <w:t xml:space="preserve"> у госпитализированных взрослых пациентов</w:t>
      </w:r>
      <w:r w:rsidR="00D30341" w:rsidRPr="00494670">
        <w:rPr>
          <w:lang w:eastAsia="ru-RU"/>
        </w:rPr>
        <w:t>.</w:t>
      </w:r>
    </w:p>
    <w:p w14:paraId="37D7177E" w14:textId="4902D942" w:rsidR="007F4B68" w:rsidRDefault="005D5965" w:rsidP="007F4B68">
      <w:pPr>
        <w:spacing w:after="0" w:line="240" w:lineRule="auto"/>
        <w:ind w:firstLine="709"/>
        <w:rPr>
          <w:lang w:eastAsia="en-US"/>
        </w:rPr>
      </w:pPr>
      <w:r w:rsidRPr="005D5965">
        <w:t>Впервые барицитиниб</w:t>
      </w:r>
      <w:r w:rsidR="006856BF" w:rsidRPr="005D5965">
        <w:t xml:space="preserve"> был одобрен в качестве </w:t>
      </w:r>
      <w:r>
        <w:t xml:space="preserve">средства для лечения РА умеренной и тяжелой степени </w:t>
      </w:r>
      <w:r w:rsidR="006856BF" w:rsidRPr="005D5965">
        <w:t>в 20</w:t>
      </w:r>
      <w:r>
        <w:t>18</w:t>
      </w:r>
      <w:r w:rsidR="006856BF" w:rsidRPr="005D5965">
        <w:t xml:space="preserve"> г. В России препарат был зарегистрирован в </w:t>
      </w:r>
      <w:r>
        <w:t>2018</w:t>
      </w:r>
      <w:r w:rsidR="006856BF" w:rsidRPr="005D5965">
        <w:t xml:space="preserve"> г. </w:t>
      </w:r>
      <w:r>
        <w:t xml:space="preserve">Барицитиниб является препаратом последнего поколения для лечения РА, АД, ОА и </w:t>
      </w:r>
      <w:r w:rsidRPr="00494670">
        <w:rPr>
          <w:lang w:val="en-US" w:eastAsia="ru-RU"/>
        </w:rPr>
        <w:t>COVID</w:t>
      </w:r>
      <w:r w:rsidRPr="00494670">
        <w:rPr>
          <w:lang w:eastAsia="ru-RU"/>
        </w:rPr>
        <w:t>-19</w:t>
      </w:r>
      <w:r>
        <w:t>, обладает</w:t>
      </w:r>
      <w:r w:rsidR="006856BF" w:rsidRPr="005D5965">
        <w:t xml:space="preserve"> обширной доказательной базой</w:t>
      </w:r>
      <w:r w:rsidR="007F4B68">
        <w:t xml:space="preserve">. </w:t>
      </w:r>
      <w:r w:rsidR="007F4B68">
        <w:rPr>
          <w:lang w:val="en-US" w:eastAsia="ru-RU"/>
        </w:rPr>
        <w:t>J</w:t>
      </w:r>
      <w:r w:rsidR="007F4B68">
        <w:rPr>
          <w:lang w:eastAsia="ru-RU"/>
        </w:rPr>
        <w:t xml:space="preserve">АК представляют собой ферменты, которые трансдуцируют внутриклеточные сигналы от клеточных рецепторов ряда цитокинов и факторов роста, участвующих в процессах гемопоэза, воспаления и иммунного ответа. В рамках внутриклеточного сигнального пути </w:t>
      </w:r>
      <w:r w:rsidR="007F4B68">
        <w:rPr>
          <w:lang w:val="en-US" w:eastAsia="ru-RU"/>
        </w:rPr>
        <w:t>J</w:t>
      </w:r>
      <w:r w:rsidR="007F4B68">
        <w:rPr>
          <w:lang w:eastAsia="ru-RU"/>
        </w:rPr>
        <w:t xml:space="preserve">АК фосфорилируют и активируют </w:t>
      </w:r>
      <w:r w:rsidR="007F4B68">
        <w:rPr>
          <w:lang w:val="en-US" w:eastAsia="ru-RU"/>
        </w:rPr>
        <w:t>S</w:t>
      </w:r>
      <w:r w:rsidR="007F4B68">
        <w:rPr>
          <w:lang w:eastAsia="ru-RU"/>
        </w:rPr>
        <w:t xml:space="preserve">ТАТ (транспортеры сигнала и активаторы транскрипции), которые в свою очередь активируют экспрессию гена в клетке. Барицитиниб модулирует эти сигнальные каскады реакций, частично ингибируя ферментативную активность </w:t>
      </w:r>
      <w:r w:rsidR="007F4B68" w:rsidRPr="00494670">
        <w:rPr>
          <w:lang w:val="en-US" w:eastAsia="ru-RU"/>
        </w:rPr>
        <w:t>JAK</w:t>
      </w:r>
      <w:r w:rsidR="007F4B68" w:rsidRPr="00494670">
        <w:rPr>
          <w:lang w:eastAsia="ru-RU"/>
        </w:rPr>
        <w:t xml:space="preserve">1 и </w:t>
      </w:r>
      <w:r w:rsidR="007F4B68" w:rsidRPr="00494670">
        <w:rPr>
          <w:lang w:val="en-US" w:eastAsia="ru-RU"/>
        </w:rPr>
        <w:t>JAK</w:t>
      </w:r>
      <w:r w:rsidR="007F4B68" w:rsidRPr="00494670">
        <w:rPr>
          <w:lang w:eastAsia="ru-RU"/>
        </w:rPr>
        <w:t>2</w:t>
      </w:r>
      <w:r w:rsidR="007F4B68">
        <w:rPr>
          <w:lang w:eastAsia="ru-RU"/>
        </w:rPr>
        <w:t xml:space="preserve">, тем самым уменьшая фосфорилирование и активацию </w:t>
      </w:r>
      <w:r w:rsidR="007F4B68">
        <w:rPr>
          <w:lang w:val="en-US" w:eastAsia="ru-RU"/>
        </w:rPr>
        <w:t>S</w:t>
      </w:r>
      <w:r w:rsidR="007F4B68">
        <w:rPr>
          <w:lang w:eastAsia="ru-RU"/>
        </w:rPr>
        <w:t xml:space="preserve">ТАТ. </w:t>
      </w:r>
      <w:r w:rsidR="007F4B68">
        <w:rPr>
          <w:lang w:eastAsia="en-US"/>
        </w:rPr>
        <w:t xml:space="preserve">Барицитиниб ингибирует фосфорилирование </w:t>
      </w:r>
      <w:r w:rsidR="007F4B68">
        <w:rPr>
          <w:lang w:val="en-US" w:eastAsia="en-US"/>
        </w:rPr>
        <w:t>S</w:t>
      </w:r>
      <w:r w:rsidR="007F4B68">
        <w:rPr>
          <w:lang w:eastAsia="en-US"/>
        </w:rPr>
        <w:t xml:space="preserve">ТАТЗ, индуцированную </w:t>
      </w:r>
      <w:r w:rsidR="007F4B68">
        <w:rPr>
          <w:lang w:val="en-US" w:eastAsia="en-US"/>
        </w:rPr>
        <w:t>IL</w:t>
      </w:r>
      <w:r w:rsidR="007F4B68">
        <w:rPr>
          <w:lang w:eastAsia="en-US"/>
        </w:rPr>
        <w:t xml:space="preserve">-6, снижает концентрацию </w:t>
      </w:r>
      <w:r w:rsidR="007F4B68">
        <w:rPr>
          <w:lang w:val="en-US" w:eastAsia="en-US"/>
        </w:rPr>
        <w:t>IgG</w:t>
      </w:r>
      <w:r w:rsidR="007F4B68" w:rsidRPr="00987686">
        <w:rPr>
          <w:lang w:eastAsia="en-US"/>
        </w:rPr>
        <w:t xml:space="preserve">, </w:t>
      </w:r>
      <w:r w:rsidR="007F4B68">
        <w:rPr>
          <w:lang w:val="en-US" w:eastAsia="en-US"/>
        </w:rPr>
        <w:t>IgM</w:t>
      </w:r>
      <w:r w:rsidR="007F4B68" w:rsidRPr="00987686">
        <w:rPr>
          <w:lang w:eastAsia="en-US"/>
        </w:rPr>
        <w:t xml:space="preserve"> </w:t>
      </w:r>
      <w:r w:rsidR="007F4B68">
        <w:rPr>
          <w:lang w:eastAsia="en-US"/>
        </w:rPr>
        <w:t xml:space="preserve">и </w:t>
      </w:r>
      <w:r w:rsidR="007F4B68">
        <w:rPr>
          <w:lang w:val="en-US" w:eastAsia="en-US"/>
        </w:rPr>
        <w:t>IgA</w:t>
      </w:r>
      <w:r w:rsidR="007F4B68">
        <w:rPr>
          <w:lang w:eastAsia="en-US"/>
        </w:rPr>
        <w:t>, приводит к увеличению среднего абсолютного число лимфоцитов, снижает С-реактивный белок (у пациентов с РА), приводит к повышению концентрации креатинина. В лабораторной модели человеческой кожи, обработанной провоспалительными цитокинами (</w:t>
      </w:r>
      <w:r w:rsidR="007F4B68">
        <w:rPr>
          <w:lang w:val="en-US" w:eastAsia="en-US"/>
        </w:rPr>
        <w:t>IL</w:t>
      </w:r>
      <w:r w:rsidR="007F4B68" w:rsidRPr="00987686">
        <w:rPr>
          <w:lang w:eastAsia="en-US"/>
        </w:rPr>
        <w:t>-</w:t>
      </w:r>
      <w:r w:rsidR="007F4B68">
        <w:rPr>
          <w:lang w:eastAsia="en-US"/>
        </w:rPr>
        <w:t xml:space="preserve">4, </w:t>
      </w:r>
      <w:r w:rsidR="007F4B68">
        <w:rPr>
          <w:lang w:val="en-US" w:eastAsia="en-US"/>
        </w:rPr>
        <w:t>IL</w:t>
      </w:r>
      <w:r w:rsidR="007F4B68" w:rsidRPr="00987686">
        <w:rPr>
          <w:lang w:eastAsia="en-US"/>
        </w:rPr>
        <w:t>-</w:t>
      </w:r>
      <w:r w:rsidR="007F4B68">
        <w:rPr>
          <w:lang w:eastAsia="en-US"/>
        </w:rPr>
        <w:t xml:space="preserve">13, </w:t>
      </w:r>
      <w:r w:rsidR="007F4B68">
        <w:rPr>
          <w:lang w:val="en-US" w:eastAsia="en-US"/>
        </w:rPr>
        <w:t>IL</w:t>
      </w:r>
      <w:r w:rsidR="007F4B68" w:rsidRPr="00987686">
        <w:rPr>
          <w:lang w:eastAsia="en-US"/>
        </w:rPr>
        <w:t>-</w:t>
      </w:r>
      <w:r w:rsidR="007F4B68">
        <w:rPr>
          <w:lang w:eastAsia="en-US"/>
        </w:rPr>
        <w:t>31), барицитиниб снижал экспрессию р</w:t>
      </w:r>
      <w:r w:rsidR="007F4B68">
        <w:rPr>
          <w:lang w:val="en-US" w:eastAsia="en-US"/>
        </w:rPr>
        <w:t>S</w:t>
      </w:r>
      <w:r w:rsidR="007F4B68">
        <w:rPr>
          <w:lang w:eastAsia="en-US"/>
        </w:rPr>
        <w:t xml:space="preserve">ТАТЗ в эпидермальных кератиноцитах, а также усиливал экспрессию филагрина - белка, играющего роль в обеспечении барьерной функции кожи и патогенезе АД. Барицитиниб снижает концентрацию цитокинов и биомаркеров, вовлеченных в развитие инфекции </w:t>
      </w:r>
      <w:r w:rsidR="007F4B68">
        <w:rPr>
          <w:lang w:val="en-US" w:eastAsia="ru-RU"/>
        </w:rPr>
        <w:t>COVID</w:t>
      </w:r>
      <w:r w:rsidR="007F4B68">
        <w:rPr>
          <w:lang w:eastAsia="ru-RU"/>
        </w:rPr>
        <w:t>-19</w:t>
      </w:r>
      <w:r w:rsidR="007F4B68">
        <w:rPr>
          <w:lang w:eastAsia="en-US"/>
        </w:rPr>
        <w:t xml:space="preserve">, включая </w:t>
      </w:r>
      <w:r w:rsidR="007F4B68">
        <w:rPr>
          <w:lang w:val="en-US" w:eastAsia="en-US"/>
        </w:rPr>
        <w:t>IL</w:t>
      </w:r>
      <w:r w:rsidR="007F4B68">
        <w:rPr>
          <w:lang w:eastAsia="en-US"/>
        </w:rPr>
        <w:t xml:space="preserve">-6, </w:t>
      </w:r>
      <w:r w:rsidR="007F4B68" w:rsidRPr="00A95C94">
        <w:t>INF</w:t>
      </w:r>
      <w:r w:rsidR="007F4B68">
        <w:rPr>
          <w:lang w:eastAsia="en-US"/>
        </w:rPr>
        <w:t>-ℽ, х</w:t>
      </w:r>
      <w:r w:rsidR="007F4B68" w:rsidRPr="008C4F9D">
        <w:rPr>
          <w:lang w:eastAsia="en-US"/>
        </w:rPr>
        <w:t xml:space="preserve">емотаксический белок моноцитов </w:t>
      </w:r>
      <w:r w:rsidR="007F4B68">
        <w:rPr>
          <w:lang w:eastAsia="en-US"/>
        </w:rPr>
        <w:t xml:space="preserve">2 и </w:t>
      </w:r>
      <w:r w:rsidR="007F4B68" w:rsidRPr="008C4F9D">
        <w:rPr>
          <w:lang w:eastAsia="en-US"/>
        </w:rPr>
        <w:t>3</w:t>
      </w:r>
      <w:r w:rsidR="007F4B68">
        <w:rPr>
          <w:lang w:eastAsia="en-US"/>
        </w:rPr>
        <w:t xml:space="preserve"> (МСР-2, МСР-3), </w:t>
      </w:r>
      <w:r w:rsidR="007F4B68" w:rsidRPr="008C4F9D">
        <w:rPr>
          <w:lang w:eastAsia="en-US"/>
        </w:rPr>
        <w:t>хемокин подсемейства CXC и лиганд рецептора CXCR3</w:t>
      </w:r>
      <w:r w:rsidR="007F4B68">
        <w:rPr>
          <w:lang w:eastAsia="en-US"/>
        </w:rPr>
        <w:t xml:space="preserve"> (СХС</w:t>
      </w:r>
      <w:r w:rsidR="007F4B68">
        <w:rPr>
          <w:lang w:val="en-US" w:eastAsia="en-US"/>
        </w:rPr>
        <w:t>L</w:t>
      </w:r>
      <w:r w:rsidR="007F4B68">
        <w:rPr>
          <w:lang w:eastAsia="en-US"/>
        </w:rPr>
        <w:t xml:space="preserve">10), </w:t>
      </w:r>
      <w:r w:rsidR="007F4B68">
        <w:rPr>
          <w:lang w:val="en-US" w:eastAsia="en-US"/>
        </w:rPr>
        <w:t>IL</w:t>
      </w:r>
      <w:r w:rsidR="007F4B68">
        <w:rPr>
          <w:lang w:eastAsia="en-US"/>
        </w:rPr>
        <w:t>-10, воспалительный белок макрофагов 3β (СС</w:t>
      </w:r>
      <w:r w:rsidR="007F4B68">
        <w:rPr>
          <w:lang w:val="en-US" w:eastAsia="en-US"/>
        </w:rPr>
        <w:t>L</w:t>
      </w:r>
      <w:r w:rsidR="007F4B68">
        <w:rPr>
          <w:lang w:eastAsia="en-US"/>
        </w:rPr>
        <w:t>19), п</w:t>
      </w:r>
      <w:r w:rsidR="007F4B68" w:rsidRPr="00A129EA">
        <w:rPr>
          <w:lang w:eastAsia="en-US"/>
        </w:rPr>
        <w:t xml:space="preserve">ентраксин-3 </w:t>
      </w:r>
      <w:r w:rsidR="007F4B68">
        <w:rPr>
          <w:lang w:eastAsia="en-US"/>
        </w:rPr>
        <w:t xml:space="preserve">(РТХЗ) и </w:t>
      </w:r>
      <w:r w:rsidR="007F4B68">
        <w:rPr>
          <w:lang w:val="en-US" w:eastAsia="en-US"/>
        </w:rPr>
        <w:t>IL</w:t>
      </w:r>
      <w:r w:rsidR="007F4B68">
        <w:rPr>
          <w:lang w:eastAsia="en-US"/>
        </w:rPr>
        <w:t>-27. При этом барицитиниб повышает концентрацию маркеров (включая СС</w:t>
      </w:r>
      <w:r w:rsidR="007F4B68">
        <w:rPr>
          <w:lang w:val="en-US" w:eastAsia="en-US"/>
        </w:rPr>
        <w:t>L</w:t>
      </w:r>
      <w:r w:rsidR="007F4B68">
        <w:rPr>
          <w:lang w:eastAsia="en-US"/>
        </w:rPr>
        <w:t xml:space="preserve">17, </w:t>
      </w:r>
      <w:r w:rsidR="007F4B68">
        <w:rPr>
          <w:lang w:val="en-US" w:eastAsia="en-US"/>
        </w:rPr>
        <w:t>GDF</w:t>
      </w:r>
      <w:r w:rsidR="007F4B68">
        <w:rPr>
          <w:lang w:eastAsia="en-US"/>
        </w:rPr>
        <w:t xml:space="preserve">2, и </w:t>
      </w:r>
      <w:r w:rsidR="007F4B68">
        <w:rPr>
          <w:lang w:val="en-US" w:eastAsia="en-US"/>
        </w:rPr>
        <w:t>SCE</w:t>
      </w:r>
      <w:r w:rsidR="007F4B68">
        <w:rPr>
          <w:lang w:eastAsia="en-US"/>
        </w:rPr>
        <w:t xml:space="preserve">), которые у пациентов с </w:t>
      </w:r>
      <w:r w:rsidR="007F4B68">
        <w:rPr>
          <w:lang w:val="en-US" w:eastAsia="ru-RU"/>
        </w:rPr>
        <w:t>COVID</w:t>
      </w:r>
      <w:r w:rsidR="007F4B68">
        <w:rPr>
          <w:lang w:eastAsia="ru-RU"/>
        </w:rPr>
        <w:t xml:space="preserve">-19 </w:t>
      </w:r>
      <w:r w:rsidR="007F4B68">
        <w:rPr>
          <w:lang w:eastAsia="en-US"/>
        </w:rPr>
        <w:t>средней и тяжелой степени снижены.</w:t>
      </w:r>
    </w:p>
    <w:p w14:paraId="51ACFDA9" w14:textId="4BE6FDD9" w:rsidR="007F4B68" w:rsidRPr="00A129EA" w:rsidRDefault="007F4B68" w:rsidP="007F4B68">
      <w:pPr>
        <w:autoSpaceDE w:val="0"/>
        <w:autoSpaceDN w:val="0"/>
        <w:adjustRightInd w:val="0"/>
        <w:spacing w:after="0" w:line="240" w:lineRule="auto"/>
        <w:ind w:firstLine="708"/>
        <w:rPr>
          <w:bCs/>
          <w:lang w:eastAsia="en-US"/>
        </w:rPr>
      </w:pPr>
      <w:r>
        <w:rPr>
          <w:bCs/>
          <w:lang w:eastAsia="en-US"/>
        </w:rPr>
        <w:t>Барицитиниб</w:t>
      </w:r>
      <w:r w:rsidRPr="00A129EA">
        <w:rPr>
          <w:bCs/>
          <w:lang w:eastAsia="en-US"/>
        </w:rPr>
        <w:t xml:space="preserve"> имеет больш</w:t>
      </w:r>
      <w:r>
        <w:rPr>
          <w:bCs/>
          <w:lang w:eastAsia="en-US"/>
        </w:rPr>
        <w:t xml:space="preserve">ую программу клинической разработки, </w:t>
      </w:r>
      <w:r w:rsidR="00850436">
        <w:rPr>
          <w:bCs/>
          <w:lang w:eastAsia="en-US"/>
        </w:rPr>
        <w:t>включая</w:t>
      </w:r>
      <w:r>
        <w:rPr>
          <w:bCs/>
          <w:lang w:eastAsia="en-US"/>
        </w:rPr>
        <w:t xml:space="preserve"> </w:t>
      </w:r>
      <w:r w:rsidRPr="00A129EA">
        <w:rPr>
          <w:bCs/>
          <w:lang w:eastAsia="en-US"/>
        </w:rPr>
        <w:t xml:space="preserve">опыт клинического </w:t>
      </w:r>
      <w:r w:rsidR="00850436">
        <w:rPr>
          <w:bCs/>
          <w:lang w:eastAsia="en-US"/>
        </w:rPr>
        <w:t xml:space="preserve">пострегистрационного </w:t>
      </w:r>
      <w:r w:rsidRPr="00A129EA">
        <w:rPr>
          <w:bCs/>
          <w:lang w:eastAsia="en-US"/>
        </w:rPr>
        <w:t>применения,</w:t>
      </w:r>
      <w:r w:rsidR="00850436">
        <w:rPr>
          <w:bCs/>
          <w:lang w:eastAsia="en-US"/>
        </w:rPr>
        <w:t xml:space="preserve"> и</w:t>
      </w:r>
      <w:r w:rsidRPr="00A129EA">
        <w:rPr>
          <w:bCs/>
          <w:lang w:eastAsia="en-US"/>
        </w:rPr>
        <w:t xml:space="preserve"> может использоваться </w:t>
      </w:r>
      <w:r w:rsidR="00850436">
        <w:rPr>
          <w:bCs/>
          <w:lang w:eastAsia="en-US"/>
        </w:rPr>
        <w:t xml:space="preserve">как </w:t>
      </w:r>
      <w:r w:rsidRPr="00A129EA">
        <w:rPr>
          <w:bCs/>
          <w:lang w:eastAsia="en-US"/>
        </w:rPr>
        <w:t>в виде монотерапии</w:t>
      </w:r>
      <w:r w:rsidR="00850436">
        <w:rPr>
          <w:bCs/>
          <w:lang w:eastAsia="en-US"/>
        </w:rPr>
        <w:t>, так</w:t>
      </w:r>
      <w:r w:rsidRPr="00A129EA">
        <w:rPr>
          <w:bCs/>
          <w:lang w:eastAsia="en-US"/>
        </w:rPr>
        <w:t xml:space="preserve"> и в комбинации. Благодаря высокой эффективности и безопасности, отсутствию негативного воздействия на риск развития сердечно-сосудистых заболеваний и ограничений по применению при патологии печени</w:t>
      </w:r>
      <w:r w:rsidR="00850436">
        <w:rPr>
          <w:bCs/>
          <w:lang w:eastAsia="en-US"/>
        </w:rPr>
        <w:t>, барицитиниб</w:t>
      </w:r>
      <w:r w:rsidRPr="00A129EA">
        <w:rPr>
          <w:bCs/>
          <w:lang w:eastAsia="en-US"/>
        </w:rPr>
        <w:t xml:space="preserve"> заслуженно занимает важную позицию среди препаратов, используемых в лечении </w:t>
      </w:r>
      <w:r>
        <w:rPr>
          <w:bCs/>
          <w:lang w:eastAsia="en-US"/>
        </w:rPr>
        <w:t xml:space="preserve">РА, ОА, АД и </w:t>
      </w:r>
      <w:r>
        <w:rPr>
          <w:lang w:val="en-US" w:eastAsia="ru-RU"/>
        </w:rPr>
        <w:t>COVID</w:t>
      </w:r>
      <w:r>
        <w:rPr>
          <w:lang w:eastAsia="ru-RU"/>
        </w:rPr>
        <w:t>-19</w:t>
      </w:r>
      <w:r w:rsidRPr="00A129EA">
        <w:rPr>
          <w:bCs/>
          <w:lang w:eastAsia="en-US"/>
        </w:rPr>
        <w:t>.</w:t>
      </w:r>
    </w:p>
    <w:p w14:paraId="0C80B802" w14:textId="255C304A" w:rsidR="00D30341" w:rsidRPr="00351F3D" w:rsidRDefault="00D30341" w:rsidP="006856BF">
      <w:pPr>
        <w:spacing w:after="0" w:line="240" w:lineRule="auto"/>
        <w:ind w:firstLine="708"/>
        <w:rPr>
          <w:lang w:eastAsia="ru-RU"/>
        </w:rPr>
      </w:pPr>
      <w:r w:rsidRPr="00351F3D">
        <w:rPr>
          <w:lang w:eastAsia="ru-RU"/>
        </w:rPr>
        <w:t xml:space="preserve">Для изучения </w:t>
      </w:r>
      <w:r w:rsidR="00351F3D" w:rsidRPr="00351F3D">
        <w:rPr>
          <w:lang w:eastAsia="ru-RU"/>
        </w:rPr>
        <w:t xml:space="preserve">барицитиниба </w:t>
      </w:r>
      <w:r w:rsidRPr="00351F3D">
        <w:rPr>
          <w:lang w:eastAsia="ru-RU"/>
        </w:rPr>
        <w:t xml:space="preserve">было проведено большое количество доклинических исследований. Эти исследования включали серию исследований как </w:t>
      </w:r>
      <w:r w:rsidRPr="00351F3D">
        <w:rPr>
          <w:i/>
          <w:lang w:eastAsia="ru-RU"/>
        </w:rPr>
        <w:t>in vitro</w:t>
      </w:r>
      <w:r w:rsidRPr="00351F3D">
        <w:rPr>
          <w:lang w:eastAsia="ru-RU"/>
        </w:rPr>
        <w:t xml:space="preserve">, так и </w:t>
      </w:r>
      <w:r w:rsidRPr="00351F3D">
        <w:rPr>
          <w:i/>
          <w:lang w:eastAsia="ru-RU"/>
        </w:rPr>
        <w:t>in vivo</w:t>
      </w:r>
      <w:r w:rsidRPr="00351F3D">
        <w:rPr>
          <w:lang w:eastAsia="ru-RU"/>
        </w:rPr>
        <w:t>, в результате которых были хорошо изучены фармакодинамические, фармакокинетические и токсикологические свойства</w:t>
      </w:r>
      <w:r w:rsidR="00351F3D">
        <w:rPr>
          <w:lang w:eastAsia="ru-RU"/>
        </w:rPr>
        <w:t xml:space="preserve"> </w:t>
      </w:r>
      <w:r w:rsidR="00351F3D" w:rsidRPr="00351F3D">
        <w:rPr>
          <w:lang w:eastAsia="ru-RU"/>
        </w:rPr>
        <w:t>барицитиниба</w:t>
      </w:r>
      <w:r w:rsidRPr="00351F3D">
        <w:rPr>
          <w:lang w:eastAsia="ru-RU"/>
        </w:rPr>
        <w:t>.</w:t>
      </w:r>
    </w:p>
    <w:p w14:paraId="6CCDBED4" w14:textId="77777777" w:rsidR="00CF1BE3" w:rsidRDefault="00CF1BE3" w:rsidP="00CF1BE3">
      <w:pPr>
        <w:spacing w:after="0" w:line="240" w:lineRule="auto"/>
        <w:ind w:firstLine="708"/>
        <w:rPr>
          <w:lang w:eastAsia="ru-RU"/>
        </w:rPr>
      </w:pPr>
      <w:r>
        <w:rPr>
          <w:lang w:eastAsia="ru-RU"/>
        </w:rPr>
        <w:t xml:space="preserve">Ингибирующая активность барицитиниба для JAK1, JAK2, тирозинкиназы 2 и JAK3 составила IC50 5,7; 5,9; 53 и 400 нмоль/л соответственно. Исследования показали, что барицитиниб, вводимый при ≤ максимальной суточной дозе для человека, может ингибировать опосредованную IL-6/IL-2/IL-12/IL-23 активацию путей JAK1/JAK2-JAK2/STAT в Т-клетках человека, а так же IFN-γ, IL-17, IL-22 и MCP-1. Это вызывает IL-23-опосредованную дифференцировку наивных CD4+ Т-клеток, в Т-хелперные клетки </w:t>
      </w:r>
      <w:r>
        <w:rPr>
          <w:lang w:eastAsia="ru-RU"/>
        </w:rPr>
        <w:lastRenderedPageBreak/>
        <w:t>типа 17 (Th17) и IFN-γ. В ходе исследований с использованием мононуклеарных клеток периферической крови человека установили, что барицитиниб ингибирует передачу сигналов цитокинов наиболее сильно в отношении интерферонов и наименее эффективно в отношении цитокинов, зависимых от передачи сигналов IL-10 и JAK1/3, включая IL-4, IL-15 и IL-21; значения IC50 барицитиниба в целом сопоставимы со значениями тофацитиниба для стимуляции IL-6, IL-10, IFN-α и IFN-γ. Барицитиниб является более мощным ингибитором передачи сигналов через гранулоцитарно-макрофагальный колониестимулирующий фактор по сравнению с тофацитинибом.</w:t>
      </w:r>
    </w:p>
    <w:p w14:paraId="4226CE6E" w14:textId="69CED31D" w:rsidR="00CF1BE3" w:rsidRDefault="00CF1BE3" w:rsidP="00CF1BE3">
      <w:pPr>
        <w:spacing w:after="0" w:line="240" w:lineRule="auto"/>
        <w:ind w:firstLine="708"/>
        <w:rPr>
          <w:lang w:eastAsia="ru-RU"/>
        </w:rPr>
      </w:pPr>
      <w:r>
        <w:rPr>
          <w:lang w:eastAsia="ru-RU"/>
        </w:rPr>
        <w:t xml:space="preserve">На различных моделях артрита введение барицитиниба вызывало дозозависимое снижение клинической тяжести заболевания и снижению показателей заболевания. </w:t>
      </w:r>
    </w:p>
    <w:p w14:paraId="2C314DE1" w14:textId="39B7BD19" w:rsidR="00A14DA4" w:rsidRPr="00C74C24" w:rsidRDefault="00A14DA4" w:rsidP="00A14DA4">
      <w:pPr>
        <w:spacing w:after="0" w:line="240" w:lineRule="auto"/>
        <w:ind w:firstLine="708"/>
        <w:rPr>
          <w:color w:val="000000" w:themeColor="text1"/>
        </w:rPr>
      </w:pPr>
      <w:r w:rsidRPr="005E7F5E">
        <w:rPr>
          <w:color w:val="000000"/>
        </w:rPr>
        <w:t xml:space="preserve">Клиническая эффективность </w:t>
      </w:r>
      <w:r>
        <w:rPr>
          <w:color w:val="000000"/>
        </w:rPr>
        <w:t>барицитиниба</w:t>
      </w:r>
      <w:r w:rsidRPr="005E7F5E">
        <w:rPr>
          <w:color w:val="000000"/>
        </w:rPr>
        <w:t xml:space="preserve"> была изучена в 4</w:t>
      </w:r>
      <w:r w:rsidR="00850436">
        <w:rPr>
          <w:color w:val="000000"/>
        </w:rPr>
        <w:t>-х регистрационных</w:t>
      </w:r>
      <w:r w:rsidRPr="005E7F5E">
        <w:rPr>
          <w:color w:val="000000"/>
        </w:rPr>
        <w:t xml:space="preserve"> исследованиях II</w:t>
      </w:r>
      <w:r>
        <w:rPr>
          <w:color w:val="000000"/>
          <w:lang w:val="en-US"/>
        </w:rPr>
        <w:t>I</w:t>
      </w:r>
      <w:r w:rsidRPr="005E7F5E">
        <w:rPr>
          <w:color w:val="000000"/>
        </w:rPr>
        <w:t xml:space="preserve"> фазы</w:t>
      </w:r>
      <w:r>
        <w:rPr>
          <w:color w:val="000000"/>
        </w:rPr>
        <w:t xml:space="preserve"> (</w:t>
      </w:r>
      <w:r>
        <w:t>JADZ, 52 недели; JADV, 52 недели; JADX, 24 недели; JADW, 24 недели).</w:t>
      </w:r>
      <w:r w:rsidRPr="005E7F5E">
        <w:rPr>
          <w:color w:val="000000"/>
        </w:rPr>
        <w:t xml:space="preserve"> </w:t>
      </w:r>
      <w:r>
        <w:t>В общей сложности 3464 пациента получали барицитиниб в исследованиях РА, что составляет 4214,1 пациенто-лет воздействия; 2166 пациентов (62,5%) подвергались воздействию в течение ≥52 недель, а 467 пациентов (13,5%) подвергались воздействию в течение ≥104 недель.</w:t>
      </w:r>
      <w:r w:rsidRPr="004A300A">
        <w:rPr>
          <w:color w:val="000000" w:themeColor="text1"/>
        </w:rPr>
        <w:t xml:space="preserve"> </w:t>
      </w:r>
      <w:r w:rsidRPr="002D423D">
        <w:rPr>
          <w:color w:val="000000" w:themeColor="text1"/>
        </w:rPr>
        <w:t xml:space="preserve">В ходе исследования JADZ было показано превосходство при применении только барицитиниба или комбинации барицитиниб+MTX по сравнению с монотерапией MTX. В ходе исследования JADV пациенты в качестве дополнительной терапии к стабильному метотрексату </w:t>
      </w:r>
      <w:r w:rsidR="00963B80">
        <w:rPr>
          <w:color w:val="000000" w:themeColor="text1"/>
        </w:rPr>
        <w:t>получали</w:t>
      </w:r>
      <w:r w:rsidRPr="002D423D">
        <w:rPr>
          <w:color w:val="000000" w:themeColor="text1"/>
        </w:rPr>
        <w:t xml:space="preserve">: 4 мг барицитиниба, плацебо или адалимумаб (ADA). Первичные анализы показали превосходство барицитиниба как над плацебо, так и над ADA. В ходе исследования JADX прием барицитиниба сопровождался развитием клинически значимых улучшений по сравнению с плацебо в отношении первичной конечной точки, а также в отношении ремиссии, физической функции, усталости, боли и показателей шкал качества жизни пациентов. В исследовании JADW уставили превосходство барицитиниба над плацебо по первичной конечной точке и двум основным вторичным </w:t>
      </w:r>
      <w:r w:rsidR="00850436">
        <w:rPr>
          <w:color w:val="000000" w:themeColor="text1"/>
        </w:rPr>
        <w:t xml:space="preserve">конечным </w:t>
      </w:r>
      <w:r w:rsidRPr="002D423D">
        <w:rPr>
          <w:color w:val="000000" w:themeColor="text1"/>
        </w:rPr>
        <w:t>точкам.</w:t>
      </w:r>
    </w:p>
    <w:p w14:paraId="7A85736C" w14:textId="07D1BC59" w:rsidR="00A14DA4" w:rsidRDefault="00A14DA4" w:rsidP="00A14DA4">
      <w:pPr>
        <w:spacing w:after="0" w:line="240" w:lineRule="auto"/>
        <w:ind w:firstLine="708"/>
      </w:pPr>
      <w:r>
        <w:t xml:space="preserve">Эффективность и безопасность барицитиниба в качестве монотерапии или в комбинации с </w:t>
      </w:r>
      <w:r w:rsidRPr="006D538C">
        <w:t xml:space="preserve">топическими кортикостероидами </w:t>
      </w:r>
      <w:r>
        <w:t xml:space="preserve">в отношении АД оценивались в 3 рандомизированных, двойных слепых, плацебо-контролируемых исследованиях III фазы, продолжительностью 16 недель (BREEZE-AD1, -AD2 и -AD7). По состоянию на дату окончания сбора данных </w:t>
      </w:r>
      <w:r w:rsidR="00850436">
        <w:t>(</w:t>
      </w:r>
      <w:r>
        <w:t>31 марта 2021 г.</w:t>
      </w:r>
      <w:r w:rsidR="00850436">
        <w:t>)</w:t>
      </w:r>
      <w:r>
        <w:t xml:space="preserve"> 1244 пациента получили барицитиниб, общая экспозиция составила 1362 пациенто-года.</w:t>
      </w:r>
      <w:r w:rsidRPr="004A300A">
        <w:t xml:space="preserve"> </w:t>
      </w:r>
      <w:r w:rsidRPr="00CC7D8F">
        <w:t>В ходе исследований по оценке эффективности барицитиниба</w:t>
      </w:r>
      <w:r>
        <w:t xml:space="preserve"> </w:t>
      </w:r>
      <w:r w:rsidRPr="00CC7D8F">
        <w:t>в лечении АД</w:t>
      </w:r>
      <w:r>
        <w:t xml:space="preserve"> з</w:t>
      </w:r>
      <w:r w:rsidRPr="00CC7D8F">
        <w:t>начительно</w:t>
      </w:r>
      <w:r w:rsidRPr="002E1B72">
        <w:t xml:space="preserve"> большая доля пациентов, рандомизированных в группу барицитиниба в дозе 4 мг, достигла улучшения на ≥ 4 баллов по шкале </w:t>
      </w:r>
      <w:r>
        <w:t>числовой оценки зуда</w:t>
      </w:r>
      <w:r w:rsidRPr="002E1B72">
        <w:t xml:space="preserve"> по сравнению с плацебо</w:t>
      </w:r>
      <w:r>
        <w:t>.</w:t>
      </w:r>
    </w:p>
    <w:p w14:paraId="6CA9E966" w14:textId="77777777" w:rsidR="00A14DA4" w:rsidRDefault="00A14DA4" w:rsidP="00A14DA4">
      <w:pPr>
        <w:spacing w:after="0" w:line="240" w:lineRule="auto"/>
        <w:ind w:firstLine="708"/>
        <w:rPr>
          <w:color w:val="000000"/>
        </w:rPr>
      </w:pPr>
      <w:r w:rsidRPr="000D2BA7">
        <w:rPr>
          <w:color w:val="000000"/>
        </w:rPr>
        <w:t xml:space="preserve">Эффективность и безопасность </w:t>
      </w:r>
      <w:r>
        <w:rPr>
          <w:color w:val="000000"/>
        </w:rPr>
        <w:t xml:space="preserve">применения </w:t>
      </w:r>
      <w:r w:rsidRPr="000D2BA7">
        <w:rPr>
          <w:color w:val="000000"/>
        </w:rPr>
        <w:t xml:space="preserve">барицитиниба </w:t>
      </w:r>
      <w:r>
        <w:rPr>
          <w:color w:val="000000"/>
        </w:rPr>
        <w:t xml:space="preserve">в отношении ОА </w:t>
      </w:r>
      <w:r w:rsidRPr="000D2BA7">
        <w:rPr>
          <w:color w:val="000000"/>
        </w:rPr>
        <w:t xml:space="preserve">оценивали в исследовании фазы II/III </w:t>
      </w:r>
      <w:r>
        <w:rPr>
          <w:color w:val="000000"/>
        </w:rPr>
        <w:t xml:space="preserve">с </w:t>
      </w:r>
      <w:r w:rsidRPr="000D2BA7">
        <w:rPr>
          <w:color w:val="000000"/>
        </w:rPr>
        <w:t>адаптивн</w:t>
      </w:r>
      <w:r>
        <w:rPr>
          <w:color w:val="000000"/>
        </w:rPr>
        <w:t>ы</w:t>
      </w:r>
      <w:r w:rsidRPr="000D2BA7">
        <w:rPr>
          <w:color w:val="000000"/>
        </w:rPr>
        <w:t>м</w:t>
      </w:r>
      <w:r>
        <w:rPr>
          <w:color w:val="000000"/>
        </w:rPr>
        <w:t xml:space="preserve"> дизайном</w:t>
      </w:r>
      <w:r w:rsidRPr="000D2BA7">
        <w:rPr>
          <w:color w:val="000000"/>
        </w:rPr>
        <w:t xml:space="preserve"> (BRAVE-AA1) и в исследовании III фазы (BRAVE-AA2)</w:t>
      </w:r>
      <w:r>
        <w:rPr>
          <w:color w:val="000000"/>
        </w:rPr>
        <w:t>, а также исследование</w:t>
      </w:r>
      <w:r w:rsidRPr="00CC7D8F">
        <w:rPr>
          <w:color w:val="000000"/>
        </w:rPr>
        <w:t xml:space="preserve"> BREEZE-AD4 с участием пациентов</w:t>
      </w:r>
      <w:r>
        <w:rPr>
          <w:color w:val="000000"/>
        </w:rPr>
        <w:t xml:space="preserve"> с ОА</w:t>
      </w:r>
      <w:r w:rsidRPr="00CC7D8F">
        <w:rPr>
          <w:color w:val="000000"/>
        </w:rPr>
        <w:t>, получавших циклоспорин или с противопоказаниями к нему</w:t>
      </w:r>
      <w:r w:rsidRPr="000D2BA7">
        <w:rPr>
          <w:color w:val="000000"/>
        </w:rPr>
        <w:t xml:space="preserve">. </w:t>
      </w:r>
      <w:r>
        <w:t>В ходе исследований были собраны данные о 2531 пациенте, получавшем барицитиниб в течение 2247 пациенто-лет (средняя продолжительность 310 дней).</w:t>
      </w:r>
      <w:r w:rsidRPr="004A300A">
        <w:t xml:space="preserve"> </w:t>
      </w:r>
      <w:r>
        <w:t>В ходе исследований по оценке эффективности барицитиниба у пациентов с ОА в</w:t>
      </w:r>
      <w:r w:rsidRPr="002E1B72">
        <w:rPr>
          <w:color w:val="000000"/>
        </w:rPr>
        <w:t xml:space="preserve"> обоих исследованиях значительно большая часть пациентов, получавших барицитиниб, достигла ≤ 20</w:t>
      </w:r>
      <w:r>
        <w:rPr>
          <w:color w:val="000000"/>
        </w:rPr>
        <w:t xml:space="preserve"> баллов по </w:t>
      </w:r>
      <w:r>
        <w:t xml:space="preserve">шкале оценки </w:t>
      </w:r>
      <w:r w:rsidRPr="00E42D4D">
        <w:t>степени тяжести алопеции</w:t>
      </w:r>
      <w:r w:rsidRPr="002E1B72">
        <w:rPr>
          <w:color w:val="000000"/>
        </w:rPr>
        <w:t xml:space="preserve"> на 36-й неделе по сравнению с плацебо. Постоянная эффективность наблюдалась </w:t>
      </w:r>
      <w:r>
        <w:rPr>
          <w:color w:val="000000"/>
        </w:rPr>
        <w:t xml:space="preserve">и </w:t>
      </w:r>
      <w:r w:rsidRPr="002E1B72">
        <w:rPr>
          <w:color w:val="000000"/>
        </w:rPr>
        <w:t>по большинству вторичных конечных точек</w:t>
      </w:r>
      <w:r>
        <w:rPr>
          <w:color w:val="000000"/>
        </w:rPr>
        <w:t>.</w:t>
      </w:r>
    </w:p>
    <w:p w14:paraId="7C3AA5A1" w14:textId="2DA4C65F" w:rsidR="00D30341" w:rsidRDefault="00A14DA4" w:rsidP="00A14DA4">
      <w:pPr>
        <w:spacing w:after="0" w:line="240" w:lineRule="auto"/>
        <w:ind w:firstLine="708"/>
        <w:contextualSpacing/>
      </w:pPr>
      <w:r>
        <w:t xml:space="preserve">Эффективность и безопасность применения барицитиниба в отношении </w:t>
      </w:r>
      <w:r>
        <w:rPr>
          <w:lang w:val="en-US"/>
        </w:rPr>
        <w:t>COVID</w:t>
      </w:r>
      <w:r w:rsidRPr="00C74C24">
        <w:t xml:space="preserve">-19 </w:t>
      </w:r>
      <w:r>
        <w:t xml:space="preserve">оценивались в двух рандомизированных двойных слепых плацебо контролируемых исследованиях </w:t>
      </w:r>
      <w:r>
        <w:rPr>
          <w:lang w:val="en-US"/>
        </w:rPr>
        <w:t>III</w:t>
      </w:r>
      <w:r>
        <w:t xml:space="preserve"> фазы: в исследовании АСТТ-2 оценивали барицитиниб 4 мг в </w:t>
      </w:r>
      <w:r>
        <w:lastRenderedPageBreak/>
        <w:t xml:space="preserve">комбинации с ремдесивиром в сравнении с плацебо в комбинации с ремдесивиром; в исследовании </w:t>
      </w:r>
      <w:r>
        <w:rPr>
          <w:lang w:val="en-US"/>
        </w:rPr>
        <w:t>COV</w:t>
      </w:r>
      <w:r w:rsidRPr="00937087">
        <w:t>-</w:t>
      </w:r>
      <w:r>
        <w:rPr>
          <w:lang w:val="en-US"/>
        </w:rPr>
        <w:t>BARRIER</w:t>
      </w:r>
      <w:r>
        <w:t xml:space="preserve"> оценивали барицитиниб 4 мг в режиме монотерапии в сравнении с плацебо. Пациенты могли оставаться на стандартной терапии в соответствии с местными рекомендациями. В ходе данных исследований барицитиниб получили 1280 пациентов. </w:t>
      </w:r>
      <w:r>
        <w:rPr>
          <w:color w:val="000000"/>
        </w:rPr>
        <w:t xml:space="preserve">В обоих исследованиях эффективности барицитиниба у пациентов с </w:t>
      </w:r>
      <w:r>
        <w:rPr>
          <w:color w:val="000000"/>
          <w:lang w:val="en-US"/>
        </w:rPr>
        <w:t>COVID</w:t>
      </w:r>
      <w:r w:rsidRPr="00CC7D8F">
        <w:rPr>
          <w:color w:val="000000"/>
        </w:rPr>
        <w:t>-19</w:t>
      </w:r>
      <w:r>
        <w:rPr>
          <w:color w:val="000000"/>
        </w:rPr>
        <w:t xml:space="preserve"> н</w:t>
      </w:r>
      <w:r>
        <w:t>аибольшее преимущество от терапии барицитинибом было отмечено у пациентов, нуждающихся в низкопоточной оксигенотерапии, неинвазивной вентиляции легких или высокопоточной оксигенотерапии.</w:t>
      </w:r>
    </w:p>
    <w:p w14:paraId="3F25AB11" w14:textId="0686F671" w:rsidR="006870C6" w:rsidRPr="007F36C3" w:rsidRDefault="006870C6" w:rsidP="006870C6">
      <w:pPr>
        <w:spacing w:after="0" w:line="240" w:lineRule="auto"/>
        <w:ind w:firstLine="709"/>
        <w:rPr>
          <w:color w:val="000000"/>
        </w:rPr>
      </w:pPr>
      <w:r>
        <w:rPr>
          <w:lang w:val="en-US"/>
        </w:rPr>
        <w:t>DT</w:t>
      </w:r>
      <w:r w:rsidRPr="00981A5D">
        <w:t>-</w:t>
      </w:r>
      <w:r>
        <w:rPr>
          <w:lang w:val="en-US"/>
        </w:rPr>
        <w:t>BRC</w:t>
      </w:r>
      <w:r>
        <w:t>,</w:t>
      </w:r>
      <w:r w:rsidRPr="006870C6">
        <w:rPr>
          <w:color w:val="000000"/>
        </w:rPr>
        <w:t xml:space="preserve"> </w:t>
      </w:r>
      <w:r w:rsidRPr="007D730B">
        <w:rPr>
          <w:color w:val="000000"/>
        </w:rPr>
        <w:t>таблетки, покрытые пленочной оболочкой</w:t>
      </w:r>
      <w:r>
        <w:rPr>
          <w:color w:val="000000"/>
        </w:rPr>
        <w:t xml:space="preserve"> </w:t>
      </w:r>
      <w:r w:rsidR="00DB2714">
        <w:rPr>
          <w:color w:val="000000"/>
        </w:rPr>
        <w:t>–</w:t>
      </w:r>
      <w:r>
        <w:rPr>
          <w:color w:val="000000"/>
        </w:rPr>
        <w:t xml:space="preserve"> </w:t>
      </w:r>
      <w:r w:rsidRPr="007F36C3">
        <w:rPr>
          <w:bCs/>
          <w:lang w:eastAsia="ru-RU"/>
        </w:rPr>
        <w:t xml:space="preserve">воспроизведенный препарат </w:t>
      </w:r>
      <w:r>
        <w:rPr>
          <w:bCs/>
          <w:lang w:eastAsia="ru-RU"/>
        </w:rPr>
        <w:t>барицитиниба</w:t>
      </w:r>
      <w:r w:rsidRPr="007F36C3">
        <w:rPr>
          <w:bCs/>
          <w:lang w:eastAsia="ru-RU"/>
        </w:rPr>
        <w:t>, разработанный дочерним подразделением ГК «Р-Фарм», Россия – ООО «Технология лекарств», по заказу АО «Р-Фарм».</w:t>
      </w:r>
      <w:r w:rsidRPr="00A129EA">
        <w:rPr>
          <w:bCs/>
          <w:lang w:eastAsia="ru-RU"/>
        </w:rPr>
        <w:t xml:space="preserve"> </w:t>
      </w:r>
      <w:r w:rsidRPr="007D730B">
        <w:rPr>
          <w:color w:val="000000"/>
        </w:rPr>
        <w:t xml:space="preserve">Он полностью соответствует по </w:t>
      </w:r>
      <w:r w:rsidRPr="007D730B">
        <w:rPr>
          <w:lang w:eastAsia="ru-RU"/>
        </w:rPr>
        <w:t xml:space="preserve">качественному и количественному составу действующего и вспомогательных веществ, лекарственной форме </w:t>
      </w:r>
      <w:r w:rsidRPr="007D730B">
        <w:rPr>
          <w:color w:val="000000"/>
        </w:rPr>
        <w:t xml:space="preserve">(таблетки, покрытые пленочной оболочкой) </w:t>
      </w:r>
      <w:r w:rsidRPr="007D730B">
        <w:rPr>
          <w:lang w:eastAsia="ru-RU"/>
        </w:rPr>
        <w:t xml:space="preserve">и </w:t>
      </w:r>
      <w:r>
        <w:rPr>
          <w:lang w:eastAsia="ru-RU"/>
        </w:rPr>
        <w:t>дозировке</w:t>
      </w:r>
      <w:r w:rsidRPr="007D730B">
        <w:rPr>
          <w:lang w:eastAsia="ru-RU"/>
        </w:rPr>
        <w:t xml:space="preserve"> </w:t>
      </w:r>
      <w:r w:rsidRPr="007D730B">
        <w:rPr>
          <w:color w:val="000000"/>
        </w:rPr>
        <w:t>(4 мг)</w:t>
      </w:r>
      <w:r w:rsidRPr="00A129EA">
        <w:rPr>
          <w:color w:val="000000"/>
        </w:rPr>
        <w:t xml:space="preserve"> референтному препарату </w:t>
      </w:r>
      <w:r>
        <w:rPr>
          <w:lang w:eastAsia="ru-RU"/>
        </w:rPr>
        <w:t>Олумиант</w:t>
      </w:r>
      <w:r w:rsidRPr="00A129EA">
        <w:rPr>
          <w:vertAlign w:val="superscript"/>
          <w:lang w:eastAsia="ru-RU"/>
        </w:rPr>
        <w:t>®</w:t>
      </w:r>
      <w:r w:rsidRPr="00A129EA">
        <w:rPr>
          <w:rFonts w:eastAsia="Calibri"/>
        </w:rPr>
        <w:t xml:space="preserve"> </w:t>
      </w:r>
      <w:r w:rsidRPr="00A129EA">
        <w:rPr>
          <w:color w:val="000000"/>
        </w:rPr>
        <w:t>(</w:t>
      </w:r>
      <w:r>
        <w:rPr>
          <w:color w:val="000000"/>
        </w:rPr>
        <w:t xml:space="preserve">производитель </w:t>
      </w:r>
      <w:r>
        <w:rPr>
          <w:rFonts w:eastAsia="Calibri"/>
          <w:bCs/>
        </w:rPr>
        <w:t>Лилли дель Карибе, Инк., Пуэрто-Рико</w:t>
      </w:r>
      <w:r w:rsidRPr="005F2B08">
        <w:rPr>
          <w:rFonts w:eastAsia="Calibri"/>
          <w:bCs/>
        </w:rPr>
        <w:t xml:space="preserve">; </w:t>
      </w:r>
      <w:r>
        <w:rPr>
          <w:rFonts w:eastAsia="Calibri"/>
          <w:bCs/>
        </w:rPr>
        <w:t>держатель</w:t>
      </w:r>
      <w:r w:rsidRPr="005F2B08">
        <w:rPr>
          <w:rFonts w:eastAsia="Calibri"/>
          <w:bCs/>
        </w:rPr>
        <w:t xml:space="preserve"> РУ: </w:t>
      </w:r>
      <w:r>
        <w:rPr>
          <w:rFonts w:eastAsia="Calibri"/>
          <w:bCs/>
        </w:rPr>
        <w:t>Эли Лилли Восток С.А., Швейцария</w:t>
      </w:r>
      <w:r w:rsidRPr="00A129EA">
        <w:rPr>
          <w:color w:val="000000"/>
        </w:rPr>
        <w:t>)</w:t>
      </w:r>
      <w:r>
        <w:rPr>
          <w:color w:val="000000"/>
        </w:rPr>
        <w:t>, имея отличия в количественном и качественном составе оболочки таблетки</w:t>
      </w:r>
      <w:r w:rsidRPr="00A129EA">
        <w:rPr>
          <w:color w:val="000000"/>
        </w:rPr>
        <w:t>.</w:t>
      </w:r>
      <w:r w:rsidRPr="00A129EA">
        <w:t xml:space="preserve"> </w:t>
      </w:r>
      <w:r w:rsidRPr="007F36C3">
        <w:rPr>
          <w:color w:val="000000" w:themeColor="text1"/>
        </w:rPr>
        <w:t xml:space="preserve">Для доказательства эквивалентности препарата </w:t>
      </w:r>
      <w:r>
        <w:rPr>
          <w:bCs/>
          <w:lang w:val="en-US" w:eastAsia="ru-RU"/>
        </w:rPr>
        <w:t>D</w:t>
      </w:r>
      <w:r>
        <w:rPr>
          <w:lang w:val="en-US"/>
        </w:rPr>
        <w:t>T</w:t>
      </w:r>
      <w:r w:rsidRPr="00CA74B9">
        <w:t>-</w:t>
      </w:r>
      <w:r>
        <w:rPr>
          <w:lang w:val="en-US"/>
        </w:rPr>
        <w:t>BRC</w:t>
      </w:r>
      <w:r w:rsidRPr="007F36C3">
        <w:rPr>
          <w:color w:val="000000" w:themeColor="text1"/>
        </w:rPr>
        <w:t xml:space="preserve"> были проведены исследования сравнительной кинетики растворения в сравнении с референтным препаратом </w:t>
      </w:r>
      <w:r>
        <w:rPr>
          <w:lang w:eastAsia="ru-RU"/>
        </w:rPr>
        <w:t>Олумиант</w:t>
      </w:r>
      <w:r w:rsidRPr="00D67EF0">
        <w:rPr>
          <w:vertAlign w:val="superscript"/>
          <w:lang w:eastAsia="ru-RU"/>
        </w:rPr>
        <w:t>®</w:t>
      </w:r>
      <w:r>
        <w:rPr>
          <w:rFonts w:eastAsia="Calibri"/>
        </w:rPr>
        <w:t xml:space="preserve"> </w:t>
      </w:r>
      <w:r w:rsidRPr="006B2500">
        <w:rPr>
          <w:color w:val="000000"/>
        </w:rPr>
        <w:t>(</w:t>
      </w:r>
      <w:r>
        <w:rPr>
          <w:rFonts w:eastAsia="Calibri"/>
          <w:bCs/>
        </w:rPr>
        <w:t>Эли Лилли Восток С.А., Швейцария</w:t>
      </w:r>
      <w:r>
        <w:rPr>
          <w:color w:val="000000"/>
        </w:rPr>
        <w:t>)</w:t>
      </w:r>
      <w:r w:rsidRPr="007F36C3">
        <w:rPr>
          <w:rFonts w:eastAsiaTheme="minorHAnsi"/>
          <w:color w:val="000000" w:themeColor="text1"/>
          <w:lang w:eastAsia="en-US"/>
        </w:rPr>
        <w:t xml:space="preserve"> в дозировке </w:t>
      </w:r>
      <w:r>
        <w:rPr>
          <w:rFonts w:eastAsiaTheme="minorHAnsi"/>
          <w:color w:val="000000" w:themeColor="text1"/>
          <w:lang w:eastAsia="en-US"/>
        </w:rPr>
        <w:t>4</w:t>
      </w:r>
      <w:r w:rsidRPr="007F36C3">
        <w:rPr>
          <w:rFonts w:eastAsiaTheme="minorHAnsi"/>
          <w:color w:val="000000" w:themeColor="text1"/>
          <w:lang w:eastAsia="en-US"/>
        </w:rPr>
        <w:t xml:space="preserve"> мг </w:t>
      </w:r>
      <w:r w:rsidRPr="007F36C3">
        <w:rPr>
          <w:color w:val="000000" w:themeColor="text1"/>
        </w:rPr>
        <w:t xml:space="preserve">(в </w:t>
      </w:r>
      <w:r w:rsidR="000D6517">
        <w:rPr>
          <w:color w:val="000000" w:themeColor="text1"/>
        </w:rPr>
        <w:t>двух</w:t>
      </w:r>
      <w:r w:rsidRPr="007F36C3">
        <w:rPr>
          <w:color w:val="000000" w:themeColor="text1"/>
        </w:rPr>
        <w:t xml:space="preserve"> модельных средах</w:t>
      </w:r>
      <w:r w:rsidRPr="00D547D7">
        <w:rPr>
          <w:color w:val="000000" w:themeColor="text1"/>
        </w:rPr>
        <w:t xml:space="preserve">: </w:t>
      </w:r>
      <w:r>
        <w:rPr>
          <w:spacing w:val="-4"/>
        </w:rPr>
        <w:t>буферных растворах</w:t>
      </w:r>
      <w:r w:rsidRPr="007F36C3">
        <w:rPr>
          <w:color w:val="000000" w:themeColor="text1"/>
        </w:rPr>
        <w:t xml:space="preserve"> с рН </w:t>
      </w:r>
      <w:r w:rsidR="000D6517">
        <w:rPr>
          <w:color w:val="000000" w:themeColor="text1"/>
        </w:rPr>
        <w:t>1,2</w:t>
      </w:r>
      <w:r>
        <w:rPr>
          <w:color w:val="000000" w:themeColor="text1"/>
        </w:rPr>
        <w:t xml:space="preserve"> и</w:t>
      </w:r>
      <w:r w:rsidRPr="007F36C3">
        <w:rPr>
          <w:color w:val="000000" w:themeColor="text1"/>
        </w:rPr>
        <w:t xml:space="preserve"> 6,8, а также в среде по НД (</w:t>
      </w:r>
      <w:r w:rsidR="000D6517" w:rsidRPr="000D6517">
        <w:rPr>
          <w:color w:val="000000" w:themeColor="text1"/>
        </w:rPr>
        <w:t>ацетатный буферный раствор рН 4,5</w:t>
      </w:r>
      <w:r w:rsidRPr="007F36C3">
        <w:rPr>
          <w:color w:val="000000" w:themeColor="text1"/>
        </w:rPr>
        <w:t xml:space="preserve">). Согласно полученным данным, кинетика растворения </w:t>
      </w:r>
      <w:r>
        <w:rPr>
          <w:bCs/>
          <w:lang w:val="en-US" w:eastAsia="ru-RU"/>
        </w:rPr>
        <w:t>D</w:t>
      </w:r>
      <w:r>
        <w:rPr>
          <w:lang w:val="en-US"/>
        </w:rPr>
        <w:t>T</w:t>
      </w:r>
      <w:r w:rsidRPr="00CA74B9">
        <w:t>-</w:t>
      </w:r>
      <w:r w:rsidR="000D6517" w:rsidRPr="00AB1FF1">
        <w:t xml:space="preserve"> </w:t>
      </w:r>
      <w:r w:rsidR="000D6517">
        <w:rPr>
          <w:lang w:val="en-US"/>
        </w:rPr>
        <w:t>BRC</w:t>
      </w:r>
      <w:r w:rsidRPr="007F36C3">
        <w:rPr>
          <w:color w:val="000000" w:themeColor="text1"/>
        </w:rPr>
        <w:t xml:space="preserve"> эквивалентна кинетике растворения референтного препарата </w:t>
      </w:r>
      <w:r w:rsidR="000D6517">
        <w:rPr>
          <w:lang w:eastAsia="ru-RU"/>
        </w:rPr>
        <w:t>Олумиант</w:t>
      </w:r>
      <w:r w:rsidRPr="00D67EF0">
        <w:rPr>
          <w:vertAlign w:val="superscript"/>
          <w:lang w:eastAsia="ru-RU"/>
        </w:rPr>
        <w:t>®</w:t>
      </w:r>
      <w:r>
        <w:rPr>
          <w:rFonts w:eastAsia="Calibri"/>
        </w:rPr>
        <w:t xml:space="preserve">, </w:t>
      </w:r>
      <w:r w:rsidRPr="007F36C3">
        <w:rPr>
          <w:color w:val="000000" w:themeColor="text1"/>
        </w:rPr>
        <w:t>что позволяет предполагать также эквивалентность фармакологических свойств обоих препаратов.</w:t>
      </w:r>
    </w:p>
    <w:p w14:paraId="0C0D13E2" w14:textId="77777777" w:rsidR="006870C6" w:rsidRPr="00A129EA" w:rsidRDefault="006870C6" w:rsidP="006870C6">
      <w:pPr>
        <w:autoSpaceDE w:val="0"/>
        <w:autoSpaceDN w:val="0"/>
        <w:adjustRightInd w:val="0"/>
        <w:spacing w:after="0" w:line="240" w:lineRule="auto"/>
        <w:ind w:firstLine="709"/>
        <w:rPr>
          <w:bCs/>
          <w:lang w:eastAsia="ru-RU"/>
        </w:rPr>
      </w:pPr>
      <w:r w:rsidRPr="00A129EA">
        <w:rPr>
          <w:bCs/>
          <w:lang w:eastAsia="ru-RU"/>
        </w:rPr>
        <w:t xml:space="preserve">Внедрение в клиническую практику нового воспроизведенного препарата </w:t>
      </w:r>
      <w:r>
        <w:rPr>
          <w:rFonts w:eastAsia="Calibri"/>
          <w:lang w:eastAsia="ar-SA"/>
        </w:rPr>
        <w:t>барицитиниба</w:t>
      </w:r>
      <w:r w:rsidRPr="00A129EA">
        <w:rPr>
          <w:bCs/>
          <w:lang w:eastAsia="ru-RU"/>
        </w:rPr>
        <w:t xml:space="preserve"> позволит снизить цену современной </w:t>
      </w:r>
      <w:r w:rsidRPr="00A129EA">
        <w:rPr>
          <w:lang w:eastAsia="ru-RU"/>
        </w:rPr>
        <w:t xml:space="preserve">терапии </w:t>
      </w:r>
      <w:r>
        <w:rPr>
          <w:lang w:eastAsia="ru-RU"/>
        </w:rPr>
        <w:t xml:space="preserve">таких социально значимых заболеваний как РА, ОА, АД и </w:t>
      </w:r>
      <w:r>
        <w:rPr>
          <w:lang w:val="en-US" w:eastAsia="ru-RU"/>
        </w:rPr>
        <w:t>COVID</w:t>
      </w:r>
      <w:r>
        <w:rPr>
          <w:lang w:eastAsia="ru-RU"/>
        </w:rPr>
        <w:t>-19</w:t>
      </w:r>
      <w:r w:rsidRPr="00A129EA">
        <w:rPr>
          <w:bCs/>
          <w:lang w:eastAsia="ru-RU"/>
        </w:rPr>
        <w:t>.</w:t>
      </w:r>
    </w:p>
    <w:p w14:paraId="255AE748" w14:textId="60F38DA8" w:rsidR="006870C6" w:rsidRDefault="006870C6">
      <w:pPr>
        <w:jc w:val="left"/>
      </w:pPr>
      <w:r>
        <w:br w:type="page"/>
      </w:r>
    </w:p>
    <w:p w14:paraId="4B841755" w14:textId="77777777" w:rsidR="003C2C65" w:rsidRPr="005E6358" w:rsidRDefault="003C2C65" w:rsidP="00052AE8">
      <w:pPr>
        <w:pStyle w:val="12"/>
        <w:tabs>
          <w:tab w:val="left" w:pos="142"/>
          <w:tab w:val="left" w:pos="284"/>
        </w:tabs>
        <w:spacing w:line="240" w:lineRule="auto"/>
        <w:contextualSpacing/>
        <w:rPr>
          <w:rFonts w:cs="Times New Roman"/>
          <w:color w:val="000000" w:themeColor="text1"/>
          <w:szCs w:val="24"/>
        </w:rPr>
      </w:pPr>
      <w:bookmarkStart w:id="15" w:name="_Toc415001065"/>
      <w:bookmarkStart w:id="16" w:name="_Toc120288099"/>
      <w:r w:rsidRPr="005E6358">
        <w:rPr>
          <w:rFonts w:cs="Times New Roman"/>
          <w:color w:val="000000" w:themeColor="text1"/>
          <w:szCs w:val="24"/>
        </w:rPr>
        <w:lastRenderedPageBreak/>
        <w:t>1. ВВЕДЕНИЕ</w:t>
      </w:r>
      <w:bookmarkEnd w:id="15"/>
      <w:bookmarkEnd w:id="16"/>
    </w:p>
    <w:p w14:paraId="1A954C54" w14:textId="77777777" w:rsidR="00052AE8" w:rsidRDefault="003C2C65" w:rsidP="00AB1FF1">
      <w:pPr>
        <w:pStyle w:val="2"/>
        <w:spacing w:before="0" w:after="0" w:line="240" w:lineRule="auto"/>
        <w:contextualSpacing/>
        <w:rPr>
          <w:color w:val="000000" w:themeColor="text1"/>
          <w:szCs w:val="24"/>
        </w:rPr>
      </w:pPr>
      <w:bookmarkStart w:id="17" w:name="_Toc415001066"/>
      <w:bookmarkStart w:id="18" w:name="_Toc120288100"/>
      <w:r w:rsidRPr="005E6358">
        <w:rPr>
          <w:color w:val="000000" w:themeColor="text1"/>
          <w:szCs w:val="24"/>
        </w:rPr>
        <w:t>1.1. Химическое название</w:t>
      </w:r>
      <w:bookmarkStart w:id="19" w:name="_Toc415001067"/>
      <w:bookmarkEnd w:id="17"/>
      <w:bookmarkEnd w:id="18"/>
    </w:p>
    <w:p w14:paraId="7FEEFA0E" w14:textId="77777777" w:rsidR="00052AE8" w:rsidRDefault="00052AE8" w:rsidP="00FC747D">
      <w:pPr>
        <w:pStyle w:val="OT"/>
        <w:contextualSpacing/>
      </w:pPr>
    </w:p>
    <w:p w14:paraId="1D9F464C" w14:textId="6D0412E0" w:rsidR="003239B1" w:rsidRPr="00052AE8" w:rsidRDefault="003239B1" w:rsidP="00AB1FF1">
      <w:pPr>
        <w:pStyle w:val="OT"/>
        <w:ind w:firstLine="851"/>
        <w:contextualSpacing/>
        <w:rPr>
          <w:b/>
          <w:color w:val="000000" w:themeColor="text1"/>
        </w:rPr>
      </w:pPr>
      <w:r w:rsidRPr="003239B1">
        <w:t>2-(3-(4-(7H-пирроло[2,3-d]пир</w:t>
      </w:r>
      <w:r>
        <w:t>имидин-4-ил)-1H-пиразол-1-ил)-1</w:t>
      </w:r>
      <w:r w:rsidRPr="003239B1">
        <w:t>(этилсульфонил)</w:t>
      </w:r>
      <w:r w:rsidR="007A59A6">
        <w:t xml:space="preserve"> </w:t>
      </w:r>
      <w:r w:rsidRPr="003239B1">
        <w:t>азетидин-3-ил)ацетонитрил.</w:t>
      </w:r>
    </w:p>
    <w:p w14:paraId="1CB94148" w14:textId="77777777" w:rsidR="003239B1" w:rsidRDefault="003239B1" w:rsidP="00FC747D">
      <w:pPr>
        <w:pStyle w:val="OT"/>
        <w:contextualSpacing/>
      </w:pPr>
    </w:p>
    <w:p w14:paraId="79FE8A4A" w14:textId="025885C4" w:rsidR="003C2C65" w:rsidRPr="005E6358" w:rsidRDefault="003C2C65" w:rsidP="00AB1FF1">
      <w:pPr>
        <w:pStyle w:val="2"/>
        <w:spacing w:before="0" w:after="0" w:line="240" w:lineRule="auto"/>
        <w:contextualSpacing/>
        <w:rPr>
          <w:color w:val="000000" w:themeColor="text1"/>
          <w:szCs w:val="24"/>
        </w:rPr>
      </w:pPr>
      <w:bookmarkStart w:id="20" w:name="_Toc120288101"/>
      <w:r w:rsidRPr="005E6358">
        <w:rPr>
          <w:color w:val="000000" w:themeColor="text1"/>
          <w:szCs w:val="24"/>
        </w:rPr>
        <w:t>1.2. Международное непатентованное название</w:t>
      </w:r>
      <w:bookmarkEnd w:id="19"/>
      <w:bookmarkEnd w:id="20"/>
    </w:p>
    <w:p w14:paraId="6ACFC391" w14:textId="77777777" w:rsidR="000D6517" w:rsidRDefault="000D6517" w:rsidP="00052AE8">
      <w:pPr>
        <w:spacing w:after="0" w:line="240" w:lineRule="auto"/>
        <w:ind w:firstLine="709"/>
        <w:contextualSpacing/>
      </w:pPr>
    </w:p>
    <w:p w14:paraId="350C31BE" w14:textId="2F734A30" w:rsidR="003C2C65" w:rsidRPr="005E6358" w:rsidRDefault="00A13913" w:rsidP="00052AE8">
      <w:pPr>
        <w:spacing w:after="0" w:line="240" w:lineRule="auto"/>
        <w:ind w:firstLine="709"/>
        <w:contextualSpacing/>
        <w:rPr>
          <w:color w:val="000000" w:themeColor="text1"/>
        </w:rPr>
      </w:pPr>
      <w:r w:rsidRPr="00A13913">
        <w:t>Барицитиниб</w:t>
      </w:r>
      <w:r w:rsidR="000D6517">
        <w:t>.</w:t>
      </w:r>
    </w:p>
    <w:p w14:paraId="2FDD1F6A" w14:textId="77777777" w:rsidR="003C2C65" w:rsidRPr="005E6358" w:rsidRDefault="003C2C65" w:rsidP="004C505D">
      <w:pPr>
        <w:pStyle w:val="2"/>
        <w:spacing w:line="240" w:lineRule="auto"/>
        <w:contextualSpacing/>
        <w:rPr>
          <w:color w:val="000000" w:themeColor="text1"/>
          <w:szCs w:val="24"/>
        </w:rPr>
      </w:pPr>
      <w:bookmarkStart w:id="21" w:name="_Toc415001068"/>
      <w:bookmarkStart w:id="22" w:name="_Toc120288102"/>
      <w:r w:rsidRPr="005E6358">
        <w:rPr>
          <w:color w:val="000000" w:themeColor="text1"/>
          <w:szCs w:val="24"/>
        </w:rPr>
        <w:t>1.3. Торговое название</w:t>
      </w:r>
      <w:bookmarkEnd w:id="21"/>
      <w:bookmarkEnd w:id="22"/>
    </w:p>
    <w:p w14:paraId="510AF3BB" w14:textId="1D75C9F7" w:rsidR="003C2C65" w:rsidRPr="005E6358" w:rsidRDefault="00624A46" w:rsidP="004C505D">
      <w:pPr>
        <w:spacing w:after="0" w:line="240" w:lineRule="auto"/>
        <w:ind w:firstLine="709"/>
        <w:contextualSpacing/>
        <w:rPr>
          <w:color w:val="000000" w:themeColor="text1"/>
        </w:rPr>
      </w:pPr>
      <w:r>
        <w:rPr>
          <w:bCs/>
          <w:color w:val="000000" w:themeColor="text1"/>
          <w:lang w:eastAsia="ru-RU"/>
        </w:rPr>
        <w:t>Торговое наименование –</w:t>
      </w:r>
      <w:r w:rsidR="00A11671">
        <w:rPr>
          <w:bCs/>
          <w:color w:val="000000" w:themeColor="text1"/>
          <w:lang w:eastAsia="ru-RU"/>
        </w:rPr>
        <w:t xml:space="preserve"> </w:t>
      </w:r>
      <w:r w:rsidR="003239B1" w:rsidRPr="003239B1">
        <w:t>БАРИЦИТИНИБ</w:t>
      </w:r>
    </w:p>
    <w:p w14:paraId="2C353F0D" w14:textId="4DD83636" w:rsidR="007436D4" w:rsidRDefault="003239B1" w:rsidP="004C505D">
      <w:pPr>
        <w:spacing w:after="0" w:line="240" w:lineRule="auto"/>
        <w:ind w:firstLine="709"/>
        <w:contextualSpacing/>
      </w:pPr>
      <w:r>
        <w:rPr>
          <w:color w:val="000000" w:themeColor="text1"/>
        </w:rPr>
        <w:t>Внутреннее название</w:t>
      </w:r>
      <w:r w:rsidR="007436D4" w:rsidRPr="005E6358">
        <w:rPr>
          <w:color w:val="000000" w:themeColor="text1"/>
        </w:rPr>
        <w:t xml:space="preserve"> </w:t>
      </w:r>
      <w:r>
        <w:rPr>
          <w:color w:val="000000" w:themeColor="text1"/>
        </w:rPr>
        <w:t xml:space="preserve">- </w:t>
      </w:r>
      <w:r>
        <w:rPr>
          <w:lang w:val="en-US"/>
        </w:rPr>
        <w:t>DT</w:t>
      </w:r>
      <w:r w:rsidRPr="00981A5D">
        <w:t>-</w:t>
      </w:r>
      <w:r>
        <w:rPr>
          <w:lang w:val="en-US"/>
        </w:rPr>
        <w:t>BRC</w:t>
      </w:r>
    </w:p>
    <w:p w14:paraId="4AD1CF20" w14:textId="7AA483FD" w:rsidR="003239B1" w:rsidRPr="005E6358" w:rsidRDefault="003239B1" w:rsidP="004C505D">
      <w:pPr>
        <w:spacing w:after="0" w:line="240" w:lineRule="auto"/>
        <w:ind w:firstLine="709"/>
        <w:contextualSpacing/>
        <w:rPr>
          <w:color w:val="000000" w:themeColor="text1"/>
        </w:rPr>
      </w:pPr>
      <w:r>
        <w:t xml:space="preserve">Код продукта - </w:t>
      </w:r>
      <w:r w:rsidRPr="009724D1">
        <w:t>L041048</w:t>
      </w:r>
    </w:p>
    <w:p w14:paraId="11C0A1B4" w14:textId="77777777" w:rsidR="003C2C65" w:rsidRPr="005E6358" w:rsidRDefault="003C2C65" w:rsidP="004C505D">
      <w:pPr>
        <w:pStyle w:val="2"/>
        <w:spacing w:line="240" w:lineRule="auto"/>
        <w:contextualSpacing/>
        <w:rPr>
          <w:color w:val="000000" w:themeColor="text1"/>
          <w:szCs w:val="24"/>
        </w:rPr>
      </w:pPr>
      <w:bookmarkStart w:id="23" w:name="_Toc415001069"/>
      <w:bookmarkStart w:id="24" w:name="_Toc120288103"/>
      <w:r w:rsidRPr="005E6358">
        <w:rPr>
          <w:color w:val="000000" w:themeColor="text1"/>
          <w:szCs w:val="24"/>
        </w:rPr>
        <w:t>1.4. Активные ингредиенты</w:t>
      </w:r>
      <w:bookmarkEnd w:id="23"/>
      <w:bookmarkEnd w:id="24"/>
    </w:p>
    <w:p w14:paraId="260830E9" w14:textId="3811CA71" w:rsidR="003C2C65" w:rsidRPr="008A360D" w:rsidRDefault="0085541F" w:rsidP="00052AE8">
      <w:pPr>
        <w:spacing w:after="0" w:line="240" w:lineRule="auto"/>
        <w:ind w:firstLine="709"/>
        <w:contextualSpacing/>
        <w:rPr>
          <w:color w:val="000000" w:themeColor="text1"/>
        </w:rPr>
      </w:pPr>
      <w:r w:rsidRPr="005E6358">
        <w:rPr>
          <w:color w:val="000000" w:themeColor="text1"/>
        </w:rPr>
        <w:t xml:space="preserve">Действующее вещество - </w:t>
      </w:r>
      <w:r w:rsidR="00A13913">
        <w:t>б</w:t>
      </w:r>
      <w:r w:rsidR="00A13913" w:rsidRPr="00A13913">
        <w:t>арицитиниб</w:t>
      </w:r>
      <w:r w:rsidRPr="008A360D">
        <w:rPr>
          <w:color w:val="000000" w:themeColor="text1"/>
          <w:lang w:eastAsia="ru-RU"/>
        </w:rPr>
        <w:t>.</w:t>
      </w:r>
    </w:p>
    <w:p w14:paraId="60C11292" w14:textId="7E38AAA9" w:rsidR="003239B1" w:rsidRDefault="003C2C65" w:rsidP="00AB1FF1">
      <w:pPr>
        <w:pStyle w:val="2"/>
        <w:spacing w:line="240" w:lineRule="auto"/>
        <w:contextualSpacing/>
      </w:pPr>
      <w:bookmarkStart w:id="25" w:name="_Toc415001070"/>
      <w:bookmarkStart w:id="26" w:name="_Toc120288104"/>
      <w:r w:rsidRPr="005E6358">
        <w:rPr>
          <w:color w:val="000000" w:themeColor="text1"/>
          <w:szCs w:val="24"/>
        </w:rPr>
        <w:t>1.5. Фармакологическая группа</w:t>
      </w:r>
      <w:bookmarkStart w:id="27" w:name="_Toc415001071"/>
      <w:bookmarkEnd w:id="25"/>
      <w:bookmarkEnd w:id="26"/>
    </w:p>
    <w:p w14:paraId="3AC0995F" w14:textId="7F6CB447" w:rsidR="00A13913" w:rsidRPr="00331076" w:rsidRDefault="007A59A6" w:rsidP="00AB1FF1">
      <w:pPr>
        <w:pStyle w:val="OT"/>
        <w:ind w:firstLine="709"/>
        <w:contextualSpacing/>
        <w:rPr>
          <w:b/>
          <w:bCs/>
        </w:rPr>
      </w:pPr>
      <w:r>
        <w:t xml:space="preserve">Иммунодепрессанты. </w:t>
      </w:r>
      <w:r>
        <w:rPr>
          <w:lang w:val="en-US"/>
        </w:rPr>
        <w:t>C</w:t>
      </w:r>
      <w:r w:rsidR="00A13913" w:rsidRPr="00A13913">
        <w:t>елективные иммунодепрессанты</w:t>
      </w:r>
      <w:r w:rsidRPr="00AB1FF1">
        <w:t xml:space="preserve">. </w:t>
      </w:r>
    </w:p>
    <w:p w14:paraId="146880F7" w14:textId="77777777" w:rsidR="003239B1" w:rsidRDefault="003239B1" w:rsidP="00FC747D">
      <w:pPr>
        <w:pStyle w:val="OT"/>
        <w:contextualSpacing/>
      </w:pPr>
    </w:p>
    <w:p w14:paraId="150AF000" w14:textId="6901B354" w:rsidR="003C2C65" w:rsidRPr="005E6358" w:rsidRDefault="003C2C65" w:rsidP="00AB1FF1">
      <w:pPr>
        <w:pStyle w:val="2"/>
        <w:spacing w:before="0" w:line="240" w:lineRule="auto"/>
        <w:contextualSpacing/>
        <w:rPr>
          <w:color w:val="000000" w:themeColor="text1"/>
          <w:szCs w:val="24"/>
        </w:rPr>
      </w:pPr>
      <w:bookmarkStart w:id="28" w:name="_Toc120288105"/>
      <w:r w:rsidRPr="005E6358">
        <w:rPr>
          <w:color w:val="000000" w:themeColor="text1"/>
          <w:szCs w:val="24"/>
        </w:rPr>
        <w:t>1.6. Код по АТХ</w:t>
      </w:r>
      <w:bookmarkEnd w:id="27"/>
      <w:bookmarkEnd w:id="28"/>
    </w:p>
    <w:p w14:paraId="5FA5E3A0" w14:textId="61988EB7" w:rsidR="004541CE" w:rsidRDefault="00A13913" w:rsidP="00FC747D">
      <w:pPr>
        <w:pStyle w:val="af3"/>
        <w:spacing w:after="0" w:line="240" w:lineRule="auto"/>
        <w:rPr>
          <w:rStyle w:val="afff1"/>
          <w:rFonts w:eastAsia="MS Mincho"/>
          <w:b w:val="0"/>
        </w:rPr>
      </w:pPr>
      <w:bookmarkStart w:id="29" w:name="_Toc415001072"/>
      <w:r w:rsidRPr="00A13913">
        <w:rPr>
          <w:rStyle w:val="afff1"/>
          <w:rFonts w:eastAsia="MS Mincho"/>
          <w:b w:val="0"/>
        </w:rPr>
        <w:t>L04AA37</w:t>
      </w:r>
    </w:p>
    <w:p w14:paraId="34A7E23D" w14:textId="77777777" w:rsidR="007A59A6" w:rsidRDefault="007A59A6" w:rsidP="00FC747D">
      <w:pPr>
        <w:pStyle w:val="af3"/>
        <w:spacing w:after="0" w:line="240" w:lineRule="auto"/>
        <w:rPr>
          <w:rStyle w:val="afff1"/>
          <w:rFonts w:eastAsia="MS Mincho"/>
          <w:b w:val="0"/>
        </w:rPr>
      </w:pPr>
    </w:p>
    <w:p w14:paraId="7A1A50BB" w14:textId="77777777" w:rsidR="003C2C65" w:rsidRPr="005E6358" w:rsidRDefault="003C2C65" w:rsidP="00AB1FF1">
      <w:pPr>
        <w:pStyle w:val="2"/>
        <w:numPr>
          <w:ilvl w:val="1"/>
          <w:numId w:val="1"/>
        </w:numPr>
        <w:tabs>
          <w:tab w:val="left" w:pos="284"/>
          <w:tab w:val="left" w:pos="426"/>
        </w:tabs>
        <w:spacing w:before="0" w:line="240" w:lineRule="auto"/>
        <w:ind w:left="0" w:firstLine="0"/>
        <w:contextualSpacing/>
        <w:rPr>
          <w:color w:val="000000" w:themeColor="text1"/>
          <w:szCs w:val="24"/>
        </w:rPr>
      </w:pPr>
      <w:bookmarkStart w:id="30" w:name="_Toc120288106"/>
      <w:r w:rsidRPr="005E6358">
        <w:rPr>
          <w:color w:val="000000" w:themeColor="text1"/>
          <w:szCs w:val="24"/>
        </w:rPr>
        <w:t>Обоснование для изучения исследуемого препарата</w:t>
      </w:r>
      <w:bookmarkEnd w:id="29"/>
      <w:bookmarkEnd w:id="30"/>
    </w:p>
    <w:p w14:paraId="5E980D71" w14:textId="77777777" w:rsidR="003C2C65" w:rsidRDefault="003C2C65" w:rsidP="004C505D">
      <w:pPr>
        <w:pStyle w:val="3"/>
        <w:spacing w:after="240"/>
        <w:contextualSpacing/>
        <w:rPr>
          <w:color w:val="000000" w:themeColor="text1"/>
          <w:szCs w:val="24"/>
        </w:rPr>
      </w:pPr>
      <w:bookmarkStart w:id="31" w:name="_Toc120288107"/>
      <w:r w:rsidRPr="005E6358">
        <w:rPr>
          <w:color w:val="000000" w:themeColor="text1"/>
          <w:szCs w:val="24"/>
        </w:rPr>
        <w:t>1.</w:t>
      </w:r>
      <w:r w:rsidR="006148AF" w:rsidRPr="005E6358">
        <w:rPr>
          <w:color w:val="000000" w:themeColor="text1"/>
          <w:szCs w:val="24"/>
        </w:rPr>
        <w:t>7.1</w:t>
      </w:r>
      <w:r w:rsidRPr="005E6358">
        <w:rPr>
          <w:color w:val="000000" w:themeColor="text1"/>
          <w:szCs w:val="24"/>
        </w:rPr>
        <w:t>. Общие сведения о заболевании</w:t>
      </w:r>
      <w:bookmarkEnd w:id="31"/>
    </w:p>
    <w:p w14:paraId="737E6C60" w14:textId="04AFE49C" w:rsidR="00E9007A" w:rsidRPr="00373726" w:rsidRDefault="00E9007A" w:rsidP="006870C6">
      <w:pPr>
        <w:autoSpaceDE w:val="0"/>
        <w:autoSpaceDN w:val="0"/>
        <w:adjustRightInd w:val="0"/>
        <w:spacing w:after="0" w:line="240" w:lineRule="auto"/>
        <w:ind w:firstLine="708"/>
        <w:contextualSpacing/>
        <w:rPr>
          <w:rFonts w:eastAsia="TimesNewRomanPSMT"/>
          <w:color w:val="000000"/>
          <w:lang w:eastAsia="en-US"/>
        </w:rPr>
      </w:pPr>
      <w:r w:rsidRPr="00E9007A">
        <w:rPr>
          <w:rFonts w:eastAsia="TimesNewRomanPSMT"/>
          <w:color w:val="000000"/>
          <w:lang w:eastAsia="en-US"/>
        </w:rPr>
        <w:t xml:space="preserve">Ревматоидный артрит (РА) - иммуновоспалительное (аутоиммунное) ревматическое заболевание, характеризующееся прогрессирующей деструкцией суставов и поражением </w:t>
      </w:r>
      <w:r w:rsidRPr="00373726">
        <w:rPr>
          <w:rFonts w:eastAsia="TimesNewRomanPSMT"/>
          <w:color w:val="000000"/>
          <w:lang w:eastAsia="en-US"/>
        </w:rPr>
        <w:t xml:space="preserve">внутренних органов, развитие которого определяется сложным взаимодействием факторов внешней среды и генетической предрасположенности, ведущих к глобальным нарушениям в системе гуморального и клеточного иммунитета </w:t>
      </w:r>
      <w:r w:rsidRPr="00373726">
        <w:rPr>
          <w:rFonts w:eastAsia="TimesNewRomanPSMT"/>
          <w:color w:val="000000"/>
          <w:lang w:eastAsia="en-US"/>
        </w:rPr>
        <w:fldChar w:fldCharType="begin"/>
      </w:r>
      <w:r w:rsidR="00373726" w:rsidRPr="00373726">
        <w:rPr>
          <w:rFonts w:eastAsia="TimesNewRomanPSMT"/>
          <w:color w:val="000000"/>
          <w:lang w:eastAsia="en-US"/>
        </w:rPr>
        <w:instrText xml:space="preserve"> ADDIN ZOTERO_ITEM CSL_CITATION {"citationID":"eCsWpjY0","properties":{"formattedCitation":"[1,2]","plainCitation":"[1,2]","noteIndex":0},"citationItems":[{"id":3503,"uris":["http://zotero.org/groups/4514912/items/R5A5SHIQ"],"uri":["http://zotero.org/groups/4514912/items/R5A5SHIQ"],"itemData":{"id":3503,"type":"article","title":"Министерство здравоохранения Российской Федерации. Клинические рекомендации. Ревматоидный артрит. 2021"},"label":"page"},{"id":3504,"uris":["http://zotero.org/groups/4514912/items/PJXIRLDM"],"uri":["http://zotero.org/groups/4514912/items/PJXIRLDM"],"itemData":{"id":3504,"type":"article-journal","title":"Smolen JS, Aletaha D, Mclnnes IB. Rheumatoid arthritis. Lancet 2016; 22; 388(10055): 2023-2038. doi: 10.1016/S0140-6736(16)30173-8"},"label":"page"}],"schema":"https://github.com/citation-style-language/schema/raw/master/csl-citation.json"} </w:instrText>
      </w:r>
      <w:r w:rsidRPr="00373726">
        <w:rPr>
          <w:rFonts w:eastAsia="TimesNewRomanPSMT"/>
          <w:color w:val="000000"/>
          <w:lang w:eastAsia="en-US"/>
        </w:rPr>
        <w:fldChar w:fldCharType="separate"/>
      </w:r>
      <w:r w:rsidR="00D21480" w:rsidRPr="00373726">
        <w:t>[1,2]</w:t>
      </w:r>
      <w:r w:rsidRPr="00373726">
        <w:rPr>
          <w:rFonts w:eastAsia="TimesNewRomanPSMT"/>
          <w:color w:val="000000"/>
          <w:lang w:eastAsia="en-US"/>
        </w:rPr>
        <w:fldChar w:fldCharType="end"/>
      </w:r>
      <w:r w:rsidRPr="00373726">
        <w:rPr>
          <w:rFonts w:eastAsia="TimesNewRomanPSMT"/>
          <w:color w:val="000000"/>
          <w:lang w:eastAsia="en-US"/>
        </w:rPr>
        <w:t xml:space="preserve">. Гетерогенность патогенетических механизмов РА находит свое отражение в существовании широкого спектра фенотипов и эндотипов заболевания, что позволяет рассматривать его не как «одну болезнь», а как клинико-иммунологический синдром </w:t>
      </w:r>
      <w:r w:rsidRPr="00373726">
        <w:rPr>
          <w:rFonts w:eastAsia="TimesNewRomanPSMT"/>
          <w:color w:val="000000"/>
          <w:lang w:eastAsia="en-US"/>
        </w:rPr>
        <w:fldChar w:fldCharType="begin"/>
      </w:r>
      <w:r w:rsidR="00D21480" w:rsidRPr="00373726">
        <w:rPr>
          <w:rFonts w:eastAsia="TimesNewRomanPSMT"/>
          <w:color w:val="000000"/>
          <w:lang w:eastAsia="en-US"/>
        </w:rPr>
        <w:instrText xml:space="preserve"> ADDIN ZOTERO_ITEM CSL_CITATION {"citationID":"7unmC4fu","properties":{"formattedCitation":"[3,4]","plainCitation":"[3,4]","noteIndex":0},"citationItems":[{"id":3506,"uris":["http://zotero.org/groups/4514912/items/JRITC6ZG"],"uri":["http://zotero.org/groups/4514912/items/JRITC6ZG"],"itemData":{"id":3506,"type":"article","title":"McGonagle D, Watad A, Savic S. Mechanistic immunological based classification of rheumatoid arthritis. Autoimmun Rev. 2018; 17(11): 1115-1123. doi: 10.1016/j.autrev.2018.06.001"},"label":"page"},{"id":3505,"uris":["http://zotero.org/groups/4514912/items/9H5NGQ2R"],"uri":["http://zotero.org/groups/4514912/items/9H5NGQ2R"],"itemData":{"id":3505,"type":"article","title":"Mclnnes IB, Schett G. Pathogenetic insights from the treatment of rheumatoid arthritis. Lancet. 2017; 389(10086): 2328-2337. doi: 10.1016/S0140-6736(17)31472-1"},"label":"page"}],"schema":"https://github.com/citation-style-language/schema/raw/master/csl-citation.json"} </w:instrText>
      </w:r>
      <w:r w:rsidRPr="00373726">
        <w:rPr>
          <w:rFonts w:eastAsia="TimesNewRomanPSMT"/>
          <w:color w:val="000000"/>
          <w:lang w:eastAsia="en-US"/>
        </w:rPr>
        <w:fldChar w:fldCharType="separate"/>
      </w:r>
      <w:r w:rsidR="00D21480" w:rsidRPr="00373726">
        <w:t>[3,4]</w:t>
      </w:r>
      <w:r w:rsidRPr="00373726">
        <w:rPr>
          <w:rFonts w:eastAsia="TimesNewRomanPSMT"/>
          <w:color w:val="000000"/>
          <w:lang w:eastAsia="en-US"/>
        </w:rPr>
        <w:fldChar w:fldCharType="end"/>
      </w:r>
      <w:r w:rsidRPr="00373726">
        <w:rPr>
          <w:rFonts w:eastAsia="TimesNewRomanPSMT"/>
          <w:color w:val="000000"/>
          <w:lang w:eastAsia="en-US"/>
        </w:rPr>
        <w:t>.</w:t>
      </w:r>
    </w:p>
    <w:p w14:paraId="1ECDA9E9" w14:textId="0FAB32A8" w:rsidR="006A21BF" w:rsidRPr="00373726" w:rsidRDefault="00E9007A" w:rsidP="006870C6">
      <w:pPr>
        <w:autoSpaceDE w:val="0"/>
        <w:autoSpaceDN w:val="0"/>
        <w:adjustRightInd w:val="0"/>
        <w:spacing w:after="0" w:line="240" w:lineRule="auto"/>
        <w:ind w:firstLine="708"/>
        <w:contextualSpacing/>
        <w:rPr>
          <w:rFonts w:eastAsia="TimesNewRomanPSMT"/>
          <w:color w:val="000000"/>
          <w:lang w:eastAsia="en-US"/>
        </w:rPr>
      </w:pPr>
      <w:r w:rsidRPr="00373726">
        <w:rPr>
          <w:rFonts w:eastAsia="TimesNewRomanPSMT"/>
          <w:color w:val="000000"/>
          <w:lang w:eastAsia="en-US"/>
        </w:rPr>
        <w:t>При отсутствии эффективной терапии продолжительность жизни у больных РА ниже на 3 года у женщин и на 7 лет у мужчин, в первую очередь</w:t>
      </w:r>
      <w:r w:rsidR="003239B1">
        <w:rPr>
          <w:rFonts w:eastAsia="TimesNewRomanPSMT"/>
          <w:color w:val="000000"/>
          <w:lang w:eastAsia="en-US"/>
        </w:rPr>
        <w:t>,</w:t>
      </w:r>
      <w:r w:rsidRPr="00373726">
        <w:rPr>
          <w:rFonts w:eastAsia="TimesNewRomanPSMT"/>
          <w:color w:val="000000"/>
          <w:lang w:eastAsia="en-US"/>
        </w:rPr>
        <w:t xml:space="preserve"> за счет высокого риска развития коморбидных заболеваний - кардиоваскулярной патологии, остеопороза, тяжелых инфекций, интерстициального заболевания легких, онкологических заболеваний </w:t>
      </w:r>
      <w:r w:rsidRPr="00373726">
        <w:rPr>
          <w:rFonts w:eastAsia="TimesNewRomanPSMT"/>
          <w:color w:val="000000"/>
          <w:lang w:eastAsia="en-US"/>
        </w:rPr>
        <w:fldChar w:fldCharType="begin"/>
      </w:r>
      <w:r w:rsidR="00D21480" w:rsidRPr="00373726">
        <w:rPr>
          <w:rFonts w:eastAsia="TimesNewRomanPSMT"/>
          <w:color w:val="000000"/>
          <w:lang w:eastAsia="en-US"/>
        </w:rPr>
        <w:instrText xml:space="preserve"> ADDIN ZOTERO_ITEM CSL_CITATION {"citationID":"o18IVU2E","properties":{"formattedCitation":"[5]","plainCitation":"[5]","noteIndex":0},"citationItems":[{"id":3507,"uris":["http://zotero.org/groups/4514912/items/KZFYGBCQ"],"uri":["http://zotero.org/groups/4514912/items/KZFYGBCQ"],"itemData":{"id":3507,"type":"article","title":"Firestein GS. Kelley and Firestein\"s Textbook of Rheumatology. 10th ed. Philadelphia, Pennsylvania: Elsevier; Etiology and pathogenesis of rheumatoid arthritis. 2016 1115-66"}}],"schema":"https://github.com/citation-style-language/schema/raw/master/csl-citation.json"} </w:instrText>
      </w:r>
      <w:r w:rsidRPr="00373726">
        <w:rPr>
          <w:rFonts w:eastAsia="TimesNewRomanPSMT"/>
          <w:color w:val="000000"/>
          <w:lang w:eastAsia="en-US"/>
        </w:rPr>
        <w:fldChar w:fldCharType="separate"/>
      </w:r>
      <w:r w:rsidR="00D21480" w:rsidRPr="00373726">
        <w:t>[5]</w:t>
      </w:r>
      <w:r w:rsidRPr="00373726">
        <w:rPr>
          <w:rFonts w:eastAsia="TimesNewRomanPSMT"/>
          <w:color w:val="000000"/>
          <w:lang w:eastAsia="en-US"/>
        </w:rPr>
        <w:fldChar w:fldCharType="end"/>
      </w:r>
      <w:r w:rsidRPr="00373726">
        <w:rPr>
          <w:rFonts w:eastAsia="TimesNewRomanPSMT"/>
          <w:color w:val="000000"/>
          <w:lang w:eastAsia="en-US"/>
        </w:rPr>
        <w:t xml:space="preserve">. У многих пациентов с РА жизненный прогноз столь же неблагоприятен, как и при лимфогранулематозе, сахарном диабете 2 типа, трехсосудистом поражении коронарных артерий и инсульте. РА вызывает стойкую потерю нетрудоспособности у половины </w:t>
      </w:r>
      <w:r w:rsidRPr="00373726">
        <w:rPr>
          <w:rFonts w:eastAsia="TimesNewRomanPSMT"/>
          <w:color w:val="000000"/>
          <w:lang w:eastAsia="en-US"/>
        </w:rPr>
        <w:lastRenderedPageBreak/>
        <w:t xml:space="preserve">пациентов в течение первых 3-5 лет от начала болезни, а через 20 лет треть пациентов становятся полными инвалидами </w:t>
      </w:r>
      <w:r w:rsidRPr="00373726">
        <w:rPr>
          <w:rFonts w:eastAsia="TimesNewRomanPSMT"/>
          <w:color w:val="000000"/>
          <w:lang w:eastAsia="en-US"/>
        </w:rPr>
        <w:fldChar w:fldCharType="begin"/>
      </w:r>
      <w:r w:rsidR="00373726" w:rsidRPr="00373726">
        <w:rPr>
          <w:rFonts w:eastAsia="TimesNewRomanPSMT"/>
          <w:color w:val="000000"/>
          <w:lang w:eastAsia="en-US"/>
        </w:rPr>
        <w:instrText xml:space="preserve"> ADDIN ZOTERO_ITEM CSL_CITATION {"citationID":"TjuOi78x","properties":{"formattedCitation":"[1]","plainCitation":"[1]","noteIndex":0},"citationItems":[{"id":3503,"uris":["http://zotero.org/groups/4514912/items/R5A5SHIQ"],"uri":["http://zotero.org/groups/4514912/items/R5A5SHIQ"],"itemData":{"id":3503,"type":"article","title":"Министерство здравоохранения Российской Федерации. Клинические рекомендации. Ревматоидный артрит. 2021"}}],"schema":"https://github.com/citation-style-language/schema/raw/master/csl-citation.json"} </w:instrText>
      </w:r>
      <w:r w:rsidRPr="00373726">
        <w:rPr>
          <w:rFonts w:eastAsia="TimesNewRomanPSMT"/>
          <w:color w:val="000000"/>
          <w:lang w:eastAsia="en-US"/>
        </w:rPr>
        <w:fldChar w:fldCharType="separate"/>
      </w:r>
      <w:r w:rsidR="00D21480" w:rsidRPr="00373726">
        <w:t>[1]</w:t>
      </w:r>
      <w:r w:rsidRPr="00373726">
        <w:rPr>
          <w:rFonts w:eastAsia="TimesNewRomanPSMT"/>
          <w:color w:val="000000"/>
          <w:lang w:eastAsia="en-US"/>
        </w:rPr>
        <w:fldChar w:fldCharType="end"/>
      </w:r>
      <w:r w:rsidRPr="00373726">
        <w:rPr>
          <w:rFonts w:eastAsia="TimesNewRomanPSMT"/>
          <w:color w:val="000000"/>
          <w:lang w:eastAsia="en-US"/>
        </w:rPr>
        <w:t>.</w:t>
      </w:r>
    </w:p>
    <w:p w14:paraId="6EDD64DE" w14:textId="075B8BB6" w:rsidR="00E9007A" w:rsidRPr="00373726" w:rsidRDefault="00E9007A" w:rsidP="006870C6">
      <w:pPr>
        <w:autoSpaceDE w:val="0"/>
        <w:autoSpaceDN w:val="0"/>
        <w:adjustRightInd w:val="0"/>
        <w:spacing w:after="0" w:line="240" w:lineRule="auto"/>
        <w:ind w:firstLine="708"/>
        <w:contextualSpacing/>
        <w:rPr>
          <w:rFonts w:eastAsia="TimesNewRomanPSMT"/>
          <w:color w:val="000000"/>
          <w:lang w:eastAsia="en-US"/>
        </w:rPr>
      </w:pPr>
      <w:r w:rsidRPr="00373726">
        <w:rPr>
          <w:rFonts w:eastAsia="TimesNewRomanPSMT"/>
          <w:color w:val="000000"/>
          <w:lang w:eastAsia="en-US"/>
        </w:rPr>
        <w:t>Хотя этиология РА неизвестна, риск развития заболевания связан с широким спектром генетических, гормональных и внешнесредовых (курение, загрязнение воздуха, инфекционные агенты) и метаболических (дефицит витамина D, ожирение, низкое потребление полиненасыщенных жирных кислот) факторов, а также на</w:t>
      </w:r>
      <w:r w:rsidR="003239B1">
        <w:rPr>
          <w:rFonts w:eastAsia="TimesNewRomanPSMT"/>
          <w:color w:val="000000"/>
          <w:lang w:eastAsia="en-US"/>
        </w:rPr>
        <w:t>рушениями микробиоты кишечника, ротовой полости и легких</w:t>
      </w:r>
      <w:r w:rsidRPr="00373726">
        <w:rPr>
          <w:rFonts w:eastAsia="TimesNewRomanPSMT"/>
          <w:color w:val="000000"/>
          <w:lang w:eastAsia="en-US"/>
        </w:rPr>
        <w:t xml:space="preserve">. Патогенез РА определяется сложным взаимодействием факторов внешней среды и генетической предрасположенности, ведущих к глобальным нарушениям в системе врожденного и приобретенного иммунитета, которые выявляются задолго до развития клинических симптомов болезни </w:t>
      </w:r>
      <w:r w:rsidR="00121608" w:rsidRPr="00373726">
        <w:rPr>
          <w:rFonts w:eastAsia="TimesNewRomanPSMT"/>
          <w:color w:val="000000"/>
          <w:lang w:eastAsia="en-US"/>
        </w:rPr>
        <w:fldChar w:fldCharType="begin"/>
      </w:r>
      <w:r w:rsidR="00D21480" w:rsidRPr="00373726">
        <w:rPr>
          <w:rFonts w:eastAsia="TimesNewRomanPSMT"/>
          <w:color w:val="000000"/>
          <w:lang w:eastAsia="en-US"/>
        </w:rPr>
        <w:instrText xml:space="preserve"> ADDIN ZOTERO_ITEM CSL_CITATION {"citationID":"4z9qvZbE","properties":{"formattedCitation":"[4,6]","plainCitation":"[4,6]","noteIndex":0},"citationItems":[{"id":3505,"uris":["http://zotero.org/groups/4514912/items/9H5NGQ2R"],"uri":["http://zotero.org/groups/4514912/items/9H5NGQ2R"],"itemData":{"id":3505,"type":"article","title":"Mclnnes IB, Schett G. Pathogenetic insights from the treatment of rheumatoid arthritis. Lancet. 2017; 389(10086): 2328-2337. doi: 10.1016/S0140-6736(17)31472-1"},"label":"page"},{"id":3508,"uris":["http://zotero.org/groups/4514912/items/BDBJ8XIQ"],"uri":["http://zotero.org/groups/4514912/items/BDBJ8XIQ"],"itemData":{"id":3508,"type":"article","title":"Cutolo M, Kitas GD, van Riel PLCM. Burden of disease in treated rheumatoid arthritis patients: going beyond the joint. Semin Arthritis Rheum 2014; 43: 479-488. https://doi.org/10.1016/j.semarthrit.2013.08.004"},"label":"page"}],"schema":"https://github.com/citation-style-language/schema/raw/master/csl-citation.json"} </w:instrText>
      </w:r>
      <w:r w:rsidR="00121608" w:rsidRPr="00373726">
        <w:rPr>
          <w:rFonts w:eastAsia="TimesNewRomanPSMT"/>
          <w:color w:val="000000"/>
          <w:lang w:eastAsia="en-US"/>
        </w:rPr>
        <w:fldChar w:fldCharType="separate"/>
      </w:r>
      <w:r w:rsidR="00D21480" w:rsidRPr="00373726">
        <w:t>[4,6]</w:t>
      </w:r>
      <w:r w:rsidR="00121608" w:rsidRPr="00373726">
        <w:rPr>
          <w:rFonts w:eastAsia="TimesNewRomanPSMT"/>
          <w:color w:val="000000"/>
          <w:lang w:eastAsia="en-US"/>
        </w:rPr>
        <w:fldChar w:fldCharType="end"/>
      </w:r>
      <w:r w:rsidR="00121608" w:rsidRPr="00373726">
        <w:rPr>
          <w:rFonts w:eastAsia="TimesNewRomanPSMT"/>
          <w:color w:val="000000"/>
          <w:lang w:eastAsia="en-US"/>
        </w:rPr>
        <w:t>.</w:t>
      </w:r>
    </w:p>
    <w:p w14:paraId="17472785" w14:textId="64F3A1C7" w:rsidR="00E9007A" w:rsidRPr="00373726" w:rsidRDefault="00E9007A" w:rsidP="006870C6">
      <w:pPr>
        <w:autoSpaceDE w:val="0"/>
        <w:autoSpaceDN w:val="0"/>
        <w:adjustRightInd w:val="0"/>
        <w:spacing w:after="0" w:line="240" w:lineRule="auto"/>
        <w:ind w:firstLine="708"/>
        <w:contextualSpacing/>
        <w:rPr>
          <w:rFonts w:eastAsia="TimesNewRomanPSMT"/>
          <w:color w:val="000000"/>
          <w:lang w:eastAsia="en-US"/>
        </w:rPr>
      </w:pPr>
      <w:r w:rsidRPr="00373726">
        <w:rPr>
          <w:rFonts w:eastAsia="TimesNewRomanPSMT"/>
          <w:color w:val="000000"/>
          <w:lang w:eastAsia="en-US"/>
        </w:rPr>
        <w:t>РА является частым и одним из наиболее тяжелых иммуновоспалительных заболеваний человека, что определяет большое медицинское и социально-экономическое значение этой патологии</w:t>
      </w:r>
      <w:r w:rsidR="00121608" w:rsidRPr="00373726">
        <w:rPr>
          <w:rFonts w:eastAsia="TimesNewRomanPSMT"/>
          <w:color w:val="000000"/>
          <w:lang w:eastAsia="en-US"/>
        </w:rPr>
        <w:t xml:space="preserve"> </w:t>
      </w:r>
      <w:r w:rsidR="00121608" w:rsidRPr="00373726">
        <w:rPr>
          <w:rFonts w:eastAsia="TimesNewRomanPSMT"/>
          <w:color w:val="000000"/>
          <w:lang w:eastAsia="en-US"/>
        </w:rPr>
        <w:fldChar w:fldCharType="begin"/>
      </w:r>
      <w:r w:rsidR="00D21480" w:rsidRPr="00373726">
        <w:rPr>
          <w:rFonts w:eastAsia="TimesNewRomanPSMT"/>
          <w:color w:val="000000"/>
          <w:lang w:eastAsia="en-US"/>
        </w:rPr>
        <w:instrText xml:space="preserve"> ADDIN ZOTERO_ITEM CSL_CITATION {"citationID":"iQjf9eVb","properties":{"formattedCitation":"[6]","plainCitation":"[6]","noteIndex":0},"citationItems":[{"id":3508,"uris":["http://zotero.org/groups/4514912/items/BDBJ8XIQ"],"uri":["http://zotero.org/groups/4514912/items/BDBJ8XIQ"],"itemData":{"id":3508,"type":"article","title":"Cutolo M, Kitas GD, van Riel PLCM. Burden of disease in treated rheumatoid arthritis patients: going beyond the joint. Semin Arthritis Rheum 2014; 43: 479-488. https://doi.org/10.1016/j.semarthrit.2013.08.004"}}],"schema":"https://github.com/citation-style-language/schema/raw/master/csl-citation.json"} </w:instrText>
      </w:r>
      <w:r w:rsidR="00121608" w:rsidRPr="00373726">
        <w:rPr>
          <w:rFonts w:eastAsia="TimesNewRomanPSMT"/>
          <w:color w:val="000000"/>
          <w:lang w:eastAsia="en-US"/>
        </w:rPr>
        <w:fldChar w:fldCharType="separate"/>
      </w:r>
      <w:r w:rsidR="00D21480" w:rsidRPr="00373726">
        <w:t>[6]</w:t>
      </w:r>
      <w:r w:rsidR="00121608" w:rsidRPr="00373726">
        <w:rPr>
          <w:rFonts w:eastAsia="TimesNewRomanPSMT"/>
          <w:color w:val="000000"/>
          <w:lang w:eastAsia="en-US"/>
        </w:rPr>
        <w:fldChar w:fldCharType="end"/>
      </w:r>
      <w:r w:rsidRPr="00373726">
        <w:rPr>
          <w:rFonts w:eastAsia="TimesNewRomanPSMT"/>
          <w:color w:val="000000"/>
          <w:lang w:eastAsia="en-US"/>
        </w:rPr>
        <w:t xml:space="preserve">. Распространённость РА среди взрослого населения в разных географических зонах мира колеблется от 0,5 до 2% </w:t>
      </w:r>
      <w:r w:rsidR="00121608" w:rsidRPr="00373726">
        <w:rPr>
          <w:rFonts w:eastAsia="TimesNewRomanPSMT"/>
          <w:color w:val="000000"/>
          <w:lang w:eastAsia="en-US"/>
        </w:rPr>
        <w:fldChar w:fldCharType="begin"/>
      </w:r>
      <w:r w:rsidR="00D21480" w:rsidRPr="00373726">
        <w:rPr>
          <w:rFonts w:eastAsia="TimesNewRomanPSMT"/>
          <w:color w:val="000000"/>
          <w:lang w:eastAsia="en-US"/>
        </w:rPr>
        <w:instrText xml:space="preserve"> ADDIN ZOTERO_ITEM CSL_CITATION {"citationID":"BPa9IasZ","properties":{"unsorted":true,"formattedCitation":"[2,7]","plainCitation":"[2,7]","noteIndex":0},"citationItems":[{"id":3504,"uris":["http://zotero.org/groups/4514912/items/PJXIRLDM"],"uri":["http://zotero.org/groups/4514912/items/PJXIRLDM"],"itemData":{"id":3504,"type":"article-journal","title":"Smolen JS, Aletaha D, Mclnnes IB. Rheumatoid arthritis. Lancet 2016; 22; 388(10055): 2023-2038. doi: 10.1016/S0140-6736(16)30173-8"},"label":"page"},{"id":3509,"uris":["http://zotero.org/groups/4514912/items/V3AVU7FA"],"uri":["http://zotero.org/groups/4514912/items/V3AVU7FA"],"itemData":{"id":3509,"type":"article-journal","title":"van der Woude D, van der Helm-van Mil AHM. Update on the epidemiology, risk factors, and disease outcomes of rheumatoid arthritis. Best Pract Res Clin Rheumatol. 2018; 32(2): 174-187. doi: 10.1016/j.berh.2018.10.005."},"label":"page"}],"schema":"https://github.com/citation-style-language/schema/raw/master/csl-citation.json"} </w:instrText>
      </w:r>
      <w:r w:rsidR="00121608" w:rsidRPr="00373726">
        <w:rPr>
          <w:rFonts w:eastAsia="TimesNewRomanPSMT"/>
          <w:color w:val="000000"/>
          <w:lang w:eastAsia="en-US"/>
        </w:rPr>
        <w:fldChar w:fldCharType="separate"/>
      </w:r>
      <w:r w:rsidR="00D21480" w:rsidRPr="00373726">
        <w:t>[2,7]</w:t>
      </w:r>
      <w:r w:rsidR="00121608" w:rsidRPr="00373726">
        <w:rPr>
          <w:rFonts w:eastAsia="TimesNewRomanPSMT"/>
          <w:color w:val="000000"/>
          <w:lang w:eastAsia="en-US"/>
        </w:rPr>
        <w:fldChar w:fldCharType="end"/>
      </w:r>
      <w:r w:rsidRPr="00373726">
        <w:rPr>
          <w:rFonts w:eastAsia="TimesNewRomanPSMT"/>
          <w:color w:val="000000"/>
          <w:lang w:eastAsia="en-US"/>
        </w:rPr>
        <w:t>. По данным официальной статистики, в 2017 году в России зарегистрировано более 300 тысяч пациентов с РА, в то время как по данным Российского эпидемиологического исследования РА страдает около 0,6% от общей популяции</w:t>
      </w:r>
      <w:r w:rsidR="00BA28C5" w:rsidRPr="00373726">
        <w:rPr>
          <w:rFonts w:eastAsia="TimesNewRomanPSMT"/>
          <w:color w:val="000000"/>
          <w:lang w:eastAsia="en-US"/>
        </w:rPr>
        <w:t xml:space="preserve"> </w:t>
      </w:r>
      <w:r w:rsidR="00BA28C5" w:rsidRPr="00373726">
        <w:rPr>
          <w:rFonts w:eastAsia="TimesNewRomanPSMT"/>
          <w:color w:val="000000"/>
          <w:lang w:eastAsia="en-US"/>
        </w:rPr>
        <w:fldChar w:fldCharType="begin"/>
      </w:r>
      <w:r w:rsidR="00D21480" w:rsidRPr="00373726">
        <w:rPr>
          <w:rFonts w:eastAsia="TimesNewRomanPSMT"/>
          <w:color w:val="000000"/>
          <w:lang w:eastAsia="en-US"/>
        </w:rPr>
        <w:instrText xml:space="preserve"> ADDIN ZOTERO_ITEM CSL_CITATION {"citationID":"hQHXiihB","properties":{"formattedCitation":"[8]","plainCitation":"[8]","noteIndex":0},"citationItems":[{"id":3510,"uris":["http://zotero.org/groups/4514912/items/B647NFKE"],"uri":["http://zotero.org/groups/4514912/items/B647NFKE"],"itemData":{"id":3510,"type":"article","title":"Общая заболеваемость взрослого населения России в 2017 г. Статистические материалы, часть IV, Mocквa. 2018. https://www.rosminzdrav.ru/ministry/61/22/stranitsa-979/statisticheskie-i-informatsionnye-materialy/statisticheskiy-sbomik-2017-god"}}],"schema":"https://github.com/citation-style-language/schema/raw/master/csl-citation.json"} </w:instrText>
      </w:r>
      <w:r w:rsidR="00BA28C5" w:rsidRPr="00373726">
        <w:rPr>
          <w:rFonts w:eastAsia="TimesNewRomanPSMT"/>
          <w:color w:val="000000"/>
          <w:lang w:eastAsia="en-US"/>
        </w:rPr>
        <w:fldChar w:fldCharType="separate"/>
      </w:r>
      <w:r w:rsidR="00D21480" w:rsidRPr="00373726">
        <w:t>[8]</w:t>
      </w:r>
      <w:r w:rsidR="00BA28C5" w:rsidRPr="00373726">
        <w:rPr>
          <w:rFonts w:eastAsia="TimesNewRomanPSMT"/>
          <w:color w:val="000000"/>
          <w:lang w:eastAsia="en-US"/>
        </w:rPr>
        <w:fldChar w:fldCharType="end"/>
      </w:r>
      <w:r w:rsidR="00BA28C5" w:rsidRPr="00373726">
        <w:rPr>
          <w:rFonts w:eastAsia="TimesNewRomanPSMT"/>
          <w:color w:val="000000"/>
          <w:lang w:eastAsia="en-US"/>
        </w:rPr>
        <w:t xml:space="preserve">. </w:t>
      </w:r>
      <w:r w:rsidRPr="00373726">
        <w:rPr>
          <w:rFonts w:eastAsia="TimesNewRomanPSMT"/>
          <w:color w:val="000000"/>
          <w:lang w:eastAsia="en-US"/>
        </w:rPr>
        <w:t xml:space="preserve">Заболевание встречается во всех возрастных группах, но пик заболеваемости приходится на наиболее трудоспособный возраст </w:t>
      </w:r>
      <w:r w:rsidR="00121608" w:rsidRPr="00373726">
        <w:rPr>
          <w:rFonts w:eastAsia="TimesNewRomanPSMT"/>
          <w:color w:val="000000"/>
          <w:lang w:eastAsia="en-US"/>
        </w:rPr>
        <w:t>–</w:t>
      </w:r>
      <w:r w:rsidRPr="00373726">
        <w:rPr>
          <w:rFonts w:eastAsia="TimesNewRomanPSMT"/>
          <w:color w:val="000000"/>
          <w:lang w:eastAsia="en-US"/>
        </w:rPr>
        <w:t xml:space="preserve"> 40</w:t>
      </w:r>
      <w:r w:rsidR="00121608" w:rsidRPr="00373726">
        <w:rPr>
          <w:rFonts w:eastAsia="TimesNewRomanPSMT"/>
          <w:color w:val="000000"/>
          <w:lang w:eastAsia="en-US"/>
        </w:rPr>
        <w:t>–</w:t>
      </w:r>
      <w:r w:rsidRPr="00373726">
        <w:rPr>
          <w:rFonts w:eastAsia="TimesNewRomanPSMT"/>
          <w:color w:val="000000"/>
          <w:lang w:eastAsia="en-US"/>
        </w:rPr>
        <w:t>55 лет</w:t>
      </w:r>
      <w:r w:rsidR="00BA28C5" w:rsidRPr="00373726">
        <w:rPr>
          <w:rFonts w:eastAsia="TimesNewRomanPSMT"/>
          <w:color w:val="000000"/>
          <w:lang w:eastAsia="en-US"/>
        </w:rPr>
        <w:t xml:space="preserve"> </w:t>
      </w:r>
      <w:r w:rsidR="00BA28C5" w:rsidRPr="00373726">
        <w:rPr>
          <w:rFonts w:eastAsia="TimesNewRomanPSMT"/>
          <w:color w:val="000000"/>
          <w:lang w:eastAsia="en-US"/>
        </w:rPr>
        <w:fldChar w:fldCharType="begin"/>
      </w:r>
      <w:r w:rsidR="00D21480" w:rsidRPr="00373726">
        <w:rPr>
          <w:rFonts w:eastAsia="TimesNewRomanPSMT"/>
          <w:color w:val="000000"/>
          <w:lang w:eastAsia="en-US"/>
        </w:rPr>
        <w:instrText xml:space="preserve"> ADDIN ZOTERO_ITEM CSL_CITATION {"citationID":"aq6vcWIu","properties":{"formattedCitation":"[6]","plainCitation":"[6]","noteIndex":0},"citationItems":[{"id":3508,"uris":["http://zotero.org/groups/4514912/items/BDBJ8XIQ"],"uri":["http://zotero.org/groups/4514912/items/BDBJ8XIQ"],"itemData":{"id":3508,"type":"article","title":"Cutolo M, Kitas GD, van Riel PLCM. Burden of disease in treated rheumatoid arthritis patients: going beyond the joint. Semin Arthritis Rheum 2014; 43: 479-488. https://doi.org/10.1016/j.semarthrit.2013.08.004"}}],"schema":"https://github.com/citation-style-language/schema/raw/master/csl-citation.json"} </w:instrText>
      </w:r>
      <w:r w:rsidR="00BA28C5" w:rsidRPr="00373726">
        <w:rPr>
          <w:rFonts w:eastAsia="TimesNewRomanPSMT"/>
          <w:color w:val="000000"/>
          <w:lang w:eastAsia="en-US"/>
        </w:rPr>
        <w:fldChar w:fldCharType="separate"/>
      </w:r>
      <w:r w:rsidR="00D21480" w:rsidRPr="00373726">
        <w:t>[6]</w:t>
      </w:r>
      <w:r w:rsidR="00BA28C5" w:rsidRPr="00373726">
        <w:rPr>
          <w:rFonts w:eastAsia="TimesNewRomanPSMT"/>
          <w:color w:val="000000"/>
          <w:lang w:eastAsia="en-US"/>
        </w:rPr>
        <w:fldChar w:fldCharType="end"/>
      </w:r>
      <w:r w:rsidRPr="00373726">
        <w:rPr>
          <w:rFonts w:eastAsia="TimesNewRomanPSMT"/>
          <w:color w:val="000000"/>
          <w:lang w:eastAsia="en-US"/>
        </w:rPr>
        <w:t>.</w:t>
      </w:r>
    </w:p>
    <w:p w14:paraId="5DDE6304" w14:textId="6225D580" w:rsidR="00BA28C5" w:rsidRDefault="00BA28C5" w:rsidP="006870C6">
      <w:pPr>
        <w:autoSpaceDE w:val="0"/>
        <w:autoSpaceDN w:val="0"/>
        <w:adjustRightInd w:val="0"/>
        <w:spacing w:after="0" w:line="240" w:lineRule="auto"/>
        <w:ind w:firstLine="708"/>
        <w:contextualSpacing/>
      </w:pPr>
      <w:r w:rsidRPr="00373726">
        <w:rPr>
          <w:rFonts w:eastAsia="TimesNewRomanPSMT"/>
          <w:color w:val="000000"/>
          <w:lang w:eastAsia="en-US"/>
        </w:rPr>
        <w:t xml:space="preserve">Атопический дерматит (АД) – </w:t>
      </w:r>
      <w:r w:rsidRPr="00373726">
        <w:t>мультифакторное генетически детерминированное воспалительное заболевание кожи, характеризующееся зудом, хроническим</w:t>
      </w:r>
      <w:r>
        <w:t xml:space="preserve"> рецидивирующим течением, возрастными особенностями локализации и морфологии очагов поражения</w:t>
      </w:r>
      <w:r w:rsidR="004F3464">
        <w:t xml:space="preserve"> </w:t>
      </w:r>
      <w:r w:rsidR="004F3464" w:rsidRPr="004F3464">
        <w:rPr>
          <w:highlight w:val="cyan"/>
        </w:rPr>
        <w:fldChar w:fldCharType="begin"/>
      </w:r>
      <w:r w:rsidR="00373726">
        <w:rPr>
          <w:highlight w:val="cyan"/>
        </w:rPr>
        <w:instrText xml:space="preserve"> ADDIN ZOTERO_ITEM CSL_CITATION {"citationID":"CS4hYWzH","properties":{"formattedCitation":"[9]","plainCitation":"[9]","noteIndex":0},"citationItems":[{"id":3511,"uris":["http://zotero.org/groups/4514912/items/97KG76DG"],"uri":["http://zotero.org/groups/4514912/items/97KG76DG"],"itemData":{"id":3511,"type":"article","title":"Министерство здравоохранения Российской Федерации. Клинические рекомендации. Атопический дерматит. 2020"}}],"schema":"https://github.com/citation-style-language/schema/raw/master/csl-citation.json"} </w:instrText>
      </w:r>
      <w:r w:rsidR="004F3464" w:rsidRPr="004F3464">
        <w:rPr>
          <w:highlight w:val="cyan"/>
        </w:rPr>
        <w:fldChar w:fldCharType="separate"/>
      </w:r>
      <w:r w:rsidR="00D21480" w:rsidRPr="00D21480">
        <w:t>[9]</w:t>
      </w:r>
      <w:r w:rsidR="004F3464" w:rsidRPr="004F3464">
        <w:rPr>
          <w:highlight w:val="cyan"/>
        </w:rPr>
        <w:fldChar w:fldCharType="end"/>
      </w:r>
      <w:r>
        <w:t>.</w:t>
      </w:r>
    </w:p>
    <w:p w14:paraId="450C5B4C" w14:textId="0B90295F" w:rsidR="004F3464" w:rsidRPr="00372759" w:rsidRDefault="004F3464" w:rsidP="006870C6">
      <w:pPr>
        <w:autoSpaceDE w:val="0"/>
        <w:autoSpaceDN w:val="0"/>
        <w:adjustRightInd w:val="0"/>
        <w:spacing w:after="0" w:line="240" w:lineRule="auto"/>
        <w:ind w:firstLine="708"/>
        <w:contextualSpacing/>
      </w:pPr>
      <w:r>
        <w:t xml:space="preserve">К генетическим факторам развития атопического дерматита относят наличие мутации гена филаггрина в нарушении функции эпидермального барьера при атопическом </w:t>
      </w:r>
      <w:r w:rsidRPr="00373726">
        <w:t xml:space="preserve">дерматите, а также семейный анамнез аллергических заболеваний </w:t>
      </w:r>
      <w:r w:rsidRPr="00373726">
        <w:fldChar w:fldCharType="begin"/>
      </w:r>
      <w:r w:rsidR="00D21480" w:rsidRPr="00373726">
        <w:instrText xml:space="preserve"> ADDIN ZOTERO_ITEM CSL_CITATION {"citationID":"MInVB33X","properties":{"formattedCitation":"[10]","plainCitation":"[10]","noteIndex":0},"citationItems":[{"id":3512,"uris":["http://zotero.org/groups/4514912/items/75QPZBH6"],"uri":["http://zotero.org/groups/4514912/items/75QPZBH6"],"itemData":{"id":3512,"type":"article-journal","title":"Palmer C.N., Irvine A.D., Terron-Kwiatkowski A. et al. Common loss-of-function variants of the epidermal barrier protein filaggrin are a major predisposing factor for atopic dermatitis. Nat. Genet. 2006; 38: 441–446."}}],"schema":"https://github.com/citation-style-language/schema/raw/master/csl-citation.json"} </w:instrText>
      </w:r>
      <w:r w:rsidRPr="00373726">
        <w:fldChar w:fldCharType="separate"/>
      </w:r>
      <w:r w:rsidR="00D21480" w:rsidRPr="00373726">
        <w:t>[10]</w:t>
      </w:r>
      <w:r w:rsidRPr="00373726">
        <w:fldChar w:fldCharType="end"/>
      </w:r>
      <w:r w:rsidRPr="00373726">
        <w:t>. С дефектами иммунной системы связано развитие воспалительной реакции в коже с участием Т-лимфоцитов. В острую фазу заболевания преобладает Th2-ответ, когда происходит</w:t>
      </w:r>
      <w:r>
        <w:t xml:space="preserve"> стимуляция Th2-клеток с последующей гиперпродукцией иммуноглобулина (Ig) E; в хроническую – происходит переключение с Th2- на Th1-иммунный ответ </w:t>
      </w:r>
      <w:r>
        <w:fldChar w:fldCharType="begin"/>
      </w:r>
      <w:r w:rsidR="00D21480">
        <w:instrText xml:space="preserve"> ADDIN ZOTERO_ITEM CSL_CITATION {"citationID":"DrAgBY9W","properties":{"formattedCitation":"[11]","plainCitation":"[11]","noteIndex":0},"citationItems":[{"id":3513,"uris":["http://zotero.org/groups/4514912/items/9YGUBSSS"],"uri":["http://zotero.org/groups/4514912/items/9YGUBSSS"],"itemData":{"id":3513,"type":"article","title":"McGirtL.Y., Beck L.A. Innate immune defects in atopic dermatitis. J Allergy Clin Immunol. 2006; 118: 202–208"}}],"schema":"https://github.com/citation-style-language/schema/raw/master/csl-citation.json"} </w:instrText>
      </w:r>
      <w:r>
        <w:fldChar w:fldCharType="separate"/>
      </w:r>
      <w:r w:rsidR="00D21480" w:rsidRPr="00D21480">
        <w:t>[11]</w:t>
      </w:r>
      <w:r>
        <w:fldChar w:fldCharType="end"/>
      </w:r>
      <w:r>
        <w:t>. Ключевыми цитокинами, вовлеченными в патофизиологические механизмы атопического дерматита, являются интелейкины (</w:t>
      </w:r>
      <w:r>
        <w:rPr>
          <w:lang w:val="en-US"/>
        </w:rPr>
        <w:t>IL</w:t>
      </w:r>
      <w:r>
        <w:t>) -4, -5, -13, -31 и интерферон (</w:t>
      </w:r>
      <w:r>
        <w:rPr>
          <w:lang w:val="en-US"/>
        </w:rPr>
        <w:t>INF</w:t>
      </w:r>
      <w:r>
        <w:t xml:space="preserve">)-γ, которым для передачи сигнала требуется участие сигнальной системы JAK1 </w:t>
      </w:r>
      <w:r>
        <w:fldChar w:fldCharType="begin"/>
      </w:r>
      <w:r w:rsidR="00D21480">
        <w:instrText xml:space="preserve"> ADDIN ZOTERO_ITEM CSL_CITATION {"citationID":"FDHzqzpk","properties":{"formattedCitation":"[12]","plainCitation":"[12]","noteIndex":0},"citationItems":[{"id":3514,"uris":["http://zotero.org/groups/4514912/items/AHNWS62X"],"uri":["http://zotero.org/groups/4514912/items/AHNWS62X"],"itemData":{"id":3514,"type":"article","title":"Bao L., Zhang H., Chan L.S. The involvement of the JAK-STAT signaling pathway in chronic inflammatory skin disease atopic dermatitis. JAKSTAT. 2013; 2(3) e24137"}}],"schema":"https://github.com/citation-style-language/schema/raw/master/csl-citation.json"} </w:instrText>
      </w:r>
      <w:r>
        <w:fldChar w:fldCharType="separate"/>
      </w:r>
      <w:r w:rsidR="00D21480" w:rsidRPr="00D21480">
        <w:t>[12]</w:t>
      </w:r>
      <w:r>
        <w:fldChar w:fldCharType="end"/>
      </w:r>
      <w:r>
        <w:t xml:space="preserve">. Во многих исследованиях описана патогенетическая роль </w:t>
      </w:r>
      <w:r>
        <w:rPr>
          <w:lang w:val="en-US"/>
        </w:rPr>
        <w:t>IL</w:t>
      </w:r>
      <w:r>
        <w:t xml:space="preserve">-4 в развитии аллерген-специфических IgE-опосредованных реакций при АД, которая заключается в переключении синтеза антител на </w:t>
      </w:r>
      <w:r w:rsidRPr="00372759">
        <w:t xml:space="preserve">IgE </w:t>
      </w:r>
      <w:r w:rsidRPr="00372759">
        <w:fldChar w:fldCharType="begin"/>
      </w:r>
      <w:r w:rsidR="00D21480" w:rsidRPr="00372759">
        <w:instrText xml:space="preserve"> ADDIN ZOTERO_ITEM CSL_CITATION {"citationID":"xELj5YX4","properties":{"formattedCitation":"[13]","plainCitation":"[13]","noteIndex":0},"citationItems":[{"id":3515,"uris":["http://zotero.org/groups/4514912/items/8VMGX46E"],"uri":["http://zotero.org/groups/4514912/items/8VMGX46E"],"itemData":{"id":3515,"type":"article","title":"Gandhi N.A., Pirozzi G., Graham N.M. Commonality of the IL-4/IL-13 pathway in atopic diseases. Expert Rev Clin Immunol. 2017; 13 (5): 425–437."}}],"schema":"https://github.com/citation-style-language/schema/raw/master/csl-citation.json"} </w:instrText>
      </w:r>
      <w:r w:rsidRPr="00372759">
        <w:fldChar w:fldCharType="separate"/>
      </w:r>
      <w:r w:rsidR="00D21480" w:rsidRPr="00372759">
        <w:t>[13]</w:t>
      </w:r>
      <w:r w:rsidRPr="00372759">
        <w:fldChar w:fldCharType="end"/>
      </w:r>
      <w:r w:rsidRPr="00372759">
        <w:t xml:space="preserve">. Доказана роль аллергии к клещам домашней пыли, энтеротоксинам золотистого стафилококка, плесневым грибам, а также IgE-аутореактивности в механизмах развития заболевания </w:t>
      </w:r>
      <w:r w:rsidRPr="00372759">
        <w:fldChar w:fldCharType="begin"/>
      </w:r>
      <w:r w:rsidR="00D21480" w:rsidRPr="00372759">
        <w:instrText xml:space="preserve"> ADDIN ZOTERO_ITEM CSL_CITATION {"citationID":"LTswRQZp","properties":{"formattedCitation":"[14]","plainCitation":"[14]","noteIndex":0},"citationItems":[{"id":3516,"uris":["http://zotero.org/groups/4514912/items/5R4SI4WN"],"uri":["http://zotero.org/groups/4514912/items/5R4SI4WN"],"itemData":{"id":3516,"type":"article","title":"Werfel T., Allam J.P., Biedermann T. et al. Cellular and molecular immunologic mechanisms in patients with atopic dermatitis. J Allergy Clin Immunol 2016; 138: 336–349."}}],"schema":"https://github.com/citation-style-language/schema/raw/master/csl-citation.json"} </w:instrText>
      </w:r>
      <w:r w:rsidRPr="00372759">
        <w:fldChar w:fldCharType="separate"/>
      </w:r>
      <w:r w:rsidR="00D21480" w:rsidRPr="00372759">
        <w:t>[14]</w:t>
      </w:r>
      <w:r w:rsidRPr="00372759">
        <w:fldChar w:fldCharType="end"/>
      </w:r>
      <w:r w:rsidRPr="00372759">
        <w:t>.</w:t>
      </w:r>
    </w:p>
    <w:p w14:paraId="76EB43E9" w14:textId="6AA39ADF" w:rsidR="004F3464" w:rsidRPr="00372759" w:rsidRDefault="00442ED1" w:rsidP="006870C6">
      <w:pPr>
        <w:autoSpaceDE w:val="0"/>
        <w:autoSpaceDN w:val="0"/>
        <w:adjustRightInd w:val="0"/>
        <w:spacing w:after="0" w:line="240" w:lineRule="auto"/>
        <w:ind w:firstLine="708"/>
        <w:contextualSpacing/>
        <w:rPr>
          <w:rFonts w:eastAsia="TimesNewRomanPSMT"/>
          <w:color w:val="000000"/>
          <w:lang w:eastAsia="en-US"/>
        </w:rPr>
      </w:pPr>
      <w:r w:rsidRPr="00372759">
        <w:t>АД</w:t>
      </w:r>
      <w:r w:rsidR="004F3464" w:rsidRPr="00372759">
        <w:t xml:space="preserve"> – одно из наиболее распространенных заболеваний (от 20% до 40% в структуре кожных заболеваний), встречающееся во всех странах, у лиц обоего пола и в разных возрастных группах. Распространенность атопического дерматита среди детского населения составляет до 20%, среди взрослого населения – 2</w:t>
      </w:r>
      <w:r w:rsidRPr="00372759">
        <w:t>–</w:t>
      </w:r>
      <w:r w:rsidR="004F3464" w:rsidRPr="00372759">
        <w:t>8%</w:t>
      </w:r>
      <w:r w:rsidRPr="00372759">
        <w:t xml:space="preserve"> </w:t>
      </w:r>
      <w:r w:rsidRPr="00372759">
        <w:fldChar w:fldCharType="begin"/>
      </w:r>
      <w:r w:rsidR="00D21480" w:rsidRPr="00372759">
        <w:instrText xml:space="preserve"> ADDIN ZOTERO_ITEM CSL_CITATION {"citationID":"Ss8M7izW","properties":{"formattedCitation":"[15]","plainCitation":"[15]","noteIndex":0},"citationItems":[{"id":3517,"uris":["http://zotero.org/groups/4514912/items/EVJYQAIM"],"uri":["http://zotero.org/groups/4514912/items/EVJYQAIM"],"itemData":{"id":3517,"type":"article-journal","title":"Wollenberg A., Barbarot S., Bieber T. et al. Consensus-based European guidelines for treatment of atopic eczema (atopic dermatitis) in adults and children: part I.J Eur Acad Dermatol Venereol. 2018; 32 (5): 657–682."}}],"schema":"https://github.com/citation-style-language/schema/raw/master/csl-citation.json"} </w:instrText>
      </w:r>
      <w:r w:rsidRPr="00372759">
        <w:fldChar w:fldCharType="separate"/>
      </w:r>
      <w:r w:rsidR="00D21480" w:rsidRPr="00372759">
        <w:t>[15]</w:t>
      </w:r>
      <w:r w:rsidRPr="00372759">
        <w:fldChar w:fldCharType="end"/>
      </w:r>
      <w:r w:rsidR="004F3464" w:rsidRPr="00372759">
        <w:t>. Согласно данным Федерального статистического наблюдения в 2018 году в Российской Федерации заболеваемость атопическим дерматитом составила 188,2 случа</w:t>
      </w:r>
      <w:r w:rsidRPr="00372759">
        <w:t>я</w:t>
      </w:r>
      <w:r w:rsidR="004F3464" w:rsidRPr="00372759">
        <w:t xml:space="preserve"> на 100000 населения, а распространенность – 426,3 случая на 100000 всего населения. Среди детей в возр</w:t>
      </w:r>
      <w:r w:rsidR="003239B1">
        <w:t xml:space="preserve">асте </w:t>
      </w:r>
      <w:r w:rsidR="004F3464" w:rsidRPr="00372759">
        <w:t>до 14 лет заболеваемость атопическим дерматитом составила 774,4 случа</w:t>
      </w:r>
      <w:r w:rsidRPr="00372759">
        <w:t>я</w:t>
      </w:r>
      <w:r w:rsidR="004F3464" w:rsidRPr="00372759">
        <w:t xml:space="preserve"> на 100000 соответствующего населения, а распространенность – 1589,4 случаев на 100000 всего населения. Заболеваемость атопическим дерматитом среди детей в возрасте от 15 до 17 </w:t>
      </w:r>
      <w:r w:rsidR="004F3464" w:rsidRPr="00372759">
        <w:lastRenderedPageBreak/>
        <w:t>лет в Российской Федерации составила 374,1 случаев на 100000 соответствующего населения, распространенность – 1134,0 случаев на 100000 соответствующего населения</w:t>
      </w:r>
      <w:r w:rsidRPr="00372759">
        <w:t xml:space="preserve"> </w:t>
      </w:r>
      <w:r w:rsidRPr="00372759">
        <w:fldChar w:fldCharType="begin"/>
      </w:r>
      <w:r w:rsidR="00D21480" w:rsidRPr="00372759">
        <w:instrText xml:space="preserve"> ADDIN ZOTERO_ITEM CSL_CITATION {"citationID":"2L457lT2","properties":{"formattedCitation":"[16]","plainCitation":"[16]","noteIndex":0},"citationItems":[{"id":3518,"uris":["http://zotero.org/groups/4514912/items/88GLKM8I"],"uri":["http://zotero.org/groups/4514912/items/88GLKM8I"],"itemData":{"id":3518,"type":"article","title":"Кубанов А.А., Богданова Е.В. Организация и результаты оказания медицинской помощи по профилю дерматовенерология в Российской Федерации. Итоги 2018 года. Вестник дерматологии и венерологии. 2019; 95 (4): 8–23."}}],"schema":"https://github.com/citation-style-language/schema/raw/master/csl-citation.json"} </w:instrText>
      </w:r>
      <w:r w:rsidRPr="00372759">
        <w:fldChar w:fldCharType="separate"/>
      </w:r>
      <w:r w:rsidR="00D21480" w:rsidRPr="00372759">
        <w:t>[16]</w:t>
      </w:r>
      <w:r w:rsidRPr="00372759">
        <w:fldChar w:fldCharType="end"/>
      </w:r>
      <w:r w:rsidR="004F3464" w:rsidRPr="00372759">
        <w:t>.</w:t>
      </w:r>
    </w:p>
    <w:p w14:paraId="6A61581B" w14:textId="64791A55" w:rsidR="00BA28C5" w:rsidRPr="00372759" w:rsidRDefault="00442ED1" w:rsidP="006870C6">
      <w:pPr>
        <w:autoSpaceDE w:val="0"/>
        <w:autoSpaceDN w:val="0"/>
        <w:adjustRightInd w:val="0"/>
        <w:spacing w:after="0" w:line="240" w:lineRule="auto"/>
        <w:ind w:firstLine="708"/>
        <w:contextualSpacing/>
        <w:rPr>
          <w:rFonts w:eastAsia="TimesNewRomanPSMT"/>
          <w:color w:val="000000"/>
          <w:lang w:eastAsia="en-US"/>
        </w:rPr>
      </w:pPr>
      <w:r w:rsidRPr="00372759">
        <w:rPr>
          <w:rFonts w:eastAsia="TimesNewRomanPSMT"/>
          <w:color w:val="000000"/>
          <w:lang w:eastAsia="en-US"/>
        </w:rPr>
        <w:t>Очаговая алопеция (ОА) – хроническое органоспецифическое аутоиммунное воспалительное заболевание с генетической предрасположенностью, характеризующееся поражением волосяных фолликулов и иногда ногтевых пластин (у 7–66% пациентов), стойким или временным нерубцовым выпадением волос.</w:t>
      </w:r>
    </w:p>
    <w:p w14:paraId="098BC1CD" w14:textId="10F6D703" w:rsidR="00442ED1" w:rsidRPr="00372759" w:rsidRDefault="00442ED1" w:rsidP="006870C6">
      <w:pPr>
        <w:autoSpaceDE w:val="0"/>
        <w:autoSpaceDN w:val="0"/>
        <w:adjustRightInd w:val="0"/>
        <w:spacing w:after="0" w:line="240" w:lineRule="auto"/>
        <w:ind w:firstLine="708"/>
        <w:contextualSpacing/>
        <w:rPr>
          <w:rFonts w:eastAsia="TimesNewRomanPSMT"/>
          <w:color w:val="000000"/>
          <w:lang w:eastAsia="en-US"/>
        </w:rPr>
      </w:pPr>
      <w:r w:rsidRPr="00372759">
        <w:rPr>
          <w:rFonts w:eastAsia="TimesNewRomanPSMT"/>
          <w:color w:val="000000"/>
          <w:lang w:eastAsia="en-US"/>
        </w:rPr>
        <w:t xml:space="preserve">В основе развития заболевания предполагается местный аутоиммунный механизм повреждения волосяного фолликула, который ведёт к нарушению иммунной толерантности клеток, образующих фолликул, и прекращению специфической рецепции из его волосяного сосочка </w:t>
      </w:r>
      <w:r w:rsidRPr="00372759">
        <w:rPr>
          <w:rFonts w:eastAsia="TimesNewRomanPSMT"/>
          <w:color w:val="000000"/>
          <w:lang w:eastAsia="en-US"/>
        </w:rPr>
        <w:fldChar w:fldCharType="begin"/>
      </w:r>
      <w:r w:rsidR="00D21480" w:rsidRPr="00372759">
        <w:rPr>
          <w:rFonts w:eastAsia="TimesNewRomanPSMT"/>
          <w:color w:val="000000"/>
          <w:lang w:eastAsia="en-US"/>
        </w:rPr>
        <w:instrText xml:space="preserve"> ADDIN ZOTERO_ITEM CSL_CITATION {"citationID":"ePVLkS6h","properties":{"formattedCitation":"[17]","plainCitation":"[17]","noteIndex":0},"citationItems":[{"id":3520,"uris":["http://zotero.org/groups/4514912/items/H4VMB5R3"],"uri":["http://zotero.org/groups/4514912/items/H4VMB5R3"],"itemData":{"id":3520,"type":"article-journal","title":"Messenger A.G., McKillop J., Farrant P., McDonagh A.J., Sladden M. British Association of Dermatologists’ guidelines for the management of alopecia areata 2012. British Journal of Dermatology 2012; 166: 916-926."}}],"schema":"https://github.com/citation-style-language/schema/raw/master/csl-citation.json"} </w:instrText>
      </w:r>
      <w:r w:rsidRPr="00372759">
        <w:rPr>
          <w:rFonts w:eastAsia="TimesNewRomanPSMT"/>
          <w:color w:val="000000"/>
          <w:lang w:eastAsia="en-US"/>
        </w:rPr>
        <w:fldChar w:fldCharType="separate"/>
      </w:r>
      <w:r w:rsidR="00D21480" w:rsidRPr="00372759">
        <w:t>[17]</w:t>
      </w:r>
      <w:r w:rsidRPr="00372759">
        <w:rPr>
          <w:rFonts w:eastAsia="TimesNewRomanPSMT"/>
          <w:color w:val="000000"/>
          <w:lang w:eastAsia="en-US"/>
        </w:rPr>
        <w:fldChar w:fldCharType="end"/>
      </w:r>
      <w:r w:rsidRPr="00372759">
        <w:rPr>
          <w:rFonts w:eastAsia="TimesNewRomanPSMT"/>
          <w:color w:val="000000"/>
          <w:lang w:eastAsia="en-US"/>
        </w:rPr>
        <w:t>.</w:t>
      </w:r>
    </w:p>
    <w:p w14:paraId="12BF49D8" w14:textId="730C8C13" w:rsidR="00BA28C5" w:rsidRDefault="00442ED1" w:rsidP="006870C6">
      <w:pPr>
        <w:autoSpaceDE w:val="0"/>
        <w:autoSpaceDN w:val="0"/>
        <w:adjustRightInd w:val="0"/>
        <w:spacing w:after="0" w:line="240" w:lineRule="auto"/>
        <w:ind w:firstLine="708"/>
        <w:contextualSpacing/>
        <w:rPr>
          <w:rFonts w:eastAsia="TimesNewRomanPSMT"/>
          <w:color w:val="000000"/>
          <w:lang w:eastAsia="en-US"/>
        </w:rPr>
      </w:pPr>
      <w:r w:rsidRPr="00372759">
        <w:rPr>
          <w:rFonts w:eastAsia="TimesNewRomanPSMT"/>
          <w:color w:val="000000"/>
          <w:lang w:eastAsia="en-US"/>
        </w:rPr>
        <w:t>Предрасположенность к гнездно</w:t>
      </w:r>
      <w:r w:rsidR="003239B1">
        <w:rPr>
          <w:rFonts w:eastAsia="TimesNewRomanPSMT"/>
          <w:color w:val="000000"/>
          <w:lang w:eastAsia="en-US"/>
        </w:rPr>
        <w:t>й алопеции является генетически обусловленной</w:t>
      </w:r>
      <w:r w:rsidRPr="00372759">
        <w:rPr>
          <w:rFonts w:eastAsia="TimesNewRomanPSMT"/>
          <w:color w:val="000000"/>
          <w:lang w:eastAsia="en-US"/>
        </w:rPr>
        <w:t xml:space="preserve">. У 10–20% больных имеется семейный анамнез заболевания, а истинная частота заболевания, вероятно, еще выше, так как легкие случаи могут остаться незамеченными. Генетическая предрасположенность имеет полигенную природу. Прослеживается связь гнездной алопеции с определёнными лейкоцитарными антигенами человека (HLA) аллелями II класса, особенно с DQB1*03 и DRB1*1104. HLA аллели DQB1*0301(HLA-DQ7) и DRB1*1104 (HLA-DR11) могут быть ассоциированы с тотальной и универсальной алопецией. Триггерными факторами заболевания могут являться стрессы, вакцинация, вирусные заболевания, инфекционные заболевания, антибиотикотерапия, наркозы и прочее </w:t>
      </w:r>
      <w:r w:rsidRPr="00372759">
        <w:rPr>
          <w:rFonts w:eastAsia="TimesNewRomanPSMT"/>
          <w:color w:val="000000"/>
          <w:lang w:eastAsia="en-US"/>
        </w:rPr>
        <w:fldChar w:fldCharType="begin"/>
      </w:r>
      <w:r w:rsidR="00373726">
        <w:rPr>
          <w:rFonts w:eastAsia="TimesNewRomanPSMT"/>
          <w:color w:val="000000"/>
          <w:lang w:eastAsia="en-US"/>
        </w:rPr>
        <w:instrText xml:space="preserve"> ADDIN ZOTERO_ITEM CSL_CITATION {"citationID":"EvjmjmaK","properties":{"formattedCitation":"[18]","plainCitation":"[18]","noteIndex":0},"citationItems":[{"id":3519,"uris":["http://zotero.org/groups/4514912/items/J6C47G9Y"],"uri":["http://zotero.org/groups/4514912/items/J6C47G9Y"],"itemData":{"id":3519,"type":"article","title":"Министерство здравоохранения Российской Федерации. Клинические рекомендации. Гнездная алопеция. 2020."}}],"schema":"https://github.com/citation-style-language/schema/raw/master/csl-citation.json"} </w:instrText>
      </w:r>
      <w:r w:rsidRPr="00372759">
        <w:rPr>
          <w:rFonts w:eastAsia="TimesNewRomanPSMT"/>
          <w:color w:val="000000"/>
          <w:lang w:eastAsia="en-US"/>
        </w:rPr>
        <w:fldChar w:fldCharType="separate"/>
      </w:r>
      <w:r w:rsidR="00D21480" w:rsidRPr="00372759">
        <w:t>[18]</w:t>
      </w:r>
      <w:r w:rsidRPr="00372759">
        <w:rPr>
          <w:rFonts w:eastAsia="TimesNewRomanPSMT"/>
          <w:color w:val="000000"/>
          <w:lang w:eastAsia="en-US"/>
        </w:rPr>
        <w:fldChar w:fldCharType="end"/>
      </w:r>
      <w:r w:rsidRPr="00372759">
        <w:rPr>
          <w:rFonts w:eastAsia="TimesNewRomanPSMT"/>
          <w:color w:val="000000"/>
          <w:lang w:eastAsia="en-US"/>
        </w:rPr>
        <w:t>.</w:t>
      </w:r>
    </w:p>
    <w:p w14:paraId="25583980" w14:textId="0C833852" w:rsidR="00442ED1" w:rsidRPr="00442ED1" w:rsidRDefault="00442ED1" w:rsidP="006870C6">
      <w:pPr>
        <w:autoSpaceDE w:val="0"/>
        <w:autoSpaceDN w:val="0"/>
        <w:adjustRightInd w:val="0"/>
        <w:spacing w:after="0" w:line="240" w:lineRule="auto"/>
        <w:ind w:firstLine="708"/>
        <w:contextualSpacing/>
        <w:rPr>
          <w:rFonts w:eastAsia="TimesNewRomanPSMT"/>
          <w:color w:val="000000"/>
          <w:lang w:eastAsia="en-US"/>
        </w:rPr>
      </w:pPr>
      <w:r w:rsidRPr="00442ED1">
        <w:rPr>
          <w:rFonts w:eastAsia="TimesNewRomanPSMT"/>
          <w:color w:val="000000"/>
          <w:lang w:eastAsia="en-US"/>
        </w:rPr>
        <w:t xml:space="preserve">Заболеваемость и распространенность </w:t>
      </w:r>
      <w:r>
        <w:rPr>
          <w:rFonts w:eastAsia="TimesNewRomanPSMT"/>
          <w:color w:val="000000"/>
          <w:lang w:eastAsia="en-US"/>
        </w:rPr>
        <w:t>ОА</w:t>
      </w:r>
      <w:r w:rsidRPr="00442ED1">
        <w:rPr>
          <w:rFonts w:eastAsia="TimesNewRomanPSMT"/>
          <w:color w:val="000000"/>
          <w:lang w:eastAsia="en-US"/>
        </w:rPr>
        <w:t xml:space="preserve"> зависят от географических и этнических различий, а также от иммуногенетического фона больных. Заболеванию подвержены лица обоего пола. Частота встречаемости гнездной алопеции составляет 0,7</w:t>
      </w:r>
      <w:r>
        <w:rPr>
          <w:rFonts w:eastAsia="TimesNewRomanPSMT"/>
          <w:color w:val="000000"/>
          <w:lang w:eastAsia="en-US"/>
        </w:rPr>
        <w:t>–</w:t>
      </w:r>
      <w:r w:rsidRPr="00442ED1">
        <w:rPr>
          <w:rFonts w:eastAsia="TimesNewRomanPSMT"/>
          <w:color w:val="000000"/>
          <w:lang w:eastAsia="en-US"/>
        </w:rPr>
        <w:t xml:space="preserve">3,8% от обращающихся за помощью к дерматологу больных. Риск возникновения заболевания в течение жизни составляет 1,7%. </w:t>
      </w:r>
      <w:r w:rsidR="00AC738B">
        <w:rPr>
          <w:rFonts w:eastAsia="TimesNewRomanPSMT"/>
          <w:color w:val="000000"/>
          <w:lang w:eastAsia="en-US"/>
        </w:rPr>
        <w:t>ОА</w:t>
      </w:r>
      <w:r w:rsidRPr="00442ED1">
        <w:rPr>
          <w:rFonts w:eastAsia="TimesNewRomanPSMT"/>
          <w:color w:val="000000"/>
          <w:lang w:eastAsia="en-US"/>
        </w:rPr>
        <w:t xml:space="preserve"> в равной степени встречается как у мужчин, так и у женщин. Первый очаг облысения появляется у 20% больных в детском возрасте, у 60% больных – в возрасте до 20 лет, у 20% больных - в возрасте старше 40 лет</w:t>
      </w:r>
      <w:r w:rsidR="00AC738B">
        <w:rPr>
          <w:rFonts w:eastAsia="TimesNewRomanPSMT"/>
          <w:color w:val="000000"/>
          <w:lang w:eastAsia="en-US"/>
        </w:rPr>
        <w:t xml:space="preserve"> </w:t>
      </w:r>
      <w:r w:rsidR="00AC738B">
        <w:rPr>
          <w:rFonts w:eastAsia="TimesNewRomanPSMT"/>
          <w:color w:val="000000"/>
          <w:lang w:eastAsia="en-US"/>
        </w:rPr>
        <w:fldChar w:fldCharType="begin"/>
      </w:r>
      <w:r w:rsidR="00D21480">
        <w:rPr>
          <w:rFonts w:eastAsia="TimesNewRomanPSMT"/>
          <w:color w:val="000000"/>
          <w:lang w:eastAsia="en-US"/>
        </w:rPr>
        <w:instrText xml:space="preserve"> ADDIN ZOTERO_ITEM CSL_CITATION {"citationID":"RsXRamLI","properties":{"formattedCitation":"[17]","plainCitation":"[17]","noteIndex":0},"citationItems":[{"id":3520,"uris":["http://zotero.org/groups/4514912/items/H4VMB5R3"],"uri":["http://zotero.org/groups/4514912/items/H4VMB5R3"],"itemData":{"id":3520,"type":"article-journal","title":"Messenger A.G., McKillop J., Farrant P., McDonagh A.J., Sladden M. British Association of Dermatologists’ guidelines for the management of alopecia areata 2012. British Journal of Dermatology 2012; 166: 916-926."}}],"schema":"https://github.com/citation-style-language/schema/raw/master/csl-citation.json"} </w:instrText>
      </w:r>
      <w:r w:rsidR="00AC738B">
        <w:rPr>
          <w:rFonts w:eastAsia="TimesNewRomanPSMT"/>
          <w:color w:val="000000"/>
          <w:lang w:eastAsia="en-US"/>
        </w:rPr>
        <w:fldChar w:fldCharType="separate"/>
      </w:r>
      <w:r w:rsidR="00D21480" w:rsidRPr="00D21480">
        <w:t>[17]</w:t>
      </w:r>
      <w:r w:rsidR="00AC738B">
        <w:rPr>
          <w:rFonts w:eastAsia="TimesNewRomanPSMT"/>
          <w:color w:val="000000"/>
          <w:lang w:eastAsia="en-US"/>
        </w:rPr>
        <w:fldChar w:fldCharType="end"/>
      </w:r>
      <w:r w:rsidR="00AC738B">
        <w:rPr>
          <w:rFonts w:eastAsia="TimesNewRomanPSMT"/>
          <w:color w:val="000000"/>
          <w:lang w:eastAsia="en-US"/>
        </w:rPr>
        <w:t>.</w:t>
      </w:r>
    </w:p>
    <w:p w14:paraId="44A2B2C6" w14:textId="18931656" w:rsidR="00442ED1" w:rsidRPr="00442ED1" w:rsidRDefault="00442ED1" w:rsidP="006870C6">
      <w:pPr>
        <w:autoSpaceDE w:val="0"/>
        <w:autoSpaceDN w:val="0"/>
        <w:adjustRightInd w:val="0"/>
        <w:spacing w:after="0" w:line="240" w:lineRule="auto"/>
        <w:ind w:firstLine="708"/>
        <w:contextualSpacing/>
        <w:rPr>
          <w:rFonts w:eastAsia="TimesNewRomanPSMT"/>
          <w:color w:val="000000"/>
          <w:lang w:eastAsia="en-US"/>
        </w:rPr>
      </w:pPr>
      <w:r w:rsidRPr="00442ED1">
        <w:rPr>
          <w:rFonts w:eastAsia="TimesNewRomanPSMT"/>
          <w:color w:val="000000"/>
          <w:lang w:eastAsia="en-US"/>
        </w:rPr>
        <w:t xml:space="preserve">До 50% больных даже без лечения выздоравливают в течение года (спонтанная ремиссия). При этом у 85% больных отмечается более одного эпизода заболевания. При манифестации </w:t>
      </w:r>
      <w:r w:rsidR="00AC738B">
        <w:rPr>
          <w:rFonts w:eastAsia="TimesNewRomanPSMT"/>
          <w:color w:val="000000"/>
          <w:lang w:eastAsia="en-US"/>
        </w:rPr>
        <w:t>ОА</w:t>
      </w:r>
      <w:r w:rsidRPr="00442ED1">
        <w:rPr>
          <w:rFonts w:eastAsia="TimesNewRomanPSMT"/>
          <w:color w:val="000000"/>
          <w:lang w:eastAsia="en-US"/>
        </w:rPr>
        <w:t xml:space="preserve"> до пубертатного возраста вероятность развития тотальной алопеции составляет 50%. При тотальной/универсальной алопеции вероятность полного выздоровления составляет менее 10%.</w:t>
      </w:r>
    </w:p>
    <w:p w14:paraId="4E6C9917" w14:textId="7BD693DD" w:rsidR="00BA28C5" w:rsidRDefault="00442ED1" w:rsidP="006870C6">
      <w:pPr>
        <w:autoSpaceDE w:val="0"/>
        <w:autoSpaceDN w:val="0"/>
        <w:adjustRightInd w:val="0"/>
        <w:spacing w:after="0" w:line="240" w:lineRule="auto"/>
        <w:ind w:firstLine="708"/>
        <w:contextualSpacing/>
        <w:rPr>
          <w:rFonts w:eastAsia="TimesNewRomanPSMT"/>
          <w:color w:val="000000"/>
          <w:lang w:eastAsia="en-US"/>
        </w:rPr>
      </w:pPr>
      <w:r w:rsidRPr="00442ED1">
        <w:rPr>
          <w:rFonts w:eastAsia="TimesNewRomanPSMT"/>
          <w:color w:val="000000"/>
          <w:lang w:eastAsia="en-US"/>
        </w:rPr>
        <w:t>Прогноз отягощают ранний возраст начала заболевания, его длительность, семейный анамнез, площадь поражения, изменения ногтей, наличие сопутствующей атопии и других аутоиммунных заболеваний</w:t>
      </w:r>
      <w:r w:rsidR="00AC738B">
        <w:rPr>
          <w:rFonts w:eastAsia="TimesNewRomanPSMT"/>
          <w:color w:val="000000"/>
          <w:lang w:eastAsia="en-US"/>
        </w:rPr>
        <w:t xml:space="preserve"> </w:t>
      </w:r>
      <w:r w:rsidR="00AC738B" w:rsidRPr="00AC738B">
        <w:rPr>
          <w:rFonts w:eastAsia="TimesNewRomanPSMT"/>
          <w:color w:val="000000"/>
          <w:highlight w:val="cyan"/>
          <w:lang w:eastAsia="en-US"/>
        </w:rPr>
        <w:fldChar w:fldCharType="begin"/>
      </w:r>
      <w:r w:rsidR="00D21480">
        <w:rPr>
          <w:rFonts w:eastAsia="TimesNewRomanPSMT"/>
          <w:color w:val="000000"/>
          <w:highlight w:val="cyan"/>
          <w:lang w:eastAsia="en-US"/>
        </w:rPr>
        <w:instrText xml:space="preserve"> ADDIN ZOTERO_ITEM CSL_CITATION {"citationID":"MPiJuzSg","properties":{"formattedCitation":"[19\\uc0\\u8211{}21]","plainCitation":"[19–21]","noteIndex":0},"citationItems":[{"id":3521,"uris":["http://zotero.org/groups/4514912/items/VN9L2SK4"],"uri":["http://zotero.org/groups/4514912/items/VN9L2SK4"],"itemData":{"id":3521,"type":"article-journal","title":"Darwin E., Hirt P., Fertig R. et al.  Alopecia Areata: Review of Epidemiology, Clinical Features, Pathogenesis, and New Treatment Options.  Int J Trichology. 2018 Mar-Apr; 10(2): 51–60."},"label":"page"},{"id":3522,"uris":["http://zotero.org/groups/4514912/items/3UGZ8M76"],"uri":["http://zotero.org/groups/4514912/items/3UGZ8M76"],"itemData":{"id":3522,"type":"article","title":"Strazzulla L.C., Wang  E. H. C., Avila L. et al.  Alopecia areata: Disease characteristics, clinical evaluation, and new perspectives on pathogenesis.  J Am Acad Dermatol. 2018 Jan;78(1):1-12. doi: 10.1016/j.jaad.2017.04.1141."},"label":"page"},{"id":3523,"uris":["http://zotero.org/groups/4514912/items/S4GHKHN2"],"uri":["http://zotero.org/groups/4514912/items/S4GHKHN2"],"itemData":{"id":3523,"type":"article","title":"Alkhalifah A. Alopecia areata update. Dermatol Clin. 2013; 31:93–108. Mohamed Z., Bhouri A., Jallouli A. et al. Alopecia areata treatment with aphototoxic dose of UVA and topical 8-methoxypsoralen. J Eur Acad DermatolVenereol. 2005;19:552-555."},"label":"page"}],"schema":"https://github.com/citation-style-language/schema/raw/master/csl-citation.json"} </w:instrText>
      </w:r>
      <w:r w:rsidR="00AC738B" w:rsidRPr="00AC738B">
        <w:rPr>
          <w:rFonts w:eastAsia="TimesNewRomanPSMT"/>
          <w:color w:val="000000"/>
          <w:highlight w:val="cyan"/>
          <w:lang w:eastAsia="en-US"/>
        </w:rPr>
        <w:fldChar w:fldCharType="separate"/>
      </w:r>
      <w:r w:rsidR="00D21480" w:rsidRPr="00D21480">
        <w:t>[19–21]</w:t>
      </w:r>
      <w:r w:rsidR="00AC738B" w:rsidRPr="00AC738B">
        <w:rPr>
          <w:rFonts w:eastAsia="TimesNewRomanPSMT"/>
          <w:color w:val="000000"/>
          <w:highlight w:val="cyan"/>
          <w:lang w:eastAsia="en-US"/>
        </w:rPr>
        <w:fldChar w:fldCharType="end"/>
      </w:r>
      <w:r w:rsidRPr="00442ED1">
        <w:rPr>
          <w:rFonts w:eastAsia="TimesNewRomanPSMT"/>
          <w:color w:val="000000"/>
          <w:lang w:eastAsia="en-US"/>
        </w:rPr>
        <w:t>.</w:t>
      </w:r>
    </w:p>
    <w:p w14:paraId="1AAF28BE" w14:textId="5D22CCEB" w:rsidR="003365EB" w:rsidRDefault="003365EB" w:rsidP="006870C6">
      <w:pPr>
        <w:autoSpaceDE w:val="0"/>
        <w:autoSpaceDN w:val="0"/>
        <w:adjustRightInd w:val="0"/>
        <w:spacing w:after="0" w:line="240" w:lineRule="auto"/>
        <w:ind w:firstLine="708"/>
        <w:contextualSpacing/>
        <w:rPr>
          <w:rFonts w:eastAsia="TimesNewRomanPSMT"/>
          <w:color w:val="000000"/>
          <w:lang w:eastAsia="en-US"/>
        </w:rPr>
      </w:pPr>
      <w:r w:rsidRPr="003365EB">
        <w:rPr>
          <w:rFonts w:eastAsia="TimesNewRomanPSMT"/>
          <w:color w:val="000000"/>
          <w:lang w:eastAsia="en-US"/>
        </w:rPr>
        <w:t>Нов</w:t>
      </w:r>
      <w:r>
        <w:rPr>
          <w:rFonts w:eastAsia="TimesNewRomanPSMT"/>
          <w:color w:val="000000"/>
          <w:lang w:eastAsia="en-US"/>
        </w:rPr>
        <w:t>ая</w:t>
      </w:r>
      <w:r w:rsidRPr="003365EB">
        <w:rPr>
          <w:rFonts w:eastAsia="TimesNewRomanPSMT"/>
          <w:color w:val="000000"/>
          <w:lang w:eastAsia="en-US"/>
        </w:rPr>
        <w:t xml:space="preserve"> коронавирусн</w:t>
      </w:r>
      <w:r>
        <w:rPr>
          <w:rFonts w:eastAsia="TimesNewRomanPSMT"/>
          <w:color w:val="000000"/>
          <w:lang w:eastAsia="en-US"/>
        </w:rPr>
        <w:t xml:space="preserve">ая </w:t>
      </w:r>
      <w:r w:rsidRPr="003365EB">
        <w:rPr>
          <w:rFonts w:eastAsia="TimesNewRomanPSMT"/>
          <w:color w:val="000000"/>
          <w:lang w:eastAsia="en-US"/>
        </w:rPr>
        <w:t>инфекци</w:t>
      </w:r>
      <w:r>
        <w:rPr>
          <w:rFonts w:eastAsia="TimesNewRomanPSMT"/>
          <w:color w:val="000000"/>
          <w:lang w:eastAsia="en-US"/>
        </w:rPr>
        <w:t>я</w:t>
      </w:r>
      <w:r w:rsidRPr="003365EB">
        <w:rPr>
          <w:rFonts w:eastAsia="TimesNewRomanPSMT"/>
          <w:color w:val="000000"/>
          <w:lang w:eastAsia="en-US"/>
        </w:rPr>
        <w:t xml:space="preserve"> (COVID-19)</w:t>
      </w:r>
      <w:r w:rsidR="00200BB2">
        <w:rPr>
          <w:rFonts w:eastAsia="TimesNewRomanPSMT"/>
          <w:color w:val="000000"/>
          <w:lang w:eastAsia="en-US"/>
        </w:rPr>
        <w:t>, возбудителем которой является представитель семейства к</w:t>
      </w:r>
      <w:r w:rsidR="00200BB2" w:rsidRPr="00200BB2">
        <w:rPr>
          <w:rFonts w:eastAsia="TimesNewRomanPSMT"/>
          <w:color w:val="000000"/>
          <w:lang w:eastAsia="en-US"/>
        </w:rPr>
        <w:t>оронавирусы (Coronaviridae) – это большое семейство РНК-содержащих</w:t>
      </w:r>
      <w:r w:rsidR="00200BB2">
        <w:rPr>
          <w:rFonts w:eastAsia="TimesNewRomanPSMT"/>
          <w:color w:val="000000"/>
          <w:lang w:eastAsia="en-US"/>
        </w:rPr>
        <w:t xml:space="preserve"> </w:t>
      </w:r>
      <w:r w:rsidR="00200BB2" w:rsidRPr="00200BB2">
        <w:rPr>
          <w:rFonts w:eastAsia="TimesNewRomanPSMT"/>
          <w:color w:val="000000"/>
          <w:lang w:eastAsia="en-US"/>
        </w:rPr>
        <w:t>вирусов, способных инфицировать как животных (их естественных хозяев),</w:t>
      </w:r>
      <w:r w:rsidR="00200BB2">
        <w:rPr>
          <w:rFonts w:eastAsia="TimesNewRomanPSMT"/>
          <w:color w:val="000000"/>
          <w:lang w:eastAsia="en-US"/>
        </w:rPr>
        <w:t xml:space="preserve"> </w:t>
      </w:r>
      <w:r w:rsidR="00200BB2" w:rsidRPr="00200BB2">
        <w:rPr>
          <w:rFonts w:eastAsia="TimesNewRomanPSMT"/>
          <w:color w:val="000000"/>
          <w:lang w:eastAsia="en-US"/>
        </w:rPr>
        <w:t>так и человека. У людей коронавирусы могут вызвать целый ряд заболеваний –</w:t>
      </w:r>
      <w:r w:rsidR="00200BB2">
        <w:rPr>
          <w:rFonts w:eastAsia="TimesNewRomanPSMT"/>
          <w:color w:val="000000"/>
          <w:lang w:eastAsia="en-US"/>
        </w:rPr>
        <w:t xml:space="preserve"> </w:t>
      </w:r>
      <w:r w:rsidR="00200BB2" w:rsidRPr="00200BB2">
        <w:rPr>
          <w:rFonts w:eastAsia="TimesNewRomanPSMT"/>
          <w:color w:val="000000"/>
          <w:lang w:eastAsia="en-US"/>
        </w:rPr>
        <w:t>от легких форм острой респираторной инфекции (ОРВИ) до тяжелого острого</w:t>
      </w:r>
      <w:r w:rsidR="00200BB2">
        <w:rPr>
          <w:rFonts w:eastAsia="TimesNewRomanPSMT"/>
          <w:color w:val="000000"/>
          <w:lang w:eastAsia="en-US"/>
        </w:rPr>
        <w:t xml:space="preserve"> </w:t>
      </w:r>
      <w:r w:rsidR="00200BB2" w:rsidRPr="00200BB2">
        <w:rPr>
          <w:rFonts w:eastAsia="TimesNewRomanPSMT"/>
          <w:color w:val="000000"/>
          <w:lang w:eastAsia="en-US"/>
        </w:rPr>
        <w:t>респираторного синдрома (ТОРС или SARS).</w:t>
      </w:r>
    </w:p>
    <w:p w14:paraId="7B6E199A" w14:textId="412E498F" w:rsidR="003365EB" w:rsidRDefault="00DB1C8C" w:rsidP="00FC747D">
      <w:pPr>
        <w:autoSpaceDE w:val="0"/>
        <w:autoSpaceDN w:val="0"/>
        <w:adjustRightInd w:val="0"/>
        <w:spacing w:after="0" w:line="240" w:lineRule="auto"/>
        <w:ind w:firstLine="708"/>
        <w:contextualSpacing/>
        <w:rPr>
          <w:rFonts w:eastAsia="TimesNewRomanPSMT"/>
          <w:color w:val="000000"/>
          <w:lang w:eastAsia="en-US"/>
        </w:rPr>
      </w:pPr>
      <w:r w:rsidRPr="00DB1C8C">
        <w:rPr>
          <w:rFonts w:eastAsia="TimesNewRomanPSMT"/>
          <w:color w:val="000000"/>
          <w:lang w:eastAsia="en-US"/>
        </w:rPr>
        <w:t>С декабря 2019 г. по март 2020 г. наиболее широкое распространение</w:t>
      </w:r>
      <w:r>
        <w:rPr>
          <w:rFonts w:eastAsia="TimesNewRomanPSMT"/>
          <w:color w:val="000000"/>
          <w:lang w:eastAsia="en-US"/>
        </w:rPr>
        <w:t xml:space="preserve"> </w:t>
      </w:r>
      <w:r w:rsidRPr="00DB1C8C">
        <w:rPr>
          <w:rFonts w:eastAsia="TimesNewRomanPSMT"/>
          <w:color w:val="000000"/>
          <w:lang w:eastAsia="en-US"/>
        </w:rPr>
        <w:t>SARS-CoV-2 получил на территории КНР, в которой подтвержденные случаи</w:t>
      </w:r>
      <w:r>
        <w:rPr>
          <w:rFonts w:eastAsia="TimesNewRomanPSMT"/>
          <w:color w:val="000000"/>
          <w:lang w:eastAsia="en-US"/>
        </w:rPr>
        <w:t xml:space="preserve"> </w:t>
      </w:r>
      <w:r w:rsidRPr="00DB1C8C">
        <w:rPr>
          <w:rFonts w:eastAsia="TimesNewRomanPSMT"/>
          <w:color w:val="000000"/>
          <w:lang w:eastAsia="en-US"/>
        </w:rPr>
        <w:t>заболевания были зарегистрированы во всех административных образованиях.</w:t>
      </w:r>
      <w:r>
        <w:rPr>
          <w:rFonts w:eastAsia="TimesNewRomanPSMT"/>
          <w:color w:val="000000"/>
          <w:lang w:eastAsia="en-US"/>
        </w:rPr>
        <w:t xml:space="preserve"> </w:t>
      </w:r>
      <w:r w:rsidRPr="00DB1C8C">
        <w:rPr>
          <w:rFonts w:eastAsia="TimesNewRomanPSMT"/>
          <w:color w:val="000000"/>
          <w:lang w:eastAsia="en-US"/>
        </w:rPr>
        <w:t>Наибольшее количество заболевших выявлено в Юго-Восточной части КНР</w:t>
      </w:r>
      <w:r>
        <w:rPr>
          <w:rFonts w:eastAsia="TimesNewRomanPSMT"/>
          <w:color w:val="000000"/>
          <w:lang w:eastAsia="en-US"/>
        </w:rPr>
        <w:t xml:space="preserve"> </w:t>
      </w:r>
      <w:r w:rsidRPr="00DB1C8C">
        <w:rPr>
          <w:rFonts w:eastAsia="TimesNewRomanPSMT"/>
          <w:color w:val="000000"/>
          <w:lang w:eastAsia="en-US"/>
        </w:rPr>
        <w:t>с эпицентром в провинции Хубэй (84% от общего числа случаев в КНР).</w:t>
      </w:r>
      <w:r>
        <w:rPr>
          <w:rFonts w:eastAsia="TimesNewRomanPSMT"/>
          <w:color w:val="000000"/>
          <w:lang w:eastAsia="en-US"/>
        </w:rPr>
        <w:t xml:space="preserve"> </w:t>
      </w:r>
      <w:r w:rsidRPr="00DB1C8C">
        <w:rPr>
          <w:rFonts w:eastAsia="TimesNewRomanPSMT"/>
          <w:color w:val="000000"/>
          <w:lang w:eastAsia="en-US"/>
        </w:rPr>
        <w:t>С конца января 2020 г. во многих странах мира стали регистрироваться случаи</w:t>
      </w:r>
      <w:r>
        <w:rPr>
          <w:rFonts w:eastAsia="TimesNewRomanPSMT"/>
          <w:color w:val="000000"/>
          <w:lang w:eastAsia="en-US"/>
        </w:rPr>
        <w:t xml:space="preserve"> </w:t>
      </w:r>
      <w:r w:rsidRPr="00DB1C8C">
        <w:rPr>
          <w:rFonts w:eastAsia="TimesNewRomanPSMT"/>
          <w:color w:val="000000"/>
          <w:lang w:eastAsia="en-US"/>
        </w:rPr>
        <w:t xml:space="preserve">COVID-19, преимущественно связанные с поездками в </w:t>
      </w:r>
      <w:r w:rsidRPr="00DB1C8C">
        <w:rPr>
          <w:rFonts w:eastAsia="TimesNewRomanPSMT"/>
          <w:color w:val="000000"/>
          <w:lang w:eastAsia="en-US"/>
        </w:rPr>
        <w:lastRenderedPageBreak/>
        <w:t>КНР. В конце февраля 2020 г.</w:t>
      </w:r>
      <w:r>
        <w:rPr>
          <w:rFonts w:eastAsia="TimesNewRomanPSMT"/>
          <w:color w:val="000000"/>
          <w:lang w:eastAsia="en-US"/>
        </w:rPr>
        <w:t xml:space="preserve"> </w:t>
      </w:r>
      <w:r w:rsidRPr="00DB1C8C">
        <w:rPr>
          <w:rFonts w:eastAsia="TimesNewRomanPSMT"/>
          <w:color w:val="000000"/>
          <w:lang w:eastAsia="en-US"/>
        </w:rPr>
        <w:t>резко осложнилась эпидемиологическая обстановка по COVID-19 в Южной Корее,</w:t>
      </w:r>
      <w:r>
        <w:rPr>
          <w:rFonts w:eastAsia="TimesNewRomanPSMT"/>
          <w:color w:val="000000"/>
          <w:lang w:eastAsia="en-US"/>
        </w:rPr>
        <w:t xml:space="preserve"> </w:t>
      </w:r>
      <w:r w:rsidRPr="00DB1C8C">
        <w:rPr>
          <w:rFonts w:eastAsia="TimesNewRomanPSMT"/>
          <w:color w:val="000000"/>
          <w:lang w:eastAsia="en-US"/>
        </w:rPr>
        <w:t>Иране и Италии, что в последующем привело к значительному росту числа случаев</w:t>
      </w:r>
      <w:r>
        <w:rPr>
          <w:rFonts w:eastAsia="TimesNewRomanPSMT"/>
          <w:color w:val="000000"/>
          <w:lang w:eastAsia="en-US"/>
        </w:rPr>
        <w:t xml:space="preserve"> </w:t>
      </w:r>
      <w:r w:rsidRPr="00DB1C8C">
        <w:rPr>
          <w:rFonts w:eastAsia="TimesNewRomanPSMT"/>
          <w:color w:val="000000"/>
          <w:lang w:eastAsia="en-US"/>
        </w:rPr>
        <w:t>заболевания в других странах мира, связанных с поездками в эти страны. ВОЗ объявила</w:t>
      </w:r>
      <w:r>
        <w:rPr>
          <w:rFonts w:eastAsia="TimesNewRomanPSMT"/>
          <w:color w:val="000000"/>
          <w:lang w:eastAsia="en-US"/>
        </w:rPr>
        <w:t xml:space="preserve"> </w:t>
      </w:r>
      <w:r w:rsidRPr="00DB1C8C">
        <w:rPr>
          <w:rFonts w:eastAsia="TimesNewRomanPSMT"/>
          <w:color w:val="000000"/>
          <w:lang w:eastAsia="en-US"/>
        </w:rPr>
        <w:t>11 марта 2020 г. о начале пандемии COVID-19</w:t>
      </w:r>
      <w:r w:rsidR="00D21480">
        <w:rPr>
          <w:rFonts w:eastAsia="TimesNewRomanPSMT"/>
          <w:color w:val="000000"/>
          <w:lang w:eastAsia="en-US"/>
        </w:rPr>
        <w:t xml:space="preserve"> </w:t>
      </w:r>
      <w:r w:rsidR="00372759">
        <w:rPr>
          <w:rFonts w:eastAsia="TimesNewRomanPSMT"/>
          <w:color w:val="000000"/>
          <w:lang w:eastAsia="en-US"/>
        </w:rPr>
        <w:fldChar w:fldCharType="begin"/>
      </w:r>
      <w:r w:rsidR="00372759">
        <w:rPr>
          <w:rFonts w:eastAsia="TimesNewRomanPSMT"/>
          <w:color w:val="000000"/>
          <w:lang w:eastAsia="en-US"/>
        </w:rPr>
        <w:instrText xml:space="preserve"> ADDIN ZOTERO_ITEM CSL_CITATION {"citationID":"bVXQW0tD","properties":{"formattedCitation":"[22]","plainCitation":"[22]","noteIndex":0},"citationItems":[{"id":3603,"uris":["http://zotero.org/groups/4514912/items/CI6I7PMM"],"uri":["http://zotero.org/groups/4514912/items/CI6I7PMM"],"itemData":{"id":3603,"type":"article","title":"Министерство здравоохранения Российской Федерации. Временные клинические рекомендации. Профилактика, диагностика и лечение новой коронавирусной инфекции (COVID-19). 2022"}}],"schema":"https://github.com/citation-style-language/schema/raw/master/csl-citation.json"} </w:instrText>
      </w:r>
      <w:r w:rsidR="00372759">
        <w:rPr>
          <w:rFonts w:eastAsia="TimesNewRomanPSMT"/>
          <w:color w:val="000000"/>
          <w:lang w:eastAsia="en-US"/>
        </w:rPr>
        <w:fldChar w:fldCharType="separate"/>
      </w:r>
      <w:r w:rsidR="00372759" w:rsidRPr="00372759">
        <w:t>[22]</w:t>
      </w:r>
      <w:r w:rsidR="00372759">
        <w:rPr>
          <w:rFonts w:eastAsia="TimesNewRomanPSMT"/>
          <w:color w:val="000000"/>
          <w:lang w:eastAsia="en-US"/>
        </w:rPr>
        <w:fldChar w:fldCharType="end"/>
      </w:r>
      <w:r w:rsidRPr="00DB1C8C">
        <w:rPr>
          <w:rFonts w:eastAsia="TimesNewRomanPSMT"/>
          <w:color w:val="000000"/>
          <w:lang w:eastAsia="en-US"/>
        </w:rPr>
        <w:t>.</w:t>
      </w:r>
    </w:p>
    <w:p w14:paraId="27C8D15C" w14:textId="77777777" w:rsidR="00D30973" w:rsidRDefault="00D30973" w:rsidP="00FC747D">
      <w:pPr>
        <w:autoSpaceDE w:val="0"/>
        <w:autoSpaceDN w:val="0"/>
        <w:adjustRightInd w:val="0"/>
        <w:spacing w:after="0" w:line="240" w:lineRule="auto"/>
        <w:ind w:firstLine="708"/>
        <w:contextualSpacing/>
        <w:rPr>
          <w:rFonts w:eastAsia="TimesNewRomanPSMT"/>
          <w:color w:val="000000"/>
          <w:lang w:eastAsia="en-US"/>
        </w:rPr>
      </w:pPr>
    </w:p>
    <w:p w14:paraId="627D2124" w14:textId="77777777" w:rsidR="0088457F" w:rsidRPr="006A21BF" w:rsidRDefault="003C2C65" w:rsidP="00AB1FF1">
      <w:pPr>
        <w:pStyle w:val="3"/>
        <w:spacing w:before="0" w:after="240"/>
        <w:contextualSpacing/>
        <w:rPr>
          <w:color w:val="000000" w:themeColor="text1"/>
          <w:szCs w:val="24"/>
        </w:rPr>
      </w:pPr>
      <w:bookmarkStart w:id="32" w:name="_Toc395011863"/>
      <w:bookmarkStart w:id="33" w:name="_Toc120288108"/>
      <w:r w:rsidRPr="006A21BF">
        <w:rPr>
          <w:color w:val="000000" w:themeColor="text1"/>
          <w:szCs w:val="24"/>
        </w:rPr>
        <w:t>1</w:t>
      </w:r>
      <w:r w:rsidR="006148AF" w:rsidRPr="006A21BF">
        <w:rPr>
          <w:color w:val="000000" w:themeColor="text1"/>
          <w:szCs w:val="24"/>
        </w:rPr>
        <w:t>.7</w:t>
      </w:r>
      <w:r w:rsidRPr="006A21BF">
        <w:rPr>
          <w:color w:val="000000" w:themeColor="text1"/>
          <w:szCs w:val="24"/>
        </w:rPr>
        <w:t>.2. Существующие варианты терапии</w:t>
      </w:r>
      <w:bookmarkStart w:id="34" w:name="_Hlk521882537"/>
      <w:bookmarkEnd w:id="32"/>
      <w:bookmarkEnd w:id="33"/>
    </w:p>
    <w:p w14:paraId="07C3ED84" w14:textId="154AEE0C" w:rsidR="00323BBC" w:rsidRPr="00C6132F" w:rsidRDefault="00323BBC" w:rsidP="00FC747D">
      <w:pPr>
        <w:autoSpaceDE w:val="0"/>
        <w:autoSpaceDN w:val="0"/>
        <w:adjustRightInd w:val="0"/>
        <w:spacing w:after="0" w:line="240" w:lineRule="auto"/>
        <w:contextualSpacing/>
        <w:jc w:val="left"/>
        <w:rPr>
          <w:rFonts w:eastAsia="TimesNewRomanPSMT"/>
          <w:b/>
          <w:i/>
          <w:iCs/>
          <w:lang w:eastAsia="en-US"/>
        </w:rPr>
      </w:pPr>
      <w:r w:rsidRPr="00C6132F">
        <w:rPr>
          <w:rFonts w:eastAsia="TimesNewRomanPSMT"/>
          <w:b/>
          <w:i/>
          <w:iCs/>
          <w:lang w:eastAsia="en-US"/>
        </w:rPr>
        <w:t>Ревматоидный артрит</w:t>
      </w:r>
    </w:p>
    <w:p w14:paraId="756D3C83" w14:textId="78A13369" w:rsidR="00727BCA" w:rsidRPr="00727BCA" w:rsidRDefault="00727BCA" w:rsidP="00AB1FF1">
      <w:pPr>
        <w:autoSpaceDE w:val="0"/>
        <w:autoSpaceDN w:val="0"/>
        <w:adjustRightInd w:val="0"/>
        <w:spacing w:after="0" w:line="240" w:lineRule="auto"/>
        <w:ind w:firstLine="709"/>
        <w:contextualSpacing/>
        <w:rPr>
          <w:rFonts w:eastAsia="TimesNewRomanPSMT"/>
          <w:lang w:eastAsia="en-US"/>
        </w:rPr>
      </w:pPr>
      <w:r w:rsidRPr="00727BCA">
        <w:rPr>
          <w:rFonts w:eastAsia="TimesNewRomanPSMT"/>
          <w:lang w:eastAsia="en-US"/>
        </w:rPr>
        <w:t xml:space="preserve">Лечение </w:t>
      </w:r>
      <w:r w:rsidR="00AC738B">
        <w:rPr>
          <w:rFonts w:eastAsia="TimesNewRomanPSMT"/>
          <w:lang w:eastAsia="en-US"/>
        </w:rPr>
        <w:t>РА</w:t>
      </w:r>
      <w:r w:rsidRPr="00727BCA">
        <w:rPr>
          <w:rFonts w:eastAsia="TimesNewRomanPSMT"/>
          <w:lang w:eastAsia="en-US"/>
        </w:rPr>
        <w:t xml:space="preserve"> включает в себя</w:t>
      </w:r>
      <w:r w:rsidR="00372759">
        <w:rPr>
          <w:rFonts w:eastAsia="TimesNewRomanPSMT"/>
          <w:lang w:eastAsia="en-US"/>
        </w:rPr>
        <w:t xml:space="preserve"> </w:t>
      </w:r>
      <w:r w:rsidR="00372759">
        <w:rPr>
          <w:rFonts w:eastAsia="TimesNewRomanPSMT"/>
          <w:lang w:eastAsia="en-US"/>
        </w:rPr>
        <w:fldChar w:fldCharType="begin"/>
      </w:r>
      <w:r w:rsidR="00373726">
        <w:rPr>
          <w:rFonts w:eastAsia="TimesNewRomanPSMT"/>
          <w:lang w:eastAsia="en-US"/>
        </w:rPr>
        <w:instrText xml:space="preserve"> ADDIN ZOTERO_ITEM CSL_CITATION {"citationID":"fzyQpg98","properties":{"formattedCitation":"[1]","plainCitation":"[1]","noteIndex":0},"citationItems":[{"id":3503,"uris":["http://zotero.org/groups/4514912/items/R5A5SHIQ"],"uri":["http://zotero.org/groups/4514912/items/R5A5SHIQ"],"itemData":{"id":3503,"type":"article","title":"Министерство здравоохранения Российской Федерации. Клинические рекомендации. Ревматоидный артрит. 2021"}}],"schema":"https://github.com/citation-style-language/schema/raw/master/csl-citation.json"} </w:instrText>
      </w:r>
      <w:r w:rsidR="00372759">
        <w:rPr>
          <w:rFonts w:eastAsia="TimesNewRomanPSMT"/>
          <w:lang w:eastAsia="en-US"/>
        </w:rPr>
        <w:fldChar w:fldCharType="separate"/>
      </w:r>
      <w:r w:rsidR="00372759" w:rsidRPr="00372759">
        <w:t>[1]</w:t>
      </w:r>
      <w:r w:rsidR="00372759">
        <w:rPr>
          <w:rFonts w:eastAsia="TimesNewRomanPSMT"/>
          <w:lang w:eastAsia="en-US"/>
        </w:rPr>
        <w:fldChar w:fldCharType="end"/>
      </w:r>
      <w:r w:rsidRPr="00727BCA">
        <w:rPr>
          <w:rFonts w:eastAsia="TimesNewRomanPSMT"/>
          <w:lang w:eastAsia="en-US"/>
        </w:rPr>
        <w:t>:</w:t>
      </w:r>
    </w:p>
    <w:p w14:paraId="7AB77701" w14:textId="7BA27B9C" w:rsidR="00727BCA" w:rsidRPr="00AC738B" w:rsidRDefault="00AC738B" w:rsidP="00FC747D">
      <w:pPr>
        <w:pStyle w:val="af3"/>
        <w:numPr>
          <w:ilvl w:val="0"/>
          <w:numId w:val="38"/>
        </w:numPr>
        <w:autoSpaceDE w:val="0"/>
        <w:autoSpaceDN w:val="0"/>
        <w:adjustRightInd w:val="0"/>
        <w:spacing w:after="0" w:line="240" w:lineRule="auto"/>
        <w:ind w:left="709" w:hanging="349"/>
        <w:rPr>
          <w:rFonts w:eastAsia="TimesNewRomanPSMT"/>
          <w:lang w:eastAsia="en-US"/>
        </w:rPr>
      </w:pPr>
      <w:r w:rsidRPr="00AC738B">
        <w:rPr>
          <w:rFonts w:eastAsia="TimesNewRomanPSMT"/>
          <w:lang w:eastAsia="en-US"/>
        </w:rPr>
        <w:t>про</w:t>
      </w:r>
      <w:r>
        <w:rPr>
          <w:rFonts w:eastAsia="TimesNewRomanPSMT"/>
          <w:lang w:eastAsia="en-US"/>
        </w:rPr>
        <w:t>ти</w:t>
      </w:r>
      <w:r w:rsidRPr="00AC738B">
        <w:rPr>
          <w:rFonts w:eastAsia="TimesNewRomanPSMT"/>
          <w:lang w:eastAsia="en-US"/>
        </w:rPr>
        <w:t>во</w:t>
      </w:r>
      <w:r>
        <w:rPr>
          <w:rFonts w:eastAsia="TimesNewRomanPSMT"/>
          <w:lang w:eastAsia="en-US"/>
        </w:rPr>
        <w:t>во</w:t>
      </w:r>
      <w:r w:rsidRPr="00AC738B">
        <w:rPr>
          <w:rFonts w:eastAsia="TimesNewRomanPSMT"/>
          <w:lang w:eastAsia="en-US"/>
        </w:rPr>
        <w:t>сп</w:t>
      </w:r>
      <w:r>
        <w:rPr>
          <w:rFonts w:eastAsia="TimesNewRomanPSMT"/>
          <w:lang w:eastAsia="en-US"/>
        </w:rPr>
        <w:t>а</w:t>
      </w:r>
      <w:r w:rsidRPr="00AC738B">
        <w:rPr>
          <w:rFonts w:eastAsia="TimesNewRomanPSMT"/>
          <w:lang w:eastAsia="en-US"/>
        </w:rPr>
        <w:t>лительн</w:t>
      </w:r>
      <w:r w:rsidR="00323BBC">
        <w:rPr>
          <w:rFonts w:eastAsia="TimesNewRomanPSMT"/>
          <w:lang w:eastAsia="en-US"/>
        </w:rPr>
        <w:t>ую</w:t>
      </w:r>
      <w:r w:rsidRPr="00AC738B">
        <w:rPr>
          <w:rFonts w:eastAsia="TimesNewRomanPSMT"/>
          <w:lang w:eastAsia="en-US"/>
        </w:rPr>
        <w:t xml:space="preserve"> терапи</w:t>
      </w:r>
      <w:r w:rsidR="00323BBC">
        <w:rPr>
          <w:rFonts w:eastAsia="TimesNewRomanPSMT"/>
          <w:lang w:eastAsia="en-US"/>
        </w:rPr>
        <w:t>ю</w:t>
      </w:r>
      <w:r w:rsidRPr="00AC738B">
        <w:rPr>
          <w:rFonts w:eastAsia="TimesNewRomanPSMT"/>
          <w:lang w:eastAsia="en-US"/>
        </w:rPr>
        <w:t xml:space="preserve"> (</w:t>
      </w:r>
      <w:r w:rsidR="00CF61F1" w:rsidRPr="00CF61F1">
        <w:rPr>
          <w:rFonts w:eastAsia="TimesNewRomanPSMT"/>
          <w:lang w:eastAsia="en-US"/>
        </w:rPr>
        <w:t xml:space="preserve">синтетические </w:t>
      </w:r>
      <w:r w:rsidR="00D139A4">
        <w:rPr>
          <w:rFonts w:eastAsia="Times New Roman"/>
          <w:iCs/>
          <w:lang w:eastAsia="ru-RU"/>
        </w:rPr>
        <w:t xml:space="preserve">болезнь-модифицирующие антиревматические </w:t>
      </w:r>
      <w:r w:rsidR="00D139A4" w:rsidRPr="00F44C2F">
        <w:rPr>
          <w:rFonts w:eastAsia="Times New Roman"/>
          <w:iCs/>
          <w:lang w:eastAsia="ru-RU"/>
        </w:rPr>
        <w:t>препараты</w:t>
      </w:r>
      <w:r w:rsidR="00D139A4" w:rsidRPr="00CF61F1">
        <w:rPr>
          <w:rFonts w:eastAsia="TimesNewRomanPSMT"/>
          <w:lang w:eastAsia="en-US"/>
        </w:rPr>
        <w:t xml:space="preserve"> </w:t>
      </w:r>
      <w:r w:rsidR="00CF61F1" w:rsidRPr="00CF61F1">
        <w:rPr>
          <w:rFonts w:eastAsia="TimesNewRomanPSMT"/>
          <w:lang w:eastAsia="en-US"/>
        </w:rPr>
        <w:t>[</w:t>
      </w:r>
      <w:r w:rsidRPr="00AC738B">
        <w:rPr>
          <w:rFonts w:eastAsia="TimesNewRomanPSMT"/>
          <w:lang w:eastAsia="en-US"/>
        </w:rPr>
        <w:t>с</w:t>
      </w:r>
      <w:r w:rsidR="00D139A4">
        <w:rPr>
          <w:rFonts w:eastAsia="TimesNewRomanPSMT"/>
          <w:lang w:eastAsia="en-US"/>
        </w:rPr>
        <w:t>БМАРП</w:t>
      </w:r>
      <w:r w:rsidR="00CF61F1" w:rsidRPr="00CF61F1">
        <w:rPr>
          <w:rFonts w:eastAsia="TimesNewRomanPSMT"/>
          <w:lang w:eastAsia="en-US"/>
        </w:rPr>
        <w:t>]</w:t>
      </w:r>
      <w:r w:rsidRPr="00AC738B">
        <w:rPr>
          <w:rFonts w:eastAsia="TimesNewRomanPSMT"/>
          <w:lang w:eastAsia="en-US"/>
        </w:rPr>
        <w:t xml:space="preserve">, </w:t>
      </w:r>
      <w:r w:rsidR="00CF61F1" w:rsidRPr="00CF61F1">
        <w:rPr>
          <w:rFonts w:eastAsia="TimesNewRomanPSMT"/>
          <w:lang w:eastAsia="en-US"/>
        </w:rPr>
        <w:t>генно-инженерные биологические препараты</w:t>
      </w:r>
      <w:r w:rsidR="00CF61F1">
        <w:rPr>
          <w:rFonts w:eastAsia="TimesNewRomanPSMT"/>
          <w:lang w:eastAsia="en-US"/>
        </w:rPr>
        <w:t xml:space="preserve"> </w:t>
      </w:r>
      <w:r w:rsidR="00CF61F1" w:rsidRPr="00CF61F1">
        <w:rPr>
          <w:rFonts w:eastAsia="TimesNewRomanPSMT"/>
          <w:lang w:eastAsia="en-US"/>
        </w:rPr>
        <w:t>[</w:t>
      </w:r>
      <w:r w:rsidRPr="00AC738B">
        <w:rPr>
          <w:rFonts w:eastAsia="TimesNewRomanPSMT"/>
          <w:lang w:eastAsia="en-US"/>
        </w:rPr>
        <w:t>ГИБП</w:t>
      </w:r>
      <w:r w:rsidR="00CF61F1" w:rsidRPr="00CF61F1">
        <w:rPr>
          <w:rFonts w:eastAsia="TimesNewRomanPSMT"/>
          <w:lang w:eastAsia="en-US"/>
        </w:rPr>
        <w:t>]</w:t>
      </w:r>
      <w:r w:rsidRPr="00AC738B">
        <w:rPr>
          <w:rFonts w:eastAsia="TimesNewRomanPSMT"/>
          <w:lang w:eastAsia="en-US"/>
        </w:rPr>
        <w:t>, тс</w:t>
      </w:r>
      <w:r w:rsidR="00D139A4">
        <w:rPr>
          <w:rFonts w:eastAsia="TimesNewRomanPSMT"/>
          <w:lang w:eastAsia="en-US"/>
        </w:rPr>
        <w:t>БМАРП</w:t>
      </w:r>
      <w:r w:rsidR="00CF61F1">
        <w:rPr>
          <w:rFonts w:eastAsia="TimesNewRomanPSMT"/>
          <w:lang w:eastAsia="en-US"/>
        </w:rPr>
        <w:t xml:space="preserve"> </w:t>
      </w:r>
      <w:r w:rsidR="00CF61F1" w:rsidRPr="00CF61F1">
        <w:rPr>
          <w:rFonts w:eastAsia="TimesNewRomanPSMT"/>
          <w:lang w:eastAsia="en-US"/>
        </w:rPr>
        <w:t xml:space="preserve">[таргетные синтетические </w:t>
      </w:r>
      <w:r w:rsidR="00D139A4">
        <w:rPr>
          <w:rFonts w:eastAsia="TimesNewRomanPSMT"/>
          <w:lang w:eastAsia="en-US"/>
        </w:rPr>
        <w:t>БМАРП</w:t>
      </w:r>
      <w:r w:rsidR="00CF61F1" w:rsidRPr="00CF61F1">
        <w:rPr>
          <w:rFonts w:eastAsia="TimesNewRomanPSMT"/>
          <w:lang w:eastAsia="en-US"/>
        </w:rPr>
        <w:t>]</w:t>
      </w:r>
      <w:r w:rsidRPr="00AC738B">
        <w:rPr>
          <w:rFonts w:eastAsia="TimesNewRomanPSMT"/>
          <w:lang w:eastAsia="en-US"/>
        </w:rPr>
        <w:t>, НПВП</w:t>
      </w:r>
      <w:r w:rsidR="00CF61F1" w:rsidRPr="00CF61F1">
        <w:rPr>
          <w:rFonts w:eastAsia="TimesNewRomanPSMT"/>
          <w:lang w:eastAsia="en-US"/>
        </w:rPr>
        <w:t xml:space="preserve"> [</w:t>
      </w:r>
      <w:r w:rsidR="00CF61F1">
        <w:rPr>
          <w:rFonts w:eastAsia="TimesNewRomanPSMT"/>
          <w:lang w:eastAsia="en-US"/>
        </w:rPr>
        <w:t>нестероидные противовоспалительные препараты</w:t>
      </w:r>
      <w:r w:rsidR="00CF61F1" w:rsidRPr="00CF61F1">
        <w:rPr>
          <w:rFonts w:eastAsia="TimesNewRomanPSMT"/>
          <w:lang w:eastAsia="en-US"/>
        </w:rPr>
        <w:t>]</w:t>
      </w:r>
      <w:r w:rsidRPr="00AC738B">
        <w:rPr>
          <w:rFonts w:eastAsia="TimesNewRomanPSMT"/>
          <w:lang w:eastAsia="en-US"/>
        </w:rPr>
        <w:t>, ГК</w:t>
      </w:r>
      <w:r w:rsidR="00CF61F1" w:rsidRPr="00CF61F1">
        <w:rPr>
          <w:rFonts w:eastAsia="TimesNewRomanPSMT"/>
          <w:lang w:eastAsia="en-US"/>
        </w:rPr>
        <w:t xml:space="preserve"> [</w:t>
      </w:r>
      <w:r w:rsidR="00CF61F1">
        <w:rPr>
          <w:rFonts w:eastAsia="TimesNewRomanPSMT"/>
          <w:lang w:eastAsia="en-US"/>
        </w:rPr>
        <w:t>глюкокортикостероиды</w:t>
      </w:r>
      <w:r w:rsidR="00CF61F1" w:rsidRPr="00CF61F1">
        <w:rPr>
          <w:rFonts w:eastAsia="TimesNewRomanPSMT"/>
          <w:lang w:eastAsia="en-US"/>
        </w:rPr>
        <w:t>]</w:t>
      </w:r>
      <w:r w:rsidRPr="00AC738B">
        <w:rPr>
          <w:rFonts w:eastAsia="TimesNewRomanPSMT"/>
          <w:lang w:eastAsia="en-US"/>
        </w:rPr>
        <w:t>)</w:t>
      </w:r>
      <w:r w:rsidR="00727BCA" w:rsidRPr="00AC738B">
        <w:rPr>
          <w:rFonts w:eastAsia="TimesNewRomanPSMT"/>
          <w:lang w:eastAsia="en-US"/>
        </w:rPr>
        <w:t>;</w:t>
      </w:r>
    </w:p>
    <w:p w14:paraId="6B5D66A9" w14:textId="3FFD1778" w:rsidR="00727BCA" w:rsidRPr="00CF61F1" w:rsidRDefault="00323BBC" w:rsidP="00AB1FF1">
      <w:pPr>
        <w:pStyle w:val="af3"/>
        <w:numPr>
          <w:ilvl w:val="0"/>
          <w:numId w:val="38"/>
        </w:numPr>
        <w:autoSpaceDE w:val="0"/>
        <w:autoSpaceDN w:val="0"/>
        <w:adjustRightInd w:val="0"/>
        <w:spacing w:after="0" w:line="240" w:lineRule="auto"/>
        <w:ind w:left="709" w:hanging="349"/>
        <w:rPr>
          <w:rFonts w:eastAsia="TimesNewRomanPSMT"/>
          <w:lang w:eastAsia="en-US"/>
        </w:rPr>
      </w:pPr>
      <w:r>
        <w:rPr>
          <w:rFonts w:eastAsia="TimesNewRomanPSMT"/>
          <w:lang w:eastAsia="en-US"/>
        </w:rPr>
        <w:t>терапию</w:t>
      </w:r>
      <w:r w:rsidRPr="00CF61F1">
        <w:rPr>
          <w:rFonts w:eastAsia="TimesNewRomanPSMT"/>
          <w:lang w:eastAsia="en-US"/>
        </w:rPr>
        <w:t xml:space="preserve"> </w:t>
      </w:r>
      <w:r w:rsidR="00AC738B" w:rsidRPr="00CF61F1">
        <w:rPr>
          <w:rFonts w:eastAsia="TimesNewRomanPSMT"/>
          <w:lang w:eastAsia="en-US"/>
        </w:rPr>
        <w:t>цитостатическ</w:t>
      </w:r>
      <w:r>
        <w:rPr>
          <w:rFonts w:eastAsia="TimesNewRomanPSMT"/>
          <w:lang w:eastAsia="en-US"/>
        </w:rPr>
        <w:t xml:space="preserve">ими препаратами </w:t>
      </w:r>
      <w:r w:rsidR="00CF61F1" w:rsidRPr="00CF61F1">
        <w:rPr>
          <w:rFonts w:eastAsia="TimesNewRomanPSMT"/>
          <w:lang w:eastAsia="en-US"/>
        </w:rPr>
        <w:t>(метотрексат</w:t>
      </w:r>
      <w:r w:rsidR="00CF61F1">
        <w:rPr>
          <w:rFonts w:eastAsia="TimesNewRomanPSMT"/>
          <w:lang w:eastAsia="en-US"/>
        </w:rPr>
        <w:t xml:space="preserve"> </w:t>
      </w:r>
      <w:r w:rsidR="00CF61F1" w:rsidRPr="00323BBC">
        <w:rPr>
          <w:rFonts w:eastAsia="TimesNewRomanPSMT"/>
          <w:lang w:eastAsia="en-US"/>
        </w:rPr>
        <w:t>[</w:t>
      </w:r>
      <w:r w:rsidR="00CF61F1">
        <w:rPr>
          <w:rFonts w:eastAsia="TimesNewRomanPSMT"/>
          <w:lang w:eastAsia="en-US"/>
        </w:rPr>
        <w:t>МТХ</w:t>
      </w:r>
      <w:r w:rsidR="00CF61F1" w:rsidRPr="00323BBC">
        <w:rPr>
          <w:rFonts w:eastAsia="TimesNewRomanPSMT"/>
          <w:lang w:eastAsia="en-US"/>
        </w:rPr>
        <w:t>]</w:t>
      </w:r>
      <w:r w:rsidR="00CF61F1" w:rsidRPr="00CF61F1">
        <w:rPr>
          <w:rFonts w:eastAsia="TimesNewRomanPSMT"/>
          <w:lang w:eastAsia="en-US"/>
        </w:rPr>
        <w:t>)</w:t>
      </w:r>
      <w:r w:rsidR="00727BCA" w:rsidRPr="00CF61F1">
        <w:rPr>
          <w:rFonts w:eastAsia="TimesNewRomanPSMT"/>
          <w:lang w:eastAsia="en-US"/>
        </w:rPr>
        <w:t>;</w:t>
      </w:r>
    </w:p>
    <w:p w14:paraId="7E14353B" w14:textId="29419333" w:rsidR="00727BCA" w:rsidRPr="00323BBC" w:rsidRDefault="00323BBC"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323BBC">
        <w:rPr>
          <w:rFonts w:eastAsia="TimesNewRomanPSMT"/>
          <w:lang w:eastAsia="en-US"/>
        </w:rPr>
        <w:t xml:space="preserve">применение </w:t>
      </w:r>
      <w:r w:rsidR="00CF61F1" w:rsidRPr="00323BBC">
        <w:rPr>
          <w:rFonts w:eastAsia="TimesNewRomanPSMT"/>
          <w:lang w:eastAsia="en-US"/>
        </w:rPr>
        <w:t>селективн</w:t>
      </w:r>
      <w:r w:rsidR="00C6132F">
        <w:rPr>
          <w:rFonts w:eastAsia="TimesNewRomanPSMT"/>
          <w:lang w:eastAsia="en-US"/>
        </w:rPr>
        <w:t>ыми</w:t>
      </w:r>
      <w:r w:rsidR="00CF61F1" w:rsidRPr="00323BBC">
        <w:rPr>
          <w:rFonts w:eastAsia="TimesNewRomanPSMT"/>
          <w:lang w:eastAsia="en-US"/>
        </w:rPr>
        <w:t xml:space="preserve"> иммунодепрессант</w:t>
      </w:r>
      <w:r w:rsidR="00C6132F">
        <w:rPr>
          <w:rFonts w:eastAsia="TimesNewRomanPSMT"/>
          <w:lang w:eastAsia="en-US"/>
        </w:rPr>
        <w:t>ами;</w:t>
      </w:r>
    </w:p>
    <w:p w14:paraId="684B030E" w14:textId="51CBEA39" w:rsidR="00727BCA" w:rsidRDefault="00323BBC"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A82831">
        <w:rPr>
          <w:rFonts w:eastAsia="TimesNewRomanPSMT"/>
          <w:lang w:eastAsia="en-US"/>
        </w:rPr>
        <w:t xml:space="preserve">применение </w:t>
      </w:r>
      <w:r w:rsidR="00CF61F1" w:rsidRPr="00A82831">
        <w:rPr>
          <w:rFonts w:eastAsia="TimesNewRomanPSMT"/>
          <w:lang w:eastAsia="en-US"/>
        </w:rPr>
        <w:t>противомалярийны</w:t>
      </w:r>
      <w:r w:rsidRPr="00A82831">
        <w:rPr>
          <w:rFonts w:eastAsia="TimesNewRomanPSMT"/>
          <w:lang w:eastAsia="en-US"/>
        </w:rPr>
        <w:t>х</w:t>
      </w:r>
      <w:r w:rsidR="00CF61F1" w:rsidRPr="00A82831">
        <w:rPr>
          <w:rFonts w:eastAsia="TimesNewRomanPSMT"/>
          <w:lang w:eastAsia="en-US"/>
        </w:rPr>
        <w:t xml:space="preserve"> препарат</w:t>
      </w:r>
      <w:r w:rsidRPr="00A82831">
        <w:rPr>
          <w:rFonts w:eastAsia="TimesNewRomanPSMT"/>
          <w:lang w:eastAsia="en-US"/>
        </w:rPr>
        <w:t>ов</w:t>
      </w:r>
      <w:r w:rsidR="00727BCA" w:rsidRPr="00A82831">
        <w:rPr>
          <w:rFonts w:eastAsia="TimesNewRomanPSMT"/>
          <w:lang w:eastAsia="en-US"/>
        </w:rPr>
        <w:t>;</w:t>
      </w:r>
    </w:p>
    <w:p w14:paraId="2AD9A9E6" w14:textId="49D2EC24" w:rsidR="00CF61F1" w:rsidRPr="00C6132F" w:rsidRDefault="00A82831"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A82831">
        <w:rPr>
          <w:rFonts w:eastAsia="TimesNewRomanPSMT"/>
          <w:lang w:eastAsia="en-US"/>
        </w:rPr>
        <w:t>хирургическое лечение: эндопротезирование или артродез суставов рекомендуется</w:t>
      </w:r>
      <w:r w:rsidR="00D139A4">
        <w:rPr>
          <w:rFonts w:eastAsia="TimesNewRomanPSMT"/>
          <w:lang w:eastAsia="en-US"/>
        </w:rPr>
        <w:t xml:space="preserve"> </w:t>
      </w:r>
      <w:r w:rsidRPr="00A82831">
        <w:rPr>
          <w:rFonts w:eastAsia="TimesNewRomanPSMT"/>
          <w:lang w:eastAsia="en-US"/>
        </w:rPr>
        <w:t>при наличии выраженных структурных изменений, сопровождающихся стойкой</w:t>
      </w:r>
      <w:r w:rsidRPr="00CF61F1">
        <w:rPr>
          <w:rFonts w:eastAsia="TimesNewRomanPSMT"/>
          <w:lang w:eastAsia="en-US"/>
        </w:rPr>
        <w:t xml:space="preserve"> болью и нарушениями функции </w:t>
      </w:r>
      <w:r w:rsidRPr="00372759">
        <w:rPr>
          <w:rFonts w:eastAsia="TimesNewRomanPSMT"/>
          <w:lang w:eastAsia="en-US"/>
        </w:rPr>
        <w:t xml:space="preserve">суставов </w:t>
      </w:r>
      <w:r w:rsidRPr="00372759">
        <w:rPr>
          <w:rFonts w:eastAsia="TimesNewRomanPSMT"/>
          <w:lang w:eastAsia="en-US"/>
        </w:rPr>
        <w:fldChar w:fldCharType="begin"/>
      </w:r>
      <w:r w:rsidR="00372759" w:rsidRPr="00372759">
        <w:rPr>
          <w:rFonts w:eastAsia="TimesNewRomanPSMT"/>
          <w:lang w:eastAsia="en-US"/>
        </w:rPr>
        <w:instrText xml:space="preserve"> ADDIN ZOTERO_ITEM CSL_CITATION {"citationID":"PR9qkB1x","properties":{"formattedCitation":"[23,24]","plainCitation":"[23,24]","noteIndex":0},"citationItems":[{"id":3525,"uris":["http://zotero.org/groups/4514912/items/NAQHDX69"],"uri":["http://zotero.org/groups/4514912/items/NAQHDX69"],"itemData":{"id":3525,"type":"article","title":"Насонов E.Л. Биоаналоги в ревматологии. Научно-практическая ревматология. 2016; 54(6): 628-640. https://doi.org/10.14412/1995-4484-2016-628-640"},"label":"page"},{"id":3524,"uris":["http://zotero.org/groups/4514912/items/XE862XSG"],"uri":["http://zotero.org/groups/4514912/items/XE862XSG"],"itemData":{"id":3524,"type":"article","title":"Kay J, Schoels MM,  T, Emery P, Kvien TK, Smolen JS, Breedveld FC; Task Force on the Use of Biosimilars to Treat Rheumatological Diseases. Consensus-based recommendations for the use of biosimilars to treat rheumatological diseases. Ann Rheum Dis. 2018; 77(2): 165-174. doi: 10.1136/annrheumdis-2017-211937"},"label":"page"}],"schema":"https://github.com/citation-style-language/schema/raw/master/csl-citation.json"} </w:instrText>
      </w:r>
      <w:r w:rsidRPr="00372759">
        <w:rPr>
          <w:rFonts w:eastAsia="TimesNewRomanPSMT"/>
          <w:lang w:eastAsia="en-US"/>
        </w:rPr>
        <w:fldChar w:fldCharType="separate"/>
      </w:r>
      <w:r w:rsidR="00372759" w:rsidRPr="00372759">
        <w:t>[23,24]</w:t>
      </w:r>
      <w:r w:rsidRPr="00372759">
        <w:rPr>
          <w:rFonts w:eastAsia="TimesNewRomanPSMT"/>
          <w:lang w:eastAsia="en-US"/>
        </w:rPr>
        <w:fldChar w:fldCharType="end"/>
      </w:r>
      <w:r w:rsidRPr="00372759">
        <w:rPr>
          <w:rFonts w:eastAsia="TimesNewRomanPSMT"/>
          <w:lang w:eastAsia="en-US"/>
        </w:rPr>
        <w:t xml:space="preserve">; Проведение лаважа с использованием артроскопии или синовэктомии рекомендуется пациентам с РА при наличии стойкого синовита сустава и отсутствии эффекта от консервативной терапии </w:t>
      </w:r>
      <w:r w:rsidRPr="00372759">
        <w:rPr>
          <w:rFonts w:eastAsia="TimesNewRomanPSMT"/>
          <w:lang w:eastAsia="en-US"/>
        </w:rPr>
        <w:fldChar w:fldCharType="begin"/>
      </w:r>
      <w:r w:rsidR="00372759" w:rsidRPr="00372759">
        <w:rPr>
          <w:rFonts w:eastAsia="TimesNewRomanPSMT"/>
          <w:lang w:eastAsia="en-US"/>
        </w:rPr>
        <w:instrText xml:space="preserve"> ADDIN ZOTERO_ITEM CSL_CITATION {"citationID":"XenGOP1N","properties":{"formattedCitation":"[25]","plainCitation":"[25]","noteIndex":0},"citationItems":[{"id":3526,"uris":["http://zotero.org/groups/4514912/items/CABKR65S"],"uri":["http://zotero.org/groups/4514912/items/CABKR65S"],"itemData":{"id":3526,"type":"article","title":"Klint E, Catrina Al, Matt P, et al. Evaluation of arthroscopy and macroscopic scoring. Arthr Res Ther. 2009; 11: R81. doi: 10.1186/ar2714"}}],"schema":"https://github.com/citation-style-language/schema/raw/master/csl-citation.json"} </w:instrText>
      </w:r>
      <w:r w:rsidRPr="00372759">
        <w:rPr>
          <w:rFonts w:eastAsia="TimesNewRomanPSMT"/>
          <w:lang w:eastAsia="en-US"/>
        </w:rPr>
        <w:fldChar w:fldCharType="separate"/>
      </w:r>
      <w:r w:rsidR="00372759" w:rsidRPr="00372759">
        <w:t>[25]</w:t>
      </w:r>
      <w:r w:rsidRPr="00372759">
        <w:rPr>
          <w:rFonts w:eastAsia="TimesNewRomanPSMT"/>
          <w:lang w:eastAsia="en-US"/>
        </w:rPr>
        <w:fldChar w:fldCharType="end"/>
      </w:r>
      <w:r w:rsidR="00C6132F">
        <w:rPr>
          <w:rFonts w:eastAsia="TimesNewRomanPSMT"/>
          <w:lang w:eastAsia="en-US"/>
        </w:rPr>
        <w:t>.</w:t>
      </w:r>
    </w:p>
    <w:p w14:paraId="75FA06E8" w14:textId="244822B9" w:rsidR="00CF61F1" w:rsidRPr="00D21480" w:rsidRDefault="00CF61F1" w:rsidP="00C6132F">
      <w:pPr>
        <w:autoSpaceDE w:val="0"/>
        <w:autoSpaceDN w:val="0"/>
        <w:adjustRightInd w:val="0"/>
        <w:spacing w:after="0" w:line="240" w:lineRule="auto"/>
        <w:contextualSpacing/>
        <w:jc w:val="left"/>
        <w:rPr>
          <w:rFonts w:eastAsia="TimesNewRomanPSMT"/>
          <w:highlight w:val="yellow"/>
          <w:lang w:eastAsia="en-US"/>
        </w:rPr>
      </w:pPr>
    </w:p>
    <w:p w14:paraId="7E68EB8B" w14:textId="41A66DE4" w:rsidR="00CF61F1" w:rsidRPr="00C6132F" w:rsidRDefault="001E6CC1" w:rsidP="00C6132F">
      <w:pPr>
        <w:autoSpaceDE w:val="0"/>
        <w:autoSpaceDN w:val="0"/>
        <w:adjustRightInd w:val="0"/>
        <w:spacing w:after="0" w:line="240" w:lineRule="auto"/>
        <w:contextualSpacing/>
        <w:jc w:val="left"/>
        <w:rPr>
          <w:rFonts w:eastAsia="TimesNewRomanPSMT"/>
          <w:b/>
          <w:i/>
          <w:iCs/>
          <w:lang w:eastAsia="en-US"/>
        </w:rPr>
      </w:pPr>
      <w:r w:rsidRPr="00C6132F">
        <w:rPr>
          <w:rFonts w:eastAsia="TimesNewRomanPSMT"/>
          <w:b/>
          <w:i/>
          <w:iCs/>
          <w:lang w:eastAsia="en-US"/>
        </w:rPr>
        <w:t>Атопический дерматит</w:t>
      </w:r>
    </w:p>
    <w:p w14:paraId="2C891B1A" w14:textId="54C34A39" w:rsidR="00BC7E97" w:rsidRDefault="00A96A52" w:rsidP="00AB1FF1">
      <w:pPr>
        <w:autoSpaceDE w:val="0"/>
        <w:autoSpaceDN w:val="0"/>
        <w:adjustRightInd w:val="0"/>
        <w:spacing w:after="0" w:line="240" w:lineRule="auto"/>
        <w:ind w:firstLine="709"/>
        <w:contextualSpacing/>
        <w:rPr>
          <w:rFonts w:eastAsia="TimesNewRomanPSMT"/>
          <w:lang w:eastAsia="en-US"/>
        </w:rPr>
      </w:pPr>
      <w:r w:rsidRPr="00A96A52">
        <w:rPr>
          <w:rFonts w:eastAsia="TimesNewRomanPSMT"/>
          <w:lang w:eastAsia="en-US"/>
        </w:rPr>
        <w:t xml:space="preserve">Лечение АД </w:t>
      </w:r>
      <w:r>
        <w:rPr>
          <w:rFonts w:eastAsia="TimesNewRomanPSMT"/>
          <w:lang w:eastAsia="en-US"/>
        </w:rPr>
        <w:t>включает в себя</w:t>
      </w:r>
      <w:r w:rsidR="00372759">
        <w:rPr>
          <w:rFonts w:eastAsia="TimesNewRomanPSMT"/>
          <w:lang w:eastAsia="en-US"/>
        </w:rPr>
        <w:t xml:space="preserve"> </w:t>
      </w:r>
      <w:r w:rsidR="00372759">
        <w:rPr>
          <w:rFonts w:eastAsia="TimesNewRomanPSMT"/>
          <w:lang w:eastAsia="en-US"/>
        </w:rPr>
        <w:fldChar w:fldCharType="begin"/>
      </w:r>
      <w:r w:rsidR="00373726">
        <w:rPr>
          <w:rFonts w:eastAsia="TimesNewRomanPSMT"/>
          <w:lang w:eastAsia="en-US"/>
        </w:rPr>
        <w:instrText xml:space="preserve"> ADDIN ZOTERO_ITEM CSL_CITATION {"citationID":"UDY1wCpt","properties":{"formattedCitation":"[9]","plainCitation":"[9]","noteIndex":0},"citationItems":[{"id":3511,"uris":["http://zotero.org/groups/4514912/items/97KG76DG"],"uri":["http://zotero.org/groups/4514912/items/97KG76DG"],"itemData":{"id":3511,"type":"article","title":"Министерство здравоохранения Российской Федерации. Клинические рекомендации. Атопический дерматит. 2020"}}],"schema":"https://github.com/citation-style-language/schema/raw/master/csl-citation.json"} </w:instrText>
      </w:r>
      <w:r w:rsidR="00372759">
        <w:rPr>
          <w:rFonts w:eastAsia="TimesNewRomanPSMT"/>
          <w:lang w:eastAsia="en-US"/>
        </w:rPr>
        <w:fldChar w:fldCharType="separate"/>
      </w:r>
      <w:r w:rsidR="00372759" w:rsidRPr="00372759">
        <w:t>[9]</w:t>
      </w:r>
      <w:r w:rsidR="00372759">
        <w:rPr>
          <w:rFonts w:eastAsia="TimesNewRomanPSMT"/>
          <w:lang w:eastAsia="en-US"/>
        </w:rPr>
        <w:fldChar w:fldCharType="end"/>
      </w:r>
      <w:r>
        <w:rPr>
          <w:rFonts w:eastAsia="TimesNewRomanPSMT"/>
          <w:lang w:eastAsia="en-US"/>
        </w:rPr>
        <w:t>:</w:t>
      </w:r>
    </w:p>
    <w:p w14:paraId="4A93A5A5" w14:textId="00E92CAD" w:rsidR="00A96A52" w:rsidRDefault="00A96A52" w:rsidP="00FC747D">
      <w:pPr>
        <w:pStyle w:val="af3"/>
        <w:numPr>
          <w:ilvl w:val="0"/>
          <w:numId w:val="38"/>
        </w:numPr>
        <w:autoSpaceDE w:val="0"/>
        <w:autoSpaceDN w:val="0"/>
        <w:adjustRightInd w:val="0"/>
        <w:spacing w:after="0" w:line="240" w:lineRule="auto"/>
        <w:ind w:left="709" w:hanging="349"/>
        <w:rPr>
          <w:rFonts w:eastAsia="TimesNewRomanPSMT"/>
          <w:lang w:eastAsia="en-US"/>
        </w:rPr>
      </w:pPr>
      <w:r>
        <w:rPr>
          <w:rFonts w:eastAsia="TimesNewRomanPSMT"/>
          <w:lang w:eastAsia="en-US"/>
        </w:rPr>
        <w:t>использование увлажняющих и смягчающих средств (эмоленты) наружно</w:t>
      </w:r>
      <w:r w:rsidRPr="00AC738B">
        <w:rPr>
          <w:rFonts w:eastAsia="TimesNewRomanPSMT"/>
          <w:lang w:eastAsia="en-US"/>
        </w:rPr>
        <w:t>;</w:t>
      </w:r>
    </w:p>
    <w:p w14:paraId="0C638A0C" w14:textId="6FE2981C" w:rsidR="00A96A52" w:rsidRPr="00AC738B" w:rsidRDefault="00A96A52" w:rsidP="00FC747D">
      <w:pPr>
        <w:pStyle w:val="af3"/>
        <w:numPr>
          <w:ilvl w:val="0"/>
          <w:numId w:val="38"/>
        </w:numPr>
        <w:autoSpaceDE w:val="0"/>
        <w:autoSpaceDN w:val="0"/>
        <w:adjustRightInd w:val="0"/>
        <w:spacing w:after="0" w:line="240" w:lineRule="auto"/>
        <w:ind w:left="709" w:hanging="349"/>
        <w:rPr>
          <w:rFonts w:eastAsia="TimesNewRomanPSMT"/>
          <w:lang w:eastAsia="en-US"/>
        </w:rPr>
      </w:pPr>
      <w:r>
        <w:rPr>
          <w:rFonts w:eastAsia="TimesNewRomanPSMT"/>
          <w:lang w:eastAsia="en-US"/>
        </w:rPr>
        <w:t xml:space="preserve">использование </w:t>
      </w:r>
      <w:r>
        <w:t>топических глюкокортикостероидов, топически</w:t>
      </w:r>
      <w:r w:rsidR="0086631B">
        <w:t>х</w:t>
      </w:r>
      <w:r>
        <w:t xml:space="preserve"> ингибитор</w:t>
      </w:r>
      <w:r w:rsidR="0086631B">
        <w:t xml:space="preserve">ов </w:t>
      </w:r>
      <w:r>
        <w:t>калциневрина</w:t>
      </w:r>
      <w:r w:rsidR="008325D7">
        <w:t>;</w:t>
      </w:r>
    </w:p>
    <w:p w14:paraId="41FCC8E0" w14:textId="62F267FA" w:rsidR="00A96A52" w:rsidRDefault="0086631B" w:rsidP="00AB1FF1">
      <w:pPr>
        <w:pStyle w:val="af3"/>
        <w:numPr>
          <w:ilvl w:val="0"/>
          <w:numId w:val="38"/>
        </w:numPr>
        <w:autoSpaceDE w:val="0"/>
        <w:autoSpaceDN w:val="0"/>
        <w:adjustRightInd w:val="0"/>
        <w:spacing w:after="0" w:line="240" w:lineRule="auto"/>
        <w:ind w:left="709" w:hanging="349"/>
        <w:rPr>
          <w:rFonts w:eastAsia="TimesNewRomanPSMT"/>
          <w:lang w:eastAsia="en-US"/>
        </w:rPr>
      </w:pPr>
      <w:r>
        <w:rPr>
          <w:rFonts w:eastAsia="TimesNewRomanPSMT"/>
          <w:lang w:eastAsia="en-US"/>
        </w:rPr>
        <w:t>использование иммунодепрессантов</w:t>
      </w:r>
      <w:r w:rsidR="008325D7">
        <w:rPr>
          <w:rFonts w:eastAsia="TimesNewRomanPSMT"/>
          <w:lang w:eastAsia="en-US"/>
        </w:rPr>
        <w:t>;</w:t>
      </w:r>
    </w:p>
    <w:p w14:paraId="31D4AE32" w14:textId="092BF132" w:rsidR="008325D7" w:rsidRPr="008325D7" w:rsidRDefault="008325D7" w:rsidP="00AB1FF1">
      <w:pPr>
        <w:pStyle w:val="af3"/>
        <w:autoSpaceDE w:val="0"/>
        <w:autoSpaceDN w:val="0"/>
        <w:adjustRightInd w:val="0"/>
        <w:spacing w:after="0" w:line="240" w:lineRule="auto"/>
        <w:ind w:left="709"/>
        <w:rPr>
          <w:rFonts w:eastAsia="TimesNewRomanPSMT"/>
          <w:i/>
          <w:iCs/>
          <w:lang w:eastAsia="en-US"/>
        </w:rPr>
      </w:pPr>
      <w:r>
        <w:rPr>
          <w:rFonts w:eastAsia="TimesNewRomanPSMT"/>
          <w:i/>
          <w:iCs/>
          <w:lang w:eastAsia="en-US"/>
        </w:rPr>
        <w:t>П</w:t>
      </w:r>
      <w:r w:rsidRPr="008325D7">
        <w:rPr>
          <w:rFonts w:eastAsia="TimesNewRomanPSMT"/>
          <w:i/>
          <w:iCs/>
          <w:lang w:eastAsia="en-US"/>
        </w:rPr>
        <w:t xml:space="preserve">ри осложнении АД </w:t>
      </w:r>
      <w:r>
        <w:rPr>
          <w:rFonts w:eastAsia="TimesNewRomanPSMT"/>
          <w:i/>
          <w:iCs/>
          <w:lang w:eastAsia="en-US"/>
        </w:rPr>
        <w:t xml:space="preserve">вторичной инфекцией </w:t>
      </w:r>
      <w:r w:rsidR="00372759">
        <w:rPr>
          <w:rFonts w:eastAsia="TimesNewRomanPSMT"/>
          <w:lang w:eastAsia="en-US"/>
        </w:rPr>
        <w:fldChar w:fldCharType="begin"/>
      </w:r>
      <w:r w:rsidR="00373726">
        <w:rPr>
          <w:rFonts w:eastAsia="TimesNewRomanPSMT"/>
          <w:lang w:eastAsia="en-US"/>
        </w:rPr>
        <w:instrText xml:space="preserve"> ADDIN ZOTERO_ITEM CSL_CITATION {"citationID":"PKy3D2Pp","properties":{"formattedCitation":"[9]","plainCitation":"[9]","noteIndex":0},"citationItems":[{"id":3511,"uris":["http://zotero.org/groups/4514912/items/97KG76DG"],"uri":["http://zotero.org/groups/4514912/items/97KG76DG"],"itemData":{"id":3511,"type":"article","title":"Министерство здравоохранения Российской Федерации. Клинические рекомендации. Атопический дерматит. 2020"}}],"schema":"https://github.com/citation-style-language/schema/raw/master/csl-citation.json"} </w:instrText>
      </w:r>
      <w:r w:rsidR="00372759">
        <w:rPr>
          <w:rFonts w:eastAsia="TimesNewRomanPSMT"/>
          <w:lang w:eastAsia="en-US"/>
        </w:rPr>
        <w:fldChar w:fldCharType="separate"/>
      </w:r>
      <w:r w:rsidR="00372759" w:rsidRPr="00372759">
        <w:t>[9]</w:t>
      </w:r>
      <w:r w:rsidR="00372759">
        <w:rPr>
          <w:rFonts w:eastAsia="TimesNewRomanPSMT"/>
          <w:lang w:eastAsia="en-US"/>
        </w:rPr>
        <w:fldChar w:fldCharType="end"/>
      </w:r>
      <w:r w:rsidR="00372759">
        <w:rPr>
          <w:rFonts w:eastAsia="TimesNewRomanPSMT"/>
          <w:lang w:eastAsia="en-US"/>
        </w:rPr>
        <w:t>:</w:t>
      </w:r>
    </w:p>
    <w:p w14:paraId="199FFF90" w14:textId="2B432BD8" w:rsidR="00A96A52" w:rsidRDefault="00BE6496" w:rsidP="00AB1FF1">
      <w:pPr>
        <w:pStyle w:val="af3"/>
        <w:numPr>
          <w:ilvl w:val="0"/>
          <w:numId w:val="38"/>
        </w:numPr>
        <w:autoSpaceDE w:val="0"/>
        <w:autoSpaceDN w:val="0"/>
        <w:adjustRightInd w:val="0"/>
        <w:spacing w:after="0" w:line="240" w:lineRule="auto"/>
        <w:ind w:left="709" w:hanging="349"/>
        <w:rPr>
          <w:rFonts w:eastAsia="TimesNewRomanPSMT"/>
          <w:lang w:eastAsia="en-US"/>
        </w:rPr>
      </w:pPr>
      <w:r>
        <w:rPr>
          <w:rFonts w:eastAsia="TimesNewRomanPSMT"/>
          <w:lang w:eastAsia="en-US"/>
        </w:rPr>
        <w:t>а</w:t>
      </w:r>
      <w:r w:rsidR="008325D7">
        <w:rPr>
          <w:rFonts w:eastAsia="TimesNewRomanPSMT"/>
          <w:lang w:eastAsia="en-US"/>
        </w:rPr>
        <w:t>нтибактериальные препараты для местного применения;</w:t>
      </w:r>
    </w:p>
    <w:p w14:paraId="18D7EFF6" w14:textId="7388959E" w:rsidR="008325D7" w:rsidRDefault="008325D7" w:rsidP="00FC747D">
      <w:pPr>
        <w:pStyle w:val="af3"/>
        <w:numPr>
          <w:ilvl w:val="0"/>
          <w:numId w:val="38"/>
        </w:numPr>
        <w:autoSpaceDE w:val="0"/>
        <w:autoSpaceDN w:val="0"/>
        <w:adjustRightInd w:val="0"/>
        <w:spacing w:after="0" w:line="240" w:lineRule="auto"/>
        <w:ind w:left="709" w:hanging="349"/>
        <w:rPr>
          <w:rFonts w:eastAsia="TimesNewRomanPSMT"/>
          <w:lang w:eastAsia="en-US"/>
        </w:rPr>
      </w:pPr>
      <w:r>
        <w:t>топические комбинированные препараты, содержащие глюкокортикостероидные средства в сочетании с антибактериальными, антисептическими, противогрибковыми препаратами;</w:t>
      </w:r>
    </w:p>
    <w:p w14:paraId="17CF5241" w14:textId="5FB9066A" w:rsidR="008325D7" w:rsidRPr="008325D7" w:rsidRDefault="008325D7" w:rsidP="00AB1FF1">
      <w:pPr>
        <w:pStyle w:val="af3"/>
        <w:numPr>
          <w:ilvl w:val="0"/>
          <w:numId w:val="38"/>
        </w:numPr>
        <w:autoSpaceDE w:val="0"/>
        <w:autoSpaceDN w:val="0"/>
        <w:adjustRightInd w:val="0"/>
        <w:spacing w:after="0" w:line="240" w:lineRule="auto"/>
        <w:ind w:left="709" w:hanging="349"/>
        <w:rPr>
          <w:rFonts w:eastAsia="TimesNewRomanPSMT"/>
          <w:lang w:eastAsia="en-US"/>
        </w:rPr>
      </w:pPr>
      <w:r>
        <w:t>анилиновые красители;</w:t>
      </w:r>
    </w:p>
    <w:p w14:paraId="59D61235" w14:textId="4BE2E575" w:rsidR="008325D7" w:rsidRDefault="008325D7"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8325D7">
        <w:rPr>
          <w:rFonts w:eastAsia="TimesNewRomanPSMT"/>
          <w:lang w:eastAsia="en-US"/>
        </w:rPr>
        <w:t>системные антибактериальные препараты для лечения</w:t>
      </w:r>
      <w:r>
        <w:rPr>
          <w:rFonts w:eastAsia="TimesNewRomanPSMT"/>
          <w:lang w:eastAsia="en-US"/>
        </w:rPr>
        <w:t xml:space="preserve"> </w:t>
      </w:r>
      <w:r w:rsidRPr="008325D7">
        <w:rPr>
          <w:rFonts w:eastAsia="TimesNewRomanPSMT"/>
          <w:lang w:eastAsia="en-US"/>
        </w:rPr>
        <w:t>рецидивирующей или распространенной бактериальной инфекции</w:t>
      </w:r>
      <w:r w:rsidR="00BE6496">
        <w:rPr>
          <w:rFonts w:eastAsia="TimesNewRomanPSMT"/>
          <w:lang w:eastAsia="en-US"/>
        </w:rPr>
        <w:t>;</w:t>
      </w:r>
    </w:p>
    <w:p w14:paraId="7641F763" w14:textId="4AF5BDD5" w:rsidR="00BE6496" w:rsidRDefault="00BE6496" w:rsidP="00AB1FF1">
      <w:pPr>
        <w:pStyle w:val="af3"/>
        <w:numPr>
          <w:ilvl w:val="0"/>
          <w:numId w:val="38"/>
        </w:numPr>
        <w:autoSpaceDE w:val="0"/>
        <w:autoSpaceDN w:val="0"/>
        <w:adjustRightInd w:val="0"/>
        <w:spacing w:after="0" w:line="240" w:lineRule="auto"/>
        <w:ind w:left="709" w:hanging="349"/>
        <w:rPr>
          <w:rFonts w:eastAsia="TimesNewRomanPSMT"/>
          <w:lang w:eastAsia="en-US"/>
        </w:rPr>
      </w:pPr>
      <w:r>
        <w:rPr>
          <w:rFonts w:eastAsia="TimesNewRomanPSMT"/>
          <w:lang w:eastAsia="en-US"/>
        </w:rPr>
        <w:t>системная противовирусная терапия, в случае развития герпетической экземы Капоши;</w:t>
      </w:r>
    </w:p>
    <w:p w14:paraId="50806F57" w14:textId="3B49B314" w:rsidR="00BE6496" w:rsidRPr="00BE6496" w:rsidRDefault="00BE6496" w:rsidP="00AB1FF1">
      <w:pPr>
        <w:pStyle w:val="af3"/>
        <w:autoSpaceDE w:val="0"/>
        <w:autoSpaceDN w:val="0"/>
        <w:adjustRightInd w:val="0"/>
        <w:spacing w:after="0" w:line="240" w:lineRule="auto"/>
        <w:ind w:left="709"/>
        <w:rPr>
          <w:rFonts w:eastAsia="TimesNewRomanPSMT"/>
          <w:i/>
          <w:iCs/>
          <w:lang w:eastAsia="en-US"/>
        </w:rPr>
      </w:pPr>
      <w:r w:rsidRPr="00BE6496">
        <w:rPr>
          <w:rFonts w:eastAsia="TimesNewRomanPSMT"/>
          <w:i/>
          <w:iCs/>
          <w:lang w:eastAsia="en-US"/>
        </w:rPr>
        <w:t>При наличии зуда</w:t>
      </w:r>
    </w:p>
    <w:p w14:paraId="11F05468" w14:textId="16B15FDC" w:rsidR="00BE6496" w:rsidRDefault="00BE6496"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BE6496">
        <w:rPr>
          <w:rFonts w:eastAsia="TimesNewRomanPSMT"/>
          <w:lang w:eastAsia="en-US"/>
        </w:rPr>
        <w:t>антигистаминные средства системного действия</w:t>
      </w:r>
      <w:r>
        <w:rPr>
          <w:rFonts w:eastAsia="TimesNewRomanPSMT"/>
          <w:lang w:eastAsia="en-US"/>
        </w:rPr>
        <w:t>;</w:t>
      </w:r>
    </w:p>
    <w:p w14:paraId="2DB73C69" w14:textId="71174E13" w:rsidR="00ED640A" w:rsidRDefault="00ED640A" w:rsidP="00AB1FF1">
      <w:pPr>
        <w:pStyle w:val="af3"/>
        <w:autoSpaceDE w:val="0"/>
        <w:autoSpaceDN w:val="0"/>
        <w:adjustRightInd w:val="0"/>
        <w:spacing w:after="0" w:line="240" w:lineRule="auto"/>
        <w:ind w:left="709"/>
        <w:rPr>
          <w:rFonts w:eastAsia="TimesNewRomanPSMT"/>
          <w:lang w:eastAsia="en-US"/>
        </w:rPr>
      </w:pPr>
      <w:r w:rsidRPr="00ED640A">
        <w:rPr>
          <w:rFonts w:eastAsia="TimesNewRomanPSMT"/>
          <w:i/>
          <w:iCs/>
          <w:lang w:eastAsia="en-US"/>
        </w:rPr>
        <w:t>При наличии сенсибилизации</w:t>
      </w:r>
    </w:p>
    <w:p w14:paraId="6B29FB8F" w14:textId="57907C45" w:rsidR="00ED640A" w:rsidRDefault="00ED640A" w:rsidP="00AB1FF1">
      <w:pPr>
        <w:pStyle w:val="af3"/>
        <w:numPr>
          <w:ilvl w:val="0"/>
          <w:numId w:val="38"/>
        </w:numPr>
        <w:autoSpaceDE w:val="0"/>
        <w:autoSpaceDN w:val="0"/>
        <w:adjustRightInd w:val="0"/>
        <w:spacing w:after="0" w:line="240" w:lineRule="auto"/>
        <w:ind w:left="709" w:hanging="349"/>
        <w:rPr>
          <w:rFonts w:eastAsia="TimesNewRomanPSMT"/>
          <w:lang w:eastAsia="en-US"/>
        </w:rPr>
      </w:pPr>
      <w:r>
        <w:t xml:space="preserve">аллерген-специфическая иммунотерапия аллергенами клещей домашней пыли </w:t>
      </w:r>
      <w:r w:rsidRPr="00ED640A">
        <w:rPr>
          <w:highlight w:val="cyan"/>
        </w:rPr>
        <w:fldChar w:fldCharType="begin"/>
      </w:r>
      <w:r w:rsidR="00372759">
        <w:rPr>
          <w:highlight w:val="cyan"/>
        </w:rPr>
        <w:instrText xml:space="preserve"> ADDIN ZOTERO_ITEM CSL_CITATION {"citationID":"PMplbnqP","properties":{"unsorted":true,"formattedCitation":"[15,26\\uc0\\u8211{}29]","plainCitation":"[15,26–29]","noteIndex":0},"citationItems":[{"id":3517,"uris":["http://zotero.org/groups/4514912/items/EVJYQAIM"],"uri":["http://zotero.org/groups/4514912/items/EVJYQAIM"],"itemData":{"id":3517,"type":"article-journal","title":"Wollenberg A., Barbarot S., Bieber T. et al. Consensus-based European guidelines for treatment of atopic eczema (atopic dermatitis) in adults and children: part I.J Eur Acad Dermatol Venereol. 2018; 32 (5): 657–682."},"label":"page"},{"id":3527,"uris":["http://zotero.org/groups/4514912/items/SQXNR6UP"],"uri":["http://zotero.org/groups/4514912/items/SQXNR6UP"],"itemData":{"id":3527,"type":"article","title":"Bae J.M., Choi Y.Y., Park C.O. et al. Efficacy of allergen-specific immunotherapy for atopic dermatitis: a systematic review and meta-analysis of randomized controlled trials. J Allergy Clin Immunol 2013; 132: 110–117"},"label":"page"},{"id":3528,"uris":["http://zotero.org/groups/4514912/items/9VVNNPQD"],"uri":["http://zotero.org/groups/4514912/items/9VVNNPQD"],"itemData":{"id":3528,"type":"article","title":"Novak N., Bieber T., Hoffmann M. et al. Efficacy and safety of subcutaneous allergenspecific immunotherapy with depigmented polymerized mite extract in atopic dermatitis. J Allergy Clin Immunol 2012; 130: 925– 931 e4."},"label":"page"},{"id":3529,"uris":["http://zotero.org/groups/4514912/items/LC49HQEP"],"uri":["http://zotero.org/groups/4514912/items/LC49HQEP"],"itemData":{"id":3529,"type":"article","title":"Qin Y.E., Mao J.R., Sang Y.C., Li W.X. Clinical efficacy and compliance of sublingual immunotherapy with Dermatophagoides farinae drops in patients with atopic dermatitis. Int J Dermatol 2014; 53: 650–655."},"label":"page"},{"id":3530,"uris":["http://zotero.org/groups/4514912/items/B24WDBIZ"],"uri":["http://zotero.org/groups/4514912/items/B24WDBIZ"],"itemData":{"id":3530,"type":"article","title":"Liu L., Guo D., Liang Q. et al. The efficacy of sublingual immunotherapy with Dermatophagoides farinae vaccine in a murine atopic dermatitis model. Clin Exp Allergy 2015; 45: 815–822."},"label":"page"}],"schema":"https://github.com/citation-style-language/schema/raw/master/csl-citation.json"} </w:instrText>
      </w:r>
      <w:r w:rsidRPr="00ED640A">
        <w:rPr>
          <w:highlight w:val="cyan"/>
        </w:rPr>
        <w:fldChar w:fldCharType="separate"/>
      </w:r>
      <w:r w:rsidR="00372759" w:rsidRPr="00372759">
        <w:t>[15,</w:t>
      </w:r>
      <w:r w:rsidR="00FC747D">
        <w:t xml:space="preserve"> </w:t>
      </w:r>
      <w:r w:rsidR="00372759" w:rsidRPr="00372759">
        <w:t>26–29]</w:t>
      </w:r>
      <w:r w:rsidRPr="00ED640A">
        <w:rPr>
          <w:highlight w:val="cyan"/>
        </w:rPr>
        <w:fldChar w:fldCharType="end"/>
      </w:r>
      <w:r>
        <w:rPr>
          <w:rFonts w:eastAsia="TimesNewRomanPSMT"/>
          <w:lang w:eastAsia="en-US"/>
        </w:rPr>
        <w:t>;</w:t>
      </w:r>
    </w:p>
    <w:p w14:paraId="1AA0E5F3" w14:textId="6B890B7B" w:rsidR="00ED640A" w:rsidRPr="00372759" w:rsidRDefault="00ED640A" w:rsidP="00AB1FF1">
      <w:pPr>
        <w:pStyle w:val="af3"/>
        <w:numPr>
          <w:ilvl w:val="0"/>
          <w:numId w:val="38"/>
        </w:numPr>
        <w:autoSpaceDE w:val="0"/>
        <w:autoSpaceDN w:val="0"/>
        <w:adjustRightInd w:val="0"/>
        <w:spacing w:after="0" w:line="240" w:lineRule="auto"/>
        <w:ind w:left="709" w:hanging="349"/>
        <w:rPr>
          <w:rFonts w:eastAsia="TimesNewRomanPSMT"/>
          <w:lang w:eastAsia="en-US"/>
        </w:rPr>
      </w:pPr>
      <w:r>
        <w:t xml:space="preserve">аллергены бытовые </w:t>
      </w:r>
      <w:r w:rsidR="00C6132F">
        <w:t xml:space="preserve">в форме </w:t>
      </w:r>
      <w:r>
        <w:t>раствор</w:t>
      </w:r>
      <w:r w:rsidR="00C6132F">
        <w:t>а</w:t>
      </w:r>
      <w:r>
        <w:t xml:space="preserve"> для накожного скарификационного нанесения, прик-</w:t>
      </w:r>
      <w:r w:rsidRPr="00372759">
        <w:t xml:space="preserve">теста и подкожного введения </w:t>
      </w:r>
      <w:r w:rsidRPr="00372759">
        <w:fldChar w:fldCharType="begin"/>
      </w:r>
      <w:r w:rsidR="00372759" w:rsidRPr="00372759">
        <w:instrText xml:space="preserve"> ADDIN ZOTERO_ITEM CSL_CITATION {"citationID":"2IQGdbyo","properties":{"formattedCitation":"[26]","plainCitation":"[26]","noteIndex":0},"citationItems":[{"id":3527,"uris":["http://zotero.org/groups/4514912/items/SQXNR6UP"],"uri":["http://zotero.org/groups/4514912/items/SQXNR6UP"],"itemData":{"id":3527,"type":"article","title":"Bae J.M., Choi Y.Y., Park C.O. et al. Efficacy of allergen-specific immunotherapy for atopic dermatitis: a systematic review and meta-analysis of randomized controlled trials. J Allergy Clin Immunol 2013; 132: 110–117"},"label":"page"}],"schema":"https://github.com/citation-style-language/schema/raw/master/csl-citation.json"} </w:instrText>
      </w:r>
      <w:r w:rsidRPr="00372759">
        <w:fldChar w:fldCharType="separate"/>
      </w:r>
      <w:r w:rsidR="00372759" w:rsidRPr="00372759">
        <w:t>[26]</w:t>
      </w:r>
      <w:r w:rsidRPr="00372759">
        <w:fldChar w:fldCharType="end"/>
      </w:r>
      <w:r w:rsidRPr="00372759">
        <w:t>;</w:t>
      </w:r>
    </w:p>
    <w:p w14:paraId="261B127C" w14:textId="5C9EE292" w:rsidR="00ED640A" w:rsidRPr="00372759" w:rsidRDefault="00ED640A"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372759">
        <w:lastRenderedPageBreak/>
        <w:t xml:space="preserve">аллергены бытовые </w:t>
      </w:r>
      <w:r w:rsidR="00C6132F">
        <w:t>в форме суспензии</w:t>
      </w:r>
      <w:r w:rsidRPr="00372759">
        <w:t xml:space="preserve"> для подкожного введения </w:t>
      </w:r>
      <w:r w:rsidRPr="00372759">
        <w:fldChar w:fldCharType="begin"/>
      </w:r>
      <w:r w:rsidR="00372759" w:rsidRPr="00372759">
        <w:instrText xml:space="preserve"> ADDIN ZOTERO_ITEM CSL_CITATION {"citationID":"02HG4BQa","properties":{"unsorted":true,"formattedCitation":"[30]","plainCitation":"[30]","noteIndex":0},"citationItems":[{"id":3532,"uris":["http://zotero.org/groups/4514912/items/9QN78PKQ"],"uri":["http://zotero.org/groups/4514912/items/9QN78PKQ"],"itemData":{"id":3532,"type":"article","title":"Ring J. Successful hyposensitization treatment in atopic eczema: results of a trial in monozygotic twins. Br J Dermatol 1982; 107: 597–602."}}],"schema":"https://github.com/citation-style-language/schema/raw/master/csl-citation.json"} </w:instrText>
      </w:r>
      <w:r w:rsidRPr="00372759">
        <w:fldChar w:fldCharType="separate"/>
      </w:r>
      <w:r w:rsidR="00372759" w:rsidRPr="00372759">
        <w:t>[30]</w:t>
      </w:r>
      <w:r w:rsidRPr="00372759">
        <w:fldChar w:fldCharType="end"/>
      </w:r>
      <w:r w:rsidRPr="00372759">
        <w:t>;</w:t>
      </w:r>
    </w:p>
    <w:p w14:paraId="082C5F55" w14:textId="098A2128" w:rsidR="00ED640A" w:rsidRPr="00372759" w:rsidRDefault="00ED640A"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372759">
        <w:rPr>
          <w:rFonts w:eastAsia="TimesNewRomanPSMT"/>
          <w:lang w:eastAsia="en-US"/>
        </w:rPr>
        <w:t>аллергены</w:t>
      </w:r>
      <w:r w:rsidRPr="00C6132F">
        <w:rPr>
          <w:rFonts w:eastAsia="TimesNewRomanPSMT"/>
          <w:lang w:eastAsia="en-US"/>
        </w:rPr>
        <w:t xml:space="preserve"> </w:t>
      </w:r>
      <w:r w:rsidRPr="00372759">
        <w:rPr>
          <w:rFonts w:eastAsia="TimesNewRomanPSMT"/>
          <w:lang w:eastAsia="en-US"/>
        </w:rPr>
        <w:t>бытовые</w:t>
      </w:r>
      <w:r w:rsidRPr="00C6132F">
        <w:rPr>
          <w:rFonts w:eastAsia="TimesNewRomanPSMT"/>
          <w:lang w:eastAsia="en-US"/>
        </w:rPr>
        <w:t xml:space="preserve"> </w:t>
      </w:r>
      <w:r w:rsidR="00C6132F">
        <w:rPr>
          <w:rFonts w:eastAsia="TimesNewRomanPSMT"/>
          <w:lang w:eastAsia="en-US"/>
        </w:rPr>
        <w:t>в форме капель</w:t>
      </w:r>
      <w:r w:rsidRPr="00C6132F">
        <w:rPr>
          <w:rFonts w:eastAsia="TimesNewRomanPSMT"/>
          <w:lang w:eastAsia="en-US"/>
        </w:rPr>
        <w:t xml:space="preserve"> </w:t>
      </w:r>
      <w:r w:rsidR="00C6132F">
        <w:rPr>
          <w:rFonts w:eastAsia="TimesNewRomanPSMT"/>
          <w:lang w:eastAsia="en-US"/>
        </w:rPr>
        <w:t>подъязычных</w:t>
      </w:r>
      <w:r w:rsidR="001F7DF5" w:rsidRPr="00C6132F">
        <w:rPr>
          <w:rFonts w:eastAsia="TimesNewRomanPSMT"/>
          <w:lang w:eastAsia="en-US"/>
        </w:rPr>
        <w:t xml:space="preserve"> </w:t>
      </w:r>
      <w:r w:rsidR="001F7DF5" w:rsidRPr="00372759">
        <w:rPr>
          <w:rFonts w:eastAsia="TimesNewRomanPSMT"/>
          <w:lang w:eastAsia="en-US"/>
        </w:rPr>
        <w:fldChar w:fldCharType="begin"/>
      </w:r>
      <w:r w:rsidR="00372759" w:rsidRPr="00C6132F">
        <w:rPr>
          <w:rFonts w:eastAsia="TimesNewRomanPSMT"/>
          <w:lang w:eastAsia="en-US"/>
        </w:rPr>
        <w:instrText xml:space="preserve"> </w:instrText>
      </w:r>
      <w:r w:rsidR="00372759" w:rsidRPr="00372759">
        <w:rPr>
          <w:rFonts w:eastAsia="TimesNewRomanPSMT"/>
          <w:lang w:val="en-US" w:eastAsia="en-US"/>
        </w:rPr>
        <w:instrText>ADDIN</w:instrText>
      </w:r>
      <w:r w:rsidR="00372759" w:rsidRPr="00C6132F">
        <w:rPr>
          <w:rFonts w:eastAsia="TimesNewRomanPSMT"/>
          <w:lang w:eastAsia="en-US"/>
        </w:rPr>
        <w:instrText xml:space="preserve"> </w:instrText>
      </w:r>
      <w:r w:rsidR="00372759" w:rsidRPr="00372759">
        <w:rPr>
          <w:rFonts w:eastAsia="TimesNewRomanPSMT"/>
          <w:lang w:val="en-US" w:eastAsia="en-US"/>
        </w:rPr>
        <w:instrText>ZOTERO</w:instrText>
      </w:r>
      <w:r w:rsidR="00372759" w:rsidRPr="00C6132F">
        <w:rPr>
          <w:rFonts w:eastAsia="TimesNewRomanPSMT"/>
          <w:lang w:eastAsia="en-US"/>
        </w:rPr>
        <w:instrText>_</w:instrText>
      </w:r>
      <w:r w:rsidR="00372759" w:rsidRPr="00372759">
        <w:rPr>
          <w:rFonts w:eastAsia="TimesNewRomanPSMT"/>
          <w:lang w:val="en-US" w:eastAsia="en-US"/>
        </w:rPr>
        <w:instrText>ITEM</w:instrText>
      </w:r>
      <w:r w:rsidR="00372759" w:rsidRPr="00C6132F">
        <w:rPr>
          <w:rFonts w:eastAsia="TimesNewRomanPSMT"/>
          <w:lang w:eastAsia="en-US"/>
        </w:rPr>
        <w:instrText xml:space="preserve"> </w:instrText>
      </w:r>
      <w:r w:rsidR="00372759" w:rsidRPr="00372759">
        <w:rPr>
          <w:rFonts w:eastAsia="TimesNewRomanPSMT"/>
          <w:lang w:val="en-US" w:eastAsia="en-US"/>
        </w:rPr>
        <w:instrText>CSL</w:instrText>
      </w:r>
      <w:r w:rsidR="00372759" w:rsidRPr="00C6132F">
        <w:rPr>
          <w:rFonts w:eastAsia="TimesNewRomanPSMT"/>
          <w:lang w:eastAsia="en-US"/>
        </w:rPr>
        <w:instrText>_</w:instrText>
      </w:r>
      <w:r w:rsidR="00372759" w:rsidRPr="00372759">
        <w:rPr>
          <w:rFonts w:eastAsia="TimesNewRomanPSMT"/>
          <w:lang w:val="en-US" w:eastAsia="en-US"/>
        </w:rPr>
        <w:instrText>CITATION</w:instrText>
      </w:r>
      <w:r w:rsidR="00372759" w:rsidRPr="00C6132F">
        <w:rPr>
          <w:rFonts w:eastAsia="TimesNewRomanPSMT"/>
          <w:lang w:eastAsia="en-US"/>
        </w:rPr>
        <w:instrText xml:space="preserve"> {"</w:instrText>
      </w:r>
      <w:r w:rsidR="00372759" w:rsidRPr="00372759">
        <w:rPr>
          <w:rFonts w:eastAsia="TimesNewRomanPSMT"/>
          <w:lang w:val="en-US" w:eastAsia="en-US"/>
        </w:rPr>
        <w:instrText>citationID</w:instrText>
      </w:r>
      <w:r w:rsidR="00372759" w:rsidRPr="00C6132F">
        <w:rPr>
          <w:rFonts w:eastAsia="TimesNewRomanPSMT"/>
          <w:lang w:eastAsia="en-US"/>
        </w:rPr>
        <w:instrText>":"</w:instrText>
      </w:r>
      <w:r w:rsidR="00372759" w:rsidRPr="00372759">
        <w:rPr>
          <w:rFonts w:eastAsia="TimesNewRomanPSMT"/>
          <w:lang w:val="en-US" w:eastAsia="en-US"/>
        </w:rPr>
        <w:instrText>eSDSFvRC</w:instrText>
      </w:r>
      <w:r w:rsidR="00372759" w:rsidRPr="00C6132F">
        <w:rPr>
          <w:rFonts w:eastAsia="TimesNewRomanPSMT"/>
          <w:lang w:eastAsia="en-US"/>
        </w:rPr>
        <w:instrText>","</w:instrText>
      </w:r>
      <w:r w:rsidR="00372759" w:rsidRPr="00372759">
        <w:rPr>
          <w:rFonts w:eastAsia="TimesNewRomanPSMT"/>
          <w:lang w:val="en-US" w:eastAsia="en-US"/>
        </w:rPr>
        <w:instrText>properties</w:instrText>
      </w:r>
      <w:r w:rsidR="00372759" w:rsidRPr="00C6132F">
        <w:rPr>
          <w:rFonts w:eastAsia="TimesNewRomanPSMT"/>
          <w:lang w:eastAsia="en-US"/>
        </w:rPr>
        <w:instrText>":{"</w:instrText>
      </w:r>
      <w:r w:rsidR="00372759" w:rsidRPr="00372759">
        <w:rPr>
          <w:rFonts w:eastAsia="TimesNewRomanPSMT"/>
          <w:lang w:val="en-US" w:eastAsia="en-US"/>
        </w:rPr>
        <w:instrText>formattedCitation</w:instrText>
      </w:r>
      <w:r w:rsidR="00372759" w:rsidRPr="00C6132F">
        <w:rPr>
          <w:rFonts w:eastAsia="TimesNewRomanPSMT"/>
          <w:lang w:eastAsia="en-US"/>
        </w:rPr>
        <w:instrText>":"[28,29]","</w:instrText>
      </w:r>
      <w:r w:rsidR="00372759" w:rsidRPr="00372759">
        <w:rPr>
          <w:rFonts w:eastAsia="TimesNewRomanPSMT"/>
          <w:lang w:val="en-US" w:eastAsia="en-US"/>
        </w:rPr>
        <w:instrText>plainCitation</w:instrText>
      </w:r>
      <w:r w:rsidR="00372759" w:rsidRPr="00C6132F">
        <w:rPr>
          <w:rFonts w:eastAsia="TimesNewRomanPSMT"/>
          <w:lang w:eastAsia="en-US"/>
        </w:rPr>
        <w:instrText>":"[28,29]","</w:instrText>
      </w:r>
      <w:r w:rsidR="00372759" w:rsidRPr="00372759">
        <w:rPr>
          <w:rFonts w:eastAsia="TimesNewRomanPSMT"/>
          <w:lang w:val="en-US" w:eastAsia="en-US"/>
        </w:rPr>
        <w:instrText>noteIndex</w:instrText>
      </w:r>
      <w:r w:rsidR="00372759" w:rsidRPr="00C6132F">
        <w:rPr>
          <w:rFonts w:eastAsia="TimesNewRomanPSMT"/>
          <w:lang w:eastAsia="en-US"/>
        </w:rPr>
        <w:instrText>":0},"</w:instrText>
      </w:r>
      <w:r w:rsidR="00372759" w:rsidRPr="00372759">
        <w:rPr>
          <w:rFonts w:eastAsia="TimesNewRomanPSMT"/>
          <w:lang w:val="en-US" w:eastAsia="en-US"/>
        </w:rPr>
        <w:instrText>citationItems</w:instrText>
      </w:r>
      <w:r w:rsidR="00372759" w:rsidRPr="00C6132F">
        <w:rPr>
          <w:rFonts w:eastAsia="TimesNewRomanPSMT"/>
          <w:lang w:eastAsia="en-US"/>
        </w:rPr>
        <w:instrText>":[{"</w:instrText>
      </w:r>
      <w:r w:rsidR="00372759" w:rsidRPr="00372759">
        <w:rPr>
          <w:rFonts w:eastAsia="TimesNewRomanPSMT"/>
          <w:lang w:val="en-US" w:eastAsia="en-US"/>
        </w:rPr>
        <w:instrText>id</w:instrText>
      </w:r>
      <w:r w:rsidR="00372759" w:rsidRPr="00C6132F">
        <w:rPr>
          <w:rFonts w:eastAsia="TimesNewRomanPSMT"/>
          <w:lang w:eastAsia="en-US"/>
        </w:rPr>
        <w:instrText>":3529,"</w:instrText>
      </w:r>
      <w:r w:rsidR="00372759" w:rsidRPr="00372759">
        <w:rPr>
          <w:rFonts w:eastAsia="TimesNewRomanPSMT"/>
          <w:lang w:val="en-US" w:eastAsia="en-US"/>
        </w:rPr>
        <w:instrText>uris</w:instrText>
      </w:r>
      <w:r w:rsidR="00372759" w:rsidRPr="00C6132F">
        <w:rPr>
          <w:rFonts w:eastAsia="TimesNewRomanPSMT"/>
          <w:lang w:eastAsia="en-US"/>
        </w:rPr>
        <w:instrText>":["</w:instrText>
      </w:r>
      <w:r w:rsidR="00372759" w:rsidRPr="00372759">
        <w:rPr>
          <w:rFonts w:eastAsia="TimesNewRomanPSMT"/>
          <w:lang w:val="en-US" w:eastAsia="en-US"/>
        </w:rPr>
        <w:instrText>http</w:instrText>
      </w:r>
      <w:r w:rsidR="00372759" w:rsidRPr="00C6132F">
        <w:rPr>
          <w:rFonts w:eastAsia="TimesNewRomanPSMT"/>
          <w:lang w:eastAsia="en-US"/>
        </w:rPr>
        <w:instrText>://</w:instrText>
      </w:r>
      <w:r w:rsidR="00372759" w:rsidRPr="00372759">
        <w:rPr>
          <w:rFonts w:eastAsia="TimesNewRomanPSMT"/>
          <w:lang w:val="en-US" w:eastAsia="en-US"/>
        </w:rPr>
        <w:instrText>zotero</w:instrText>
      </w:r>
      <w:r w:rsidR="00372759" w:rsidRPr="00C6132F">
        <w:rPr>
          <w:rFonts w:eastAsia="TimesNewRomanPSMT"/>
          <w:lang w:eastAsia="en-US"/>
        </w:rPr>
        <w:instrText>.</w:instrText>
      </w:r>
      <w:r w:rsidR="00372759" w:rsidRPr="00372759">
        <w:rPr>
          <w:rFonts w:eastAsia="TimesNewRomanPSMT"/>
          <w:lang w:val="en-US" w:eastAsia="en-US"/>
        </w:rPr>
        <w:instrText>org</w:instrText>
      </w:r>
      <w:r w:rsidR="00372759" w:rsidRPr="00C6132F">
        <w:rPr>
          <w:rFonts w:eastAsia="TimesNewRomanPSMT"/>
          <w:lang w:eastAsia="en-US"/>
        </w:rPr>
        <w:instrText>/</w:instrText>
      </w:r>
      <w:r w:rsidR="00372759" w:rsidRPr="00372759">
        <w:rPr>
          <w:rFonts w:eastAsia="TimesNewRomanPSMT"/>
          <w:lang w:val="en-US" w:eastAsia="en-US"/>
        </w:rPr>
        <w:instrText>groups</w:instrText>
      </w:r>
      <w:r w:rsidR="00372759" w:rsidRPr="00C6132F">
        <w:rPr>
          <w:rFonts w:eastAsia="TimesNewRomanPSMT"/>
          <w:lang w:eastAsia="en-US"/>
        </w:rPr>
        <w:instrText>/4514912/</w:instrText>
      </w:r>
      <w:r w:rsidR="00372759" w:rsidRPr="00372759">
        <w:rPr>
          <w:rFonts w:eastAsia="TimesNewRomanPSMT"/>
          <w:lang w:val="en-US" w:eastAsia="en-US"/>
        </w:rPr>
        <w:instrText>items</w:instrText>
      </w:r>
      <w:r w:rsidR="00372759" w:rsidRPr="00C6132F">
        <w:rPr>
          <w:rFonts w:eastAsia="TimesNewRomanPSMT"/>
          <w:lang w:eastAsia="en-US"/>
        </w:rPr>
        <w:instrText>/</w:instrText>
      </w:r>
      <w:r w:rsidR="00372759" w:rsidRPr="00372759">
        <w:rPr>
          <w:rFonts w:eastAsia="TimesNewRomanPSMT"/>
          <w:lang w:val="en-US" w:eastAsia="en-US"/>
        </w:rPr>
        <w:instrText>LC</w:instrText>
      </w:r>
      <w:r w:rsidR="00372759" w:rsidRPr="00C6132F">
        <w:rPr>
          <w:rFonts w:eastAsia="TimesNewRomanPSMT"/>
          <w:lang w:eastAsia="en-US"/>
        </w:rPr>
        <w:instrText>49</w:instrText>
      </w:r>
      <w:r w:rsidR="00372759" w:rsidRPr="00372759">
        <w:rPr>
          <w:rFonts w:eastAsia="TimesNewRomanPSMT"/>
          <w:lang w:val="en-US" w:eastAsia="en-US"/>
        </w:rPr>
        <w:instrText>HQEP</w:instrText>
      </w:r>
      <w:r w:rsidR="00372759" w:rsidRPr="00C6132F">
        <w:rPr>
          <w:rFonts w:eastAsia="TimesNewRomanPSMT"/>
          <w:lang w:eastAsia="en-US"/>
        </w:rPr>
        <w:instrText>"],"</w:instrText>
      </w:r>
      <w:r w:rsidR="00372759" w:rsidRPr="00372759">
        <w:rPr>
          <w:rFonts w:eastAsia="TimesNewRomanPSMT"/>
          <w:lang w:val="en-US" w:eastAsia="en-US"/>
        </w:rPr>
        <w:instrText>uri</w:instrText>
      </w:r>
      <w:r w:rsidR="00372759" w:rsidRPr="00C6132F">
        <w:rPr>
          <w:rFonts w:eastAsia="TimesNewRomanPSMT"/>
          <w:lang w:eastAsia="en-US"/>
        </w:rPr>
        <w:instrText>":["</w:instrText>
      </w:r>
      <w:r w:rsidR="00372759" w:rsidRPr="00372759">
        <w:rPr>
          <w:rFonts w:eastAsia="TimesNewRomanPSMT"/>
          <w:lang w:val="en-US" w:eastAsia="en-US"/>
        </w:rPr>
        <w:instrText>http</w:instrText>
      </w:r>
      <w:r w:rsidR="00372759" w:rsidRPr="00C6132F">
        <w:rPr>
          <w:rFonts w:eastAsia="TimesNewRomanPSMT"/>
          <w:lang w:eastAsia="en-US"/>
        </w:rPr>
        <w:instrText>://</w:instrText>
      </w:r>
      <w:r w:rsidR="00372759" w:rsidRPr="00372759">
        <w:rPr>
          <w:rFonts w:eastAsia="TimesNewRomanPSMT"/>
          <w:lang w:val="en-US" w:eastAsia="en-US"/>
        </w:rPr>
        <w:instrText>zotero</w:instrText>
      </w:r>
      <w:r w:rsidR="00372759" w:rsidRPr="00C6132F">
        <w:rPr>
          <w:rFonts w:eastAsia="TimesNewRomanPSMT"/>
          <w:lang w:eastAsia="en-US"/>
        </w:rPr>
        <w:instrText>.</w:instrText>
      </w:r>
      <w:r w:rsidR="00372759" w:rsidRPr="00372759">
        <w:rPr>
          <w:rFonts w:eastAsia="TimesNewRomanPSMT"/>
          <w:lang w:val="en-US" w:eastAsia="en-US"/>
        </w:rPr>
        <w:instrText>org</w:instrText>
      </w:r>
      <w:r w:rsidR="00372759" w:rsidRPr="00C6132F">
        <w:rPr>
          <w:rFonts w:eastAsia="TimesNewRomanPSMT"/>
          <w:lang w:eastAsia="en-US"/>
        </w:rPr>
        <w:instrText>/</w:instrText>
      </w:r>
      <w:r w:rsidR="00372759" w:rsidRPr="00372759">
        <w:rPr>
          <w:rFonts w:eastAsia="TimesNewRomanPSMT"/>
          <w:lang w:val="en-US" w:eastAsia="en-US"/>
        </w:rPr>
        <w:instrText>groups</w:instrText>
      </w:r>
      <w:r w:rsidR="00372759" w:rsidRPr="00C6132F">
        <w:rPr>
          <w:rFonts w:eastAsia="TimesNewRomanPSMT"/>
          <w:lang w:eastAsia="en-US"/>
        </w:rPr>
        <w:instrText>/4514912/</w:instrText>
      </w:r>
      <w:r w:rsidR="00372759" w:rsidRPr="00372759">
        <w:rPr>
          <w:rFonts w:eastAsia="TimesNewRomanPSMT"/>
          <w:lang w:val="en-US" w:eastAsia="en-US"/>
        </w:rPr>
        <w:instrText>items</w:instrText>
      </w:r>
      <w:r w:rsidR="00372759" w:rsidRPr="00C6132F">
        <w:rPr>
          <w:rFonts w:eastAsia="TimesNewRomanPSMT"/>
          <w:lang w:eastAsia="en-US"/>
        </w:rPr>
        <w:instrText>/</w:instrText>
      </w:r>
      <w:r w:rsidR="00372759" w:rsidRPr="00372759">
        <w:rPr>
          <w:rFonts w:eastAsia="TimesNewRomanPSMT"/>
          <w:lang w:val="en-US" w:eastAsia="en-US"/>
        </w:rPr>
        <w:instrText>LC</w:instrText>
      </w:r>
      <w:r w:rsidR="00372759" w:rsidRPr="00C6132F">
        <w:rPr>
          <w:rFonts w:eastAsia="TimesNewRomanPSMT"/>
          <w:lang w:eastAsia="en-US"/>
        </w:rPr>
        <w:instrText>49</w:instrText>
      </w:r>
      <w:r w:rsidR="00372759" w:rsidRPr="00372759">
        <w:rPr>
          <w:rFonts w:eastAsia="TimesNewRomanPSMT"/>
          <w:lang w:val="en-US" w:eastAsia="en-US"/>
        </w:rPr>
        <w:instrText>HQEP</w:instrText>
      </w:r>
      <w:r w:rsidR="00372759" w:rsidRPr="00C6132F">
        <w:rPr>
          <w:rFonts w:eastAsia="TimesNewRomanPSMT"/>
          <w:lang w:eastAsia="en-US"/>
        </w:rPr>
        <w:instrText>"],"</w:instrText>
      </w:r>
      <w:r w:rsidR="00372759" w:rsidRPr="00372759">
        <w:rPr>
          <w:rFonts w:eastAsia="TimesNewRomanPSMT"/>
          <w:lang w:val="en-US" w:eastAsia="en-US"/>
        </w:rPr>
        <w:instrText>itemData</w:instrText>
      </w:r>
      <w:r w:rsidR="00372759" w:rsidRPr="00C6132F">
        <w:rPr>
          <w:rFonts w:eastAsia="TimesNewRomanPSMT"/>
          <w:lang w:eastAsia="en-US"/>
        </w:rPr>
        <w:instrText>":{"</w:instrText>
      </w:r>
      <w:r w:rsidR="00372759" w:rsidRPr="00372759">
        <w:rPr>
          <w:rFonts w:eastAsia="TimesNewRomanPSMT"/>
          <w:lang w:val="en-US" w:eastAsia="en-US"/>
        </w:rPr>
        <w:instrText>id</w:instrText>
      </w:r>
      <w:r w:rsidR="00372759" w:rsidRPr="00C6132F">
        <w:rPr>
          <w:rFonts w:eastAsia="TimesNewRomanPSMT"/>
          <w:lang w:eastAsia="en-US"/>
        </w:rPr>
        <w:instrText>":3529,"</w:instrText>
      </w:r>
      <w:r w:rsidR="00372759" w:rsidRPr="00372759">
        <w:rPr>
          <w:rFonts w:eastAsia="TimesNewRomanPSMT"/>
          <w:lang w:val="en-US" w:eastAsia="en-US"/>
        </w:rPr>
        <w:instrText>type</w:instrText>
      </w:r>
      <w:r w:rsidR="00372759" w:rsidRPr="00C6132F">
        <w:rPr>
          <w:rFonts w:eastAsia="TimesNewRomanPSMT"/>
          <w:lang w:eastAsia="en-US"/>
        </w:rPr>
        <w:instrText>":"</w:instrText>
      </w:r>
      <w:r w:rsidR="00372759" w:rsidRPr="00372759">
        <w:rPr>
          <w:rFonts w:eastAsia="TimesNewRomanPSMT"/>
          <w:lang w:val="en-US" w:eastAsia="en-US"/>
        </w:rPr>
        <w:instrText>article</w:instrText>
      </w:r>
      <w:r w:rsidR="00372759" w:rsidRPr="00C6132F">
        <w:rPr>
          <w:rFonts w:eastAsia="TimesNewRomanPSMT"/>
          <w:lang w:eastAsia="en-US"/>
        </w:rPr>
        <w:instrText>","</w:instrText>
      </w:r>
      <w:r w:rsidR="00372759" w:rsidRPr="00372759">
        <w:rPr>
          <w:rFonts w:eastAsia="TimesNewRomanPSMT"/>
          <w:lang w:val="en-US" w:eastAsia="en-US"/>
        </w:rPr>
        <w:instrText>title</w:instrText>
      </w:r>
      <w:r w:rsidR="00372759" w:rsidRPr="00C6132F">
        <w:rPr>
          <w:rFonts w:eastAsia="TimesNewRomanPSMT"/>
          <w:lang w:eastAsia="en-US"/>
        </w:rPr>
        <w:instrText>":"</w:instrText>
      </w:r>
      <w:r w:rsidR="00372759" w:rsidRPr="00372759">
        <w:rPr>
          <w:rFonts w:eastAsia="TimesNewRomanPSMT"/>
          <w:lang w:val="en-US" w:eastAsia="en-US"/>
        </w:rPr>
        <w:instrText>Qin</w:instrText>
      </w:r>
      <w:r w:rsidR="00372759" w:rsidRPr="00C6132F">
        <w:rPr>
          <w:rFonts w:eastAsia="TimesNewRomanPSMT"/>
          <w:lang w:eastAsia="en-US"/>
        </w:rPr>
        <w:instrText xml:space="preserve"> </w:instrText>
      </w:r>
      <w:r w:rsidR="00372759" w:rsidRPr="00372759">
        <w:rPr>
          <w:rFonts w:eastAsia="TimesNewRomanPSMT"/>
          <w:lang w:val="en-US" w:eastAsia="en-US"/>
        </w:rPr>
        <w:instrText>Y</w:instrText>
      </w:r>
      <w:r w:rsidR="00372759" w:rsidRPr="00C6132F">
        <w:rPr>
          <w:rFonts w:eastAsia="TimesNewRomanPSMT"/>
          <w:lang w:eastAsia="en-US"/>
        </w:rPr>
        <w:instrText>.</w:instrText>
      </w:r>
      <w:r w:rsidR="00372759" w:rsidRPr="00372759">
        <w:rPr>
          <w:rFonts w:eastAsia="TimesNewRomanPSMT"/>
          <w:lang w:val="en-US" w:eastAsia="en-US"/>
        </w:rPr>
        <w:instrText>E</w:instrText>
      </w:r>
      <w:r w:rsidR="00372759" w:rsidRPr="00C6132F">
        <w:rPr>
          <w:rFonts w:eastAsia="TimesNewRomanPSMT"/>
          <w:lang w:eastAsia="en-US"/>
        </w:rPr>
        <w:instrText xml:space="preserve">., </w:instrText>
      </w:r>
      <w:r w:rsidR="00372759" w:rsidRPr="00372759">
        <w:rPr>
          <w:rFonts w:eastAsia="TimesNewRomanPSMT"/>
          <w:lang w:val="en-US" w:eastAsia="en-US"/>
        </w:rPr>
        <w:instrText>Mao</w:instrText>
      </w:r>
      <w:r w:rsidR="00372759" w:rsidRPr="00C6132F">
        <w:rPr>
          <w:rFonts w:eastAsia="TimesNewRomanPSMT"/>
          <w:lang w:eastAsia="en-US"/>
        </w:rPr>
        <w:instrText xml:space="preserve"> </w:instrText>
      </w:r>
      <w:r w:rsidR="00372759" w:rsidRPr="00372759">
        <w:rPr>
          <w:rFonts w:eastAsia="TimesNewRomanPSMT"/>
          <w:lang w:val="en-US" w:eastAsia="en-US"/>
        </w:rPr>
        <w:instrText>J</w:instrText>
      </w:r>
      <w:r w:rsidR="00372759" w:rsidRPr="00C6132F">
        <w:rPr>
          <w:rFonts w:eastAsia="TimesNewRomanPSMT"/>
          <w:lang w:eastAsia="en-US"/>
        </w:rPr>
        <w:instrText>.</w:instrText>
      </w:r>
      <w:r w:rsidR="00372759" w:rsidRPr="00372759">
        <w:rPr>
          <w:rFonts w:eastAsia="TimesNewRomanPSMT"/>
          <w:lang w:val="en-US" w:eastAsia="en-US"/>
        </w:rPr>
        <w:instrText>R</w:instrText>
      </w:r>
      <w:r w:rsidR="00372759" w:rsidRPr="00C6132F">
        <w:rPr>
          <w:rFonts w:eastAsia="TimesNewRomanPSMT"/>
          <w:lang w:eastAsia="en-US"/>
        </w:rPr>
        <w:instrText xml:space="preserve">., </w:instrText>
      </w:r>
      <w:r w:rsidR="00372759" w:rsidRPr="00372759">
        <w:rPr>
          <w:rFonts w:eastAsia="TimesNewRomanPSMT"/>
          <w:lang w:val="en-US" w:eastAsia="en-US"/>
        </w:rPr>
        <w:instrText>Sang</w:instrText>
      </w:r>
      <w:r w:rsidR="00372759" w:rsidRPr="00C6132F">
        <w:rPr>
          <w:rFonts w:eastAsia="TimesNewRomanPSMT"/>
          <w:lang w:eastAsia="en-US"/>
        </w:rPr>
        <w:instrText xml:space="preserve"> </w:instrText>
      </w:r>
      <w:r w:rsidR="00372759" w:rsidRPr="00372759">
        <w:rPr>
          <w:rFonts w:eastAsia="TimesNewRomanPSMT"/>
          <w:lang w:val="en-US" w:eastAsia="en-US"/>
        </w:rPr>
        <w:instrText>Y</w:instrText>
      </w:r>
      <w:r w:rsidR="00372759" w:rsidRPr="00C6132F">
        <w:rPr>
          <w:rFonts w:eastAsia="TimesNewRomanPSMT"/>
          <w:lang w:eastAsia="en-US"/>
        </w:rPr>
        <w:instrText>.</w:instrText>
      </w:r>
      <w:r w:rsidR="00372759" w:rsidRPr="00372759">
        <w:rPr>
          <w:rFonts w:eastAsia="TimesNewRomanPSMT"/>
          <w:lang w:val="en-US" w:eastAsia="en-US"/>
        </w:rPr>
        <w:instrText>C</w:instrText>
      </w:r>
      <w:r w:rsidR="00372759" w:rsidRPr="00C6132F">
        <w:rPr>
          <w:rFonts w:eastAsia="TimesNewRomanPSMT"/>
          <w:lang w:eastAsia="en-US"/>
        </w:rPr>
        <w:instrText xml:space="preserve">., </w:instrText>
      </w:r>
      <w:r w:rsidR="00372759" w:rsidRPr="00372759">
        <w:rPr>
          <w:rFonts w:eastAsia="TimesNewRomanPSMT"/>
          <w:lang w:val="en-US" w:eastAsia="en-US"/>
        </w:rPr>
        <w:instrText>Li</w:instrText>
      </w:r>
      <w:r w:rsidR="00372759" w:rsidRPr="00C6132F">
        <w:rPr>
          <w:rFonts w:eastAsia="TimesNewRomanPSMT"/>
          <w:lang w:eastAsia="en-US"/>
        </w:rPr>
        <w:instrText xml:space="preserve"> </w:instrText>
      </w:r>
      <w:r w:rsidR="00372759" w:rsidRPr="00372759">
        <w:rPr>
          <w:rFonts w:eastAsia="TimesNewRomanPSMT"/>
          <w:lang w:val="en-US" w:eastAsia="en-US"/>
        </w:rPr>
        <w:instrText>W</w:instrText>
      </w:r>
      <w:r w:rsidR="00372759" w:rsidRPr="00C6132F">
        <w:rPr>
          <w:rFonts w:eastAsia="TimesNewRomanPSMT"/>
          <w:lang w:eastAsia="en-US"/>
        </w:rPr>
        <w:instrText>.</w:instrText>
      </w:r>
      <w:r w:rsidR="00372759" w:rsidRPr="00372759">
        <w:rPr>
          <w:rFonts w:eastAsia="TimesNewRomanPSMT"/>
          <w:lang w:val="en-US" w:eastAsia="en-US"/>
        </w:rPr>
        <w:instrText>X</w:instrText>
      </w:r>
      <w:r w:rsidR="00372759" w:rsidRPr="00C6132F">
        <w:rPr>
          <w:rFonts w:eastAsia="TimesNewRomanPSMT"/>
          <w:lang w:eastAsia="en-US"/>
        </w:rPr>
        <w:instrText xml:space="preserve">. </w:instrText>
      </w:r>
      <w:r w:rsidR="00372759" w:rsidRPr="00372759">
        <w:rPr>
          <w:rFonts w:eastAsia="TimesNewRomanPSMT"/>
          <w:lang w:val="en-US" w:eastAsia="en-US"/>
        </w:rPr>
        <w:instrText>Clinical</w:instrText>
      </w:r>
      <w:r w:rsidR="00372759" w:rsidRPr="00C6132F">
        <w:rPr>
          <w:rFonts w:eastAsia="TimesNewRomanPSMT"/>
          <w:lang w:eastAsia="en-US"/>
        </w:rPr>
        <w:instrText xml:space="preserve"> </w:instrText>
      </w:r>
      <w:r w:rsidR="00372759" w:rsidRPr="00372759">
        <w:rPr>
          <w:rFonts w:eastAsia="TimesNewRomanPSMT"/>
          <w:lang w:val="en-US" w:eastAsia="en-US"/>
        </w:rPr>
        <w:instrText>efficacy</w:instrText>
      </w:r>
      <w:r w:rsidR="00372759" w:rsidRPr="00C6132F">
        <w:rPr>
          <w:rFonts w:eastAsia="TimesNewRomanPSMT"/>
          <w:lang w:eastAsia="en-US"/>
        </w:rPr>
        <w:instrText xml:space="preserve"> </w:instrText>
      </w:r>
      <w:r w:rsidR="00372759" w:rsidRPr="00372759">
        <w:rPr>
          <w:rFonts w:eastAsia="TimesNewRomanPSMT"/>
          <w:lang w:val="en-US" w:eastAsia="en-US"/>
        </w:rPr>
        <w:instrText>and</w:instrText>
      </w:r>
      <w:r w:rsidR="00372759" w:rsidRPr="00C6132F">
        <w:rPr>
          <w:rFonts w:eastAsia="TimesNewRomanPSMT"/>
          <w:lang w:eastAsia="en-US"/>
        </w:rPr>
        <w:instrText xml:space="preserve"> </w:instrText>
      </w:r>
      <w:r w:rsidR="00372759" w:rsidRPr="00372759">
        <w:rPr>
          <w:rFonts w:eastAsia="TimesNewRomanPSMT"/>
          <w:lang w:val="en-US" w:eastAsia="en-US"/>
        </w:rPr>
        <w:instrText>compliance</w:instrText>
      </w:r>
      <w:r w:rsidR="00372759" w:rsidRPr="00C6132F">
        <w:rPr>
          <w:rFonts w:eastAsia="TimesNewRomanPSMT"/>
          <w:lang w:eastAsia="en-US"/>
        </w:rPr>
        <w:instrText xml:space="preserve"> </w:instrText>
      </w:r>
      <w:r w:rsidR="00372759" w:rsidRPr="00372759">
        <w:rPr>
          <w:rFonts w:eastAsia="TimesNewRomanPSMT"/>
          <w:lang w:val="en-US" w:eastAsia="en-US"/>
        </w:rPr>
        <w:instrText>of</w:instrText>
      </w:r>
      <w:r w:rsidR="00372759" w:rsidRPr="00C6132F">
        <w:rPr>
          <w:rFonts w:eastAsia="TimesNewRomanPSMT"/>
          <w:lang w:eastAsia="en-US"/>
        </w:rPr>
        <w:instrText xml:space="preserve"> </w:instrText>
      </w:r>
      <w:r w:rsidR="00372759" w:rsidRPr="00372759">
        <w:rPr>
          <w:rFonts w:eastAsia="TimesNewRomanPSMT"/>
          <w:lang w:val="en-US" w:eastAsia="en-US"/>
        </w:rPr>
        <w:instrText>sublingual</w:instrText>
      </w:r>
      <w:r w:rsidR="00372759" w:rsidRPr="00C6132F">
        <w:rPr>
          <w:rFonts w:eastAsia="TimesNewRomanPSMT"/>
          <w:lang w:eastAsia="en-US"/>
        </w:rPr>
        <w:instrText xml:space="preserve"> </w:instrText>
      </w:r>
      <w:r w:rsidR="00372759" w:rsidRPr="00372759">
        <w:rPr>
          <w:rFonts w:eastAsia="TimesNewRomanPSMT"/>
          <w:lang w:val="en-US" w:eastAsia="en-US"/>
        </w:rPr>
        <w:instrText>immunotherapy</w:instrText>
      </w:r>
      <w:r w:rsidR="00372759" w:rsidRPr="00C6132F">
        <w:rPr>
          <w:rFonts w:eastAsia="TimesNewRomanPSMT"/>
          <w:lang w:eastAsia="en-US"/>
        </w:rPr>
        <w:instrText xml:space="preserve"> </w:instrText>
      </w:r>
      <w:r w:rsidR="00372759" w:rsidRPr="00372759">
        <w:rPr>
          <w:rFonts w:eastAsia="TimesNewRomanPSMT"/>
          <w:lang w:val="en-US" w:eastAsia="en-US"/>
        </w:rPr>
        <w:instrText>with</w:instrText>
      </w:r>
      <w:r w:rsidR="00372759" w:rsidRPr="00C6132F">
        <w:rPr>
          <w:rFonts w:eastAsia="TimesNewRomanPSMT"/>
          <w:lang w:eastAsia="en-US"/>
        </w:rPr>
        <w:instrText xml:space="preserve"> </w:instrText>
      </w:r>
      <w:r w:rsidR="00372759" w:rsidRPr="00372759">
        <w:rPr>
          <w:rFonts w:eastAsia="TimesNewRomanPSMT"/>
          <w:lang w:val="en-US" w:eastAsia="en-US"/>
        </w:rPr>
        <w:instrText>Dermatophagoides</w:instrText>
      </w:r>
      <w:r w:rsidR="00372759" w:rsidRPr="00C6132F">
        <w:rPr>
          <w:rFonts w:eastAsia="TimesNewRomanPSMT"/>
          <w:lang w:eastAsia="en-US"/>
        </w:rPr>
        <w:instrText xml:space="preserve"> </w:instrText>
      </w:r>
      <w:r w:rsidR="00372759" w:rsidRPr="00372759">
        <w:rPr>
          <w:rFonts w:eastAsia="TimesNewRomanPSMT"/>
          <w:lang w:val="en-US" w:eastAsia="en-US"/>
        </w:rPr>
        <w:instrText>farinae</w:instrText>
      </w:r>
      <w:r w:rsidR="00372759" w:rsidRPr="00C6132F">
        <w:rPr>
          <w:rFonts w:eastAsia="TimesNewRomanPSMT"/>
          <w:lang w:eastAsia="en-US"/>
        </w:rPr>
        <w:instrText xml:space="preserve"> </w:instrText>
      </w:r>
      <w:r w:rsidR="00372759" w:rsidRPr="00372759">
        <w:rPr>
          <w:rFonts w:eastAsia="TimesNewRomanPSMT"/>
          <w:lang w:val="en-US" w:eastAsia="en-US"/>
        </w:rPr>
        <w:instrText>drops</w:instrText>
      </w:r>
      <w:r w:rsidR="00372759" w:rsidRPr="00C6132F">
        <w:rPr>
          <w:rFonts w:eastAsia="TimesNewRomanPSMT"/>
          <w:lang w:eastAsia="en-US"/>
        </w:rPr>
        <w:instrText xml:space="preserve"> </w:instrText>
      </w:r>
      <w:r w:rsidR="00372759" w:rsidRPr="00372759">
        <w:rPr>
          <w:rFonts w:eastAsia="TimesNewRomanPSMT"/>
          <w:lang w:val="en-US" w:eastAsia="en-US"/>
        </w:rPr>
        <w:instrText>in</w:instrText>
      </w:r>
      <w:r w:rsidR="00372759" w:rsidRPr="00C6132F">
        <w:rPr>
          <w:rFonts w:eastAsia="TimesNewRomanPSMT"/>
          <w:lang w:eastAsia="en-US"/>
        </w:rPr>
        <w:instrText xml:space="preserve"> </w:instrText>
      </w:r>
      <w:r w:rsidR="00372759" w:rsidRPr="00372759">
        <w:rPr>
          <w:rFonts w:eastAsia="TimesNewRomanPSMT"/>
          <w:lang w:val="en-US" w:eastAsia="en-US"/>
        </w:rPr>
        <w:instrText>patients</w:instrText>
      </w:r>
      <w:r w:rsidR="00372759" w:rsidRPr="00C6132F">
        <w:rPr>
          <w:rFonts w:eastAsia="TimesNewRomanPSMT"/>
          <w:lang w:eastAsia="en-US"/>
        </w:rPr>
        <w:instrText xml:space="preserve"> </w:instrText>
      </w:r>
      <w:r w:rsidR="00372759" w:rsidRPr="00372759">
        <w:rPr>
          <w:rFonts w:eastAsia="TimesNewRomanPSMT"/>
          <w:lang w:val="en-US" w:eastAsia="en-US"/>
        </w:rPr>
        <w:instrText>with</w:instrText>
      </w:r>
      <w:r w:rsidR="00372759" w:rsidRPr="00C6132F">
        <w:rPr>
          <w:rFonts w:eastAsia="TimesNewRomanPSMT"/>
          <w:lang w:eastAsia="en-US"/>
        </w:rPr>
        <w:instrText xml:space="preserve"> </w:instrText>
      </w:r>
      <w:r w:rsidR="00372759" w:rsidRPr="00372759">
        <w:rPr>
          <w:rFonts w:eastAsia="TimesNewRomanPSMT"/>
          <w:lang w:val="en-US" w:eastAsia="en-US"/>
        </w:rPr>
        <w:instrText>atopic</w:instrText>
      </w:r>
      <w:r w:rsidR="00372759" w:rsidRPr="00C6132F">
        <w:rPr>
          <w:rFonts w:eastAsia="TimesNewRomanPSMT"/>
          <w:lang w:eastAsia="en-US"/>
        </w:rPr>
        <w:instrText xml:space="preserve"> </w:instrText>
      </w:r>
      <w:r w:rsidR="00372759" w:rsidRPr="00372759">
        <w:rPr>
          <w:rFonts w:eastAsia="TimesNewRomanPSMT"/>
          <w:lang w:val="en-US" w:eastAsia="en-US"/>
        </w:rPr>
        <w:instrText>dermatitis</w:instrText>
      </w:r>
      <w:r w:rsidR="00372759" w:rsidRPr="00C6132F">
        <w:rPr>
          <w:rFonts w:eastAsia="TimesNewRomanPSMT"/>
          <w:lang w:eastAsia="en-US"/>
        </w:rPr>
        <w:instrText xml:space="preserve">. </w:instrText>
      </w:r>
      <w:r w:rsidR="00372759" w:rsidRPr="00372759">
        <w:rPr>
          <w:rFonts w:eastAsia="TimesNewRomanPSMT"/>
          <w:lang w:val="en-US" w:eastAsia="en-US"/>
        </w:rPr>
        <w:instrText>Int</w:instrText>
      </w:r>
      <w:r w:rsidR="00372759" w:rsidRPr="00C6132F">
        <w:rPr>
          <w:rFonts w:eastAsia="TimesNewRomanPSMT"/>
          <w:lang w:eastAsia="en-US"/>
        </w:rPr>
        <w:instrText xml:space="preserve"> </w:instrText>
      </w:r>
      <w:r w:rsidR="00372759" w:rsidRPr="00372759">
        <w:rPr>
          <w:rFonts w:eastAsia="TimesNewRomanPSMT"/>
          <w:lang w:val="en-US" w:eastAsia="en-US"/>
        </w:rPr>
        <w:instrText>J</w:instrText>
      </w:r>
      <w:r w:rsidR="00372759" w:rsidRPr="00C6132F">
        <w:rPr>
          <w:rFonts w:eastAsia="TimesNewRomanPSMT"/>
          <w:lang w:eastAsia="en-US"/>
        </w:rPr>
        <w:instrText xml:space="preserve"> </w:instrText>
      </w:r>
      <w:r w:rsidR="00372759" w:rsidRPr="00372759">
        <w:rPr>
          <w:rFonts w:eastAsia="TimesNewRomanPSMT"/>
          <w:lang w:val="en-US" w:eastAsia="en-US"/>
        </w:rPr>
        <w:instrText>Dermatol</w:instrText>
      </w:r>
      <w:r w:rsidR="00372759" w:rsidRPr="00C6132F">
        <w:rPr>
          <w:rFonts w:eastAsia="TimesNewRomanPSMT"/>
          <w:lang w:eastAsia="en-US"/>
        </w:rPr>
        <w:instrText xml:space="preserve"> 2014; 53: 650–655."},"</w:instrText>
      </w:r>
      <w:r w:rsidR="00372759" w:rsidRPr="00372759">
        <w:rPr>
          <w:rFonts w:eastAsia="TimesNewRomanPSMT"/>
          <w:lang w:val="en-US" w:eastAsia="en-US"/>
        </w:rPr>
        <w:instrText>label</w:instrText>
      </w:r>
      <w:r w:rsidR="00372759" w:rsidRPr="00C6132F">
        <w:rPr>
          <w:rFonts w:eastAsia="TimesNewRomanPSMT"/>
          <w:lang w:eastAsia="en-US"/>
        </w:rPr>
        <w:instrText>":"</w:instrText>
      </w:r>
      <w:r w:rsidR="00372759" w:rsidRPr="00372759">
        <w:rPr>
          <w:rFonts w:eastAsia="TimesNewRomanPSMT"/>
          <w:lang w:val="en-US" w:eastAsia="en-US"/>
        </w:rPr>
        <w:instrText>page</w:instrText>
      </w:r>
      <w:r w:rsidR="00372759" w:rsidRPr="00C6132F">
        <w:rPr>
          <w:rFonts w:eastAsia="TimesNewRomanPSMT"/>
          <w:lang w:eastAsia="en-US"/>
        </w:rPr>
        <w:instrText>"},{"</w:instrText>
      </w:r>
      <w:r w:rsidR="00372759" w:rsidRPr="00372759">
        <w:rPr>
          <w:rFonts w:eastAsia="TimesNewRomanPSMT"/>
          <w:lang w:val="en-US" w:eastAsia="en-US"/>
        </w:rPr>
        <w:instrText>id</w:instrText>
      </w:r>
      <w:r w:rsidR="00372759" w:rsidRPr="00C6132F">
        <w:rPr>
          <w:rFonts w:eastAsia="TimesNewRomanPSMT"/>
          <w:lang w:eastAsia="en-US"/>
        </w:rPr>
        <w:instrText>":3530,"</w:instrText>
      </w:r>
      <w:r w:rsidR="00372759" w:rsidRPr="00372759">
        <w:rPr>
          <w:rFonts w:eastAsia="TimesNewRomanPSMT"/>
          <w:lang w:val="en-US" w:eastAsia="en-US"/>
        </w:rPr>
        <w:instrText>uris</w:instrText>
      </w:r>
      <w:r w:rsidR="00372759" w:rsidRPr="00C6132F">
        <w:rPr>
          <w:rFonts w:eastAsia="TimesNewRomanPSMT"/>
          <w:lang w:eastAsia="en-US"/>
        </w:rPr>
        <w:instrText>":["</w:instrText>
      </w:r>
      <w:r w:rsidR="00372759" w:rsidRPr="00372759">
        <w:rPr>
          <w:rFonts w:eastAsia="TimesNewRomanPSMT"/>
          <w:lang w:val="en-US" w:eastAsia="en-US"/>
        </w:rPr>
        <w:instrText>http</w:instrText>
      </w:r>
      <w:r w:rsidR="00372759" w:rsidRPr="00C6132F">
        <w:rPr>
          <w:rFonts w:eastAsia="TimesNewRomanPSMT"/>
          <w:lang w:eastAsia="en-US"/>
        </w:rPr>
        <w:instrText>://</w:instrText>
      </w:r>
      <w:r w:rsidR="00372759" w:rsidRPr="00372759">
        <w:rPr>
          <w:rFonts w:eastAsia="TimesNewRomanPSMT"/>
          <w:lang w:val="en-US" w:eastAsia="en-US"/>
        </w:rPr>
        <w:instrText>zotero</w:instrText>
      </w:r>
      <w:r w:rsidR="00372759" w:rsidRPr="00C6132F">
        <w:rPr>
          <w:rFonts w:eastAsia="TimesNewRomanPSMT"/>
          <w:lang w:eastAsia="en-US"/>
        </w:rPr>
        <w:instrText>.</w:instrText>
      </w:r>
      <w:r w:rsidR="00372759" w:rsidRPr="00372759">
        <w:rPr>
          <w:rFonts w:eastAsia="TimesNewRomanPSMT"/>
          <w:lang w:val="en-US" w:eastAsia="en-US"/>
        </w:rPr>
        <w:instrText>org</w:instrText>
      </w:r>
      <w:r w:rsidR="00372759" w:rsidRPr="00C6132F">
        <w:rPr>
          <w:rFonts w:eastAsia="TimesNewRomanPSMT"/>
          <w:lang w:eastAsia="en-US"/>
        </w:rPr>
        <w:instrText>/</w:instrText>
      </w:r>
      <w:r w:rsidR="00372759" w:rsidRPr="00372759">
        <w:rPr>
          <w:rFonts w:eastAsia="TimesNewRomanPSMT"/>
          <w:lang w:val="en-US" w:eastAsia="en-US"/>
        </w:rPr>
        <w:instrText>groups</w:instrText>
      </w:r>
      <w:r w:rsidR="00372759" w:rsidRPr="00C6132F">
        <w:rPr>
          <w:rFonts w:eastAsia="TimesNewRomanPSMT"/>
          <w:lang w:eastAsia="en-US"/>
        </w:rPr>
        <w:instrText>/4514912/</w:instrText>
      </w:r>
      <w:r w:rsidR="00372759" w:rsidRPr="00372759">
        <w:rPr>
          <w:rFonts w:eastAsia="TimesNewRomanPSMT"/>
          <w:lang w:val="en-US" w:eastAsia="en-US"/>
        </w:rPr>
        <w:instrText>items</w:instrText>
      </w:r>
      <w:r w:rsidR="00372759" w:rsidRPr="00C6132F">
        <w:rPr>
          <w:rFonts w:eastAsia="TimesNewRomanPSMT"/>
          <w:lang w:eastAsia="en-US"/>
        </w:rPr>
        <w:instrText>/</w:instrText>
      </w:r>
      <w:r w:rsidR="00372759" w:rsidRPr="00372759">
        <w:rPr>
          <w:rFonts w:eastAsia="TimesNewRomanPSMT"/>
          <w:lang w:val="en-US" w:eastAsia="en-US"/>
        </w:rPr>
        <w:instrText>B</w:instrText>
      </w:r>
      <w:r w:rsidR="00372759" w:rsidRPr="00C6132F">
        <w:rPr>
          <w:rFonts w:eastAsia="TimesNewRomanPSMT"/>
          <w:lang w:eastAsia="en-US"/>
        </w:rPr>
        <w:instrText>24</w:instrText>
      </w:r>
      <w:r w:rsidR="00372759" w:rsidRPr="00372759">
        <w:rPr>
          <w:rFonts w:eastAsia="TimesNewRomanPSMT"/>
          <w:lang w:val="en-US" w:eastAsia="en-US"/>
        </w:rPr>
        <w:instrText>WDBIZ</w:instrText>
      </w:r>
      <w:r w:rsidR="00372759" w:rsidRPr="00C6132F">
        <w:rPr>
          <w:rFonts w:eastAsia="TimesNewRomanPSMT"/>
          <w:lang w:eastAsia="en-US"/>
        </w:rPr>
        <w:instrText>"],"</w:instrText>
      </w:r>
      <w:r w:rsidR="00372759" w:rsidRPr="00372759">
        <w:rPr>
          <w:rFonts w:eastAsia="TimesNewRomanPSMT"/>
          <w:lang w:val="en-US" w:eastAsia="en-US"/>
        </w:rPr>
        <w:instrText>uri</w:instrText>
      </w:r>
      <w:r w:rsidR="00372759" w:rsidRPr="00C6132F">
        <w:rPr>
          <w:rFonts w:eastAsia="TimesNewRomanPSMT"/>
          <w:lang w:eastAsia="en-US"/>
        </w:rPr>
        <w:instrText>":["</w:instrText>
      </w:r>
      <w:r w:rsidR="00372759" w:rsidRPr="00372759">
        <w:rPr>
          <w:rFonts w:eastAsia="TimesNewRomanPSMT"/>
          <w:lang w:val="en-US" w:eastAsia="en-US"/>
        </w:rPr>
        <w:instrText>http</w:instrText>
      </w:r>
      <w:r w:rsidR="00372759" w:rsidRPr="00C6132F">
        <w:rPr>
          <w:rFonts w:eastAsia="TimesNewRomanPSMT"/>
          <w:lang w:eastAsia="en-US"/>
        </w:rPr>
        <w:instrText>://</w:instrText>
      </w:r>
      <w:r w:rsidR="00372759" w:rsidRPr="00372759">
        <w:rPr>
          <w:rFonts w:eastAsia="TimesNewRomanPSMT"/>
          <w:lang w:val="en-US" w:eastAsia="en-US"/>
        </w:rPr>
        <w:instrText>zotero</w:instrText>
      </w:r>
      <w:r w:rsidR="00372759" w:rsidRPr="00C6132F">
        <w:rPr>
          <w:rFonts w:eastAsia="TimesNewRomanPSMT"/>
          <w:lang w:eastAsia="en-US"/>
        </w:rPr>
        <w:instrText>.</w:instrText>
      </w:r>
      <w:r w:rsidR="00372759" w:rsidRPr="00372759">
        <w:rPr>
          <w:rFonts w:eastAsia="TimesNewRomanPSMT"/>
          <w:lang w:val="en-US" w:eastAsia="en-US"/>
        </w:rPr>
        <w:instrText>org</w:instrText>
      </w:r>
      <w:r w:rsidR="00372759" w:rsidRPr="00C6132F">
        <w:rPr>
          <w:rFonts w:eastAsia="TimesNewRomanPSMT"/>
          <w:lang w:eastAsia="en-US"/>
        </w:rPr>
        <w:instrText>/</w:instrText>
      </w:r>
      <w:r w:rsidR="00372759" w:rsidRPr="00372759">
        <w:rPr>
          <w:rFonts w:eastAsia="TimesNewRomanPSMT"/>
          <w:lang w:val="en-US" w:eastAsia="en-US"/>
        </w:rPr>
        <w:instrText>groups</w:instrText>
      </w:r>
      <w:r w:rsidR="00372759" w:rsidRPr="00C6132F">
        <w:rPr>
          <w:rFonts w:eastAsia="TimesNewRomanPSMT"/>
          <w:lang w:eastAsia="en-US"/>
        </w:rPr>
        <w:instrText>/4514912/</w:instrText>
      </w:r>
      <w:r w:rsidR="00372759" w:rsidRPr="00372759">
        <w:rPr>
          <w:rFonts w:eastAsia="TimesNewRomanPSMT"/>
          <w:lang w:val="en-US" w:eastAsia="en-US"/>
        </w:rPr>
        <w:instrText>items</w:instrText>
      </w:r>
      <w:r w:rsidR="00372759" w:rsidRPr="00C6132F">
        <w:rPr>
          <w:rFonts w:eastAsia="TimesNewRomanPSMT"/>
          <w:lang w:eastAsia="en-US"/>
        </w:rPr>
        <w:instrText>/</w:instrText>
      </w:r>
      <w:r w:rsidR="00372759" w:rsidRPr="00372759">
        <w:rPr>
          <w:rFonts w:eastAsia="TimesNewRomanPSMT"/>
          <w:lang w:val="en-US" w:eastAsia="en-US"/>
        </w:rPr>
        <w:instrText>B</w:instrText>
      </w:r>
      <w:r w:rsidR="00372759" w:rsidRPr="00C6132F">
        <w:rPr>
          <w:rFonts w:eastAsia="TimesNewRomanPSMT"/>
          <w:lang w:eastAsia="en-US"/>
        </w:rPr>
        <w:instrText>24</w:instrText>
      </w:r>
      <w:r w:rsidR="00372759" w:rsidRPr="00372759">
        <w:rPr>
          <w:rFonts w:eastAsia="TimesNewRomanPSMT"/>
          <w:lang w:val="en-US" w:eastAsia="en-US"/>
        </w:rPr>
        <w:instrText>WDBIZ</w:instrText>
      </w:r>
      <w:r w:rsidR="00372759" w:rsidRPr="00C6132F">
        <w:rPr>
          <w:rFonts w:eastAsia="TimesNewRomanPSMT"/>
          <w:lang w:eastAsia="en-US"/>
        </w:rPr>
        <w:instrText>"],"</w:instrText>
      </w:r>
      <w:r w:rsidR="00372759" w:rsidRPr="00372759">
        <w:rPr>
          <w:rFonts w:eastAsia="TimesNewRomanPSMT"/>
          <w:lang w:val="en-US" w:eastAsia="en-US"/>
        </w:rPr>
        <w:instrText>itemData</w:instrText>
      </w:r>
      <w:r w:rsidR="00372759" w:rsidRPr="00C6132F">
        <w:rPr>
          <w:rFonts w:eastAsia="TimesNewRomanPSMT"/>
          <w:lang w:eastAsia="en-US"/>
        </w:rPr>
        <w:instrText>":{"</w:instrText>
      </w:r>
      <w:r w:rsidR="00372759" w:rsidRPr="00372759">
        <w:rPr>
          <w:rFonts w:eastAsia="TimesNewRomanPSMT"/>
          <w:lang w:val="en-US" w:eastAsia="en-US"/>
        </w:rPr>
        <w:instrText>id</w:instrText>
      </w:r>
      <w:r w:rsidR="00372759" w:rsidRPr="00C6132F">
        <w:rPr>
          <w:rFonts w:eastAsia="TimesNewRomanPSMT"/>
          <w:lang w:eastAsia="en-US"/>
        </w:rPr>
        <w:instrText>":3530,"</w:instrText>
      </w:r>
      <w:r w:rsidR="00372759" w:rsidRPr="00372759">
        <w:rPr>
          <w:rFonts w:eastAsia="TimesNewRomanPSMT"/>
          <w:lang w:val="en-US" w:eastAsia="en-US"/>
        </w:rPr>
        <w:instrText>type</w:instrText>
      </w:r>
      <w:r w:rsidR="00372759" w:rsidRPr="00C6132F">
        <w:rPr>
          <w:rFonts w:eastAsia="TimesNewRomanPSMT"/>
          <w:lang w:eastAsia="en-US"/>
        </w:rPr>
        <w:instrText>":"</w:instrText>
      </w:r>
      <w:r w:rsidR="00372759" w:rsidRPr="00372759">
        <w:rPr>
          <w:rFonts w:eastAsia="TimesNewRomanPSMT"/>
          <w:lang w:val="en-US" w:eastAsia="en-US"/>
        </w:rPr>
        <w:instrText>article</w:instrText>
      </w:r>
      <w:r w:rsidR="00372759" w:rsidRPr="00C6132F">
        <w:rPr>
          <w:rFonts w:eastAsia="TimesNewRomanPSMT"/>
          <w:lang w:eastAsia="en-US"/>
        </w:rPr>
        <w:instrText>","</w:instrText>
      </w:r>
      <w:r w:rsidR="00372759" w:rsidRPr="00372759">
        <w:rPr>
          <w:rFonts w:eastAsia="TimesNewRomanPSMT"/>
          <w:lang w:val="en-US" w:eastAsia="en-US"/>
        </w:rPr>
        <w:instrText>title</w:instrText>
      </w:r>
      <w:r w:rsidR="00372759" w:rsidRPr="00C6132F">
        <w:rPr>
          <w:rFonts w:eastAsia="TimesNewRomanPSMT"/>
          <w:lang w:eastAsia="en-US"/>
        </w:rPr>
        <w:instrText>":"</w:instrText>
      </w:r>
      <w:r w:rsidR="00372759" w:rsidRPr="00372759">
        <w:rPr>
          <w:rFonts w:eastAsia="TimesNewRomanPSMT"/>
          <w:lang w:val="en-US" w:eastAsia="en-US"/>
        </w:rPr>
        <w:instrText>Liu</w:instrText>
      </w:r>
      <w:r w:rsidR="00372759" w:rsidRPr="00C6132F">
        <w:rPr>
          <w:rFonts w:eastAsia="TimesNewRomanPSMT"/>
          <w:lang w:eastAsia="en-US"/>
        </w:rPr>
        <w:instrText xml:space="preserve"> </w:instrText>
      </w:r>
      <w:r w:rsidR="00372759" w:rsidRPr="00372759">
        <w:rPr>
          <w:rFonts w:eastAsia="TimesNewRomanPSMT"/>
          <w:lang w:val="en-US" w:eastAsia="en-US"/>
        </w:rPr>
        <w:instrText>L</w:instrText>
      </w:r>
      <w:r w:rsidR="00372759" w:rsidRPr="00C6132F">
        <w:rPr>
          <w:rFonts w:eastAsia="TimesNewRomanPSMT"/>
          <w:lang w:eastAsia="en-US"/>
        </w:rPr>
        <w:instrText xml:space="preserve">., </w:instrText>
      </w:r>
      <w:r w:rsidR="00372759" w:rsidRPr="00372759">
        <w:rPr>
          <w:rFonts w:eastAsia="TimesNewRomanPSMT"/>
          <w:lang w:val="en-US" w:eastAsia="en-US"/>
        </w:rPr>
        <w:instrText>Guo</w:instrText>
      </w:r>
      <w:r w:rsidR="00372759" w:rsidRPr="00C6132F">
        <w:rPr>
          <w:rFonts w:eastAsia="TimesNewRomanPSMT"/>
          <w:lang w:eastAsia="en-US"/>
        </w:rPr>
        <w:instrText xml:space="preserve"> </w:instrText>
      </w:r>
      <w:r w:rsidR="00372759" w:rsidRPr="00372759">
        <w:rPr>
          <w:rFonts w:eastAsia="TimesNewRomanPSMT"/>
          <w:lang w:val="en-US" w:eastAsia="en-US"/>
        </w:rPr>
        <w:instrText>D</w:instrText>
      </w:r>
      <w:r w:rsidR="00372759" w:rsidRPr="00C6132F">
        <w:rPr>
          <w:rFonts w:eastAsia="TimesNewRomanPSMT"/>
          <w:lang w:eastAsia="en-US"/>
        </w:rPr>
        <w:instrText xml:space="preserve">., </w:instrText>
      </w:r>
      <w:r w:rsidR="00372759" w:rsidRPr="00372759">
        <w:rPr>
          <w:rFonts w:eastAsia="TimesNewRomanPSMT"/>
          <w:lang w:val="en-US" w:eastAsia="en-US"/>
        </w:rPr>
        <w:instrText>Liang</w:instrText>
      </w:r>
      <w:r w:rsidR="00372759" w:rsidRPr="00C6132F">
        <w:rPr>
          <w:rFonts w:eastAsia="TimesNewRomanPSMT"/>
          <w:lang w:eastAsia="en-US"/>
        </w:rPr>
        <w:instrText xml:space="preserve"> </w:instrText>
      </w:r>
      <w:r w:rsidR="00372759" w:rsidRPr="00372759">
        <w:rPr>
          <w:rFonts w:eastAsia="TimesNewRomanPSMT"/>
          <w:lang w:val="en-US" w:eastAsia="en-US"/>
        </w:rPr>
        <w:instrText>Q</w:instrText>
      </w:r>
      <w:r w:rsidR="00372759" w:rsidRPr="00C6132F">
        <w:rPr>
          <w:rFonts w:eastAsia="TimesNewRomanPSMT"/>
          <w:lang w:eastAsia="en-US"/>
        </w:rPr>
        <w:instrText xml:space="preserve">. </w:instrText>
      </w:r>
      <w:r w:rsidR="00372759" w:rsidRPr="00372759">
        <w:rPr>
          <w:rFonts w:eastAsia="TimesNewRomanPSMT"/>
          <w:lang w:val="en-US" w:eastAsia="en-US"/>
        </w:rPr>
        <w:instrText>et</w:instrText>
      </w:r>
      <w:r w:rsidR="00372759" w:rsidRPr="00C6132F">
        <w:rPr>
          <w:rFonts w:eastAsia="TimesNewRomanPSMT"/>
          <w:lang w:eastAsia="en-US"/>
        </w:rPr>
        <w:instrText xml:space="preserve"> </w:instrText>
      </w:r>
      <w:r w:rsidR="00372759" w:rsidRPr="00372759">
        <w:rPr>
          <w:rFonts w:eastAsia="TimesNewRomanPSMT"/>
          <w:lang w:val="en-US" w:eastAsia="en-US"/>
        </w:rPr>
        <w:instrText>al</w:instrText>
      </w:r>
      <w:r w:rsidR="00372759" w:rsidRPr="00C6132F">
        <w:rPr>
          <w:rFonts w:eastAsia="TimesNewRomanPSMT"/>
          <w:lang w:eastAsia="en-US"/>
        </w:rPr>
        <w:instrText xml:space="preserve">. </w:instrText>
      </w:r>
      <w:r w:rsidR="00372759" w:rsidRPr="00372759">
        <w:rPr>
          <w:rFonts w:eastAsia="TimesNewRomanPSMT"/>
          <w:lang w:val="en-US" w:eastAsia="en-US"/>
        </w:rPr>
        <w:instrText>The</w:instrText>
      </w:r>
      <w:r w:rsidR="00372759" w:rsidRPr="00C6132F">
        <w:rPr>
          <w:rFonts w:eastAsia="TimesNewRomanPSMT"/>
          <w:lang w:eastAsia="en-US"/>
        </w:rPr>
        <w:instrText xml:space="preserve"> </w:instrText>
      </w:r>
      <w:r w:rsidR="00372759" w:rsidRPr="00372759">
        <w:rPr>
          <w:rFonts w:eastAsia="TimesNewRomanPSMT"/>
          <w:lang w:val="en-US" w:eastAsia="en-US"/>
        </w:rPr>
        <w:instrText>efficacy</w:instrText>
      </w:r>
      <w:r w:rsidR="00372759" w:rsidRPr="00C6132F">
        <w:rPr>
          <w:rFonts w:eastAsia="TimesNewRomanPSMT"/>
          <w:lang w:eastAsia="en-US"/>
        </w:rPr>
        <w:instrText xml:space="preserve"> </w:instrText>
      </w:r>
      <w:r w:rsidR="00372759" w:rsidRPr="00372759">
        <w:rPr>
          <w:rFonts w:eastAsia="TimesNewRomanPSMT"/>
          <w:lang w:val="en-US" w:eastAsia="en-US"/>
        </w:rPr>
        <w:instrText>of</w:instrText>
      </w:r>
      <w:r w:rsidR="00372759" w:rsidRPr="00C6132F">
        <w:rPr>
          <w:rFonts w:eastAsia="TimesNewRomanPSMT"/>
          <w:lang w:eastAsia="en-US"/>
        </w:rPr>
        <w:instrText xml:space="preserve"> </w:instrText>
      </w:r>
      <w:r w:rsidR="00372759" w:rsidRPr="00372759">
        <w:rPr>
          <w:rFonts w:eastAsia="TimesNewRomanPSMT"/>
          <w:lang w:val="en-US" w:eastAsia="en-US"/>
        </w:rPr>
        <w:instrText>sublingual</w:instrText>
      </w:r>
      <w:r w:rsidR="00372759" w:rsidRPr="00C6132F">
        <w:rPr>
          <w:rFonts w:eastAsia="TimesNewRomanPSMT"/>
          <w:lang w:eastAsia="en-US"/>
        </w:rPr>
        <w:instrText xml:space="preserve"> </w:instrText>
      </w:r>
      <w:r w:rsidR="00372759" w:rsidRPr="00372759">
        <w:rPr>
          <w:rFonts w:eastAsia="TimesNewRomanPSMT"/>
          <w:lang w:val="en-US" w:eastAsia="en-US"/>
        </w:rPr>
        <w:instrText>immunotherapy</w:instrText>
      </w:r>
      <w:r w:rsidR="00372759" w:rsidRPr="00C6132F">
        <w:rPr>
          <w:rFonts w:eastAsia="TimesNewRomanPSMT"/>
          <w:lang w:eastAsia="en-US"/>
        </w:rPr>
        <w:instrText xml:space="preserve"> </w:instrText>
      </w:r>
      <w:r w:rsidR="00372759" w:rsidRPr="00372759">
        <w:rPr>
          <w:rFonts w:eastAsia="TimesNewRomanPSMT"/>
          <w:lang w:val="en-US" w:eastAsia="en-US"/>
        </w:rPr>
        <w:instrText>with</w:instrText>
      </w:r>
      <w:r w:rsidR="00372759" w:rsidRPr="00C6132F">
        <w:rPr>
          <w:rFonts w:eastAsia="TimesNewRomanPSMT"/>
          <w:lang w:eastAsia="en-US"/>
        </w:rPr>
        <w:instrText xml:space="preserve"> </w:instrText>
      </w:r>
      <w:r w:rsidR="00372759" w:rsidRPr="00372759">
        <w:rPr>
          <w:rFonts w:eastAsia="TimesNewRomanPSMT"/>
          <w:lang w:val="en-US" w:eastAsia="en-US"/>
        </w:rPr>
        <w:instrText>Dermatophagoides</w:instrText>
      </w:r>
      <w:r w:rsidR="00372759" w:rsidRPr="00C6132F">
        <w:rPr>
          <w:rFonts w:eastAsia="TimesNewRomanPSMT"/>
          <w:lang w:eastAsia="en-US"/>
        </w:rPr>
        <w:instrText xml:space="preserve"> </w:instrText>
      </w:r>
      <w:r w:rsidR="00372759" w:rsidRPr="00372759">
        <w:rPr>
          <w:rFonts w:eastAsia="TimesNewRomanPSMT"/>
          <w:lang w:val="en-US" w:eastAsia="en-US"/>
        </w:rPr>
        <w:instrText>farinae</w:instrText>
      </w:r>
      <w:r w:rsidR="00372759" w:rsidRPr="00C6132F">
        <w:rPr>
          <w:rFonts w:eastAsia="TimesNewRomanPSMT"/>
          <w:lang w:eastAsia="en-US"/>
        </w:rPr>
        <w:instrText xml:space="preserve"> </w:instrText>
      </w:r>
      <w:r w:rsidR="00372759" w:rsidRPr="00372759">
        <w:rPr>
          <w:rFonts w:eastAsia="TimesNewRomanPSMT"/>
          <w:lang w:val="en-US" w:eastAsia="en-US"/>
        </w:rPr>
        <w:instrText>vaccine</w:instrText>
      </w:r>
      <w:r w:rsidR="00372759" w:rsidRPr="00C6132F">
        <w:rPr>
          <w:rFonts w:eastAsia="TimesNewRomanPSMT"/>
          <w:lang w:eastAsia="en-US"/>
        </w:rPr>
        <w:instrText xml:space="preserve"> </w:instrText>
      </w:r>
      <w:r w:rsidR="00372759" w:rsidRPr="00372759">
        <w:rPr>
          <w:rFonts w:eastAsia="TimesNewRomanPSMT"/>
          <w:lang w:val="en-US" w:eastAsia="en-US"/>
        </w:rPr>
        <w:instrText>in</w:instrText>
      </w:r>
      <w:r w:rsidR="00372759" w:rsidRPr="00C6132F">
        <w:rPr>
          <w:rFonts w:eastAsia="TimesNewRomanPSMT"/>
          <w:lang w:eastAsia="en-US"/>
        </w:rPr>
        <w:instrText xml:space="preserve"> </w:instrText>
      </w:r>
      <w:r w:rsidR="00372759" w:rsidRPr="00372759">
        <w:rPr>
          <w:rFonts w:eastAsia="TimesNewRomanPSMT"/>
          <w:lang w:val="en-US" w:eastAsia="en-US"/>
        </w:rPr>
        <w:instrText>a</w:instrText>
      </w:r>
      <w:r w:rsidR="00372759" w:rsidRPr="00C6132F">
        <w:rPr>
          <w:rFonts w:eastAsia="TimesNewRomanPSMT"/>
          <w:lang w:eastAsia="en-US"/>
        </w:rPr>
        <w:instrText xml:space="preserve"> </w:instrText>
      </w:r>
      <w:r w:rsidR="00372759" w:rsidRPr="00372759">
        <w:rPr>
          <w:rFonts w:eastAsia="TimesNewRomanPSMT"/>
          <w:lang w:val="en-US" w:eastAsia="en-US"/>
        </w:rPr>
        <w:instrText>murine</w:instrText>
      </w:r>
      <w:r w:rsidR="00372759" w:rsidRPr="00C6132F">
        <w:rPr>
          <w:rFonts w:eastAsia="TimesNewRomanPSMT"/>
          <w:lang w:eastAsia="en-US"/>
        </w:rPr>
        <w:instrText xml:space="preserve"> </w:instrText>
      </w:r>
      <w:r w:rsidR="00372759" w:rsidRPr="00372759">
        <w:rPr>
          <w:rFonts w:eastAsia="TimesNewRomanPSMT"/>
          <w:lang w:val="en-US" w:eastAsia="en-US"/>
        </w:rPr>
        <w:instrText>atopic</w:instrText>
      </w:r>
      <w:r w:rsidR="00372759" w:rsidRPr="00C6132F">
        <w:rPr>
          <w:rFonts w:eastAsia="TimesNewRomanPSMT"/>
          <w:lang w:eastAsia="en-US"/>
        </w:rPr>
        <w:instrText xml:space="preserve"> </w:instrText>
      </w:r>
      <w:r w:rsidR="00372759" w:rsidRPr="00372759">
        <w:rPr>
          <w:rFonts w:eastAsia="TimesNewRomanPSMT"/>
          <w:lang w:val="en-US" w:eastAsia="en-US"/>
        </w:rPr>
        <w:instrText>dermatitis</w:instrText>
      </w:r>
      <w:r w:rsidR="00372759" w:rsidRPr="00C6132F">
        <w:rPr>
          <w:rFonts w:eastAsia="TimesNewRomanPSMT"/>
          <w:lang w:eastAsia="en-US"/>
        </w:rPr>
        <w:instrText xml:space="preserve"> </w:instrText>
      </w:r>
      <w:r w:rsidR="00372759" w:rsidRPr="00372759">
        <w:rPr>
          <w:rFonts w:eastAsia="TimesNewRomanPSMT"/>
          <w:lang w:val="en-US" w:eastAsia="en-US"/>
        </w:rPr>
        <w:instrText>model</w:instrText>
      </w:r>
      <w:r w:rsidR="00372759" w:rsidRPr="00C6132F">
        <w:rPr>
          <w:rFonts w:eastAsia="TimesNewRomanPSMT"/>
          <w:lang w:eastAsia="en-US"/>
        </w:rPr>
        <w:instrText xml:space="preserve">. </w:instrText>
      </w:r>
      <w:r w:rsidR="00372759" w:rsidRPr="00372759">
        <w:rPr>
          <w:rFonts w:eastAsia="TimesNewRomanPSMT"/>
          <w:lang w:val="en-US" w:eastAsia="en-US"/>
        </w:rPr>
        <w:instrText>Clin</w:instrText>
      </w:r>
      <w:r w:rsidR="00372759" w:rsidRPr="00C6132F">
        <w:rPr>
          <w:rFonts w:eastAsia="TimesNewRomanPSMT"/>
          <w:lang w:eastAsia="en-US"/>
        </w:rPr>
        <w:instrText xml:space="preserve"> </w:instrText>
      </w:r>
      <w:r w:rsidR="00372759" w:rsidRPr="00372759">
        <w:rPr>
          <w:rFonts w:eastAsia="TimesNewRomanPSMT"/>
          <w:lang w:val="en-US" w:eastAsia="en-US"/>
        </w:rPr>
        <w:instrText>Exp</w:instrText>
      </w:r>
      <w:r w:rsidR="00372759" w:rsidRPr="00C6132F">
        <w:rPr>
          <w:rFonts w:eastAsia="TimesNewRomanPSMT"/>
          <w:lang w:eastAsia="en-US"/>
        </w:rPr>
        <w:instrText xml:space="preserve"> </w:instrText>
      </w:r>
      <w:r w:rsidR="00372759" w:rsidRPr="00372759">
        <w:rPr>
          <w:rFonts w:eastAsia="TimesNewRomanPSMT"/>
          <w:lang w:val="en-US" w:eastAsia="en-US"/>
        </w:rPr>
        <w:instrText>Allergy</w:instrText>
      </w:r>
      <w:r w:rsidR="00372759" w:rsidRPr="00C6132F">
        <w:rPr>
          <w:rFonts w:eastAsia="TimesNewRomanPSMT"/>
          <w:lang w:eastAsia="en-US"/>
        </w:rPr>
        <w:instrText xml:space="preserve"> 2015; 45: 815–822."},"</w:instrText>
      </w:r>
      <w:r w:rsidR="00372759" w:rsidRPr="00372759">
        <w:rPr>
          <w:rFonts w:eastAsia="TimesNewRomanPSMT"/>
          <w:lang w:val="en-US" w:eastAsia="en-US"/>
        </w:rPr>
        <w:instrText>label</w:instrText>
      </w:r>
      <w:r w:rsidR="00372759" w:rsidRPr="00C6132F">
        <w:rPr>
          <w:rFonts w:eastAsia="TimesNewRomanPSMT"/>
          <w:lang w:eastAsia="en-US"/>
        </w:rPr>
        <w:instrText>":"</w:instrText>
      </w:r>
      <w:r w:rsidR="00372759" w:rsidRPr="00372759">
        <w:rPr>
          <w:rFonts w:eastAsia="TimesNewRomanPSMT"/>
          <w:lang w:val="en-US" w:eastAsia="en-US"/>
        </w:rPr>
        <w:instrText>page</w:instrText>
      </w:r>
      <w:r w:rsidR="00372759" w:rsidRPr="00C6132F">
        <w:rPr>
          <w:rFonts w:eastAsia="TimesNewRomanPSMT"/>
          <w:lang w:eastAsia="en-US"/>
        </w:rPr>
        <w:instrText>"}],"</w:instrText>
      </w:r>
      <w:r w:rsidR="00372759" w:rsidRPr="00372759">
        <w:rPr>
          <w:rFonts w:eastAsia="TimesNewRomanPSMT"/>
          <w:lang w:val="en-US" w:eastAsia="en-US"/>
        </w:rPr>
        <w:instrText>schema</w:instrText>
      </w:r>
      <w:r w:rsidR="00372759" w:rsidRPr="00C6132F">
        <w:rPr>
          <w:rFonts w:eastAsia="TimesNewRomanPSMT"/>
          <w:lang w:eastAsia="en-US"/>
        </w:rPr>
        <w:instrText>":"</w:instrText>
      </w:r>
      <w:r w:rsidR="00372759" w:rsidRPr="00372759">
        <w:rPr>
          <w:rFonts w:eastAsia="TimesNewRomanPSMT"/>
          <w:lang w:val="en-US" w:eastAsia="en-US"/>
        </w:rPr>
        <w:instrText>https</w:instrText>
      </w:r>
      <w:r w:rsidR="00372759" w:rsidRPr="00C6132F">
        <w:rPr>
          <w:rFonts w:eastAsia="TimesNewRomanPSMT"/>
          <w:lang w:eastAsia="en-US"/>
        </w:rPr>
        <w:instrText>://</w:instrText>
      </w:r>
      <w:r w:rsidR="00372759" w:rsidRPr="00372759">
        <w:rPr>
          <w:rFonts w:eastAsia="TimesNewRomanPSMT"/>
          <w:lang w:val="en-US" w:eastAsia="en-US"/>
        </w:rPr>
        <w:instrText>github</w:instrText>
      </w:r>
      <w:r w:rsidR="00372759" w:rsidRPr="00C6132F">
        <w:rPr>
          <w:rFonts w:eastAsia="TimesNewRomanPSMT"/>
          <w:lang w:eastAsia="en-US"/>
        </w:rPr>
        <w:instrText>.</w:instrText>
      </w:r>
      <w:r w:rsidR="00372759" w:rsidRPr="00372759">
        <w:rPr>
          <w:rFonts w:eastAsia="TimesNewRomanPSMT"/>
          <w:lang w:val="en-US" w:eastAsia="en-US"/>
        </w:rPr>
        <w:instrText>com</w:instrText>
      </w:r>
      <w:r w:rsidR="00372759" w:rsidRPr="00C6132F">
        <w:rPr>
          <w:rFonts w:eastAsia="TimesNewRomanPSMT"/>
          <w:lang w:eastAsia="en-US"/>
        </w:rPr>
        <w:instrText>/</w:instrText>
      </w:r>
      <w:r w:rsidR="00372759" w:rsidRPr="00372759">
        <w:rPr>
          <w:rFonts w:eastAsia="TimesNewRomanPSMT"/>
          <w:lang w:val="en-US" w:eastAsia="en-US"/>
        </w:rPr>
        <w:instrText>citation</w:instrText>
      </w:r>
      <w:r w:rsidR="00372759" w:rsidRPr="00C6132F">
        <w:rPr>
          <w:rFonts w:eastAsia="TimesNewRomanPSMT"/>
          <w:lang w:eastAsia="en-US"/>
        </w:rPr>
        <w:instrText>-</w:instrText>
      </w:r>
      <w:r w:rsidR="00372759" w:rsidRPr="00372759">
        <w:rPr>
          <w:rFonts w:eastAsia="TimesNewRomanPSMT"/>
          <w:lang w:val="en-US" w:eastAsia="en-US"/>
        </w:rPr>
        <w:instrText>style</w:instrText>
      </w:r>
      <w:r w:rsidR="00372759" w:rsidRPr="00C6132F">
        <w:rPr>
          <w:rFonts w:eastAsia="TimesNewRomanPSMT"/>
          <w:lang w:eastAsia="en-US"/>
        </w:rPr>
        <w:instrText>-</w:instrText>
      </w:r>
      <w:r w:rsidR="00372759" w:rsidRPr="00372759">
        <w:rPr>
          <w:rFonts w:eastAsia="TimesNewRomanPSMT"/>
          <w:lang w:val="en-US" w:eastAsia="en-US"/>
        </w:rPr>
        <w:instrText>language</w:instrText>
      </w:r>
      <w:r w:rsidR="00372759" w:rsidRPr="00C6132F">
        <w:rPr>
          <w:rFonts w:eastAsia="TimesNewRomanPSMT"/>
          <w:lang w:eastAsia="en-US"/>
        </w:rPr>
        <w:instrText>/</w:instrText>
      </w:r>
      <w:r w:rsidR="00372759" w:rsidRPr="00372759">
        <w:rPr>
          <w:rFonts w:eastAsia="TimesNewRomanPSMT"/>
          <w:lang w:val="en-US" w:eastAsia="en-US"/>
        </w:rPr>
        <w:instrText>schema</w:instrText>
      </w:r>
      <w:r w:rsidR="00372759" w:rsidRPr="00C6132F">
        <w:rPr>
          <w:rFonts w:eastAsia="TimesNewRomanPSMT"/>
          <w:lang w:eastAsia="en-US"/>
        </w:rPr>
        <w:instrText>/</w:instrText>
      </w:r>
      <w:r w:rsidR="00372759" w:rsidRPr="00372759">
        <w:rPr>
          <w:rFonts w:eastAsia="TimesNewRomanPSMT"/>
          <w:lang w:val="en-US" w:eastAsia="en-US"/>
        </w:rPr>
        <w:instrText>raw</w:instrText>
      </w:r>
      <w:r w:rsidR="00372759" w:rsidRPr="00C6132F">
        <w:rPr>
          <w:rFonts w:eastAsia="TimesNewRomanPSMT"/>
          <w:lang w:eastAsia="en-US"/>
        </w:rPr>
        <w:instrText>/</w:instrText>
      </w:r>
      <w:r w:rsidR="00372759" w:rsidRPr="00372759">
        <w:rPr>
          <w:rFonts w:eastAsia="TimesNewRomanPSMT"/>
          <w:lang w:val="en-US" w:eastAsia="en-US"/>
        </w:rPr>
        <w:instrText>master</w:instrText>
      </w:r>
      <w:r w:rsidR="00372759" w:rsidRPr="00C6132F">
        <w:rPr>
          <w:rFonts w:eastAsia="TimesNewRomanPSMT"/>
          <w:lang w:eastAsia="en-US"/>
        </w:rPr>
        <w:instrText>/</w:instrText>
      </w:r>
      <w:r w:rsidR="00372759" w:rsidRPr="00372759">
        <w:rPr>
          <w:rFonts w:eastAsia="TimesNewRomanPSMT"/>
          <w:lang w:val="en-US" w:eastAsia="en-US"/>
        </w:rPr>
        <w:instrText>csl</w:instrText>
      </w:r>
      <w:r w:rsidR="00372759" w:rsidRPr="00C6132F">
        <w:rPr>
          <w:rFonts w:eastAsia="TimesNewRomanPSMT"/>
          <w:lang w:eastAsia="en-US"/>
        </w:rPr>
        <w:instrText>-</w:instrText>
      </w:r>
      <w:r w:rsidR="00372759" w:rsidRPr="00372759">
        <w:rPr>
          <w:rFonts w:eastAsia="TimesNewRomanPSMT"/>
          <w:lang w:val="en-US" w:eastAsia="en-US"/>
        </w:rPr>
        <w:instrText>citation</w:instrText>
      </w:r>
      <w:r w:rsidR="00372759" w:rsidRPr="00C6132F">
        <w:rPr>
          <w:rFonts w:eastAsia="TimesNewRomanPSMT"/>
          <w:lang w:eastAsia="en-US"/>
        </w:rPr>
        <w:instrText>.</w:instrText>
      </w:r>
      <w:r w:rsidR="00372759" w:rsidRPr="00372759">
        <w:rPr>
          <w:rFonts w:eastAsia="TimesNewRomanPSMT"/>
          <w:lang w:val="en-US" w:eastAsia="en-US"/>
        </w:rPr>
        <w:instrText>json</w:instrText>
      </w:r>
      <w:r w:rsidR="00372759" w:rsidRPr="00C6132F">
        <w:rPr>
          <w:rFonts w:eastAsia="TimesNewRomanPSMT"/>
          <w:lang w:eastAsia="en-US"/>
        </w:rPr>
        <w:instrText xml:space="preserve">"} </w:instrText>
      </w:r>
      <w:r w:rsidR="001F7DF5" w:rsidRPr="00372759">
        <w:rPr>
          <w:rFonts w:eastAsia="TimesNewRomanPSMT"/>
          <w:lang w:eastAsia="en-US"/>
        </w:rPr>
        <w:fldChar w:fldCharType="separate"/>
      </w:r>
      <w:r w:rsidR="00372759" w:rsidRPr="00372759">
        <w:t>[28,29]</w:t>
      </w:r>
      <w:r w:rsidR="001F7DF5" w:rsidRPr="00372759">
        <w:rPr>
          <w:rFonts w:eastAsia="TimesNewRomanPSMT"/>
          <w:lang w:eastAsia="en-US"/>
        </w:rPr>
        <w:fldChar w:fldCharType="end"/>
      </w:r>
      <w:r w:rsidRPr="00372759">
        <w:rPr>
          <w:rFonts w:eastAsia="TimesNewRomanPSMT"/>
          <w:lang w:eastAsia="en-US"/>
        </w:rPr>
        <w:t>.</w:t>
      </w:r>
    </w:p>
    <w:p w14:paraId="3D679C64" w14:textId="53EAC50F" w:rsidR="00BE6496" w:rsidRPr="00372759" w:rsidRDefault="00BE6496" w:rsidP="00AB1FF1">
      <w:pPr>
        <w:autoSpaceDE w:val="0"/>
        <w:autoSpaceDN w:val="0"/>
        <w:adjustRightInd w:val="0"/>
        <w:spacing w:after="0" w:line="240" w:lineRule="auto"/>
        <w:ind w:left="709" w:hanging="349"/>
        <w:contextualSpacing/>
        <w:rPr>
          <w:rFonts w:eastAsia="TimesNewRomanPSMT"/>
          <w:lang w:eastAsia="en-US"/>
        </w:rPr>
      </w:pPr>
    </w:p>
    <w:p w14:paraId="5FCAE4C2" w14:textId="03A72E31" w:rsidR="00B42490" w:rsidRPr="00372759" w:rsidRDefault="00BE6496" w:rsidP="00AB1FF1">
      <w:pPr>
        <w:autoSpaceDE w:val="0"/>
        <w:autoSpaceDN w:val="0"/>
        <w:adjustRightInd w:val="0"/>
        <w:spacing w:after="0" w:line="240" w:lineRule="auto"/>
        <w:ind w:left="709" w:hanging="349"/>
        <w:contextualSpacing/>
        <w:rPr>
          <w:rFonts w:eastAsia="TimesNewRomanPSMT"/>
          <w:lang w:eastAsia="en-US"/>
        </w:rPr>
      </w:pPr>
      <w:r w:rsidRPr="00372759">
        <w:rPr>
          <w:rFonts w:eastAsia="TimesNewRomanPSMT"/>
          <w:lang w:eastAsia="en-US"/>
        </w:rPr>
        <w:t>Немедикаментозное лечение АД</w:t>
      </w:r>
      <w:r w:rsidR="00372759" w:rsidRPr="00372759">
        <w:rPr>
          <w:rFonts w:eastAsia="TimesNewRomanPSMT"/>
          <w:lang w:eastAsia="en-US"/>
        </w:rPr>
        <w:t xml:space="preserve"> </w:t>
      </w:r>
      <w:r w:rsidR="00372759" w:rsidRPr="00372759">
        <w:rPr>
          <w:rFonts w:eastAsia="TimesNewRomanPSMT"/>
          <w:lang w:eastAsia="en-US"/>
        </w:rPr>
        <w:fldChar w:fldCharType="begin"/>
      </w:r>
      <w:r w:rsidR="00373726">
        <w:rPr>
          <w:rFonts w:eastAsia="TimesNewRomanPSMT"/>
          <w:lang w:eastAsia="en-US"/>
        </w:rPr>
        <w:instrText xml:space="preserve"> ADDIN ZOTERO_ITEM CSL_CITATION {"citationID":"daHSAnqM","properties":{"formattedCitation":"[9]","plainCitation":"[9]","noteIndex":0},"citationItems":[{"id":3511,"uris":["http://zotero.org/groups/4514912/items/97KG76DG"],"uri":["http://zotero.org/groups/4514912/items/97KG76DG"],"itemData":{"id":3511,"type":"article","title":"Министерство здравоохранения Российской Федерации. Клинические рекомендации. Атопический дерматит. 2020"}}],"schema":"https://github.com/citation-style-language/schema/raw/master/csl-citation.json"} </w:instrText>
      </w:r>
      <w:r w:rsidR="00372759" w:rsidRPr="00372759">
        <w:rPr>
          <w:rFonts w:eastAsia="TimesNewRomanPSMT"/>
          <w:lang w:eastAsia="en-US"/>
        </w:rPr>
        <w:fldChar w:fldCharType="separate"/>
      </w:r>
      <w:r w:rsidR="00372759" w:rsidRPr="00372759">
        <w:t>[9]</w:t>
      </w:r>
      <w:r w:rsidR="00372759" w:rsidRPr="00372759">
        <w:rPr>
          <w:rFonts w:eastAsia="TimesNewRomanPSMT"/>
          <w:lang w:eastAsia="en-US"/>
        </w:rPr>
        <w:fldChar w:fldCharType="end"/>
      </w:r>
      <w:r w:rsidR="00372759" w:rsidRPr="00372759">
        <w:rPr>
          <w:rFonts w:eastAsia="TimesNewRomanPSMT"/>
          <w:lang w:eastAsia="en-US"/>
        </w:rPr>
        <w:t>:</w:t>
      </w:r>
    </w:p>
    <w:p w14:paraId="7274D70C" w14:textId="264924B9" w:rsidR="00B42490" w:rsidRPr="00372759" w:rsidRDefault="00B42490"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372759">
        <w:rPr>
          <w:rFonts w:eastAsia="TimesNewRomanPSMT"/>
          <w:lang w:eastAsia="en-US"/>
        </w:rPr>
        <w:t>узкополосная средневолновая ультрафиолетовая терапия 311 нм (УФВ диапазон, длина волны 310–315 нм с максимумом эмиссии 311 нм) взрослым и детям старше 7 лет</w:t>
      </w:r>
      <w:r w:rsidR="006F0FA7" w:rsidRPr="00372759">
        <w:rPr>
          <w:rFonts w:eastAsia="TimesNewRomanPSMT"/>
          <w:lang w:eastAsia="en-US"/>
        </w:rPr>
        <w:t xml:space="preserve"> </w:t>
      </w:r>
      <w:r w:rsidR="006F0FA7" w:rsidRPr="00372759">
        <w:rPr>
          <w:rFonts w:eastAsia="TimesNewRomanPSMT"/>
          <w:lang w:eastAsia="en-US"/>
        </w:rPr>
        <w:fldChar w:fldCharType="begin"/>
      </w:r>
      <w:r w:rsidR="00372759" w:rsidRPr="00372759">
        <w:rPr>
          <w:rFonts w:eastAsia="TimesNewRomanPSMT"/>
          <w:lang w:eastAsia="en-US"/>
        </w:rPr>
        <w:instrText xml:space="preserve"> ADDIN ZOTERO_ITEM CSL_CITATION {"citationID":"xamlSdY7","properties":{"formattedCitation":"[31,32]","plainCitation":"[31,32]","noteIndex":0},"citationItems":[{"id":3534,"uris":["http://zotero.org/groups/4514912/items/95AY6NIA"],"uri":["http://zotero.org/groups/4514912/items/95AY6NIA"],"itemData":{"id":3534,"type":"article","title":"Монахов С. А., Коржачкина Н. Б., Олисова О. Ю. Узковолновая фототерапия 311 нм в лечении больных атопическим дерматитом. Российский журнал кожных и венерических болезней. 2012; 3: 25–27."},"label":"page"},{"id":3535,"uris":["http://zotero.org/groups/4514912/items/98TYGVZJ"],"uri":["http://zotero.org/groups/4514912/items/98TYGVZJ"],"itemData":{"id":3535,"type":"article","title":"Pugashetti R., Lim H.W., Koo J. Broadband UVB revisited: is the narrowband UVB fad limiting our therapeutic options? J Dermatolog Treat 2010; 21: 326–330."},"label":"page"}],"schema":"https://github.com/citation-style-language/schema/raw/master/csl-citation.json"} </w:instrText>
      </w:r>
      <w:r w:rsidR="006F0FA7" w:rsidRPr="00372759">
        <w:rPr>
          <w:rFonts w:eastAsia="TimesNewRomanPSMT"/>
          <w:lang w:eastAsia="en-US"/>
        </w:rPr>
        <w:fldChar w:fldCharType="separate"/>
      </w:r>
      <w:r w:rsidR="00372759" w:rsidRPr="00372759">
        <w:t>[31,32]</w:t>
      </w:r>
      <w:r w:rsidR="006F0FA7" w:rsidRPr="00372759">
        <w:rPr>
          <w:rFonts w:eastAsia="TimesNewRomanPSMT"/>
          <w:lang w:eastAsia="en-US"/>
        </w:rPr>
        <w:fldChar w:fldCharType="end"/>
      </w:r>
      <w:r w:rsidRPr="00372759">
        <w:rPr>
          <w:rFonts w:eastAsia="TimesNewRomanPSMT"/>
          <w:lang w:eastAsia="en-US"/>
        </w:rPr>
        <w:t>;</w:t>
      </w:r>
    </w:p>
    <w:p w14:paraId="61DEB7D5" w14:textId="71CCD2B8" w:rsidR="00ED640A" w:rsidRPr="00372759" w:rsidRDefault="00ED640A"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372759">
        <w:t>ультрафиолетовая терапия дальнего длинноволнового диапазона (УФА-1 диапазон, длина волны 340–400 нм) взрослым</w:t>
      </w:r>
      <w:r w:rsidR="006F0FA7" w:rsidRPr="00372759">
        <w:t xml:space="preserve"> </w:t>
      </w:r>
      <w:r w:rsidR="006F0FA7" w:rsidRPr="00372759">
        <w:fldChar w:fldCharType="begin"/>
      </w:r>
      <w:r w:rsidR="00372759" w:rsidRPr="00372759">
        <w:instrText xml:space="preserve"> ADDIN ZOTERO_ITEM CSL_CITATION {"citationID":"tKjvcDg7","properties":{"formattedCitation":"[33\\uc0\\u8211{}36]","plainCitation":"[33–36]","noteIndex":0},"citationItems":[{"id":3536,"uris":["http://zotero.org/groups/4514912/items/RS4ZRUAY"],"uri":["http://zotero.org/groups/4514912/items/RS4ZRUAY"],"itemData":{"id":3536,"type":"article-journal","title":"Tzaneva S., Kittler H., Holzer G. et al. 5-Methoxypsoralen plus ultraviolet (UV) A is superior to medium-dose UVA1 in the treatment of severe atopic dermatitis: a randomized crossover trial. Br J Dermatol 2010; 162: 655–660."},"label":"page"},{"id":3538,"uris":["http://zotero.org/groups/4514912/items/62Z3G3UM"],"uri":["http://zotero.org/groups/4514912/items/62Z3G3UM"],"itemData":{"id":3538,"type":"article","title":"Patrizi A., Raone B., Ravaioli G.M. Management of atopic dermatitis: safety and efficacy of phototherapy. Clin Cosmet Investig Dermatol 2015:8 511–520"},"label":"page"},{"id":3539,"uris":["http://zotero.org/groups/4514912/items/JC92HI55"],"uri":["http://zotero.org/groups/4514912/items/JC92HI55"],"itemData":{"id":3539,"type":"article-journal","title":"Pérez-Ferriols A., Aranegui B., Pujol-Montcusí J.A. et al. Phototherapy in atopic dermatitis: a systematic review of the literature. Actas Dermosifiliogr. 2015; 106 (5): 387–401."},"label":"page"},{"id":3540,"uris":["http://zotero.org/groups/4514912/items/HEZK865A"],"uri":["http://zotero.org/groups/4514912/items/HEZK865A"],"itemData":{"id":3540,"type":"article","title":"Dogra S., Mahajan R.; Indian Association of Dermatologists, Venereologists and Leprologists. Phototherapy for atopic dermatitis. Indian J Dermatol Venereol Leprol. 2015; 81 (1): 10–15."},"label":"page"}],"schema":"https://github.com/citation-style-language/schema/raw/master/csl-citation.json"} </w:instrText>
      </w:r>
      <w:r w:rsidR="006F0FA7" w:rsidRPr="00372759">
        <w:fldChar w:fldCharType="separate"/>
      </w:r>
      <w:r w:rsidR="00372759" w:rsidRPr="00372759">
        <w:t>[33–36]</w:t>
      </w:r>
      <w:r w:rsidR="006F0FA7" w:rsidRPr="00372759">
        <w:fldChar w:fldCharType="end"/>
      </w:r>
      <w:r w:rsidR="006F0FA7" w:rsidRPr="00372759">
        <w:t>;</w:t>
      </w:r>
    </w:p>
    <w:p w14:paraId="47520964" w14:textId="5086F7E2" w:rsidR="006F0FA7" w:rsidRPr="00372759" w:rsidRDefault="00ED640A" w:rsidP="00AB1FF1">
      <w:pPr>
        <w:pStyle w:val="af3"/>
        <w:numPr>
          <w:ilvl w:val="0"/>
          <w:numId w:val="38"/>
        </w:numPr>
        <w:autoSpaceDE w:val="0"/>
        <w:autoSpaceDN w:val="0"/>
        <w:adjustRightInd w:val="0"/>
        <w:spacing w:after="0" w:line="240" w:lineRule="auto"/>
        <w:ind w:left="709" w:hanging="349"/>
        <w:rPr>
          <w:rFonts w:eastAsia="TimesNewRomanPSMT"/>
          <w:lang w:eastAsia="en-US"/>
        </w:rPr>
      </w:pPr>
      <w:r w:rsidRPr="00372759">
        <w:t>селективная фототерапия (широкополосная средневолновая ультрафиолетовая терапия (диапазон УФВ с длиной волны 280–320 нм)</w:t>
      </w:r>
      <w:r w:rsidR="006F0FA7" w:rsidRPr="00372759">
        <w:t xml:space="preserve"> </w:t>
      </w:r>
      <w:r w:rsidR="006F0FA7" w:rsidRPr="00372759">
        <w:fldChar w:fldCharType="begin"/>
      </w:r>
      <w:r w:rsidR="00372759" w:rsidRPr="00372759">
        <w:instrText xml:space="preserve"> ADDIN ZOTERO_ITEM CSL_CITATION {"citationID":"35L0xbg4","properties":{"formattedCitation":"[32]","plainCitation":"[32]","noteIndex":0},"citationItems":[{"id":3535,"uris":["http://zotero.org/groups/4514912/items/98TYGVZJ"],"uri":["http://zotero.org/groups/4514912/items/98TYGVZJ"],"itemData":{"id":3535,"type":"article","title":"Pugashetti R., Lim H.W., Koo J. Broadband UVB revisited: is the narrowband UVB fad limiting our therapeutic options? J Dermatolog Treat 2010; 21: 326–330."},"label":"page"}],"schema":"https://github.com/citation-style-language/schema/raw/master/csl-citation.json"} </w:instrText>
      </w:r>
      <w:r w:rsidR="006F0FA7" w:rsidRPr="00372759">
        <w:fldChar w:fldCharType="separate"/>
      </w:r>
      <w:r w:rsidR="00372759" w:rsidRPr="00372759">
        <w:t>[32]</w:t>
      </w:r>
      <w:r w:rsidR="006F0FA7" w:rsidRPr="00372759">
        <w:fldChar w:fldCharType="end"/>
      </w:r>
      <w:r w:rsidR="006F0FA7" w:rsidRPr="00372759">
        <w:t>.</w:t>
      </w:r>
    </w:p>
    <w:p w14:paraId="678F3DCA" w14:textId="7D426105" w:rsidR="006F0FA7" w:rsidRDefault="006F0FA7" w:rsidP="00AB1FF1">
      <w:pPr>
        <w:autoSpaceDE w:val="0"/>
        <w:autoSpaceDN w:val="0"/>
        <w:adjustRightInd w:val="0"/>
        <w:spacing w:after="0" w:line="240" w:lineRule="auto"/>
      </w:pPr>
    </w:p>
    <w:p w14:paraId="7690F992" w14:textId="67EC431E" w:rsidR="006F0FA7" w:rsidRPr="00C6132F" w:rsidRDefault="006F0FA7" w:rsidP="00C6132F">
      <w:pPr>
        <w:autoSpaceDE w:val="0"/>
        <w:autoSpaceDN w:val="0"/>
        <w:adjustRightInd w:val="0"/>
        <w:spacing w:after="0" w:line="240" w:lineRule="auto"/>
        <w:ind w:left="709" w:hanging="349"/>
        <w:contextualSpacing/>
        <w:jc w:val="left"/>
        <w:rPr>
          <w:b/>
          <w:i/>
          <w:iCs/>
        </w:rPr>
      </w:pPr>
      <w:r w:rsidRPr="00C6132F">
        <w:rPr>
          <w:b/>
          <w:i/>
          <w:iCs/>
        </w:rPr>
        <w:t>Очаговая алопеция</w:t>
      </w:r>
    </w:p>
    <w:p w14:paraId="078EBFC7" w14:textId="18938AFB" w:rsidR="006F0FA7" w:rsidRDefault="006F0FA7" w:rsidP="00AB1FF1">
      <w:pPr>
        <w:pStyle w:val="af3"/>
        <w:autoSpaceDE w:val="0"/>
        <w:autoSpaceDN w:val="0"/>
        <w:adjustRightInd w:val="0"/>
        <w:spacing w:after="0" w:line="240" w:lineRule="auto"/>
        <w:ind w:left="709" w:hanging="1"/>
        <w:rPr>
          <w:rFonts w:eastAsia="TimesNewRomanPSMT"/>
          <w:lang w:eastAsia="en-US"/>
        </w:rPr>
      </w:pPr>
      <w:r>
        <w:rPr>
          <w:rFonts w:eastAsia="TimesNewRomanPSMT"/>
          <w:lang w:eastAsia="en-US"/>
        </w:rPr>
        <w:t>Лечение ОА включает</w:t>
      </w:r>
      <w:r w:rsidR="00372759">
        <w:rPr>
          <w:rFonts w:eastAsia="TimesNewRomanPSMT"/>
          <w:lang w:eastAsia="en-US"/>
        </w:rPr>
        <w:t xml:space="preserve"> </w:t>
      </w:r>
      <w:r w:rsidR="00372759">
        <w:rPr>
          <w:rFonts w:eastAsia="TimesNewRomanPSMT"/>
          <w:lang w:eastAsia="en-US"/>
        </w:rPr>
        <w:fldChar w:fldCharType="begin"/>
      </w:r>
      <w:r w:rsidR="00373726">
        <w:rPr>
          <w:rFonts w:eastAsia="TimesNewRomanPSMT"/>
          <w:lang w:eastAsia="en-US"/>
        </w:rPr>
        <w:instrText xml:space="preserve"> ADDIN ZOTERO_ITEM CSL_CITATION {"citationID":"zISfoH9r","properties":{"formattedCitation":"[18]","plainCitation":"[18]","noteIndex":0},"citationItems":[{"id":3519,"uris":["http://zotero.org/groups/4514912/items/J6C47G9Y"],"uri":["http://zotero.org/groups/4514912/items/J6C47G9Y"],"itemData":{"id":3519,"type":"article","title":"Министерство здравоохранения Российской Федерации. Клинические рекомендации. Гнездная алопеция. 2020."}}],"schema":"https://github.com/citation-style-language/schema/raw/master/csl-citation.json"} </w:instrText>
      </w:r>
      <w:r w:rsidR="00372759">
        <w:rPr>
          <w:rFonts w:eastAsia="TimesNewRomanPSMT"/>
          <w:lang w:eastAsia="en-US"/>
        </w:rPr>
        <w:fldChar w:fldCharType="separate"/>
      </w:r>
      <w:r w:rsidR="00372759" w:rsidRPr="00372759">
        <w:t>[18]</w:t>
      </w:r>
      <w:r w:rsidR="00372759">
        <w:rPr>
          <w:rFonts w:eastAsia="TimesNewRomanPSMT"/>
          <w:lang w:eastAsia="en-US"/>
        </w:rPr>
        <w:fldChar w:fldCharType="end"/>
      </w:r>
      <w:r>
        <w:rPr>
          <w:rFonts w:eastAsia="TimesNewRomanPSMT"/>
          <w:lang w:eastAsia="en-US"/>
        </w:rPr>
        <w:t>:</w:t>
      </w:r>
    </w:p>
    <w:p w14:paraId="6FAF6EB8" w14:textId="69FFAD1F" w:rsidR="006F0FA7" w:rsidRDefault="006F0FA7"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глюкокортикостероиды;</w:t>
      </w:r>
    </w:p>
    <w:p w14:paraId="10A15ED9" w14:textId="60619D91" w:rsidR="006F0FA7" w:rsidRPr="000C25F7" w:rsidRDefault="000C25F7" w:rsidP="00AB1FF1">
      <w:pPr>
        <w:pStyle w:val="af3"/>
        <w:numPr>
          <w:ilvl w:val="0"/>
          <w:numId w:val="45"/>
        </w:numPr>
        <w:autoSpaceDE w:val="0"/>
        <w:autoSpaceDN w:val="0"/>
        <w:adjustRightInd w:val="0"/>
        <w:spacing w:after="0" w:line="240" w:lineRule="auto"/>
        <w:ind w:left="709" w:hanging="349"/>
        <w:rPr>
          <w:rFonts w:eastAsia="TimesNewRomanPSMT"/>
          <w:lang w:eastAsia="en-US"/>
        </w:rPr>
      </w:pPr>
      <w:r w:rsidRPr="00E15ED2">
        <w:rPr>
          <w:rFonts w:eastAsia="Times New Roman"/>
        </w:rPr>
        <w:t>системн</w:t>
      </w:r>
      <w:r>
        <w:rPr>
          <w:rFonts w:eastAsia="Times New Roman"/>
        </w:rPr>
        <w:t>ую</w:t>
      </w:r>
      <w:r w:rsidRPr="00E15ED2">
        <w:rPr>
          <w:rFonts w:eastAsia="Times New Roman"/>
        </w:rPr>
        <w:t xml:space="preserve"> терапи</w:t>
      </w:r>
      <w:r>
        <w:rPr>
          <w:rFonts w:eastAsia="Times New Roman"/>
        </w:rPr>
        <w:t>ю</w:t>
      </w:r>
      <w:r w:rsidRPr="00E15ED2">
        <w:rPr>
          <w:rFonts w:eastAsia="Times New Roman"/>
        </w:rPr>
        <w:t> антиметаболитами</w:t>
      </w:r>
      <w:r>
        <w:rPr>
          <w:rFonts w:eastAsia="Times New Roman"/>
        </w:rPr>
        <w:t>;</w:t>
      </w:r>
    </w:p>
    <w:p w14:paraId="1BE6AE00" w14:textId="5F8169FA" w:rsidR="000C25F7" w:rsidRPr="000C25F7" w:rsidRDefault="000C25F7" w:rsidP="00AB1FF1">
      <w:pPr>
        <w:pStyle w:val="af3"/>
        <w:numPr>
          <w:ilvl w:val="0"/>
          <w:numId w:val="45"/>
        </w:numPr>
        <w:autoSpaceDE w:val="0"/>
        <w:autoSpaceDN w:val="0"/>
        <w:adjustRightInd w:val="0"/>
        <w:spacing w:after="0" w:line="240" w:lineRule="auto"/>
        <w:ind w:left="709" w:hanging="349"/>
        <w:rPr>
          <w:rFonts w:eastAsia="TimesNewRomanPSMT"/>
          <w:lang w:eastAsia="en-US"/>
        </w:rPr>
      </w:pPr>
      <w:r w:rsidRPr="00E15ED2">
        <w:t>системн</w:t>
      </w:r>
      <w:r>
        <w:t>ую</w:t>
      </w:r>
      <w:r w:rsidRPr="00E15ED2">
        <w:t xml:space="preserve"> терапи</w:t>
      </w:r>
      <w:r>
        <w:t>ю</w:t>
      </w:r>
      <w:r w:rsidRPr="00E15ED2">
        <w:t xml:space="preserve"> селективными иммунодепрессантами</w:t>
      </w:r>
      <w:r>
        <w:t>;</w:t>
      </w:r>
    </w:p>
    <w:p w14:paraId="02CB8DCA" w14:textId="721114BC" w:rsidR="000C25F7" w:rsidRDefault="000C25F7"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 xml:space="preserve">применение </w:t>
      </w:r>
      <w:r w:rsidRPr="000C25F7">
        <w:rPr>
          <w:rFonts w:eastAsia="TimesNewRomanPSMT"/>
          <w:lang w:eastAsia="en-US"/>
        </w:rPr>
        <w:t>системных и наружных сосудорасширяющих средств</w:t>
      </w:r>
      <w:r>
        <w:rPr>
          <w:rFonts w:eastAsia="TimesNewRomanPSMT"/>
          <w:lang w:eastAsia="en-US"/>
        </w:rPr>
        <w:t>;</w:t>
      </w:r>
    </w:p>
    <w:p w14:paraId="14557107" w14:textId="2AFE8085" w:rsidR="000C25F7" w:rsidRPr="000C25F7" w:rsidRDefault="000C25F7"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 xml:space="preserve">применение </w:t>
      </w:r>
      <w:r w:rsidRPr="00E15ED2">
        <w:rPr>
          <w:rFonts w:eastAsia="Times New Roman"/>
        </w:rPr>
        <w:t>наружно аналога простагландина F2a</w:t>
      </w:r>
      <w:r>
        <w:rPr>
          <w:rFonts w:eastAsia="Times New Roman"/>
        </w:rPr>
        <w:t xml:space="preserve"> (при локализации алопеции в области роста ресниц).</w:t>
      </w:r>
    </w:p>
    <w:p w14:paraId="00953EDE" w14:textId="77777777" w:rsidR="000C25F7" w:rsidRPr="000C25F7" w:rsidRDefault="000C25F7" w:rsidP="00C6132F">
      <w:pPr>
        <w:pStyle w:val="af3"/>
        <w:autoSpaceDE w:val="0"/>
        <w:autoSpaceDN w:val="0"/>
        <w:adjustRightInd w:val="0"/>
        <w:spacing w:after="0" w:line="240" w:lineRule="auto"/>
        <w:ind w:left="709" w:hanging="349"/>
        <w:jc w:val="left"/>
        <w:rPr>
          <w:rFonts w:eastAsia="TimesNewRomanPSMT"/>
          <w:lang w:eastAsia="en-US"/>
        </w:rPr>
      </w:pPr>
    </w:p>
    <w:p w14:paraId="4FC90AE2" w14:textId="41A11F54" w:rsidR="000C25F7" w:rsidRDefault="000C25F7" w:rsidP="00C6132F">
      <w:pPr>
        <w:pStyle w:val="af3"/>
        <w:autoSpaceDE w:val="0"/>
        <w:autoSpaceDN w:val="0"/>
        <w:adjustRightInd w:val="0"/>
        <w:spacing w:after="0" w:line="240" w:lineRule="auto"/>
        <w:ind w:left="709" w:hanging="349"/>
        <w:jc w:val="left"/>
        <w:rPr>
          <w:rFonts w:eastAsia="TimesNewRomanPSMT"/>
          <w:lang w:eastAsia="en-US"/>
        </w:rPr>
      </w:pPr>
      <w:r>
        <w:rPr>
          <w:rFonts w:eastAsia="TimesNewRomanPSMT"/>
          <w:lang w:eastAsia="en-US"/>
        </w:rPr>
        <w:t>Немедикаментозное лечение ОА</w:t>
      </w:r>
      <w:r w:rsidR="00372759">
        <w:rPr>
          <w:rFonts w:eastAsia="TimesNewRomanPSMT"/>
          <w:lang w:eastAsia="en-US"/>
        </w:rPr>
        <w:t xml:space="preserve"> </w:t>
      </w:r>
      <w:r w:rsidR="00372759">
        <w:rPr>
          <w:rFonts w:eastAsia="TimesNewRomanPSMT"/>
          <w:lang w:eastAsia="en-US"/>
        </w:rPr>
        <w:fldChar w:fldCharType="begin"/>
      </w:r>
      <w:r w:rsidR="00373726">
        <w:rPr>
          <w:rFonts w:eastAsia="TimesNewRomanPSMT"/>
          <w:lang w:eastAsia="en-US"/>
        </w:rPr>
        <w:instrText xml:space="preserve"> ADDIN ZOTERO_ITEM CSL_CITATION {"citationID":"akSeMagt","properties":{"formattedCitation":"[18]","plainCitation":"[18]","noteIndex":0},"citationItems":[{"id":3519,"uris":["http://zotero.org/groups/4514912/items/J6C47G9Y"],"uri":["http://zotero.org/groups/4514912/items/J6C47G9Y"],"itemData":{"id":3519,"type":"article","title":"Министерство здравоохранения Российской Федерации. Клинические рекомендации. Гнездная алопеция. 2020."}}],"schema":"https://github.com/citation-style-language/schema/raw/master/csl-citation.json"} </w:instrText>
      </w:r>
      <w:r w:rsidR="00372759">
        <w:rPr>
          <w:rFonts w:eastAsia="TimesNewRomanPSMT"/>
          <w:lang w:eastAsia="en-US"/>
        </w:rPr>
        <w:fldChar w:fldCharType="separate"/>
      </w:r>
      <w:r w:rsidR="00372759" w:rsidRPr="00372759">
        <w:t>[18]</w:t>
      </w:r>
      <w:r w:rsidR="00372759">
        <w:rPr>
          <w:rFonts w:eastAsia="TimesNewRomanPSMT"/>
          <w:lang w:eastAsia="en-US"/>
        </w:rPr>
        <w:fldChar w:fldCharType="end"/>
      </w:r>
      <w:r w:rsidR="00372759">
        <w:rPr>
          <w:rFonts w:eastAsia="TimesNewRomanPSMT"/>
          <w:lang w:eastAsia="en-US"/>
        </w:rPr>
        <w:t>:</w:t>
      </w:r>
    </w:p>
    <w:p w14:paraId="42F7106E" w14:textId="11CDAC7C" w:rsidR="000C25F7" w:rsidRPr="003365EB" w:rsidRDefault="003365EB" w:rsidP="00C6132F">
      <w:pPr>
        <w:pStyle w:val="af3"/>
        <w:numPr>
          <w:ilvl w:val="0"/>
          <w:numId w:val="45"/>
        </w:numPr>
        <w:autoSpaceDE w:val="0"/>
        <w:autoSpaceDN w:val="0"/>
        <w:adjustRightInd w:val="0"/>
        <w:spacing w:after="0" w:line="240" w:lineRule="auto"/>
        <w:ind w:left="709" w:hanging="349"/>
        <w:jc w:val="left"/>
        <w:rPr>
          <w:rFonts w:eastAsia="TimesNewRomanPSMT"/>
          <w:lang w:eastAsia="en-US"/>
        </w:rPr>
      </w:pPr>
      <w:r w:rsidRPr="00E15ED2">
        <w:rPr>
          <w:rFonts w:eastAsia="Times New Roman"/>
        </w:rPr>
        <w:t>ПУВА-терапи</w:t>
      </w:r>
      <w:r>
        <w:rPr>
          <w:rFonts w:eastAsia="Times New Roman"/>
        </w:rPr>
        <w:t>я;</w:t>
      </w:r>
    </w:p>
    <w:p w14:paraId="5A8BDE7F" w14:textId="06402207" w:rsidR="003365EB" w:rsidRPr="003365EB" w:rsidRDefault="003365EB" w:rsidP="00C6132F">
      <w:pPr>
        <w:pStyle w:val="af3"/>
        <w:numPr>
          <w:ilvl w:val="0"/>
          <w:numId w:val="45"/>
        </w:numPr>
        <w:autoSpaceDE w:val="0"/>
        <w:autoSpaceDN w:val="0"/>
        <w:adjustRightInd w:val="0"/>
        <w:spacing w:after="0" w:line="240" w:lineRule="auto"/>
        <w:ind w:left="709" w:hanging="349"/>
        <w:rPr>
          <w:rFonts w:eastAsia="TimesNewRomanPSMT"/>
          <w:lang w:eastAsia="en-US"/>
        </w:rPr>
      </w:pPr>
      <w:r>
        <w:t>у</w:t>
      </w:r>
      <w:r w:rsidRPr="00176EE9">
        <w:t>зкополосная фототерапия с использованием эксимерного лазера с длиной волны 308</w:t>
      </w:r>
      <w:r>
        <w:t xml:space="preserve"> </w:t>
      </w:r>
      <w:r w:rsidRPr="00176EE9">
        <w:t>нм</w:t>
      </w:r>
      <w:r>
        <w:t>;</w:t>
      </w:r>
    </w:p>
    <w:p w14:paraId="656614D9" w14:textId="0B37AB25" w:rsidR="003365EB" w:rsidRPr="006F0FA7" w:rsidRDefault="003365EB" w:rsidP="00C6132F">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в</w:t>
      </w:r>
      <w:r w:rsidRPr="003365EB">
        <w:rPr>
          <w:rFonts w:eastAsia="TimesNewRomanPSMT"/>
          <w:lang w:eastAsia="en-US"/>
        </w:rPr>
        <w:t>нутрикожное введение обогащенной тромбоцитами аутологичной плазмы в кожу волосистой части головы</w:t>
      </w:r>
      <w:r>
        <w:rPr>
          <w:rFonts w:eastAsia="TimesNewRomanPSMT"/>
          <w:lang w:eastAsia="en-US"/>
        </w:rPr>
        <w:t xml:space="preserve">. </w:t>
      </w:r>
    </w:p>
    <w:p w14:paraId="4FF43B74" w14:textId="77777777" w:rsidR="00BE6496" w:rsidRPr="00BE6496" w:rsidRDefault="00BE6496" w:rsidP="00C6132F">
      <w:pPr>
        <w:autoSpaceDE w:val="0"/>
        <w:autoSpaceDN w:val="0"/>
        <w:adjustRightInd w:val="0"/>
        <w:spacing w:after="0" w:line="240" w:lineRule="auto"/>
        <w:ind w:left="709" w:hanging="349"/>
        <w:contextualSpacing/>
        <w:jc w:val="left"/>
        <w:rPr>
          <w:rFonts w:eastAsia="TimesNewRomanPSMT"/>
          <w:lang w:eastAsia="en-US"/>
        </w:rPr>
      </w:pPr>
    </w:p>
    <w:p w14:paraId="50FD8601" w14:textId="077E0108" w:rsidR="008325D7" w:rsidRPr="00C6132F" w:rsidRDefault="00DB1C8C" w:rsidP="00C6132F">
      <w:pPr>
        <w:autoSpaceDE w:val="0"/>
        <w:autoSpaceDN w:val="0"/>
        <w:adjustRightInd w:val="0"/>
        <w:spacing w:after="0" w:line="240" w:lineRule="auto"/>
        <w:ind w:left="709" w:hanging="349"/>
        <w:contextualSpacing/>
        <w:jc w:val="left"/>
        <w:rPr>
          <w:rFonts w:eastAsia="TimesNewRomanPSMT"/>
          <w:b/>
          <w:i/>
          <w:iCs/>
          <w:lang w:eastAsia="en-US"/>
        </w:rPr>
      </w:pPr>
      <w:r w:rsidRPr="00C6132F">
        <w:rPr>
          <w:rFonts w:eastAsia="TimesNewRomanPSMT"/>
          <w:b/>
          <w:i/>
          <w:iCs/>
          <w:lang w:val="en-US" w:eastAsia="en-US"/>
        </w:rPr>
        <w:t>COVID</w:t>
      </w:r>
      <w:r w:rsidRPr="00C6132F">
        <w:rPr>
          <w:rFonts w:eastAsia="TimesNewRomanPSMT"/>
          <w:b/>
          <w:i/>
          <w:iCs/>
          <w:lang w:eastAsia="en-US"/>
        </w:rPr>
        <w:t>-19</w:t>
      </w:r>
    </w:p>
    <w:p w14:paraId="07FA4389" w14:textId="25746EF9" w:rsidR="00DB1C8C" w:rsidRDefault="00DB1C8C" w:rsidP="00AB1FF1">
      <w:pPr>
        <w:autoSpaceDE w:val="0"/>
        <w:autoSpaceDN w:val="0"/>
        <w:adjustRightInd w:val="0"/>
        <w:spacing w:after="0" w:line="240" w:lineRule="auto"/>
        <w:ind w:left="709" w:hanging="349"/>
        <w:contextualSpacing/>
        <w:rPr>
          <w:rFonts w:eastAsia="TimesNewRomanPSMT"/>
          <w:lang w:eastAsia="en-US"/>
        </w:rPr>
      </w:pPr>
      <w:r w:rsidRPr="00A82831">
        <w:rPr>
          <w:rFonts w:eastAsia="TimesNewRomanPSMT"/>
          <w:lang w:eastAsia="en-US"/>
        </w:rPr>
        <w:tab/>
      </w:r>
      <w:r>
        <w:rPr>
          <w:rFonts w:eastAsia="TimesNewRomanPSMT"/>
          <w:lang w:eastAsia="en-US"/>
        </w:rPr>
        <w:t xml:space="preserve">Лечение </w:t>
      </w:r>
      <w:r>
        <w:rPr>
          <w:rFonts w:eastAsia="TimesNewRomanPSMT"/>
          <w:lang w:val="en-US" w:eastAsia="en-US"/>
        </w:rPr>
        <w:t>COVID</w:t>
      </w:r>
      <w:r w:rsidRPr="00A82831">
        <w:rPr>
          <w:rFonts w:eastAsia="TimesNewRomanPSMT"/>
          <w:lang w:eastAsia="en-US"/>
        </w:rPr>
        <w:t>-19</w:t>
      </w:r>
      <w:r>
        <w:rPr>
          <w:rFonts w:eastAsia="TimesNewRomanPSMT"/>
          <w:lang w:eastAsia="en-US"/>
        </w:rPr>
        <w:t xml:space="preserve"> включает</w:t>
      </w:r>
      <w:r w:rsidR="00372759">
        <w:rPr>
          <w:rFonts w:eastAsia="TimesNewRomanPSMT"/>
          <w:lang w:eastAsia="en-US"/>
        </w:rPr>
        <w:t xml:space="preserve"> </w:t>
      </w:r>
      <w:r w:rsidR="00372759">
        <w:rPr>
          <w:rFonts w:eastAsia="TimesNewRomanPSMT"/>
          <w:lang w:eastAsia="en-US"/>
        </w:rPr>
        <w:fldChar w:fldCharType="begin"/>
      </w:r>
      <w:r w:rsidR="00372759">
        <w:rPr>
          <w:rFonts w:eastAsia="TimesNewRomanPSMT"/>
          <w:lang w:eastAsia="en-US"/>
        </w:rPr>
        <w:instrText xml:space="preserve"> ADDIN ZOTERO_ITEM CSL_CITATION {"citationID":"DWzhb7JB","properties":{"formattedCitation":"[22]","plainCitation":"[22]","noteIndex":0},"citationItems":[{"id":3603,"uris":["http://zotero.org/groups/4514912/items/CI6I7PMM"],"uri":["http://zotero.org/groups/4514912/items/CI6I7PMM"],"itemData":{"id":3603,"type":"article","title":"Министерство здравоохранения Российской Федерации. Временные клинические рекомендации. Профилактика, диагностика и лечение новой коронавирусной инфекции (COVID-19). 2022"}}],"schema":"https://github.com/citation-style-language/schema/raw/master/csl-citation.json"} </w:instrText>
      </w:r>
      <w:r w:rsidR="00372759">
        <w:rPr>
          <w:rFonts w:eastAsia="TimesNewRomanPSMT"/>
          <w:lang w:eastAsia="en-US"/>
        </w:rPr>
        <w:fldChar w:fldCharType="separate"/>
      </w:r>
      <w:r w:rsidR="00372759" w:rsidRPr="00372759">
        <w:t>[22]</w:t>
      </w:r>
      <w:r w:rsidR="00372759">
        <w:rPr>
          <w:rFonts w:eastAsia="TimesNewRomanPSMT"/>
          <w:lang w:eastAsia="en-US"/>
        </w:rPr>
        <w:fldChar w:fldCharType="end"/>
      </w:r>
      <w:r>
        <w:rPr>
          <w:rFonts w:eastAsia="TimesNewRomanPSMT"/>
          <w:lang w:eastAsia="en-US"/>
        </w:rPr>
        <w:t>:</w:t>
      </w:r>
    </w:p>
    <w:p w14:paraId="59D90393" w14:textId="16F5F499" w:rsidR="004A6AFD" w:rsidRPr="00DB1C8C" w:rsidRDefault="004A6AFD" w:rsidP="00AB1FF1">
      <w:pPr>
        <w:autoSpaceDE w:val="0"/>
        <w:autoSpaceDN w:val="0"/>
        <w:adjustRightInd w:val="0"/>
        <w:spacing w:after="0" w:line="240" w:lineRule="auto"/>
        <w:ind w:left="709" w:hanging="349"/>
        <w:contextualSpacing/>
        <w:rPr>
          <w:rFonts w:eastAsia="TimesNewRomanPSMT"/>
          <w:lang w:eastAsia="en-US"/>
        </w:rPr>
      </w:pPr>
      <w:r>
        <w:rPr>
          <w:rFonts w:eastAsia="TimesNewRomanPSMT"/>
          <w:lang w:eastAsia="en-US"/>
        </w:rPr>
        <w:t>Этиотропное лечение:</w:t>
      </w:r>
    </w:p>
    <w:p w14:paraId="724893B8" w14:textId="1A3BCA54" w:rsidR="00DB1C8C" w:rsidRDefault="00DB1C8C" w:rsidP="00AB1FF1">
      <w:pPr>
        <w:pStyle w:val="af3"/>
        <w:numPr>
          <w:ilvl w:val="0"/>
          <w:numId w:val="45"/>
        </w:numPr>
        <w:autoSpaceDE w:val="0"/>
        <w:autoSpaceDN w:val="0"/>
        <w:adjustRightInd w:val="0"/>
        <w:spacing w:after="0" w:line="240" w:lineRule="auto"/>
        <w:ind w:left="709" w:hanging="349"/>
        <w:rPr>
          <w:rFonts w:eastAsia="TimesNewRomanPSMT"/>
          <w:lang w:eastAsia="en-US"/>
        </w:rPr>
      </w:pPr>
      <w:r w:rsidRPr="00DB1C8C">
        <w:rPr>
          <w:rFonts w:eastAsia="TimesNewRomanPSMT"/>
          <w:lang w:eastAsia="en-US"/>
        </w:rPr>
        <w:t>использование препаратов, обладающих прямым противовирусным действием (фавипиравир, молнупиравир, ремдесивир, синтетическая малая интерферирующая рибонуклеиновая кислота (</w:t>
      </w:r>
      <w:r w:rsidR="003A3709" w:rsidRPr="00DB1C8C">
        <w:rPr>
          <w:rFonts w:eastAsia="TimesNewRomanPSMT"/>
          <w:lang w:eastAsia="en-US"/>
        </w:rPr>
        <w:t>мерник)</w:t>
      </w:r>
      <w:r w:rsidR="003A3709">
        <w:rPr>
          <w:rFonts w:eastAsia="TimesNewRomanPSMT"/>
          <w:lang w:eastAsia="en-US"/>
        </w:rPr>
        <w:t>)</w:t>
      </w:r>
      <w:r w:rsidRPr="00DB1C8C">
        <w:rPr>
          <w:rFonts w:eastAsia="TimesNewRomanPSMT"/>
          <w:lang w:eastAsia="en-US"/>
        </w:rPr>
        <w:t>[</w:t>
      </w:r>
      <w:r w:rsidR="003A3709" w:rsidRPr="00DB1C8C">
        <w:rPr>
          <w:rFonts w:eastAsia="TimesNewRomanPSMT"/>
          <w:lang w:eastAsia="en-US"/>
        </w:rPr>
        <w:t>дву</w:t>
      </w:r>
      <w:r w:rsidR="003A3709">
        <w:rPr>
          <w:rFonts w:eastAsia="TimesNewRomanPSMT"/>
          <w:lang w:eastAsia="en-US"/>
        </w:rPr>
        <w:t>х</w:t>
      </w:r>
      <w:r w:rsidR="003A3709" w:rsidRPr="00DB1C8C">
        <w:rPr>
          <w:rFonts w:eastAsia="TimesNewRomanPSMT"/>
          <w:lang w:eastAsia="en-US"/>
        </w:rPr>
        <w:t>цепочечная</w:t>
      </w:r>
      <w:r w:rsidRPr="00DB1C8C">
        <w:rPr>
          <w:rFonts w:eastAsia="TimesNewRomanPSMT"/>
          <w:lang w:eastAsia="en-US"/>
        </w:rPr>
        <w:t>]</w:t>
      </w:r>
      <w:r>
        <w:rPr>
          <w:rFonts w:eastAsia="TimesNewRomanPSMT"/>
          <w:lang w:eastAsia="en-US"/>
        </w:rPr>
        <w:t>;</w:t>
      </w:r>
    </w:p>
    <w:p w14:paraId="5A824687" w14:textId="1910D018" w:rsidR="00DB1C8C" w:rsidRDefault="00DB1C8C"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использование ингибиторов слияния (фузии) (</w:t>
      </w:r>
      <w:r w:rsidRPr="00DB1C8C">
        <w:rPr>
          <w:rFonts w:eastAsia="TimesNewRomanPSMT"/>
          <w:lang w:eastAsia="en-US"/>
        </w:rPr>
        <w:t>умифеновир</w:t>
      </w:r>
      <w:r>
        <w:rPr>
          <w:rFonts w:eastAsia="TimesNewRomanPSMT"/>
          <w:lang w:eastAsia="en-US"/>
        </w:rPr>
        <w:t>);</w:t>
      </w:r>
    </w:p>
    <w:p w14:paraId="33E6100F" w14:textId="7F961535" w:rsidR="001E6CC1" w:rsidRPr="00DB1C8C" w:rsidRDefault="00DB1C8C"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 xml:space="preserve">использование </w:t>
      </w:r>
      <w:r>
        <w:rPr>
          <w:rFonts w:eastAsia="TimesNewRomanPSMT"/>
          <w:lang w:val="en-US" w:eastAsia="en-US"/>
        </w:rPr>
        <w:t>INF-</w:t>
      </w:r>
      <w:r>
        <w:rPr>
          <w:rFonts w:eastAsia="TimesNewRomanPSMT"/>
          <w:lang w:eastAsia="en-US"/>
        </w:rPr>
        <w:t>α</w:t>
      </w:r>
      <w:r w:rsidR="00182BC3">
        <w:rPr>
          <w:rFonts w:eastAsia="TimesNewRomanPSMT"/>
          <w:lang w:eastAsia="en-US"/>
        </w:rPr>
        <w:t>;</w:t>
      </w:r>
    </w:p>
    <w:p w14:paraId="77650F69" w14:textId="74B549B3" w:rsidR="00DB1C8C" w:rsidRDefault="00182BC3" w:rsidP="00AB1FF1">
      <w:pPr>
        <w:pStyle w:val="af3"/>
        <w:numPr>
          <w:ilvl w:val="0"/>
          <w:numId w:val="45"/>
        </w:numPr>
        <w:autoSpaceDE w:val="0"/>
        <w:autoSpaceDN w:val="0"/>
        <w:adjustRightInd w:val="0"/>
        <w:spacing w:after="0" w:line="240" w:lineRule="auto"/>
        <w:ind w:left="709" w:hanging="349"/>
        <w:rPr>
          <w:rFonts w:eastAsia="TimesNewRomanPSMT"/>
          <w:lang w:eastAsia="en-US"/>
        </w:rPr>
      </w:pPr>
      <w:r w:rsidRPr="00182BC3">
        <w:rPr>
          <w:rFonts w:eastAsia="TimesNewRomanPSMT"/>
          <w:lang w:eastAsia="en-US"/>
        </w:rPr>
        <w:t xml:space="preserve">использование </w:t>
      </w:r>
      <w:r>
        <w:rPr>
          <w:rFonts w:eastAsia="TimesNewRomanPSMT"/>
          <w:lang w:eastAsia="en-US"/>
        </w:rPr>
        <w:t>препаратов</w:t>
      </w:r>
      <w:r w:rsidRPr="00182BC3">
        <w:rPr>
          <w:rFonts w:eastAsia="TimesNewRomanPSMT"/>
          <w:lang w:eastAsia="en-US"/>
        </w:rPr>
        <w:t xml:space="preserve"> моноклональны</w:t>
      </w:r>
      <w:r>
        <w:rPr>
          <w:rFonts w:eastAsia="TimesNewRomanPSMT"/>
          <w:lang w:eastAsia="en-US"/>
        </w:rPr>
        <w:t>х</w:t>
      </w:r>
      <w:r w:rsidRPr="00182BC3">
        <w:rPr>
          <w:rFonts w:eastAsia="TimesNewRomanPSMT"/>
          <w:lang w:eastAsia="en-US"/>
        </w:rPr>
        <w:t xml:space="preserve"> антител</w:t>
      </w:r>
      <w:r>
        <w:rPr>
          <w:rFonts w:eastAsia="TimesNewRomanPSMT"/>
          <w:lang w:eastAsia="en-US"/>
        </w:rPr>
        <w:t>;</w:t>
      </w:r>
    </w:p>
    <w:p w14:paraId="69D95A1A" w14:textId="51EB7898" w:rsidR="004A6AFD" w:rsidRDefault="004A6AFD"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использование плазмы антиковидной;</w:t>
      </w:r>
    </w:p>
    <w:p w14:paraId="517E4460" w14:textId="6C6BB22D" w:rsidR="004A6AFD" w:rsidRDefault="004A6AFD"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препараты иммуноглобулинов человека;</w:t>
      </w:r>
    </w:p>
    <w:p w14:paraId="298C1C2B" w14:textId="77777777" w:rsidR="00C6132F" w:rsidRDefault="00C6132F" w:rsidP="00C6132F">
      <w:pPr>
        <w:autoSpaceDE w:val="0"/>
        <w:autoSpaceDN w:val="0"/>
        <w:adjustRightInd w:val="0"/>
        <w:spacing w:after="0" w:line="240" w:lineRule="auto"/>
        <w:ind w:left="360"/>
        <w:contextualSpacing/>
        <w:jc w:val="left"/>
        <w:rPr>
          <w:rFonts w:eastAsia="TimesNewRomanPSMT"/>
          <w:lang w:eastAsia="en-US"/>
        </w:rPr>
      </w:pPr>
    </w:p>
    <w:p w14:paraId="7A9F6433" w14:textId="01DC4D6F" w:rsidR="004A6AFD" w:rsidRPr="004E43EA" w:rsidRDefault="004E43EA" w:rsidP="00AB1FF1">
      <w:pPr>
        <w:autoSpaceDE w:val="0"/>
        <w:autoSpaceDN w:val="0"/>
        <w:adjustRightInd w:val="0"/>
        <w:spacing w:after="0" w:line="240" w:lineRule="auto"/>
        <w:ind w:left="360"/>
        <w:contextualSpacing/>
        <w:rPr>
          <w:rFonts w:eastAsia="TimesNewRomanPSMT"/>
          <w:lang w:eastAsia="en-US"/>
        </w:rPr>
      </w:pPr>
      <w:r>
        <w:rPr>
          <w:rFonts w:eastAsia="TimesNewRomanPSMT"/>
          <w:lang w:eastAsia="en-US"/>
        </w:rPr>
        <w:t>Патогенетическое лечение</w:t>
      </w:r>
      <w:r w:rsidR="00C6132F">
        <w:rPr>
          <w:rFonts w:eastAsia="TimesNewRomanPSMT"/>
          <w:lang w:eastAsia="en-US"/>
        </w:rPr>
        <w:t xml:space="preserve"> </w:t>
      </w:r>
      <w:r w:rsidR="00C6132F">
        <w:rPr>
          <w:rFonts w:eastAsia="TimesNewRomanPSMT"/>
          <w:lang w:val="en-US" w:eastAsia="en-US"/>
        </w:rPr>
        <w:t>COVID</w:t>
      </w:r>
      <w:r w:rsidR="00C6132F" w:rsidRPr="00A82831">
        <w:rPr>
          <w:rFonts w:eastAsia="TimesNewRomanPSMT"/>
          <w:lang w:eastAsia="en-US"/>
        </w:rPr>
        <w:t>-19</w:t>
      </w:r>
      <w:r w:rsidR="00C6132F">
        <w:rPr>
          <w:rFonts w:eastAsia="TimesNewRomanPSMT"/>
          <w:lang w:eastAsia="en-US"/>
        </w:rPr>
        <w:t xml:space="preserve"> включает</w:t>
      </w:r>
      <w:r w:rsidR="00372759">
        <w:rPr>
          <w:rFonts w:eastAsia="TimesNewRomanPSMT"/>
          <w:lang w:eastAsia="en-US"/>
        </w:rPr>
        <w:t>:</w:t>
      </w:r>
    </w:p>
    <w:p w14:paraId="06572271" w14:textId="0E682D00" w:rsidR="00182BC3" w:rsidRDefault="00182BC3" w:rsidP="00AB1FF1">
      <w:pPr>
        <w:pStyle w:val="af3"/>
        <w:numPr>
          <w:ilvl w:val="0"/>
          <w:numId w:val="45"/>
        </w:numPr>
        <w:autoSpaceDE w:val="0"/>
        <w:autoSpaceDN w:val="0"/>
        <w:adjustRightInd w:val="0"/>
        <w:spacing w:after="0" w:line="240" w:lineRule="auto"/>
        <w:ind w:left="709" w:hanging="349"/>
        <w:rPr>
          <w:rFonts w:eastAsia="TimesNewRomanPSMT"/>
          <w:lang w:eastAsia="en-US"/>
        </w:rPr>
      </w:pPr>
      <w:r w:rsidRPr="00182BC3">
        <w:rPr>
          <w:rFonts w:eastAsia="TimesNewRomanPSMT"/>
          <w:lang w:eastAsia="en-US"/>
        </w:rPr>
        <w:t>ГИБП и/или ГК</w:t>
      </w:r>
      <w:r>
        <w:rPr>
          <w:rFonts w:eastAsia="TimesNewRomanPSMT"/>
          <w:lang w:eastAsia="en-US"/>
        </w:rPr>
        <w:t>;</w:t>
      </w:r>
    </w:p>
    <w:p w14:paraId="4D931C49" w14:textId="5F7C068A" w:rsidR="00182BC3" w:rsidRDefault="00182BC3" w:rsidP="00AB1FF1">
      <w:pPr>
        <w:pStyle w:val="af3"/>
        <w:numPr>
          <w:ilvl w:val="0"/>
          <w:numId w:val="45"/>
        </w:numPr>
        <w:autoSpaceDE w:val="0"/>
        <w:autoSpaceDN w:val="0"/>
        <w:adjustRightInd w:val="0"/>
        <w:spacing w:after="0" w:line="240" w:lineRule="auto"/>
        <w:ind w:left="709" w:hanging="349"/>
        <w:rPr>
          <w:rFonts w:eastAsia="TimesNewRomanPSMT"/>
          <w:lang w:eastAsia="en-US"/>
        </w:rPr>
      </w:pPr>
      <w:r w:rsidRPr="00182BC3">
        <w:rPr>
          <w:rFonts w:eastAsia="TimesNewRomanPSMT"/>
          <w:lang w:eastAsia="en-US"/>
        </w:rPr>
        <w:t xml:space="preserve">использование ингибиторов </w:t>
      </w:r>
      <w:r>
        <w:rPr>
          <w:rFonts w:eastAsia="TimesNewRomanPSMT"/>
          <w:lang w:val="en-US" w:eastAsia="en-US"/>
        </w:rPr>
        <w:t>JA</w:t>
      </w:r>
      <w:r w:rsidR="003D4B47">
        <w:rPr>
          <w:rFonts w:eastAsia="TimesNewRomanPSMT"/>
          <w:lang w:val="en-US" w:eastAsia="en-US"/>
        </w:rPr>
        <w:t>K</w:t>
      </w:r>
      <w:r w:rsidRPr="00182BC3">
        <w:rPr>
          <w:rFonts w:eastAsia="TimesNewRomanPSMT"/>
          <w:lang w:eastAsia="en-US"/>
        </w:rPr>
        <w:t>-киназ</w:t>
      </w:r>
      <w:r w:rsidR="00C6132F">
        <w:rPr>
          <w:rFonts w:eastAsia="TimesNewRomanPSMT"/>
          <w:lang w:eastAsia="en-US"/>
        </w:rPr>
        <w:t>;</w:t>
      </w:r>
    </w:p>
    <w:p w14:paraId="371728C6" w14:textId="6DBAFC2D" w:rsidR="00182BC3" w:rsidRDefault="00C6132F"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антитромботическую терапию;</w:t>
      </w:r>
    </w:p>
    <w:p w14:paraId="6115EC6D" w14:textId="675D715E" w:rsidR="00182BC3" w:rsidRDefault="00C6132F"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антикоагулянтную терапию;</w:t>
      </w:r>
    </w:p>
    <w:p w14:paraId="0C1FA431" w14:textId="70C6AD76" w:rsidR="003D4B47" w:rsidRDefault="00C6132F"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t>инфузионную терапию;</w:t>
      </w:r>
    </w:p>
    <w:p w14:paraId="1D156196" w14:textId="10F9738B" w:rsidR="003D4B47" w:rsidRDefault="003D4B47" w:rsidP="00AB1FF1">
      <w:pPr>
        <w:pStyle w:val="af3"/>
        <w:numPr>
          <w:ilvl w:val="0"/>
          <w:numId w:val="45"/>
        </w:numPr>
        <w:autoSpaceDE w:val="0"/>
        <w:autoSpaceDN w:val="0"/>
        <w:adjustRightInd w:val="0"/>
        <w:spacing w:after="0" w:line="240" w:lineRule="auto"/>
        <w:ind w:left="709" w:hanging="349"/>
        <w:rPr>
          <w:rFonts w:eastAsia="TimesNewRomanPSMT"/>
          <w:lang w:eastAsia="en-US"/>
        </w:rPr>
      </w:pPr>
      <w:r>
        <w:rPr>
          <w:rFonts w:eastAsia="TimesNewRomanPSMT"/>
          <w:lang w:eastAsia="en-US"/>
        </w:rPr>
        <w:lastRenderedPageBreak/>
        <w:t>применение экзогенного сурфактанта</w:t>
      </w:r>
      <w:r w:rsidR="00C6132F">
        <w:rPr>
          <w:rFonts w:eastAsia="TimesNewRomanPSMT"/>
          <w:lang w:eastAsia="en-US"/>
        </w:rPr>
        <w:t>.</w:t>
      </w:r>
    </w:p>
    <w:p w14:paraId="7F215DAE" w14:textId="77777777" w:rsidR="00C6132F" w:rsidRDefault="00C6132F" w:rsidP="00AB1FF1">
      <w:pPr>
        <w:autoSpaceDE w:val="0"/>
        <w:autoSpaceDN w:val="0"/>
        <w:adjustRightInd w:val="0"/>
        <w:spacing w:after="0" w:line="240" w:lineRule="auto"/>
        <w:ind w:left="360"/>
        <w:contextualSpacing/>
        <w:rPr>
          <w:rFonts w:eastAsia="TimesNewRomanPSMT"/>
          <w:lang w:eastAsia="en-US"/>
        </w:rPr>
      </w:pPr>
    </w:p>
    <w:p w14:paraId="15DB507F" w14:textId="7B935DA2" w:rsidR="003D4B47" w:rsidRPr="003D4B47" w:rsidRDefault="003D4B47" w:rsidP="00AB1FF1">
      <w:pPr>
        <w:autoSpaceDE w:val="0"/>
        <w:autoSpaceDN w:val="0"/>
        <w:adjustRightInd w:val="0"/>
        <w:spacing w:after="0" w:line="240" w:lineRule="auto"/>
        <w:ind w:left="360"/>
        <w:contextualSpacing/>
        <w:rPr>
          <w:rFonts w:eastAsia="TimesNewRomanPSMT"/>
          <w:lang w:eastAsia="en-US"/>
        </w:rPr>
      </w:pPr>
      <w:r>
        <w:rPr>
          <w:rFonts w:eastAsia="TimesNewRomanPSMT"/>
          <w:lang w:eastAsia="en-US"/>
        </w:rPr>
        <w:t xml:space="preserve">Симптоматическое лечение </w:t>
      </w:r>
      <w:r w:rsidR="00C6132F">
        <w:rPr>
          <w:rFonts w:eastAsia="TimesNewRomanPSMT"/>
          <w:lang w:val="en-US" w:eastAsia="en-US"/>
        </w:rPr>
        <w:t>COVID</w:t>
      </w:r>
      <w:r w:rsidR="00C6132F" w:rsidRPr="00A82831">
        <w:rPr>
          <w:rFonts w:eastAsia="TimesNewRomanPSMT"/>
          <w:lang w:eastAsia="en-US"/>
        </w:rPr>
        <w:t>-19</w:t>
      </w:r>
      <w:r w:rsidR="00C6132F">
        <w:rPr>
          <w:rFonts w:eastAsia="TimesNewRomanPSMT"/>
          <w:lang w:eastAsia="en-US"/>
        </w:rPr>
        <w:t xml:space="preserve"> </w:t>
      </w:r>
      <w:r>
        <w:rPr>
          <w:rFonts w:eastAsia="TimesNewRomanPSMT"/>
          <w:lang w:eastAsia="en-US"/>
        </w:rPr>
        <w:t>включает</w:t>
      </w:r>
      <w:r w:rsidR="00372759">
        <w:rPr>
          <w:rFonts w:eastAsia="TimesNewRomanPSMT"/>
          <w:lang w:eastAsia="en-US"/>
        </w:rPr>
        <w:t xml:space="preserve">: </w:t>
      </w:r>
    </w:p>
    <w:p w14:paraId="19ABC88B" w14:textId="4CD24FB8" w:rsidR="003D4B47" w:rsidRDefault="003D4B47" w:rsidP="00AB1FF1">
      <w:pPr>
        <w:numPr>
          <w:ilvl w:val="0"/>
          <w:numId w:val="45"/>
        </w:numPr>
        <w:autoSpaceDE w:val="0"/>
        <w:autoSpaceDN w:val="0"/>
        <w:adjustRightInd w:val="0"/>
        <w:spacing w:after="0" w:line="240" w:lineRule="auto"/>
        <w:ind w:left="709"/>
        <w:contextualSpacing/>
        <w:rPr>
          <w:color w:val="000000"/>
          <w:lang w:eastAsia="en-US"/>
        </w:rPr>
      </w:pPr>
      <w:r w:rsidRPr="003D4B47">
        <w:rPr>
          <w:color w:val="000000"/>
          <w:lang w:eastAsia="en-US"/>
        </w:rPr>
        <w:t>жаропонижающие препараты</w:t>
      </w:r>
      <w:r w:rsidR="00C6132F">
        <w:rPr>
          <w:color w:val="000000"/>
          <w:lang w:eastAsia="en-US"/>
        </w:rPr>
        <w:t>;</w:t>
      </w:r>
    </w:p>
    <w:p w14:paraId="61B91704" w14:textId="3B4936D6" w:rsidR="003D4B47" w:rsidRDefault="003D4B47" w:rsidP="00AB1FF1">
      <w:pPr>
        <w:numPr>
          <w:ilvl w:val="0"/>
          <w:numId w:val="45"/>
        </w:numPr>
        <w:autoSpaceDE w:val="0"/>
        <w:autoSpaceDN w:val="0"/>
        <w:adjustRightInd w:val="0"/>
        <w:spacing w:after="0" w:line="240" w:lineRule="auto"/>
        <w:ind w:left="709"/>
        <w:contextualSpacing/>
        <w:rPr>
          <w:color w:val="000000"/>
          <w:lang w:eastAsia="en-US"/>
        </w:rPr>
      </w:pPr>
      <w:r>
        <w:rPr>
          <w:color w:val="000000"/>
          <w:lang w:eastAsia="en-US"/>
        </w:rPr>
        <w:t>увлажняющие/элиминационные препараты, назальные деконгенсанты</w:t>
      </w:r>
      <w:r w:rsidR="00C6132F">
        <w:rPr>
          <w:color w:val="000000"/>
          <w:lang w:eastAsia="en-US"/>
        </w:rPr>
        <w:t>;</w:t>
      </w:r>
    </w:p>
    <w:p w14:paraId="26849AD8" w14:textId="02C9864A" w:rsidR="003D4B47" w:rsidRDefault="003D4B47" w:rsidP="00AB1FF1">
      <w:pPr>
        <w:numPr>
          <w:ilvl w:val="0"/>
          <w:numId w:val="45"/>
        </w:numPr>
        <w:autoSpaceDE w:val="0"/>
        <w:autoSpaceDN w:val="0"/>
        <w:adjustRightInd w:val="0"/>
        <w:spacing w:after="0" w:line="240" w:lineRule="auto"/>
        <w:ind w:left="709"/>
        <w:contextualSpacing/>
        <w:rPr>
          <w:color w:val="000000"/>
          <w:lang w:eastAsia="en-US"/>
        </w:rPr>
      </w:pPr>
      <w:r>
        <w:rPr>
          <w:color w:val="000000"/>
          <w:lang w:eastAsia="en-US"/>
        </w:rPr>
        <w:t>мукоактивные, бронхолитические средства</w:t>
      </w:r>
      <w:r w:rsidR="00C6132F">
        <w:rPr>
          <w:color w:val="000000"/>
          <w:lang w:eastAsia="en-US"/>
        </w:rPr>
        <w:t>;</w:t>
      </w:r>
    </w:p>
    <w:p w14:paraId="66D874FF" w14:textId="41ACCB8A" w:rsidR="003D4B47" w:rsidRDefault="00C6132F" w:rsidP="00AB1FF1">
      <w:pPr>
        <w:numPr>
          <w:ilvl w:val="0"/>
          <w:numId w:val="45"/>
        </w:numPr>
        <w:autoSpaceDE w:val="0"/>
        <w:autoSpaceDN w:val="0"/>
        <w:adjustRightInd w:val="0"/>
        <w:spacing w:after="0" w:line="240" w:lineRule="auto"/>
        <w:ind w:left="709"/>
        <w:contextualSpacing/>
        <w:rPr>
          <w:color w:val="000000"/>
          <w:lang w:eastAsia="en-US"/>
        </w:rPr>
      </w:pPr>
      <w:r>
        <w:rPr>
          <w:color w:val="000000"/>
          <w:lang w:eastAsia="en-US"/>
        </w:rPr>
        <w:t>антибактериальную и антимикотическую терапию.</w:t>
      </w:r>
    </w:p>
    <w:p w14:paraId="0F12DD55" w14:textId="77777777" w:rsidR="00BC7E97" w:rsidRPr="00A13913" w:rsidRDefault="00BC7E97" w:rsidP="00C6132F">
      <w:pPr>
        <w:autoSpaceDE w:val="0"/>
        <w:autoSpaceDN w:val="0"/>
        <w:adjustRightInd w:val="0"/>
        <w:spacing w:after="0" w:line="240" w:lineRule="auto"/>
        <w:contextualSpacing/>
        <w:rPr>
          <w:b/>
          <w:color w:val="000000"/>
          <w:highlight w:val="yellow"/>
        </w:rPr>
      </w:pPr>
    </w:p>
    <w:p w14:paraId="376EEDE1" w14:textId="77777777" w:rsidR="00D35D87" w:rsidRPr="00D54A22" w:rsidRDefault="003C2C65" w:rsidP="00C6132F">
      <w:pPr>
        <w:pStyle w:val="3"/>
        <w:spacing w:after="240"/>
        <w:contextualSpacing/>
        <w:rPr>
          <w:color w:val="000000" w:themeColor="text1"/>
          <w:szCs w:val="24"/>
        </w:rPr>
      </w:pPr>
      <w:bookmarkStart w:id="35" w:name="_Toc484086226"/>
      <w:bookmarkStart w:id="36" w:name="_Toc120288109"/>
      <w:bookmarkEnd w:id="34"/>
      <w:r w:rsidRPr="00D139A4">
        <w:rPr>
          <w:color w:val="000000" w:themeColor="text1"/>
          <w:szCs w:val="24"/>
        </w:rPr>
        <w:t>1.</w:t>
      </w:r>
      <w:r w:rsidR="006148AF" w:rsidRPr="00D139A4">
        <w:rPr>
          <w:color w:val="000000" w:themeColor="text1"/>
          <w:szCs w:val="24"/>
        </w:rPr>
        <w:t>7.</w:t>
      </w:r>
      <w:r w:rsidRPr="00D139A4">
        <w:rPr>
          <w:color w:val="000000" w:themeColor="text1"/>
          <w:szCs w:val="24"/>
        </w:rPr>
        <w:t>3.</w:t>
      </w:r>
      <w:r w:rsidRPr="00D139A4">
        <w:rPr>
          <w:color w:val="000000" w:themeColor="text1"/>
          <w:szCs w:val="24"/>
        </w:rPr>
        <w:tab/>
        <w:t>Вводная информация по исследуемой терапии</w:t>
      </w:r>
      <w:bookmarkStart w:id="37" w:name="_Hlk521882563"/>
      <w:bookmarkEnd w:id="35"/>
      <w:bookmarkEnd w:id="36"/>
    </w:p>
    <w:p w14:paraId="57A45C45" w14:textId="6B10A927" w:rsidR="00D54A22" w:rsidRDefault="00D54A22" w:rsidP="00C6132F">
      <w:pPr>
        <w:autoSpaceDE w:val="0"/>
        <w:autoSpaceDN w:val="0"/>
        <w:adjustRightInd w:val="0"/>
        <w:spacing w:after="0" w:line="240" w:lineRule="auto"/>
        <w:ind w:firstLine="708"/>
        <w:contextualSpacing/>
        <w:rPr>
          <w:highlight w:val="yellow"/>
          <w:lang w:eastAsia="en-US"/>
        </w:rPr>
      </w:pPr>
      <w:r w:rsidRPr="005D5965">
        <w:t xml:space="preserve">Впервые барицитиниб был одобрен в качестве </w:t>
      </w:r>
      <w:r>
        <w:t xml:space="preserve">средства для лечения РА умеренной и тяжелой степени </w:t>
      </w:r>
      <w:r w:rsidRPr="005D5965">
        <w:t>в 20</w:t>
      </w:r>
      <w:r>
        <w:t>18</w:t>
      </w:r>
      <w:r w:rsidRPr="005D5965">
        <w:t xml:space="preserve"> г. В России препарат был зарегистрирован в </w:t>
      </w:r>
      <w:r>
        <w:t>2018</w:t>
      </w:r>
      <w:r w:rsidRPr="005D5965">
        <w:t xml:space="preserve"> г. </w:t>
      </w:r>
      <w:r>
        <w:t xml:space="preserve">Барицитиниб является препаратом последнего поколения для лечения РА, АД, ОА и </w:t>
      </w:r>
      <w:r w:rsidRPr="00494670">
        <w:rPr>
          <w:lang w:val="en-US" w:eastAsia="ru-RU"/>
        </w:rPr>
        <w:t>COVID</w:t>
      </w:r>
      <w:r w:rsidRPr="00494670">
        <w:rPr>
          <w:lang w:eastAsia="ru-RU"/>
        </w:rPr>
        <w:t>-19</w:t>
      </w:r>
      <w:r>
        <w:t>, имеет</w:t>
      </w:r>
      <w:r w:rsidRPr="005D5965">
        <w:t xml:space="preserve"> обширн</w:t>
      </w:r>
      <w:r>
        <w:t xml:space="preserve">ую </w:t>
      </w:r>
      <w:r w:rsidRPr="005D5965">
        <w:t>доказательн</w:t>
      </w:r>
      <w:r>
        <w:t xml:space="preserve">ую </w:t>
      </w:r>
      <w:r w:rsidRPr="005D5965">
        <w:t>баз</w:t>
      </w:r>
      <w:r>
        <w:t xml:space="preserve">у, подтверждающую высокую эффективность. </w:t>
      </w:r>
    </w:p>
    <w:p w14:paraId="1E90CBB1" w14:textId="7E222573" w:rsidR="00E61AC9" w:rsidRDefault="00E61AC9" w:rsidP="00C6132F">
      <w:pPr>
        <w:autoSpaceDE w:val="0"/>
        <w:autoSpaceDN w:val="0"/>
        <w:adjustRightInd w:val="0"/>
        <w:spacing w:after="0" w:line="240" w:lineRule="auto"/>
        <w:ind w:firstLine="708"/>
        <w:contextualSpacing/>
        <w:rPr>
          <w:bCs/>
          <w:lang w:eastAsia="en-US"/>
        </w:rPr>
      </w:pPr>
      <w:r w:rsidRPr="00E61AC9">
        <w:rPr>
          <w:bCs/>
          <w:lang w:eastAsia="en-US"/>
        </w:rPr>
        <w:t xml:space="preserve">Современным методом лечения </w:t>
      </w:r>
      <w:r>
        <w:rPr>
          <w:bCs/>
          <w:lang w:eastAsia="en-US"/>
        </w:rPr>
        <w:t>РА</w:t>
      </w:r>
      <w:r w:rsidRPr="00E61AC9">
        <w:rPr>
          <w:bCs/>
          <w:lang w:eastAsia="en-US"/>
        </w:rPr>
        <w:t xml:space="preserve"> является применение </w:t>
      </w:r>
      <w:r w:rsidR="00C6132F">
        <w:rPr>
          <w:bCs/>
          <w:lang w:eastAsia="en-US"/>
        </w:rPr>
        <w:t>как</w:t>
      </w:r>
      <w:r w:rsidRPr="00E61AC9">
        <w:rPr>
          <w:bCs/>
          <w:lang w:eastAsia="en-US"/>
        </w:rPr>
        <w:t xml:space="preserve"> </w:t>
      </w:r>
      <w:r>
        <w:rPr>
          <w:bCs/>
          <w:lang w:eastAsia="en-US"/>
        </w:rPr>
        <w:t>ГИБП</w:t>
      </w:r>
      <w:r w:rsidRPr="00E61AC9">
        <w:rPr>
          <w:bCs/>
          <w:lang w:eastAsia="en-US"/>
        </w:rPr>
        <w:t xml:space="preserve"> </w:t>
      </w:r>
      <w:r w:rsidR="00C6132F">
        <w:rPr>
          <w:bCs/>
          <w:lang w:eastAsia="en-US"/>
        </w:rPr>
        <w:t xml:space="preserve">так </w:t>
      </w:r>
      <w:r w:rsidRPr="00E61AC9">
        <w:rPr>
          <w:bCs/>
          <w:lang w:eastAsia="en-US"/>
        </w:rPr>
        <w:t xml:space="preserve">и </w:t>
      </w:r>
      <w:r w:rsidR="008A670C">
        <w:rPr>
          <w:bCs/>
          <w:lang w:eastAsia="en-US"/>
        </w:rPr>
        <w:t>тс</w:t>
      </w:r>
      <w:r w:rsidR="008A670C">
        <w:rPr>
          <w:rFonts w:eastAsia="TimesNewRomanPSMT"/>
          <w:lang w:eastAsia="en-US"/>
        </w:rPr>
        <w:t>БМАРП</w:t>
      </w:r>
      <w:r w:rsidRPr="00E61AC9">
        <w:rPr>
          <w:bCs/>
          <w:lang w:eastAsia="en-US"/>
        </w:rPr>
        <w:t>.</w:t>
      </w:r>
      <w:r w:rsidR="008A670C">
        <w:rPr>
          <w:bCs/>
          <w:lang w:eastAsia="en-US"/>
        </w:rPr>
        <w:t xml:space="preserve"> </w:t>
      </w:r>
      <w:r w:rsidRPr="00E61AC9">
        <w:rPr>
          <w:bCs/>
          <w:lang w:eastAsia="en-US"/>
        </w:rPr>
        <w:t xml:space="preserve">В России для лечения </w:t>
      </w:r>
      <w:r w:rsidR="008A670C">
        <w:rPr>
          <w:bCs/>
          <w:lang w:eastAsia="en-US"/>
        </w:rPr>
        <w:t>РА</w:t>
      </w:r>
      <w:r w:rsidRPr="00E61AC9">
        <w:rPr>
          <w:bCs/>
          <w:lang w:eastAsia="en-US"/>
        </w:rPr>
        <w:t xml:space="preserve"> зарегистрировано несколько </w:t>
      </w:r>
      <w:r w:rsidR="008A670C">
        <w:rPr>
          <w:bCs/>
          <w:lang w:eastAsia="en-US"/>
        </w:rPr>
        <w:t>ГИБП</w:t>
      </w:r>
      <w:r w:rsidRPr="00E61AC9">
        <w:rPr>
          <w:bCs/>
          <w:lang w:eastAsia="en-US"/>
        </w:rPr>
        <w:t>: инфликсимаб, адалимумаб, этанерцепт, голимумаб, цертолизумаба пэгол, абатацепт, тоцилизумаб, ритуксимаб. ГИБП применяются в виде подкожных ин</w:t>
      </w:r>
      <w:r w:rsidR="00C6132F">
        <w:rPr>
          <w:bCs/>
          <w:lang w:eastAsia="en-US"/>
        </w:rPr>
        <w:t>ъекций или внутривенных инфузий</w:t>
      </w:r>
      <w:r w:rsidRPr="00E61AC9">
        <w:rPr>
          <w:bCs/>
          <w:lang w:eastAsia="en-US"/>
        </w:rPr>
        <w:t xml:space="preserve">. В настоящее время все шире применяются </w:t>
      </w:r>
      <w:r w:rsidR="008A670C">
        <w:rPr>
          <w:bCs/>
          <w:lang w:eastAsia="en-US"/>
        </w:rPr>
        <w:t>тс</w:t>
      </w:r>
      <w:r w:rsidR="008A670C">
        <w:rPr>
          <w:rFonts w:eastAsia="TimesNewRomanPSMT"/>
          <w:lang w:eastAsia="en-US"/>
        </w:rPr>
        <w:t>БМАРП</w:t>
      </w:r>
      <w:r w:rsidRPr="00E61AC9">
        <w:rPr>
          <w:bCs/>
          <w:lang w:eastAsia="en-US"/>
        </w:rPr>
        <w:t xml:space="preserve">, ингибирующие активность </w:t>
      </w:r>
      <w:r w:rsidR="008A670C">
        <w:rPr>
          <w:bCs/>
          <w:lang w:val="en-US" w:eastAsia="en-US"/>
        </w:rPr>
        <w:t>JAK</w:t>
      </w:r>
      <w:r w:rsidRPr="00E61AC9">
        <w:rPr>
          <w:bCs/>
          <w:lang w:eastAsia="en-US"/>
        </w:rPr>
        <w:t xml:space="preserve"> (тофацитиниб, барицитиниб, упадацитиниб), которые назначаются в виде таблеток, но по действию они близки к </w:t>
      </w:r>
      <w:r w:rsidR="008A670C">
        <w:rPr>
          <w:bCs/>
          <w:lang w:eastAsia="en-US"/>
        </w:rPr>
        <w:t xml:space="preserve">ГИБП </w:t>
      </w:r>
      <w:r w:rsidR="008A670C">
        <w:rPr>
          <w:bCs/>
          <w:lang w:eastAsia="en-US"/>
        </w:rPr>
        <w:fldChar w:fldCharType="begin"/>
      </w:r>
      <w:r w:rsidR="00373726">
        <w:rPr>
          <w:bCs/>
          <w:lang w:eastAsia="en-US"/>
        </w:rPr>
        <w:instrText xml:space="preserve"> ADDIN ZOTERO_ITEM CSL_CITATION {"citationID":"aVQeHpRp","properties":{"formattedCitation":"[1]","plainCitation":"[1]","noteIndex":0},"citationItems":[{"id":3503,"uris":["http://zotero.org/groups/4514912/items/R5A5SHIQ"],"uri":["http://zotero.org/groups/4514912/items/R5A5SHIQ"],"itemData":{"id":3503,"type":"article","title":"Министерство здравоохранения Российской Федерации. Клинические рекомендации. Ревматоидный артрит. 2021"}}],"schema":"https://github.com/citation-style-language/schema/raw/master/csl-citation.json"} </w:instrText>
      </w:r>
      <w:r w:rsidR="008A670C">
        <w:rPr>
          <w:bCs/>
          <w:lang w:eastAsia="en-US"/>
        </w:rPr>
        <w:fldChar w:fldCharType="separate"/>
      </w:r>
      <w:r w:rsidR="008A670C" w:rsidRPr="008A670C">
        <w:t>[1]</w:t>
      </w:r>
      <w:r w:rsidR="008A670C">
        <w:rPr>
          <w:bCs/>
          <w:lang w:eastAsia="en-US"/>
        </w:rPr>
        <w:fldChar w:fldCharType="end"/>
      </w:r>
      <w:r w:rsidRPr="00E61AC9">
        <w:rPr>
          <w:bCs/>
          <w:lang w:eastAsia="en-US"/>
        </w:rPr>
        <w:t>.</w:t>
      </w:r>
    </w:p>
    <w:p w14:paraId="698E763E" w14:textId="4CD74F45" w:rsidR="00E61AC9" w:rsidRDefault="00C258CC" w:rsidP="00F646D7">
      <w:pPr>
        <w:autoSpaceDE w:val="0"/>
        <w:autoSpaceDN w:val="0"/>
        <w:adjustRightInd w:val="0"/>
        <w:spacing w:after="0" w:line="240" w:lineRule="auto"/>
        <w:ind w:firstLine="708"/>
        <w:rPr>
          <w:bCs/>
          <w:lang w:eastAsia="en-US"/>
        </w:rPr>
      </w:pPr>
      <w:r>
        <w:rPr>
          <w:bCs/>
          <w:lang w:eastAsia="en-US"/>
        </w:rPr>
        <w:t xml:space="preserve">Для консервативного лечения АД </w:t>
      </w:r>
      <w:r w:rsidRPr="00C258CC">
        <w:rPr>
          <w:bCs/>
          <w:lang w:eastAsia="en-US"/>
        </w:rPr>
        <w:t xml:space="preserve">всем пациентам </w:t>
      </w:r>
      <w:r>
        <w:rPr>
          <w:bCs/>
          <w:lang w:eastAsia="en-US"/>
        </w:rPr>
        <w:t xml:space="preserve">рекомендуется использовать </w:t>
      </w:r>
      <w:r w:rsidRPr="00C258CC">
        <w:rPr>
          <w:bCs/>
          <w:lang w:eastAsia="en-US"/>
        </w:rPr>
        <w:t>увлажняющие и смягчающие средства (эмоленты) наружно</w:t>
      </w:r>
      <w:r>
        <w:rPr>
          <w:bCs/>
          <w:lang w:eastAsia="en-US"/>
        </w:rPr>
        <w:t xml:space="preserve">. </w:t>
      </w:r>
      <w:r w:rsidRPr="00C258CC">
        <w:rPr>
          <w:bCs/>
          <w:lang w:eastAsia="en-US"/>
        </w:rPr>
        <w:t>Пациентам при атопическом дерматите легкой степени тяжести (с ограниченными</w:t>
      </w:r>
      <w:r>
        <w:rPr>
          <w:bCs/>
          <w:lang w:eastAsia="en-US"/>
        </w:rPr>
        <w:t xml:space="preserve"> </w:t>
      </w:r>
      <w:r w:rsidRPr="00C258CC">
        <w:rPr>
          <w:bCs/>
          <w:lang w:eastAsia="en-US"/>
        </w:rPr>
        <w:t>высыпаниями) рекомендуется наружная терапия: топическими</w:t>
      </w:r>
      <w:r>
        <w:rPr>
          <w:bCs/>
          <w:lang w:eastAsia="en-US"/>
        </w:rPr>
        <w:t xml:space="preserve"> </w:t>
      </w:r>
      <w:r w:rsidRPr="00C258CC">
        <w:rPr>
          <w:bCs/>
          <w:lang w:eastAsia="en-US"/>
        </w:rPr>
        <w:t>глюкокортикостероидам</w:t>
      </w:r>
      <w:r w:rsidR="00F646D7">
        <w:rPr>
          <w:bCs/>
          <w:lang w:eastAsia="en-US"/>
        </w:rPr>
        <w:t xml:space="preserve">и и </w:t>
      </w:r>
      <w:r w:rsidRPr="00C258CC">
        <w:rPr>
          <w:bCs/>
          <w:lang w:eastAsia="en-US"/>
        </w:rPr>
        <w:t>топическими ингибиторами кал</w:t>
      </w:r>
      <w:r w:rsidR="00F646D7">
        <w:rPr>
          <w:bCs/>
          <w:lang w:eastAsia="en-US"/>
        </w:rPr>
        <w:t>ь</w:t>
      </w:r>
      <w:r w:rsidRPr="00C258CC">
        <w:rPr>
          <w:bCs/>
          <w:lang w:eastAsia="en-US"/>
        </w:rPr>
        <w:t>циневрина</w:t>
      </w:r>
      <w:r w:rsidR="00F646D7">
        <w:rPr>
          <w:bCs/>
          <w:lang w:eastAsia="en-US"/>
        </w:rPr>
        <w:t>. П</w:t>
      </w:r>
      <w:r w:rsidRPr="00C258CC">
        <w:rPr>
          <w:bCs/>
          <w:lang w:eastAsia="en-US"/>
        </w:rPr>
        <w:t>ациентам со средней тяжестью течения и тяжелой формой</w:t>
      </w:r>
      <w:r w:rsidR="00F646D7">
        <w:rPr>
          <w:bCs/>
          <w:lang w:eastAsia="en-US"/>
        </w:rPr>
        <w:t xml:space="preserve"> АД рекомендуются </w:t>
      </w:r>
      <w:r w:rsidRPr="00C258CC">
        <w:rPr>
          <w:bCs/>
          <w:lang w:eastAsia="en-US"/>
        </w:rPr>
        <w:t>топические ингибиторы кальциневрина</w:t>
      </w:r>
      <w:r w:rsidR="00F646D7">
        <w:rPr>
          <w:bCs/>
          <w:lang w:eastAsia="en-US"/>
        </w:rPr>
        <w:t>. В</w:t>
      </w:r>
      <w:r w:rsidR="00C6132F">
        <w:rPr>
          <w:bCs/>
          <w:lang w:eastAsia="en-US"/>
        </w:rPr>
        <w:t xml:space="preserve"> случае наличия</w:t>
      </w:r>
      <w:r w:rsidRPr="00C258CC">
        <w:rPr>
          <w:bCs/>
          <w:lang w:eastAsia="en-US"/>
        </w:rPr>
        <w:t xml:space="preserve"> в</w:t>
      </w:r>
      <w:r w:rsidR="00C6132F">
        <w:rPr>
          <w:bCs/>
          <w:lang w:eastAsia="en-US"/>
        </w:rPr>
        <w:t>ыраженной инфильтрации высыпаний</w:t>
      </w:r>
      <w:r w:rsidR="00F646D7">
        <w:rPr>
          <w:bCs/>
          <w:lang w:eastAsia="en-US"/>
        </w:rPr>
        <w:t xml:space="preserve"> </w:t>
      </w:r>
      <w:r w:rsidR="00C6132F">
        <w:rPr>
          <w:bCs/>
          <w:lang w:eastAsia="en-US"/>
        </w:rPr>
        <w:t xml:space="preserve">пациентам </w:t>
      </w:r>
      <w:r w:rsidR="00F646D7">
        <w:rPr>
          <w:bCs/>
          <w:lang w:eastAsia="en-US"/>
        </w:rPr>
        <w:t>рекомендуется н</w:t>
      </w:r>
      <w:r w:rsidRPr="00C258CC">
        <w:rPr>
          <w:bCs/>
          <w:lang w:eastAsia="en-US"/>
        </w:rPr>
        <w:t>афталанская нефть</w:t>
      </w:r>
      <w:r w:rsidR="00F646D7">
        <w:rPr>
          <w:bCs/>
          <w:lang w:eastAsia="en-US"/>
        </w:rPr>
        <w:t xml:space="preserve">. При отсутствии </w:t>
      </w:r>
      <w:r w:rsidR="00F646D7" w:rsidRPr="00C258CC">
        <w:rPr>
          <w:bCs/>
          <w:lang w:eastAsia="en-US"/>
        </w:rPr>
        <w:t xml:space="preserve">противопоказаний </w:t>
      </w:r>
      <w:r w:rsidRPr="00C258CC">
        <w:rPr>
          <w:bCs/>
          <w:lang w:eastAsia="en-US"/>
        </w:rPr>
        <w:t xml:space="preserve">пациентам при </w:t>
      </w:r>
      <w:r w:rsidR="00F646D7">
        <w:rPr>
          <w:bCs/>
          <w:lang w:eastAsia="en-US"/>
        </w:rPr>
        <w:t>АД</w:t>
      </w:r>
      <w:r w:rsidRPr="00C258CC">
        <w:rPr>
          <w:bCs/>
          <w:lang w:eastAsia="en-US"/>
        </w:rPr>
        <w:t xml:space="preserve"> средней и тяжелой степени</w:t>
      </w:r>
      <w:r w:rsidR="00F646D7">
        <w:rPr>
          <w:bCs/>
          <w:lang w:eastAsia="en-US"/>
        </w:rPr>
        <w:t xml:space="preserve"> </w:t>
      </w:r>
      <w:r w:rsidRPr="00C258CC">
        <w:rPr>
          <w:bCs/>
          <w:lang w:eastAsia="en-US"/>
        </w:rPr>
        <w:t xml:space="preserve">тяжести </w:t>
      </w:r>
      <w:r w:rsidR="00F646D7">
        <w:rPr>
          <w:bCs/>
          <w:lang w:eastAsia="en-US"/>
        </w:rPr>
        <w:t>р</w:t>
      </w:r>
      <w:r w:rsidR="00F646D7" w:rsidRPr="00C258CC">
        <w:rPr>
          <w:bCs/>
          <w:lang w:eastAsia="en-US"/>
        </w:rPr>
        <w:t xml:space="preserve">екомендуются </w:t>
      </w:r>
      <w:r w:rsidRPr="00C258CC">
        <w:rPr>
          <w:bCs/>
          <w:lang w:eastAsia="en-US"/>
        </w:rPr>
        <w:t>дупилумаб</w:t>
      </w:r>
      <w:r w:rsidR="00F646D7">
        <w:rPr>
          <w:bCs/>
          <w:lang w:eastAsia="en-US"/>
        </w:rPr>
        <w:t>. П</w:t>
      </w:r>
      <w:r w:rsidRPr="00C258CC">
        <w:rPr>
          <w:bCs/>
          <w:lang w:eastAsia="en-US"/>
        </w:rPr>
        <w:t xml:space="preserve">ри тяжелом течении </w:t>
      </w:r>
      <w:r w:rsidR="00F646D7">
        <w:rPr>
          <w:bCs/>
          <w:lang w:eastAsia="en-US"/>
        </w:rPr>
        <w:t>АД</w:t>
      </w:r>
      <w:r w:rsidRPr="00C258CC">
        <w:rPr>
          <w:bCs/>
          <w:lang w:eastAsia="en-US"/>
        </w:rPr>
        <w:t xml:space="preserve"> у взрослых и при</w:t>
      </w:r>
      <w:r w:rsidR="00F646D7">
        <w:rPr>
          <w:bCs/>
          <w:lang w:eastAsia="en-US"/>
        </w:rPr>
        <w:t xml:space="preserve"> </w:t>
      </w:r>
      <w:r w:rsidRPr="00C258CC">
        <w:rPr>
          <w:bCs/>
          <w:lang w:eastAsia="en-US"/>
        </w:rPr>
        <w:t>отсутствии противопоказаний</w:t>
      </w:r>
      <w:r w:rsidR="00F646D7" w:rsidRPr="00F646D7">
        <w:rPr>
          <w:bCs/>
          <w:lang w:eastAsia="en-US"/>
        </w:rPr>
        <w:t xml:space="preserve"> </w:t>
      </w:r>
      <w:r w:rsidR="00F646D7">
        <w:rPr>
          <w:bCs/>
          <w:lang w:eastAsia="en-US"/>
        </w:rPr>
        <w:t>р</w:t>
      </w:r>
      <w:r w:rsidR="00F646D7" w:rsidRPr="00C258CC">
        <w:rPr>
          <w:bCs/>
          <w:lang w:eastAsia="en-US"/>
        </w:rPr>
        <w:t>екомендуется</w:t>
      </w:r>
      <w:r w:rsidR="00F646D7">
        <w:rPr>
          <w:bCs/>
          <w:lang w:eastAsia="en-US"/>
        </w:rPr>
        <w:t xml:space="preserve"> </w:t>
      </w:r>
      <w:r w:rsidRPr="00C258CC">
        <w:rPr>
          <w:bCs/>
          <w:lang w:eastAsia="en-US"/>
        </w:rPr>
        <w:t>циклоспорин</w:t>
      </w:r>
      <w:r w:rsidR="00F646D7">
        <w:rPr>
          <w:bCs/>
          <w:lang w:eastAsia="en-US"/>
        </w:rPr>
        <w:t xml:space="preserve"> и системные </w:t>
      </w:r>
      <w:r w:rsidRPr="00C258CC">
        <w:rPr>
          <w:bCs/>
          <w:lang w:eastAsia="en-US"/>
        </w:rPr>
        <w:t>глюкокортикостероиды</w:t>
      </w:r>
      <w:r w:rsidR="00F646D7">
        <w:rPr>
          <w:bCs/>
          <w:lang w:eastAsia="en-US"/>
        </w:rPr>
        <w:t xml:space="preserve">. </w:t>
      </w:r>
      <w:r w:rsidRPr="00C258CC">
        <w:rPr>
          <w:bCs/>
          <w:lang w:eastAsia="en-US"/>
        </w:rPr>
        <w:t>Рекомендуется при наличии признаков вторичного инфицирования использовать</w:t>
      </w:r>
      <w:r w:rsidR="00F646D7">
        <w:rPr>
          <w:bCs/>
          <w:lang w:eastAsia="en-US"/>
        </w:rPr>
        <w:t xml:space="preserve"> </w:t>
      </w:r>
      <w:r w:rsidRPr="00C258CC">
        <w:rPr>
          <w:bCs/>
          <w:lang w:eastAsia="en-US"/>
        </w:rPr>
        <w:t>короткими курсами (обычно в течение 1 недели) топические комбинированные</w:t>
      </w:r>
      <w:r w:rsidR="00F646D7">
        <w:rPr>
          <w:bCs/>
          <w:lang w:eastAsia="en-US"/>
        </w:rPr>
        <w:t xml:space="preserve"> </w:t>
      </w:r>
      <w:r w:rsidRPr="00C258CC">
        <w:rPr>
          <w:bCs/>
          <w:lang w:eastAsia="en-US"/>
        </w:rPr>
        <w:t>препараты, содержащие глюкокортикостероидные средства в сочетании с</w:t>
      </w:r>
      <w:r w:rsidR="00F646D7">
        <w:rPr>
          <w:bCs/>
          <w:lang w:eastAsia="en-US"/>
        </w:rPr>
        <w:t xml:space="preserve"> </w:t>
      </w:r>
      <w:r w:rsidRPr="00C258CC">
        <w:rPr>
          <w:bCs/>
          <w:lang w:eastAsia="en-US"/>
        </w:rPr>
        <w:t>антибактериальными, антисептическими, противогрибковыми препаратами</w:t>
      </w:r>
      <w:r w:rsidR="00F646D7">
        <w:rPr>
          <w:bCs/>
          <w:lang w:eastAsia="en-US"/>
        </w:rPr>
        <w:t xml:space="preserve">. </w:t>
      </w:r>
      <w:r w:rsidR="00F646D7" w:rsidRPr="00C258CC">
        <w:rPr>
          <w:bCs/>
          <w:lang w:eastAsia="en-US"/>
        </w:rPr>
        <w:t>П</w:t>
      </w:r>
      <w:r w:rsidRPr="00C258CC">
        <w:rPr>
          <w:bCs/>
          <w:lang w:eastAsia="en-US"/>
        </w:rPr>
        <w:t>ациентам</w:t>
      </w:r>
      <w:r w:rsidR="00F646D7">
        <w:rPr>
          <w:bCs/>
          <w:lang w:eastAsia="en-US"/>
        </w:rPr>
        <w:t xml:space="preserve"> </w:t>
      </w:r>
      <w:r w:rsidRPr="00C258CC">
        <w:rPr>
          <w:bCs/>
          <w:lang w:eastAsia="en-US"/>
        </w:rPr>
        <w:t>с зудом для уменьшения интенсивности зуда</w:t>
      </w:r>
      <w:r w:rsidR="00F646D7" w:rsidRPr="00F646D7">
        <w:rPr>
          <w:bCs/>
          <w:lang w:eastAsia="en-US"/>
        </w:rPr>
        <w:t xml:space="preserve"> </w:t>
      </w:r>
      <w:r w:rsidR="00F646D7">
        <w:rPr>
          <w:bCs/>
          <w:lang w:eastAsia="en-US"/>
        </w:rPr>
        <w:t>р</w:t>
      </w:r>
      <w:r w:rsidR="00F646D7" w:rsidRPr="00C258CC">
        <w:rPr>
          <w:bCs/>
          <w:lang w:eastAsia="en-US"/>
        </w:rPr>
        <w:t>екомендуется</w:t>
      </w:r>
      <w:r w:rsidR="00F646D7">
        <w:rPr>
          <w:bCs/>
          <w:lang w:eastAsia="en-US"/>
        </w:rPr>
        <w:t xml:space="preserve"> </w:t>
      </w:r>
      <w:r w:rsidRPr="00C258CC">
        <w:rPr>
          <w:bCs/>
          <w:lang w:eastAsia="en-US"/>
        </w:rPr>
        <w:t xml:space="preserve">клемастин </w:t>
      </w:r>
      <w:r w:rsidR="00F646D7">
        <w:rPr>
          <w:bCs/>
          <w:lang w:eastAsia="en-US"/>
        </w:rPr>
        <w:fldChar w:fldCharType="begin"/>
      </w:r>
      <w:r w:rsidR="00373726">
        <w:rPr>
          <w:bCs/>
          <w:lang w:eastAsia="en-US"/>
        </w:rPr>
        <w:instrText xml:space="preserve"> ADDIN ZOTERO_ITEM CSL_CITATION {"citationID":"O7mufjcv","properties":{"formattedCitation":"[9]","plainCitation":"[9]","noteIndex":0},"citationItems":[{"id":3511,"uris":["http://zotero.org/groups/4514912/items/97KG76DG"],"uri":["http://zotero.org/groups/4514912/items/97KG76DG"],"itemData":{"id":3511,"type":"article","title":"Министерство здравоохранения Российской Федерации. Клинические рекомендации. Атопический дерматит. 2020"}}],"schema":"https://github.com/citation-style-language/schema/raw/master/csl-citation.json"} </w:instrText>
      </w:r>
      <w:r w:rsidR="00F646D7">
        <w:rPr>
          <w:bCs/>
          <w:lang w:eastAsia="en-US"/>
        </w:rPr>
        <w:fldChar w:fldCharType="separate"/>
      </w:r>
      <w:r w:rsidR="00F646D7" w:rsidRPr="00F646D7">
        <w:t>[9]</w:t>
      </w:r>
      <w:r w:rsidR="00F646D7">
        <w:rPr>
          <w:bCs/>
          <w:lang w:eastAsia="en-US"/>
        </w:rPr>
        <w:fldChar w:fldCharType="end"/>
      </w:r>
      <w:r w:rsidR="00F646D7">
        <w:rPr>
          <w:bCs/>
          <w:lang w:eastAsia="en-US"/>
        </w:rPr>
        <w:t xml:space="preserve">. Таким образом, в </w:t>
      </w:r>
      <w:r w:rsidR="000810CB">
        <w:rPr>
          <w:bCs/>
          <w:lang w:eastAsia="en-US"/>
        </w:rPr>
        <w:t xml:space="preserve">утвержденных в России </w:t>
      </w:r>
      <w:r w:rsidR="00F646D7">
        <w:rPr>
          <w:bCs/>
          <w:lang w:eastAsia="en-US"/>
        </w:rPr>
        <w:t>клинических рекомендациях по лечению атопического дерматита отсутствуют</w:t>
      </w:r>
      <w:r w:rsidR="000810CB">
        <w:rPr>
          <w:bCs/>
          <w:lang w:eastAsia="en-US"/>
        </w:rPr>
        <w:t xml:space="preserve"> рекомендации по использованию барицитиниба</w:t>
      </w:r>
      <w:r w:rsidR="00F646D7">
        <w:rPr>
          <w:bCs/>
          <w:lang w:eastAsia="en-US"/>
        </w:rPr>
        <w:t xml:space="preserve">, в </w:t>
      </w:r>
      <w:r w:rsidR="00F52699">
        <w:rPr>
          <w:bCs/>
          <w:lang w:eastAsia="en-US"/>
        </w:rPr>
        <w:t>то же</w:t>
      </w:r>
      <w:r w:rsidR="000810CB">
        <w:rPr>
          <w:bCs/>
          <w:lang w:eastAsia="en-US"/>
        </w:rPr>
        <w:t xml:space="preserve"> время в общей характеристике</w:t>
      </w:r>
      <w:r w:rsidR="00F646D7">
        <w:rPr>
          <w:bCs/>
          <w:lang w:eastAsia="en-US"/>
        </w:rPr>
        <w:t xml:space="preserve"> оригинального лекарственного препарата указана возможность использования барицитиниба для лечения АД у взрослых, включая пациентов старше 75 лет, для лечения хронической и рецидивирующей формы АД. Барицитиниб может применяться как в качестве монотерапии, так и в комбинации с глюкокортикостероидами </w:t>
      </w:r>
      <w:r w:rsidR="00915FF7">
        <w:rPr>
          <w:bCs/>
          <w:lang w:eastAsia="en-US"/>
        </w:rPr>
        <w:t xml:space="preserve">для местного применения </w:t>
      </w:r>
      <w:r w:rsidR="00915FF7">
        <w:rPr>
          <w:bCs/>
          <w:lang w:eastAsia="en-US"/>
        </w:rPr>
        <w:fldChar w:fldCharType="begin"/>
      </w:r>
      <w:r w:rsidR="00915FF7">
        <w:rPr>
          <w:bCs/>
          <w:lang w:eastAsia="en-US"/>
        </w:rPr>
        <w:instrText xml:space="preserve"> ADDIN ZOTERO_ITEM CSL_CITATION {"citationID":"MbxnrfyH","properties":{"formattedCitation":"[37]","plainCitation":"[37]","noteIndex":0},"citationItems":[{"id":3462,"uris":["http://zotero.org/groups/4514912/items/H2A4BXNT"],"uri":["http://zotero.org/groups/4514912/items/H2A4BXNT"],"itemData":{"id":3462,"type":"article","title":"Summary of product characteristics. Olumiant."}}],"schema":"https://github.com/citation-style-language/schema/raw/master/csl-citation.json"} </w:instrText>
      </w:r>
      <w:r w:rsidR="00915FF7">
        <w:rPr>
          <w:bCs/>
          <w:lang w:eastAsia="en-US"/>
        </w:rPr>
        <w:fldChar w:fldCharType="separate"/>
      </w:r>
      <w:r w:rsidR="00915FF7" w:rsidRPr="00915FF7">
        <w:t>[37]</w:t>
      </w:r>
      <w:r w:rsidR="00915FF7">
        <w:rPr>
          <w:bCs/>
          <w:lang w:eastAsia="en-US"/>
        </w:rPr>
        <w:fldChar w:fldCharType="end"/>
      </w:r>
      <w:r w:rsidR="00915FF7">
        <w:rPr>
          <w:bCs/>
          <w:lang w:eastAsia="en-US"/>
        </w:rPr>
        <w:t xml:space="preserve">. </w:t>
      </w:r>
    </w:p>
    <w:p w14:paraId="0FA7CC99" w14:textId="72A136DF" w:rsidR="00E61AC9" w:rsidRDefault="00915FF7" w:rsidP="00F52699">
      <w:pPr>
        <w:autoSpaceDE w:val="0"/>
        <w:autoSpaceDN w:val="0"/>
        <w:adjustRightInd w:val="0"/>
        <w:spacing w:after="0" w:line="240" w:lineRule="auto"/>
        <w:ind w:firstLine="708"/>
        <w:rPr>
          <w:bCs/>
          <w:lang w:eastAsia="en-US"/>
        </w:rPr>
      </w:pPr>
      <w:r>
        <w:rPr>
          <w:bCs/>
          <w:lang w:eastAsia="en-US"/>
        </w:rPr>
        <w:t>Для к</w:t>
      </w:r>
      <w:r w:rsidRPr="00915FF7">
        <w:rPr>
          <w:bCs/>
          <w:lang w:eastAsia="en-US"/>
        </w:rPr>
        <w:t>онсервативно</w:t>
      </w:r>
      <w:r>
        <w:rPr>
          <w:bCs/>
          <w:lang w:eastAsia="en-US"/>
        </w:rPr>
        <w:t>го</w:t>
      </w:r>
      <w:r w:rsidRPr="00915FF7">
        <w:rPr>
          <w:bCs/>
          <w:lang w:eastAsia="en-US"/>
        </w:rPr>
        <w:t xml:space="preserve"> лечени</w:t>
      </w:r>
      <w:r>
        <w:rPr>
          <w:bCs/>
          <w:lang w:eastAsia="en-US"/>
        </w:rPr>
        <w:t>я ОА р</w:t>
      </w:r>
      <w:r w:rsidRPr="00915FF7">
        <w:rPr>
          <w:bCs/>
          <w:lang w:eastAsia="en-US"/>
        </w:rPr>
        <w:t>екомендовано назначение системной терапии</w:t>
      </w:r>
      <w:r>
        <w:rPr>
          <w:bCs/>
          <w:lang w:eastAsia="en-US"/>
        </w:rPr>
        <w:t xml:space="preserve"> </w:t>
      </w:r>
      <w:r w:rsidR="000810CB">
        <w:rPr>
          <w:bCs/>
          <w:lang w:eastAsia="en-US"/>
        </w:rPr>
        <w:t>глюкокортикостероидами,</w:t>
      </w:r>
      <w:r w:rsidRPr="00915FF7">
        <w:rPr>
          <w:bCs/>
          <w:lang w:eastAsia="en-US"/>
        </w:rPr>
        <w:t xml:space="preserve"> антиметаболитами</w:t>
      </w:r>
      <w:r w:rsidR="000810CB">
        <w:rPr>
          <w:bCs/>
          <w:lang w:eastAsia="en-US"/>
        </w:rPr>
        <w:t>,</w:t>
      </w:r>
      <w:r>
        <w:rPr>
          <w:bCs/>
          <w:lang w:eastAsia="en-US"/>
        </w:rPr>
        <w:t xml:space="preserve"> </w:t>
      </w:r>
      <w:r w:rsidRPr="00915FF7">
        <w:rPr>
          <w:bCs/>
          <w:lang w:eastAsia="en-US"/>
        </w:rPr>
        <w:t>селективными иммунодепрессантами</w:t>
      </w:r>
      <w:r>
        <w:rPr>
          <w:bCs/>
          <w:lang w:eastAsia="en-US"/>
        </w:rPr>
        <w:t xml:space="preserve"> (</w:t>
      </w:r>
      <w:r w:rsidRPr="00915FF7">
        <w:rPr>
          <w:bCs/>
          <w:lang w:eastAsia="en-US"/>
        </w:rPr>
        <w:t>циклоспорин</w:t>
      </w:r>
      <w:r>
        <w:rPr>
          <w:bCs/>
          <w:lang w:eastAsia="en-US"/>
        </w:rPr>
        <w:t xml:space="preserve">). </w:t>
      </w:r>
      <w:r w:rsidRPr="00915FF7">
        <w:rPr>
          <w:bCs/>
          <w:lang w:eastAsia="en-US"/>
        </w:rPr>
        <w:t>При тяжелых формах гнездной алопеции</w:t>
      </w:r>
      <w:r>
        <w:rPr>
          <w:bCs/>
          <w:lang w:eastAsia="en-US"/>
        </w:rPr>
        <w:t xml:space="preserve"> рекомендована системная </w:t>
      </w:r>
      <w:r>
        <w:rPr>
          <w:bCs/>
          <w:lang w:eastAsia="en-US"/>
        </w:rPr>
        <w:lastRenderedPageBreak/>
        <w:t xml:space="preserve">терапия </w:t>
      </w:r>
      <w:r w:rsidRPr="00915FF7">
        <w:rPr>
          <w:bCs/>
          <w:lang w:eastAsia="en-US"/>
        </w:rPr>
        <w:t xml:space="preserve">селективными ингибиторами </w:t>
      </w:r>
      <w:r>
        <w:rPr>
          <w:bCs/>
          <w:lang w:val="en-US" w:eastAsia="en-US"/>
        </w:rPr>
        <w:t>JAK</w:t>
      </w:r>
      <w:r w:rsidRPr="00915FF7">
        <w:rPr>
          <w:bCs/>
          <w:lang w:eastAsia="en-US"/>
        </w:rPr>
        <w:t xml:space="preserve"> (тофацитиниб)</w:t>
      </w:r>
      <w:r>
        <w:rPr>
          <w:bCs/>
          <w:lang w:eastAsia="en-US"/>
        </w:rPr>
        <w:t>. В</w:t>
      </w:r>
      <w:r w:rsidRPr="00915FF7">
        <w:rPr>
          <w:bCs/>
          <w:lang w:eastAsia="en-US"/>
        </w:rPr>
        <w:t xml:space="preserve"> стационарную и регрессирующую стадии </w:t>
      </w:r>
      <w:r>
        <w:rPr>
          <w:bCs/>
          <w:lang w:eastAsia="en-US"/>
        </w:rPr>
        <w:t>р</w:t>
      </w:r>
      <w:r w:rsidRPr="00915FF7">
        <w:rPr>
          <w:bCs/>
          <w:lang w:eastAsia="en-US"/>
        </w:rPr>
        <w:t>екомендовано назначение системных и наружных сосудорасширяющих средств, в том числе миноксидил</w:t>
      </w:r>
      <w:r w:rsidR="00F52699">
        <w:rPr>
          <w:bCs/>
          <w:lang w:eastAsia="en-US"/>
        </w:rPr>
        <w:t xml:space="preserve">а. </w:t>
      </w:r>
      <w:r w:rsidRPr="00915FF7">
        <w:rPr>
          <w:bCs/>
          <w:lang w:eastAsia="en-US"/>
        </w:rPr>
        <w:t xml:space="preserve">При локальной </w:t>
      </w:r>
      <w:r w:rsidR="00F52699">
        <w:rPr>
          <w:bCs/>
          <w:lang w:eastAsia="en-US"/>
        </w:rPr>
        <w:t>ОА р</w:t>
      </w:r>
      <w:r w:rsidRPr="00915FF7">
        <w:rPr>
          <w:bCs/>
          <w:lang w:eastAsia="en-US"/>
        </w:rPr>
        <w:t>екомендовано применение клобетазола пропионата</w:t>
      </w:r>
      <w:r w:rsidR="00F52699">
        <w:rPr>
          <w:bCs/>
          <w:lang w:eastAsia="en-US"/>
        </w:rPr>
        <w:t xml:space="preserve">. </w:t>
      </w:r>
      <w:r w:rsidRPr="00915FF7">
        <w:rPr>
          <w:bCs/>
          <w:lang w:eastAsia="en-US"/>
        </w:rPr>
        <w:t>Рекомендовано внутриочаговое введение глюкокортикостероидных препаратов</w:t>
      </w:r>
      <w:r w:rsidR="00F52699">
        <w:rPr>
          <w:bCs/>
          <w:lang w:eastAsia="en-US"/>
        </w:rPr>
        <w:t>. В</w:t>
      </w:r>
      <w:r w:rsidRPr="00915FF7">
        <w:rPr>
          <w:bCs/>
          <w:lang w:eastAsia="en-US"/>
        </w:rPr>
        <w:t xml:space="preserve"> стационарную и регрессирующую стадии </w:t>
      </w:r>
      <w:r w:rsidR="00F52699">
        <w:rPr>
          <w:bCs/>
          <w:lang w:eastAsia="en-US"/>
        </w:rPr>
        <w:t>р</w:t>
      </w:r>
      <w:r w:rsidR="00F52699" w:rsidRPr="00915FF7">
        <w:rPr>
          <w:bCs/>
          <w:lang w:eastAsia="en-US"/>
        </w:rPr>
        <w:t xml:space="preserve">екомендовано </w:t>
      </w:r>
      <w:r w:rsidRPr="00915FF7">
        <w:rPr>
          <w:bCs/>
          <w:lang w:eastAsia="en-US"/>
        </w:rPr>
        <w:t>назначение системных и наружных сосудорасширяющих средств</w:t>
      </w:r>
      <w:r w:rsidR="00F52699">
        <w:rPr>
          <w:bCs/>
          <w:lang w:eastAsia="en-US"/>
        </w:rPr>
        <w:t xml:space="preserve">, и </w:t>
      </w:r>
      <w:r w:rsidRPr="00915FF7">
        <w:rPr>
          <w:bCs/>
          <w:lang w:eastAsia="en-US"/>
        </w:rPr>
        <w:t>топических ингибиторов кальциневрина</w:t>
      </w:r>
      <w:r w:rsidR="00F52699">
        <w:rPr>
          <w:bCs/>
          <w:lang w:eastAsia="en-US"/>
        </w:rPr>
        <w:t xml:space="preserve"> </w:t>
      </w:r>
      <w:r w:rsidR="00F52699">
        <w:rPr>
          <w:bCs/>
          <w:lang w:eastAsia="en-US"/>
        </w:rPr>
        <w:fldChar w:fldCharType="begin"/>
      </w:r>
      <w:r w:rsidR="00373726">
        <w:rPr>
          <w:bCs/>
          <w:lang w:eastAsia="en-US"/>
        </w:rPr>
        <w:instrText xml:space="preserve"> ADDIN ZOTERO_ITEM CSL_CITATION {"citationID":"zq8uibDu","properties":{"formattedCitation":"[18]","plainCitation":"[18]","noteIndex":0},"citationItems":[{"id":3519,"uris":["http://zotero.org/groups/4514912/items/J6C47G9Y"],"uri":["http://zotero.org/groups/4514912/items/J6C47G9Y"],"itemData":{"id":3519,"type":"article","title":"Министерство здравоохранения Российской Федерации. Клинические рекомендации. Гнездная алопеция. 2020."}}],"schema":"https://github.com/citation-style-language/schema/raw/master/csl-citation.json"} </w:instrText>
      </w:r>
      <w:r w:rsidR="00F52699">
        <w:rPr>
          <w:bCs/>
          <w:lang w:eastAsia="en-US"/>
        </w:rPr>
        <w:fldChar w:fldCharType="separate"/>
      </w:r>
      <w:r w:rsidR="00F52699" w:rsidRPr="00F52699">
        <w:t>[18]</w:t>
      </w:r>
      <w:r w:rsidR="00F52699">
        <w:rPr>
          <w:bCs/>
          <w:lang w:eastAsia="en-US"/>
        </w:rPr>
        <w:fldChar w:fldCharType="end"/>
      </w:r>
      <w:r w:rsidR="00F52699">
        <w:rPr>
          <w:bCs/>
          <w:lang w:eastAsia="en-US"/>
        </w:rPr>
        <w:t xml:space="preserve">. Таким образом, рекомендации по использованию барицитиниба в клинических рекомендациях по лечению очаговой алопеции отсутствуют, при этом в Общей </w:t>
      </w:r>
      <w:r w:rsidR="006870C6">
        <w:rPr>
          <w:bCs/>
          <w:lang w:eastAsia="en-US"/>
        </w:rPr>
        <w:t xml:space="preserve">характеристике </w:t>
      </w:r>
      <w:r w:rsidR="00F52699">
        <w:rPr>
          <w:bCs/>
          <w:lang w:eastAsia="en-US"/>
        </w:rPr>
        <w:t>оригинального лекарственного препарата указана возможность использования барицитиниба для лечения ОА у взрослых, включая пациентов 75 лет и старше, а также пациентов с хроническими и рецидивирующими инфекциями</w:t>
      </w:r>
      <w:r w:rsidR="00373726">
        <w:rPr>
          <w:bCs/>
          <w:lang w:eastAsia="en-US"/>
        </w:rPr>
        <w:t xml:space="preserve">. Барицитиниб необходимо принимать до достижения устойчивого контроля активности заболевания, а после достижения устойчивого ответа рекомендуется продолжать лечение в течение как минимум нескольких месяцев, чтобы избежать рецидива </w:t>
      </w:r>
      <w:r w:rsidR="00373726">
        <w:rPr>
          <w:bCs/>
          <w:lang w:eastAsia="en-US"/>
        </w:rPr>
        <w:fldChar w:fldCharType="begin"/>
      </w:r>
      <w:r w:rsidR="00373726">
        <w:rPr>
          <w:bCs/>
          <w:lang w:eastAsia="en-US"/>
        </w:rPr>
        <w:instrText xml:space="preserve"> ADDIN ZOTERO_ITEM CSL_CITATION {"citationID":"c7CP5WpQ","properties":{"formattedCitation":"[37]","plainCitation":"[37]","noteIndex":0},"citationItems":[{"id":3462,"uris":["http://zotero.org/groups/4514912/items/H2A4BXNT"],"uri":["http://zotero.org/groups/4514912/items/H2A4BXNT"],"itemData":{"id":3462,"type":"article","title":"Summary of product characteristics. Olumiant."}}],"schema":"https://github.com/citation-style-language/schema/raw/master/csl-citation.json"} </w:instrText>
      </w:r>
      <w:r w:rsidR="00373726">
        <w:rPr>
          <w:bCs/>
          <w:lang w:eastAsia="en-US"/>
        </w:rPr>
        <w:fldChar w:fldCharType="separate"/>
      </w:r>
      <w:r w:rsidR="00373726" w:rsidRPr="00915FF7">
        <w:t>[37]</w:t>
      </w:r>
      <w:r w:rsidR="00373726">
        <w:rPr>
          <w:bCs/>
          <w:lang w:eastAsia="en-US"/>
        </w:rPr>
        <w:fldChar w:fldCharType="end"/>
      </w:r>
      <w:r w:rsidR="00373726">
        <w:rPr>
          <w:bCs/>
          <w:lang w:eastAsia="en-US"/>
        </w:rPr>
        <w:t xml:space="preserve">. </w:t>
      </w:r>
    </w:p>
    <w:p w14:paraId="0520158B" w14:textId="33B64203" w:rsidR="00E61AC9" w:rsidRDefault="00373726" w:rsidP="00373726">
      <w:pPr>
        <w:autoSpaceDE w:val="0"/>
        <w:autoSpaceDN w:val="0"/>
        <w:adjustRightInd w:val="0"/>
        <w:spacing w:after="0" w:line="240" w:lineRule="auto"/>
        <w:ind w:firstLine="708"/>
        <w:rPr>
          <w:bCs/>
          <w:lang w:eastAsia="en-US"/>
        </w:rPr>
      </w:pPr>
      <w:r>
        <w:rPr>
          <w:bCs/>
          <w:lang w:eastAsia="en-US"/>
        </w:rPr>
        <w:t xml:space="preserve">Во временных методических рекомендациях по профилактике, диагностике и лечению </w:t>
      </w:r>
      <w:r>
        <w:rPr>
          <w:bCs/>
          <w:lang w:val="en-US" w:eastAsia="en-US"/>
        </w:rPr>
        <w:t>COVID</w:t>
      </w:r>
      <w:r w:rsidRPr="00373726">
        <w:rPr>
          <w:bCs/>
          <w:lang w:eastAsia="en-US"/>
        </w:rPr>
        <w:t>-19</w:t>
      </w:r>
      <w:r>
        <w:rPr>
          <w:bCs/>
          <w:lang w:eastAsia="en-US"/>
        </w:rPr>
        <w:t xml:space="preserve"> рекомендуется д</w:t>
      </w:r>
      <w:r w:rsidRPr="00373726">
        <w:rPr>
          <w:bCs/>
          <w:lang w:eastAsia="en-US"/>
        </w:rPr>
        <w:t>ля терапии в амбулаторных условиях пациентам с легким течением COVID-19</w:t>
      </w:r>
      <w:r>
        <w:rPr>
          <w:bCs/>
          <w:lang w:eastAsia="en-US"/>
        </w:rPr>
        <w:t xml:space="preserve"> </w:t>
      </w:r>
      <w:r w:rsidRPr="00373726">
        <w:rPr>
          <w:bCs/>
          <w:lang w:eastAsia="en-US"/>
        </w:rPr>
        <w:t>в качестве дополнительной терапии будесонида</w:t>
      </w:r>
      <w:r>
        <w:rPr>
          <w:bCs/>
          <w:lang w:eastAsia="en-US"/>
        </w:rPr>
        <w:t xml:space="preserve"> </w:t>
      </w:r>
      <w:r w:rsidRPr="00373726">
        <w:rPr>
          <w:bCs/>
          <w:lang w:eastAsia="en-US"/>
        </w:rPr>
        <w:t>(ингаляцио</w:t>
      </w:r>
      <w:r>
        <w:rPr>
          <w:bCs/>
          <w:lang w:eastAsia="en-US"/>
        </w:rPr>
        <w:t>н</w:t>
      </w:r>
      <w:r w:rsidRPr="00373726">
        <w:rPr>
          <w:bCs/>
          <w:lang w:eastAsia="en-US"/>
        </w:rPr>
        <w:t>но</w:t>
      </w:r>
      <w:r>
        <w:rPr>
          <w:bCs/>
          <w:lang w:eastAsia="en-US"/>
        </w:rPr>
        <w:t>)</w:t>
      </w:r>
      <w:r w:rsidRPr="00373726">
        <w:rPr>
          <w:bCs/>
          <w:lang w:eastAsia="en-US"/>
        </w:rPr>
        <w:t>.</w:t>
      </w:r>
      <w:r>
        <w:rPr>
          <w:bCs/>
          <w:lang w:eastAsia="en-US"/>
        </w:rPr>
        <w:t xml:space="preserve"> </w:t>
      </w:r>
      <w:r w:rsidRPr="00373726">
        <w:rPr>
          <w:bCs/>
          <w:lang w:eastAsia="en-US"/>
        </w:rPr>
        <w:t>На амбулаторном этапе при среднетяжелом течении заболевания возможно</w:t>
      </w:r>
      <w:r>
        <w:rPr>
          <w:bCs/>
          <w:lang w:eastAsia="en-US"/>
        </w:rPr>
        <w:t xml:space="preserve"> </w:t>
      </w:r>
      <w:r w:rsidRPr="00373726">
        <w:rPr>
          <w:bCs/>
          <w:lang w:eastAsia="en-US"/>
        </w:rPr>
        <w:t xml:space="preserve">назначение ингибиторов </w:t>
      </w:r>
      <w:r>
        <w:rPr>
          <w:bCs/>
          <w:lang w:val="en-US" w:eastAsia="en-US"/>
        </w:rPr>
        <w:t>JAK</w:t>
      </w:r>
      <w:r w:rsidRPr="00373726">
        <w:rPr>
          <w:bCs/>
          <w:lang w:eastAsia="en-US"/>
        </w:rPr>
        <w:t>-киназ (барицитиниба или тофацитиниба</w:t>
      </w:r>
      <w:r>
        <w:rPr>
          <w:bCs/>
          <w:lang w:eastAsia="en-US"/>
        </w:rPr>
        <w:t xml:space="preserve"> </w:t>
      </w:r>
      <w:r w:rsidRPr="00373726">
        <w:rPr>
          <w:bCs/>
          <w:lang w:eastAsia="en-US"/>
        </w:rPr>
        <w:t>или упадацитиниба). В течение первых 7 дней болезни и/или при положительном</w:t>
      </w:r>
      <w:r>
        <w:rPr>
          <w:bCs/>
          <w:lang w:eastAsia="en-US"/>
        </w:rPr>
        <w:t xml:space="preserve"> </w:t>
      </w:r>
      <w:r w:rsidRPr="00373726">
        <w:rPr>
          <w:bCs/>
          <w:lang w:eastAsia="en-US"/>
        </w:rPr>
        <w:t>результате лабораторного исследования на РНК SARS-CoV-2 и/или антигены</w:t>
      </w:r>
      <w:r>
        <w:rPr>
          <w:bCs/>
          <w:lang w:eastAsia="en-US"/>
        </w:rPr>
        <w:t xml:space="preserve"> </w:t>
      </w:r>
      <w:r w:rsidRPr="00373726">
        <w:rPr>
          <w:bCs/>
          <w:lang w:eastAsia="en-US"/>
        </w:rPr>
        <w:t xml:space="preserve">SARS-CoV-2 терапия ингибиторами </w:t>
      </w:r>
      <w:r>
        <w:rPr>
          <w:bCs/>
          <w:lang w:val="en-US" w:eastAsia="en-US"/>
        </w:rPr>
        <w:t>JAK</w:t>
      </w:r>
      <w:r w:rsidRPr="00373726">
        <w:rPr>
          <w:bCs/>
          <w:lang w:eastAsia="en-US"/>
        </w:rPr>
        <w:t xml:space="preserve"> проводится в сочетании</w:t>
      </w:r>
      <w:r>
        <w:rPr>
          <w:bCs/>
          <w:lang w:eastAsia="en-US"/>
        </w:rPr>
        <w:t xml:space="preserve"> </w:t>
      </w:r>
      <w:r w:rsidRPr="00373726">
        <w:rPr>
          <w:bCs/>
          <w:lang w:eastAsia="en-US"/>
        </w:rPr>
        <w:t>с этиотропными препаратами (фавипиравиром и интерфероном-альфа), а также</w:t>
      </w:r>
      <w:r>
        <w:rPr>
          <w:bCs/>
          <w:lang w:eastAsia="en-US"/>
        </w:rPr>
        <w:t xml:space="preserve"> </w:t>
      </w:r>
      <w:r w:rsidRPr="00373726">
        <w:rPr>
          <w:bCs/>
          <w:lang w:eastAsia="en-US"/>
        </w:rPr>
        <w:t>с пероральным приемом антикоагулянтов</w:t>
      </w:r>
      <w:r>
        <w:rPr>
          <w:bCs/>
          <w:lang w:eastAsia="en-US"/>
        </w:rPr>
        <w:t xml:space="preserve"> </w:t>
      </w:r>
      <w:r>
        <w:rPr>
          <w:bCs/>
          <w:lang w:eastAsia="en-US"/>
        </w:rPr>
        <w:fldChar w:fldCharType="begin"/>
      </w:r>
      <w:r>
        <w:rPr>
          <w:bCs/>
          <w:lang w:eastAsia="en-US"/>
        </w:rPr>
        <w:instrText xml:space="preserve"> ADDIN ZOTERO_ITEM CSL_CITATION {"citationID":"2a4sg0Du","properties":{"formattedCitation":"[22]","plainCitation":"[22]","noteIndex":0},"citationItems":[{"id":3603,"uris":["http://zotero.org/groups/4514912/items/CI6I7PMM"],"uri":["http://zotero.org/groups/4514912/items/CI6I7PMM"],"itemData":{"id":3603,"type":"article","title":"Министерство здравоохранения Российской Федерации. Временные клинические рекомендации. Профилактика, диагностика и лечение новой коронавирусной инфекции (COVID-19). 2022"}}],"schema":"https://github.com/citation-style-language/schema/raw/master/csl-citation.json"} </w:instrText>
      </w:r>
      <w:r>
        <w:rPr>
          <w:bCs/>
          <w:lang w:eastAsia="en-US"/>
        </w:rPr>
        <w:fldChar w:fldCharType="separate"/>
      </w:r>
      <w:r w:rsidRPr="00373726">
        <w:t>[22]</w:t>
      </w:r>
      <w:r>
        <w:rPr>
          <w:bCs/>
          <w:lang w:eastAsia="en-US"/>
        </w:rPr>
        <w:fldChar w:fldCharType="end"/>
      </w:r>
      <w:r>
        <w:rPr>
          <w:bCs/>
          <w:lang w:eastAsia="en-US"/>
        </w:rPr>
        <w:t>.</w:t>
      </w:r>
    </w:p>
    <w:p w14:paraId="35A8A08A" w14:textId="2FD7D938" w:rsidR="00BD733F" w:rsidRPr="00A129EA" w:rsidRDefault="00BD733F" w:rsidP="00A129EA">
      <w:pPr>
        <w:autoSpaceDE w:val="0"/>
        <w:autoSpaceDN w:val="0"/>
        <w:adjustRightInd w:val="0"/>
        <w:spacing w:after="0" w:line="240" w:lineRule="auto"/>
        <w:ind w:firstLine="708"/>
        <w:rPr>
          <w:bCs/>
          <w:lang w:eastAsia="en-US"/>
        </w:rPr>
      </w:pPr>
      <w:r w:rsidRPr="00A129EA">
        <w:rPr>
          <w:bCs/>
          <w:lang w:eastAsia="en-US"/>
        </w:rPr>
        <w:t>Благодаря высокой эффективности и безопасности,</w:t>
      </w:r>
      <w:r w:rsidR="00D45868" w:rsidRPr="00A129EA">
        <w:rPr>
          <w:bCs/>
          <w:lang w:eastAsia="en-US"/>
        </w:rPr>
        <w:t xml:space="preserve"> </w:t>
      </w:r>
      <w:r w:rsidRPr="00A129EA">
        <w:rPr>
          <w:bCs/>
          <w:lang w:eastAsia="en-US"/>
        </w:rPr>
        <w:t xml:space="preserve">отсутствию негативного воздействия на риск развития сердечно-сосудистых заболеваний и ограничений по применению при патологии </w:t>
      </w:r>
      <w:r w:rsidR="00A129EA" w:rsidRPr="00A129EA">
        <w:rPr>
          <w:bCs/>
          <w:lang w:eastAsia="en-US"/>
        </w:rPr>
        <w:t>печени</w:t>
      </w:r>
      <w:r w:rsidR="000810CB">
        <w:rPr>
          <w:bCs/>
          <w:lang w:eastAsia="en-US"/>
        </w:rPr>
        <w:t>, барицитиниб</w:t>
      </w:r>
      <w:r w:rsidR="00A129EA" w:rsidRPr="00A129EA">
        <w:rPr>
          <w:bCs/>
          <w:lang w:eastAsia="en-US"/>
        </w:rPr>
        <w:t xml:space="preserve"> заслуженно</w:t>
      </w:r>
      <w:r w:rsidRPr="00A129EA">
        <w:rPr>
          <w:bCs/>
          <w:lang w:eastAsia="en-US"/>
        </w:rPr>
        <w:t xml:space="preserve"> занимает важную позицию среди препаратов, используемых в лечении </w:t>
      </w:r>
      <w:r w:rsidR="00A129EA">
        <w:rPr>
          <w:bCs/>
          <w:lang w:eastAsia="en-US"/>
        </w:rPr>
        <w:t xml:space="preserve">РА, ОА, АД и </w:t>
      </w:r>
      <w:r w:rsidR="00A129EA">
        <w:rPr>
          <w:lang w:val="en-US" w:eastAsia="ru-RU"/>
        </w:rPr>
        <w:t>COVID</w:t>
      </w:r>
      <w:r w:rsidR="00A129EA">
        <w:rPr>
          <w:lang w:eastAsia="ru-RU"/>
        </w:rPr>
        <w:t>-19</w:t>
      </w:r>
      <w:r w:rsidRPr="00A129EA">
        <w:rPr>
          <w:bCs/>
          <w:lang w:eastAsia="en-US"/>
        </w:rPr>
        <w:t>.</w:t>
      </w:r>
    </w:p>
    <w:p w14:paraId="54F397CD" w14:textId="0125F4D6" w:rsidR="00FD0B41" w:rsidRPr="00A129EA" w:rsidRDefault="00FC747D" w:rsidP="00FD0B41">
      <w:pPr>
        <w:spacing w:after="0" w:line="240" w:lineRule="auto"/>
        <w:ind w:firstLine="709"/>
      </w:pPr>
      <w:r>
        <w:rPr>
          <w:lang w:val="en-US"/>
        </w:rPr>
        <w:t>DT</w:t>
      </w:r>
      <w:r w:rsidRPr="00981A5D">
        <w:t>-</w:t>
      </w:r>
      <w:r>
        <w:rPr>
          <w:lang w:val="en-US"/>
        </w:rPr>
        <w:t>BRC</w:t>
      </w:r>
      <w:r>
        <w:t>,</w:t>
      </w:r>
      <w:r w:rsidRPr="006870C6">
        <w:rPr>
          <w:color w:val="000000"/>
        </w:rPr>
        <w:t xml:space="preserve"> </w:t>
      </w:r>
      <w:r w:rsidRPr="007D730B">
        <w:rPr>
          <w:color w:val="000000"/>
        </w:rPr>
        <w:t>таблетки, покрытые пленочной оболочкой</w:t>
      </w:r>
      <w:r>
        <w:rPr>
          <w:color w:val="000000"/>
        </w:rPr>
        <w:t xml:space="preserve">, </w:t>
      </w:r>
      <w:r w:rsidR="00DB2714">
        <w:rPr>
          <w:color w:val="000000"/>
        </w:rPr>
        <w:t>–</w:t>
      </w:r>
      <w:r>
        <w:rPr>
          <w:color w:val="000000"/>
        </w:rPr>
        <w:t xml:space="preserve"> </w:t>
      </w:r>
      <w:r w:rsidRPr="007F36C3">
        <w:rPr>
          <w:bCs/>
          <w:lang w:eastAsia="ru-RU"/>
        </w:rPr>
        <w:t xml:space="preserve">воспроизведенный препарат </w:t>
      </w:r>
      <w:r>
        <w:rPr>
          <w:bCs/>
          <w:lang w:eastAsia="ru-RU"/>
        </w:rPr>
        <w:t>барицитиниба</w:t>
      </w:r>
      <w:r w:rsidRPr="007F36C3">
        <w:rPr>
          <w:bCs/>
          <w:lang w:eastAsia="ru-RU"/>
        </w:rPr>
        <w:t>, разработанный дочерним подразделением ГК «Р-Фарм», Россия – ООО «Технология лекарств», по заказу АО «Р-Фарм».</w:t>
      </w:r>
      <w:r w:rsidRPr="00A129EA">
        <w:rPr>
          <w:bCs/>
          <w:lang w:eastAsia="ru-RU"/>
        </w:rPr>
        <w:t xml:space="preserve"> </w:t>
      </w:r>
      <w:r w:rsidRPr="007D730B">
        <w:rPr>
          <w:color w:val="000000"/>
        </w:rPr>
        <w:t xml:space="preserve">Он полностью соответствует по </w:t>
      </w:r>
      <w:r w:rsidRPr="007D730B">
        <w:rPr>
          <w:lang w:eastAsia="ru-RU"/>
        </w:rPr>
        <w:t xml:space="preserve">качественному и количественному составу действующего и вспомогательных веществ, лекарственной форме </w:t>
      </w:r>
      <w:r w:rsidRPr="007D730B">
        <w:rPr>
          <w:color w:val="000000"/>
        </w:rPr>
        <w:t xml:space="preserve">(таблетки, покрытые пленочной оболочкой) </w:t>
      </w:r>
      <w:r w:rsidRPr="007D730B">
        <w:rPr>
          <w:lang w:eastAsia="ru-RU"/>
        </w:rPr>
        <w:t xml:space="preserve">и </w:t>
      </w:r>
      <w:r>
        <w:rPr>
          <w:lang w:eastAsia="ru-RU"/>
        </w:rPr>
        <w:t>дозировке</w:t>
      </w:r>
      <w:r w:rsidRPr="007D730B">
        <w:rPr>
          <w:lang w:eastAsia="ru-RU"/>
        </w:rPr>
        <w:t xml:space="preserve"> </w:t>
      </w:r>
      <w:r w:rsidRPr="007D730B">
        <w:rPr>
          <w:color w:val="000000"/>
        </w:rPr>
        <w:t>(4 мг)</w:t>
      </w:r>
      <w:r w:rsidRPr="00A129EA">
        <w:rPr>
          <w:color w:val="000000"/>
        </w:rPr>
        <w:t xml:space="preserve"> референтному препарату </w:t>
      </w:r>
      <w:r>
        <w:rPr>
          <w:lang w:eastAsia="ru-RU"/>
        </w:rPr>
        <w:t>Олумиант</w:t>
      </w:r>
      <w:r w:rsidRPr="00A129EA">
        <w:rPr>
          <w:vertAlign w:val="superscript"/>
          <w:lang w:eastAsia="ru-RU"/>
        </w:rPr>
        <w:t>®</w:t>
      </w:r>
      <w:r w:rsidRPr="00A129EA">
        <w:rPr>
          <w:rFonts w:eastAsia="Calibri"/>
        </w:rPr>
        <w:t xml:space="preserve"> </w:t>
      </w:r>
      <w:r w:rsidRPr="00A129EA">
        <w:rPr>
          <w:color w:val="000000"/>
        </w:rPr>
        <w:t>(</w:t>
      </w:r>
      <w:r>
        <w:rPr>
          <w:color w:val="000000"/>
        </w:rPr>
        <w:t xml:space="preserve">производитель </w:t>
      </w:r>
      <w:r>
        <w:rPr>
          <w:rFonts w:eastAsia="Calibri"/>
          <w:bCs/>
        </w:rPr>
        <w:t>Лилли дель Карибе, Инк., Пуэрто-Рико</w:t>
      </w:r>
      <w:r w:rsidRPr="005F2B08">
        <w:rPr>
          <w:rFonts w:eastAsia="Calibri"/>
          <w:bCs/>
        </w:rPr>
        <w:t xml:space="preserve">; </w:t>
      </w:r>
      <w:r>
        <w:rPr>
          <w:rFonts w:eastAsia="Calibri"/>
          <w:bCs/>
        </w:rPr>
        <w:t>держатель</w:t>
      </w:r>
      <w:r w:rsidRPr="005F2B08">
        <w:rPr>
          <w:rFonts w:eastAsia="Calibri"/>
          <w:bCs/>
        </w:rPr>
        <w:t xml:space="preserve"> РУ: </w:t>
      </w:r>
      <w:r>
        <w:rPr>
          <w:rFonts w:eastAsia="Calibri"/>
          <w:bCs/>
        </w:rPr>
        <w:t>Эли Лилли Восток С.А., Швейцария</w:t>
      </w:r>
      <w:r w:rsidRPr="00A129EA">
        <w:rPr>
          <w:color w:val="000000"/>
        </w:rPr>
        <w:t>)</w:t>
      </w:r>
      <w:r>
        <w:rPr>
          <w:color w:val="000000"/>
        </w:rPr>
        <w:t>, имея отличия в количественном и качественном составе оболочки таблетки</w:t>
      </w:r>
      <w:r w:rsidRPr="00A129EA">
        <w:rPr>
          <w:color w:val="000000"/>
        </w:rPr>
        <w:t>.</w:t>
      </w:r>
      <w:r w:rsidRPr="00A129EA">
        <w:t xml:space="preserve"> </w:t>
      </w:r>
      <w:r w:rsidRPr="007F36C3">
        <w:rPr>
          <w:color w:val="000000" w:themeColor="text1"/>
        </w:rPr>
        <w:t xml:space="preserve">Для доказательства эквивалентности препарата </w:t>
      </w:r>
      <w:r>
        <w:rPr>
          <w:bCs/>
          <w:lang w:val="en-US" w:eastAsia="ru-RU"/>
        </w:rPr>
        <w:t>D</w:t>
      </w:r>
      <w:r>
        <w:rPr>
          <w:lang w:val="en-US"/>
        </w:rPr>
        <w:t>T</w:t>
      </w:r>
      <w:r w:rsidRPr="00CA74B9">
        <w:t>-</w:t>
      </w:r>
      <w:r>
        <w:rPr>
          <w:lang w:val="en-US"/>
        </w:rPr>
        <w:t>BRC</w:t>
      </w:r>
      <w:r w:rsidRPr="007F36C3">
        <w:rPr>
          <w:color w:val="000000" w:themeColor="text1"/>
        </w:rPr>
        <w:t xml:space="preserve"> были проведены исследования сравнительной кинетики растворения в сравнении с референтным препаратом </w:t>
      </w:r>
      <w:r>
        <w:rPr>
          <w:lang w:eastAsia="ru-RU"/>
        </w:rPr>
        <w:t>Олумиант</w:t>
      </w:r>
      <w:r w:rsidRPr="00D67EF0">
        <w:rPr>
          <w:vertAlign w:val="superscript"/>
          <w:lang w:eastAsia="ru-RU"/>
        </w:rPr>
        <w:t>®</w:t>
      </w:r>
      <w:r>
        <w:rPr>
          <w:rFonts w:eastAsia="Calibri"/>
        </w:rPr>
        <w:t xml:space="preserve"> </w:t>
      </w:r>
      <w:r w:rsidRPr="006B2500">
        <w:rPr>
          <w:color w:val="000000"/>
        </w:rPr>
        <w:t>(</w:t>
      </w:r>
      <w:r>
        <w:rPr>
          <w:rFonts w:eastAsia="Calibri"/>
          <w:bCs/>
        </w:rPr>
        <w:t>Эли Лилли Восток С.А., Швейцария</w:t>
      </w:r>
      <w:r>
        <w:rPr>
          <w:color w:val="000000"/>
        </w:rPr>
        <w:t>)</w:t>
      </w:r>
      <w:r w:rsidRPr="007F36C3">
        <w:rPr>
          <w:rFonts w:eastAsiaTheme="minorHAnsi"/>
          <w:color w:val="000000" w:themeColor="text1"/>
          <w:lang w:eastAsia="en-US"/>
        </w:rPr>
        <w:t xml:space="preserve"> в дозировке </w:t>
      </w:r>
      <w:r>
        <w:rPr>
          <w:rFonts w:eastAsiaTheme="minorHAnsi"/>
          <w:color w:val="000000" w:themeColor="text1"/>
          <w:lang w:eastAsia="en-US"/>
        </w:rPr>
        <w:t>4</w:t>
      </w:r>
      <w:r w:rsidRPr="007F36C3">
        <w:rPr>
          <w:rFonts w:eastAsiaTheme="minorHAnsi"/>
          <w:color w:val="000000" w:themeColor="text1"/>
          <w:lang w:eastAsia="en-US"/>
        </w:rPr>
        <w:t xml:space="preserve"> мг </w:t>
      </w:r>
      <w:r w:rsidRPr="007F36C3">
        <w:rPr>
          <w:color w:val="000000" w:themeColor="text1"/>
        </w:rPr>
        <w:t xml:space="preserve">(в </w:t>
      </w:r>
      <w:r>
        <w:rPr>
          <w:color w:val="000000" w:themeColor="text1"/>
        </w:rPr>
        <w:t>двух</w:t>
      </w:r>
      <w:r w:rsidRPr="007F36C3">
        <w:rPr>
          <w:color w:val="000000" w:themeColor="text1"/>
        </w:rPr>
        <w:t xml:space="preserve"> модельных средах</w:t>
      </w:r>
      <w:r w:rsidRPr="00D547D7">
        <w:rPr>
          <w:color w:val="000000" w:themeColor="text1"/>
        </w:rPr>
        <w:t xml:space="preserve">: </w:t>
      </w:r>
      <w:r>
        <w:rPr>
          <w:spacing w:val="-4"/>
        </w:rPr>
        <w:t>буферных растворах</w:t>
      </w:r>
      <w:r w:rsidRPr="007F36C3">
        <w:rPr>
          <w:color w:val="000000" w:themeColor="text1"/>
        </w:rPr>
        <w:t xml:space="preserve"> с рН </w:t>
      </w:r>
      <w:r>
        <w:rPr>
          <w:color w:val="000000" w:themeColor="text1"/>
        </w:rPr>
        <w:t>1,2 и</w:t>
      </w:r>
      <w:r w:rsidRPr="007F36C3">
        <w:rPr>
          <w:color w:val="000000" w:themeColor="text1"/>
        </w:rPr>
        <w:t xml:space="preserve"> 6,8, а также в среде по НД (</w:t>
      </w:r>
      <w:r w:rsidRPr="000D6517">
        <w:rPr>
          <w:color w:val="000000" w:themeColor="text1"/>
        </w:rPr>
        <w:t>ацетатный буферный раствор рН 4,5</w:t>
      </w:r>
      <w:r w:rsidRPr="007F36C3">
        <w:rPr>
          <w:color w:val="000000" w:themeColor="text1"/>
        </w:rPr>
        <w:t xml:space="preserve">). Согласно полученным данным, кинетика растворения </w:t>
      </w:r>
      <w:r>
        <w:rPr>
          <w:bCs/>
          <w:lang w:val="en-US" w:eastAsia="ru-RU"/>
        </w:rPr>
        <w:t>D</w:t>
      </w:r>
      <w:r>
        <w:rPr>
          <w:lang w:val="en-US"/>
        </w:rPr>
        <w:t>T</w:t>
      </w:r>
      <w:r w:rsidRPr="00CA74B9">
        <w:t>-</w:t>
      </w:r>
      <w:r>
        <w:rPr>
          <w:lang w:val="en-US"/>
        </w:rPr>
        <w:t>BRC</w:t>
      </w:r>
      <w:r w:rsidRPr="007F36C3">
        <w:rPr>
          <w:color w:val="000000" w:themeColor="text1"/>
        </w:rPr>
        <w:t xml:space="preserve"> эквивалентна кинетике растворения референтного препарата </w:t>
      </w:r>
      <w:r>
        <w:rPr>
          <w:lang w:eastAsia="ru-RU"/>
        </w:rPr>
        <w:t>Олумиант</w:t>
      </w:r>
      <w:r w:rsidRPr="00D67EF0">
        <w:rPr>
          <w:vertAlign w:val="superscript"/>
          <w:lang w:eastAsia="ru-RU"/>
        </w:rPr>
        <w:t>®</w:t>
      </w:r>
      <w:r w:rsidR="00FD0B41" w:rsidRPr="00A129EA">
        <w:rPr>
          <w:color w:val="000000"/>
        </w:rPr>
        <w:t>.</w:t>
      </w:r>
      <w:r w:rsidR="00FD0B41" w:rsidRPr="00A129EA">
        <w:t xml:space="preserve"> В связи с этим представляется целесообразным проведение клинического исследования биоэквивалентности</w:t>
      </w:r>
      <w:r w:rsidR="00FD0B41" w:rsidRPr="00A129EA">
        <w:rPr>
          <w:bCs/>
          <w:lang w:eastAsia="ru-RU"/>
        </w:rPr>
        <w:t xml:space="preserve"> лекарственного препарата </w:t>
      </w:r>
      <w:r w:rsidR="000810CB">
        <w:rPr>
          <w:lang w:val="en-US"/>
        </w:rPr>
        <w:t>DT</w:t>
      </w:r>
      <w:r w:rsidR="000810CB" w:rsidRPr="00981A5D">
        <w:t>-</w:t>
      </w:r>
      <w:r w:rsidR="000810CB">
        <w:rPr>
          <w:lang w:val="en-US"/>
        </w:rPr>
        <w:t>BRC</w:t>
      </w:r>
      <w:r w:rsidR="00FD0B41" w:rsidRPr="00A129EA">
        <w:rPr>
          <w:bCs/>
          <w:lang w:eastAsia="ru-RU"/>
        </w:rPr>
        <w:t xml:space="preserve">, таблетки, покрытые пленочной оболочкой, </w:t>
      </w:r>
      <w:r w:rsidR="00A129EA">
        <w:rPr>
          <w:bCs/>
          <w:lang w:eastAsia="ru-RU"/>
        </w:rPr>
        <w:t>4</w:t>
      </w:r>
      <w:r w:rsidR="00FD0B41" w:rsidRPr="00A129EA">
        <w:rPr>
          <w:bCs/>
          <w:lang w:eastAsia="ru-RU"/>
        </w:rPr>
        <w:t xml:space="preserve"> мг</w:t>
      </w:r>
      <w:r w:rsidR="00FD0B41" w:rsidRPr="00A129EA">
        <w:t xml:space="preserve"> </w:t>
      </w:r>
      <w:r w:rsidR="00FD0B41" w:rsidRPr="00A129EA">
        <w:rPr>
          <w:lang w:eastAsia="ru-RU"/>
        </w:rPr>
        <w:t>(</w:t>
      </w:r>
      <w:r w:rsidR="00FD0B41" w:rsidRPr="00A129EA">
        <w:rPr>
          <w:rFonts w:eastAsia="SimSun"/>
        </w:rPr>
        <w:t>АО «Р-Фарм», Россия</w:t>
      </w:r>
      <w:r w:rsidR="00FD0B41" w:rsidRPr="00A129EA">
        <w:rPr>
          <w:lang w:eastAsia="ru-RU"/>
        </w:rPr>
        <w:t xml:space="preserve">) в сравнении с оригинальным препаратом </w:t>
      </w:r>
      <w:r w:rsidR="00815CC0">
        <w:rPr>
          <w:lang w:eastAsia="ru-RU"/>
        </w:rPr>
        <w:t>Олумиант</w:t>
      </w:r>
      <w:r w:rsidR="00815CC0" w:rsidRPr="00A129EA">
        <w:rPr>
          <w:vertAlign w:val="superscript"/>
          <w:lang w:eastAsia="ru-RU"/>
        </w:rPr>
        <w:t>®</w:t>
      </w:r>
      <w:r w:rsidR="00815CC0" w:rsidRPr="00A129EA">
        <w:rPr>
          <w:rFonts w:eastAsia="Calibri"/>
        </w:rPr>
        <w:t xml:space="preserve"> </w:t>
      </w:r>
      <w:r w:rsidR="00815CC0" w:rsidRPr="00A129EA">
        <w:rPr>
          <w:color w:val="000000"/>
        </w:rPr>
        <w:t>(</w:t>
      </w:r>
      <w:r w:rsidR="00815CC0">
        <w:rPr>
          <w:color w:val="000000"/>
        </w:rPr>
        <w:t xml:space="preserve">производитель </w:t>
      </w:r>
      <w:r w:rsidR="00815CC0">
        <w:rPr>
          <w:rFonts w:eastAsia="Calibri"/>
          <w:bCs/>
        </w:rPr>
        <w:t>Лилли дель Карибе, Инк., Пуэрто-Рико</w:t>
      </w:r>
      <w:r w:rsidR="00815CC0" w:rsidRPr="005F2B08">
        <w:rPr>
          <w:rFonts w:eastAsia="Calibri"/>
          <w:bCs/>
        </w:rPr>
        <w:t xml:space="preserve">; </w:t>
      </w:r>
      <w:r w:rsidR="00815CC0">
        <w:rPr>
          <w:rFonts w:eastAsia="Calibri"/>
          <w:bCs/>
        </w:rPr>
        <w:t>держатель</w:t>
      </w:r>
      <w:r w:rsidR="00815CC0" w:rsidRPr="005F2B08">
        <w:rPr>
          <w:rFonts w:eastAsia="Calibri"/>
          <w:bCs/>
        </w:rPr>
        <w:t xml:space="preserve"> РУ: </w:t>
      </w:r>
      <w:r w:rsidR="00815CC0">
        <w:rPr>
          <w:rFonts w:eastAsia="Calibri"/>
          <w:bCs/>
        </w:rPr>
        <w:t>Эли Лилли Восток С.А., Швейцария</w:t>
      </w:r>
      <w:r w:rsidR="00815CC0" w:rsidRPr="00A129EA">
        <w:rPr>
          <w:color w:val="000000"/>
        </w:rPr>
        <w:t>)</w:t>
      </w:r>
      <w:r w:rsidR="00FD0B41" w:rsidRPr="00A129EA">
        <w:rPr>
          <w:bCs/>
          <w:lang w:eastAsia="ru-RU"/>
        </w:rPr>
        <w:t xml:space="preserve">, таблетки, покрытые пленочной оболочкой, </w:t>
      </w:r>
      <w:r w:rsidR="00815CC0">
        <w:rPr>
          <w:bCs/>
          <w:lang w:eastAsia="ru-RU"/>
        </w:rPr>
        <w:t>4</w:t>
      </w:r>
      <w:r w:rsidR="00FD0B41" w:rsidRPr="00A129EA">
        <w:rPr>
          <w:bCs/>
          <w:lang w:eastAsia="ru-RU"/>
        </w:rPr>
        <w:t xml:space="preserve"> мг.</w:t>
      </w:r>
    </w:p>
    <w:p w14:paraId="76D19D2B" w14:textId="0761FEAC" w:rsidR="00FD0B41" w:rsidRDefault="00FD0B41" w:rsidP="00BA2D96">
      <w:pPr>
        <w:autoSpaceDE w:val="0"/>
        <w:autoSpaceDN w:val="0"/>
        <w:adjustRightInd w:val="0"/>
        <w:spacing w:after="0" w:line="240" w:lineRule="auto"/>
        <w:ind w:firstLine="709"/>
        <w:rPr>
          <w:bCs/>
          <w:lang w:eastAsia="ru-RU"/>
        </w:rPr>
      </w:pPr>
      <w:r w:rsidRPr="00A129EA">
        <w:rPr>
          <w:bCs/>
          <w:lang w:eastAsia="ru-RU"/>
        </w:rPr>
        <w:lastRenderedPageBreak/>
        <w:t xml:space="preserve">Внедрение в клиническую практику нового воспроизведенного препарата </w:t>
      </w:r>
      <w:r w:rsidR="00815CC0">
        <w:rPr>
          <w:rFonts w:eastAsia="Calibri"/>
          <w:lang w:eastAsia="ar-SA"/>
        </w:rPr>
        <w:t>барицитиниба</w:t>
      </w:r>
      <w:r w:rsidRPr="00A129EA">
        <w:rPr>
          <w:bCs/>
          <w:lang w:eastAsia="ru-RU"/>
        </w:rPr>
        <w:t xml:space="preserve"> позволит снизить цену современной </w:t>
      </w:r>
      <w:r w:rsidRPr="00A129EA">
        <w:rPr>
          <w:lang w:eastAsia="ru-RU"/>
        </w:rPr>
        <w:t xml:space="preserve">терапии </w:t>
      </w:r>
      <w:r w:rsidR="00815CC0">
        <w:rPr>
          <w:lang w:eastAsia="ru-RU"/>
        </w:rPr>
        <w:t xml:space="preserve">таких социально </w:t>
      </w:r>
      <w:r w:rsidR="00373726">
        <w:rPr>
          <w:lang w:eastAsia="ru-RU"/>
        </w:rPr>
        <w:t>з</w:t>
      </w:r>
      <w:r w:rsidR="00815CC0">
        <w:rPr>
          <w:lang w:eastAsia="ru-RU"/>
        </w:rPr>
        <w:t xml:space="preserve">начимых заболеваний как РА, ОА, АД и </w:t>
      </w:r>
      <w:r w:rsidR="00815CC0">
        <w:rPr>
          <w:lang w:val="en-US" w:eastAsia="ru-RU"/>
        </w:rPr>
        <w:t>COVID</w:t>
      </w:r>
      <w:r w:rsidR="00815CC0">
        <w:rPr>
          <w:lang w:eastAsia="ru-RU"/>
        </w:rPr>
        <w:t>-19</w:t>
      </w:r>
      <w:r w:rsidRPr="00A129EA">
        <w:rPr>
          <w:bCs/>
          <w:lang w:eastAsia="ru-RU"/>
        </w:rPr>
        <w:t>.</w:t>
      </w:r>
    </w:p>
    <w:p w14:paraId="5573BBC3" w14:textId="77777777" w:rsidR="00393FA3" w:rsidRPr="00A129EA" w:rsidRDefault="00393FA3" w:rsidP="00BA2D96">
      <w:pPr>
        <w:autoSpaceDE w:val="0"/>
        <w:autoSpaceDN w:val="0"/>
        <w:adjustRightInd w:val="0"/>
        <w:spacing w:after="0" w:line="240" w:lineRule="auto"/>
        <w:ind w:firstLine="709"/>
        <w:rPr>
          <w:bCs/>
          <w:lang w:eastAsia="ru-RU"/>
        </w:rPr>
      </w:pPr>
    </w:p>
    <w:p w14:paraId="212392C5" w14:textId="0CD4BA82" w:rsidR="00A1083A" w:rsidRDefault="00393FA3" w:rsidP="00AB1FF1">
      <w:pPr>
        <w:pStyle w:val="2"/>
        <w:spacing w:before="0" w:after="0" w:line="240" w:lineRule="auto"/>
        <w:contextualSpacing/>
        <w:rPr>
          <w:color w:val="000000" w:themeColor="text1"/>
          <w:szCs w:val="24"/>
        </w:rPr>
      </w:pPr>
      <w:bookmarkStart w:id="38" w:name="_Toc535339329"/>
      <w:bookmarkStart w:id="39" w:name="_Toc120288110"/>
      <w:bookmarkEnd w:id="37"/>
      <w:bookmarkEnd w:id="38"/>
      <w:r w:rsidRPr="00393FA3">
        <w:rPr>
          <w:color w:val="000000" w:themeColor="text1"/>
          <w:szCs w:val="24"/>
        </w:rPr>
        <w:t xml:space="preserve">1.8. </w:t>
      </w:r>
      <w:r w:rsidR="00A1083A" w:rsidRPr="00815CC0">
        <w:rPr>
          <w:color w:val="000000" w:themeColor="text1"/>
          <w:szCs w:val="24"/>
        </w:rPr>
        <w:t>Ожидаемые показания к применению</w:t>
      </w:r>
      <w:bookmarkEnd w:id="39"/>
    </w:p>
    <w:p w14:paraId="5803C6D8" w14:textId="77777777" w:rsidR="0051605E" w:rsidRPr="0051605E" w:rsidRDefault="0051605E" w:rsidP="0051605E">
      <w:pPr>
        <w:spacing w:after="0" w:line="240" w:lineRule="auto"/>
      </w:pPr>
    </w:p>
    <w:p w14:paraId="29EC3E2B" w14:textId="5FF68171" w:rsidR="00FC747D" w:rsidRDefault="00FC747D" w:rsidP="0051605E">
      <w:pPr>
        <w:pStyle w:val="af3"/>
        <w:numPr>
          <w:ilvl w:val="0"/>
          <w:numId w:val="5"/>
        </w:numPr>
        <w:spacing w:after="0" w:line="240" w:lineRule="auto"/>
        <w:rPr>
          <w:lang w:eastAsia="ru-RU"/>
        </w:rPr>
      </w:pPr>
      <w:r>
        <w:rPr>
          <w:lang w:eastAsia="ru-RU"/>
        </w:rPr>
        <w:t>Л</w:t>
      </w:r>
      <w:r w:rsidRPr="001843D3">
        <w:rPr>
          <w:lang w:eastAsia="ru-RU"/>
        </w:rPr>
        <w:t xml:space="preserve">ечение ревматоидного артрита умеренной и тяжелой степени у взрослых пациентов с непереносимостью или отсутствием адекватного ответа на лечение одним или несколькими базисными противоревматоидными препаратами. </w:t>
      </w:r>
      <w:r w:rsidR="00DB46DB" w:rsidRPr="00DB46DB">
        <w:rPr>
          <w:lang w:eastAsia="ru-RU"/>
        </w:rPr>
        <w:t xml:space="preserve"> </w:t>
      </w:r>
      <w:r w:rsidR="00DB46DB">
        <w:rPr>
          <w:lang w:eastAsia="ru-RU"/>
        </w:rPr>
        <w:t>Барицитиниб может применяться в виде монотерапии или в комбинированной терапии с метотрексатом.</w:t>
      </w:r>
      <w:r w:rsidR="00DB46DB" w:rsidRPr="001843D3">
        <w:rPr>
          <w:lang w:eastAsia="ru-RU"/>
        </w:rPr>
        <w:t xml:space="preserve"> </w:t>
      </w:r>
    </w:p>
    <w:p w14:paraId="6719CD56" w14:textId="77777777" w:rsidR="00FC747D" w:rsidRDefault="00FC747D" w:rsidP="0051605E">
      <w:pPr>
        <w:pStyle w:val="af3"/>
        <w:numPr>
          <w:ilvl w:val="0"/>
          <w:numId w:val="5"/>
        </w:numPr>
        <w:spacing w:after="0" w:line="240" w:lineRule="auto"/>
        <w:rPr>
          <w:lang w:eastAsia="ru-RU"/>
        </w:rPr>
      </w:pPr>
      <w:r w:rsidRPr="001843D3">
        <w:rPr>
          <w:lang w:eastAsia="ru-RU"/>
        </w:rPr>
        <w:t xml:space="preserve">Лечение атопического дерматита умеренной или тяжелой степени у взрослых пациентов. </w:t>
      </w:r>
    </w:p>
    <w:p w14:paraId="63E754A6" w14:textId="77777777" w:rsidR="00FC747D" w:rsidRDefault="00FC747D" w:rsidP="00FC747D">
      <w:pPr>
        <w:pStyle w:val="af3"/>
        <w:numPr>
          <w:ilvl w:val="0"/>
          <w:numId w:val="5"/>
        </w:numPr>
        <w:spacing w:after="0" w:line="240" w:lineRule="auto"/>
        <w:rPr>
          <w:lang w:eastAsia="ru-RU"/>
        </w:rPr>
      </w:pPr>
      <w:r w:rsidRPr="001843D3">
        <w:rPr>
          <w:lang w:eastAsia="ru-RU"/>
        </w:rPr>
        <w:t xml:space="preserve">Лечение очаговой алопеции тяжелой степени у взрослых пациентов. </w:t>
      </w:r>
    </w:p>
    <w:p w14:paraId="2A8107AE" w14:textId="55B38F2C" w:rsidR="00FC747D" w:rsidRPr="001843D3" w:rsidRDefault="00FC747D" w:rsidP="007B5610">
      <w:pPr>
        <w:pStyle w:val="af3"/>
        <w:numPr>
          <w:ilvl w:val="0"/>
          <w:numId w:val="5"/>
        </w:numPr>
        <w:spacing w:after="0" w:line="240" w:lineRule="auto"/>
        <w:rPr>
          <w:lang w:eastAsia="ru-RU"/>
        </w:rPr>
      </w:pPr>
      <w:r w:rsidRPr="001843D3">
        <w:rPr>
          <w:lang w:eastAsia="ru-RU"/>
        </w:rPr>
        <w:t>Лечение новой коронавирусной инфекции у госпитализированных взрослых пациентов, нуждающихся в низкопоточной оксигенотерапии или высокопоточной оксигенотерапии/неинвазивной искусственной вентиляции легких</w:t>
      </w:r>
      <w:r>
        <w:rPr>
          <w:lang w:eastAsia="ru-RU"/>
        </w:rPr>
        <w:t xml:space="preserve"> (НИВЛ)</w:t>
      </w:r>
      <w:r w:rsidRPr="001843D3">
        <w:rPr>
          <w:lang w:eastAsia="ru-RU"/>
        </w:rPr>
        <w:t>.</w:t>
      </w:r>
    </w:p>
    <w:p w14:paraId="22DF429D" w14:textId="47F2E2A0" w:rsidR="00D2472B" w:rsidRDefault="00D2472B" w:rsidP="000810CB">
      <w:pPr>
        <w:pStyle w:val="2"/>
        <w:spacing w:line="240" w:lineRule="auto"/>
        <w:contextualSpacing/>
        <w:rPr>
          <w:color w:val="000000" w:themeColor="text1"/>
          <w:szCs w:val="24"/>
        </w:rPr>
      </w:pPr>
      <w:bookmarkStart w:id="40" w:name="_Toc32336729"/>
      <w:bookmarkStart w:id="41" w:name="_Toc120288111"/>
      <w:r>
        <w:rPr>
          <w:color w:val="000000" w:themeColor="text1"/>
          <w:szCs w:val="24"/>
        </w:rPr>
        <w:t>Список литературы</w:t>
      </w:r>
      <w:bookmarkEnd w:id="40"/>
      <w:bookmarkEnd w:id="41"/>
      <w:r w:rsidR="00FF392A">
        <w:rPr>
          <w:color w:val="000000" w:themeColor="text1"/>
          <w:szCs w:val="24"/>
        </w:rPr>
        <w:t xml:space="preserve"> </w:t>
      </w:r>
    </w:p>
    <w:p w14:paraId="04AE4824" w14:textId="77777777" w:rsidR="005D763A" w:rsidRPr="005D763A" w:rsidRDefault="00815CC0" w:rsidP="000810CB">
      <w:pPr>
        <w:pStyle w:val="afff2"/>
        <w:contextualSpacing/>
      </w:pPr>
      <w:r>
        <w:rPr>
          <w:lang w:eastAsia="en-US"/>
        </w:rPr>
        <w:fldChar w:fldCharType="begin"/>
      </w:r>
      <w:r w:rsidR="00373726">
        <w:rPr>
          <w:lang w:eastAsia="en-US"/>
        </w:rPr>
        <w:instrText xml:space="preserve"> ADDIN ZOTERO_BIBL {"uncited":[],"omitted":[],"custom":[]} CSL_BIBLIOGRAPHY </w:instrText>
      </w:r>
      <w:r>
        <w:rPr>
          <w:lang w:eastAsia="en-US"/>
        </w:rPr>
        <w:fldChar w:fldCharType="separate"/>
      </w:r>
      <w:r w:rsidR="005D763A" w:rsidRPr="005D763A">
        <w:t>1.</w:t>
      </w:r>
      <w:r w:rsidR="005D763A" w:rsidRPr="005D763A">
        <w:tab/>
        <w:t>Министерство здравоохранения Российской Федерации. Клинические рекомендации. Ревматоидный артрит. 2021.</w:t>
      </w:r>
    </w:p>
    <w:p w14:paraId="2D123ADC" w14:textId="77777777" w:rsidR="005D763A" w:rsidRPr="005D763A" w:rsidRDefault="005D763A" w:rsidP="000810CB">
      <w:pPr>
        <w:pStyle w:val="afff2"/>
        <w:contextualSpacing/>
        <w:rPr>
          <w:lang w:val="en-US"/>
        </w:rPr>
      </w:pPr>
      <w:r w:rsidRPr="00F1294E">
        <w:t>2.</w:t>
      </w:r>
      <w:r w:rsidRPr="00F1294E">
        <w:tab/>
      </w:r>
      <w:r w:rsidRPr="005B11AD">
        <w:rPr>
          <w:lang w:val="en-US"/>
        </w:rPr>
        <w:t>Smolen</w:t>
      </w:r>
      <w:r w:rsidRPr="00F1294E">
        <w:t xml:space="preserve"> </w:t>
      </w:r>
      <w:r w:rsidRPr="005B11AD">
        <w:rPr>
          <w:lang w:val="en-US"/>
        </w:rPr>
        <w:t>JS</w:t>
      </w:r>
      <w:r w:rsidRPr="00F1294E">
        <w:t xml:space="preserve">, </w:t>
      </w:r>
      <w:r w:rsidRPr="005B11AD">
        <w:rPr>
          <w:lang w:val="en-US"/>
        </w:rPr>
        <w:t>Aletaha</w:t>
      </w:r>
      <w:r w:rsidRPr="00F1294E">
        <w:t xml:space="preserve"> </w:t>
      </w:r>
      <w:r w:rsidRPr="005B11AD">
        <w:rPr>
          <w:lang w:val="en-US"/>
        </w:rPr>
        <w:t>D</w:t>
      </w:r>
      <w:r w:rsidRPr="00F1294E">
        <w:t xml:space="preserve">, </w:t>
      </w:r>
      <w:r w:rsidRPr="005B11AD">
        <w:rPr>
          <w:lang w:val="en-US"/>
        </w:rPr>
        <w:t>Mclnnes</w:t>
      </w:r>
      <w:r w:rsidRPr="00F1294E">
        <w:t xml:space="preserve"> </w:t>
      </w:r>
      <w:r w:rsidRPr="005B11AD">
        <w:rPr>
          <w:lang w:val="en-US"/>
        </w:rPr>
        <w:t>IB</w:t>
      </w:r>
      <w:r w:rsidRPr="00F1294E">
        <w:t xml:space="preserve">. </w:t>
      </w:r>
      <w:r w:rsidRPr="00CF1BE3">
        <w:rPr>
          <w:lang w:val="en-US"/>
        </w:rPr>
        <w:t>Rheumatoid</w:t>
      </w:r>
      <w:r w:rsidRPr="00AB1FF1">
        <w:rPr>
          <w:lang w:val="en-US"/>
        </w:rPr>
        <w:t xml:space="preserve"> </w:t>
      </w:r>
      <w:r w:rsidRPr="00CF1BE3">
        <w:rPr>
          <w:lang w:val="en-US"/>
        </w:rPr>
        <w:t>arthritis</w:t>
      </w:r>
      <w:r w:rsidRPr="00AB1FF1">
        <w:rPr>
          <w:lang w:val="en-US"/>
        </w:rPr>
        <w:t xml:space="preserve">. </w:t>
      </w:r>
      <w:r w:rsidRPr="005D763A">
        <w:rPr>
          <w:lang w:val="en-US"/>
        </w:rPr>
        <w:t>Lancet 2016; 22; 388(10055): 2023-2038. doi: 10.1016/S0140-6736(16)30173-8.</w:t>
      </w:r>
    </w:p>
    <w:p w14:paraId="2F68E316" w14:textId="77777777" w:rsidR="005D763A" w:rsidRPr="005D763A" w:rsidRDefault="005D763A" w:rsidP="000810CB">
      <w:pPr>
        <w:pStyle w:val="afff2"/>
        <w:contextualSpacing/>
        <w:rPr>
          <w:lang w:val="en-US"/>
        </w:rPr>
      </w:pPr>
      <w:r w:rsidRPr="005D763A">
        <w:rPr>
          <w:lang w:val="en-US"/>
        </w:rPr>
        <w:t>3.</w:t>
      </w:r>
      <w:r w:rsidRPr="005D763A">
        <w:rPr>
          <w:lang w:val="en-US"/>
        </w:rPr>
        <w:tab/>
        <w:t>McGonagle D, Watad A, Savic S. Mechanistic immunological based classification of rheumatoid arthritis. Autoimmun Rev. 2018; 17(11): 1115-1123. doi: 10.1016/j.autrev.2018.06.001.</w:t>
      </w:r>
    </w:p>
    <w:p w14:paraId="65DCA2AC" w14:textId="77777777" w:rsidR="005D763A" w:rsidRPr="005D763A" w:rsidRDefault="005D763A" w:rsidP="000810CB">
      <w:pPr>
        <w:pStyle w:val="afff2"/>
        <w:contextualSpacing/>
        <w:rPr>
          <w:lang w:val="en-US"/>
        </w:rPr>
      </w:pPr>
      <w:r w:rsidRPr="005D763A">
        <w:rPr>
          <w:lang w:val="en-US"/>
        </w:rPr>
        <w:t>4.</w:t>
      </w:r>
      <w:r w:rsidRPr="005D763A">
        <w:rPr>
          <w:lang w:val="en-US"/>
        </w:rPr>
        <w:tab/>
        <w:t>Mclnnes IB, Schett G. Pathogenetic insights from the treatment of rheumatoid arthritis. Lancet. 2017; 389(10086): 2328-2337. doi: 10.1016/S0140-6736(17)31472-1.</w:t>
      </w:r>
    </w:p>
    <w:p w14:paraId="5C599EF6" w14:textId="77777777" w:rsidR="005D763A" w:rsidRPr="005D763A" w:rsidRDefault="005D763A" w:rsidP="000810CB">
      <w:pPr>
        <w:pStyle w:val="afff2"/>
        <w:contextualSpacing/>
        <w:rPr>
          <w:lang w:val="en-US"/>
        </w:rPr>
      </w:pPr>
      <w:r w:rsidRPr="005D763A">
        <w:rPr>
          <w:lang w:val="en-US"/>
        </w:rPr>
        <w:t>5.</w:t>
      </w:r>
      <w:r w:rsidRPr="005D763A">
        <w:rPr>
          <w:lang w:val="en-US"/>
        </w:rPr>
        <w:tab/>
        <w:t>Firestein GS. Kelley and Firestein"s Textbook of Rheumatology. 10th ed. Philadelphia, Pennsylvania: Elsevier; Etiology and pathogenesis of rheumatoid arthritis. 2016 1115-66.</w:t>
      </w:r>
    </w:p>
    <w:p w14:paraId="75343495" w14:textId="77777777" w:rsidR="005D763A" w:rsidRPr="005D763A" w:rsidRDefault="005D763A" w:rsidP="000810CB">
      <w:pPr>
        <w:pStyle w:val="afff2"/>
        <w:contextualSpacing/>
        <w:rPr>
          <w:lang w:val="en-US"/>
        </w:rPr>
      </w:pPr>
      <w:r w:rsidRPr="005D763A">
        <w:rPr>
          <w:lang w:val="en-US"/>
        </w:rPr>
        <w:t>6.</w:t>
      </w:r>
      <w:r w:rsidRPr="005D763A">
        <w:rPr>
          <w:lang w:val="en-US"/>
        </w:rPr>
        <w:tab/>
        <w:t>Cutolo M, Kitas GD, van Riel PLCM. Burden of disease in treated rheumatoid arthritis patients: going beyond the joint. Semin Arthritis Rheum 2014; 43: 479-488. https://doi.org/10.1016/j.semarthrit.2013.08.004.</w:t>
      </w:r>
    </w:p>
    <w:p w14:paraId="6ED22393" w14:textId="77777777" w:rsidR="005D763A" w:rsidRPr="005D763A" w:rsidRDefault="005D763A" w:rsidP="000810CB">
      <w:pPr>
        <w:pStyle w:val="afff2"/>
        <w:contextualSpacing/>
      </w:pPr>
      <w:r w:rsidRPr="005D763A">
        <w:rPr>
          <w:lang w:val="en-US"/>
        </w:rPr>
        <w:t>7.</w:t>
      </w:r>
      <w:r w:rsidRPr="005D763A">
        <w:rPr>
          <w:lang w:val="en-US"/>
        </w:rPr>
        <w:tab/>
        <w:t xml:space="preserve">van der Woude D, van der Helm-van Mil AHM. Update on the epidemiology, risk factors, and disease outcomes of rheumatoid arthritis. </w:t>
      </w:r>
      <w:r w:rsidRPr="005D763A">
        <w:t>Best Pract Res Clin Rheumatol. 2018; 32(2): 174-187. doi: 10.1016/j.berh.2018.10.005.</w:t>
      </w:r>
    </w:p>
    <w:p w14:paraId="0EABAA87" w14:textId="77777777" w:rsidR="005D763A" w:rsidRPr="005D763A" w:rsidRDefault="005D763A" w:rsidP="000810CB">
      <w:pPr>
        <w:pStyle w:val="afff2"/>
        <w:contextualSpacing/>
      </w:pPr>
      <w:r w:rsidRPr="005D763A">
        <w:t>8.</w:t>
      </w:r>
      <w:r w:rsidRPr="005D763A">
        <w:tab/>
        <w:t>Общая заболеваемость взрослого населения России в 2017 г. Статистические материалы, часть IV, Mocквa. 2018. https://www.rosminzdrav.ru/ministry/61/22/stranitsa-979/statisticheskie-i-informatsionnye-materialy/statisticheskiy-sbomik-2017-god.</w:t>
      </w:r>
    </w:p>
    <w:p w14:paraId="6AB9B4B6" w14:textId="77777777" w:rsidR="005D763A" w:rsidRPr="005D763A" w:rsidRDefault="005D763A" w:rsidP="000810CB">
      <w:pPr>
        <w:pStyle w:val="afff2"/>
        <w:contextualSpacing/>
      </w:pPr>
      <w:r w:rsidRPr="005D763A">
        <w:t>9.</w:t>
      </w:r>
      <w:r w:rsidRPr="005D763A">
        <w:tab/>
        <w:t>Министерство здравоохранения Российской Федерации. Клинические рекомендации. Атопический дерматит. 2020.</w:t>
      </w:r>
    </w:p>
    <w:p w14:paraId="7156A8BE" w14:textId="77777777" w:rsidR="005D763A" w:rsidRPr="005D763A" w:rsidRDefault="005D763A" w:rsidP="000810CB">
      <w:pPr>
        <w:pStyle w:val="afff2"/>
        <w:contextualSpacing/>
        <w:rPr>
          <w:lang w:val="en-US"/>
        </w:rPr>
      </w:pPr>
      <w:r w:rsidRPr="00F1294E">
        <w:t>10.</w:t>
      </w:r>
      <w:r w:rsidRPr="00F1294E">
        <w:tab/>
      </w:r>
      <w:r w:rsidRPr="005B11AD">
        <w:rPr>
          <w:lang w:val="en-US"/>
        </w:rPr>
        <w:t>Palmer</w:t>
      </w:r>
      <w:r w:rsidRPr="00F1294E">
        <w:t xml:space="preserve"> </w:t>
      </w:r>
      <w:r w:rsidRPr="005B11AD">
        <w:rPr>
          <w:lang w:val="en-US"/>
        </w:rPr>
        <w:t>C</w:t>
      </w:r>
      <w:r w:rsidRPr="00F1294E">
        <w:t>.</w:t>
      </w:r>
      <w:r w:rsidRPr="005B11AD">
        <w:rPr>
          <w:lang w:val="en-US"/>
        </w:rPr>
        <w:t>N</w:t>
      </w:r>
      <w:r w:rsidRPr="00F1294E">
        <w:t xml:space="preserve">., </w:t>
      </w:r>
      <w:r w:rsidRPr="005B11AD">
        <w:rPr>
          <w:lang w:val="en-US"/>
        </w:rPr>
        <w:t>Irvine</w:t>
      </w:r>
      <w:r w:rsidRPr="00F1294E">
        <w:t xml:space="preserve"> </w:t>
      </w:r>
      <w:r w:rsidRPr="005B11AD">
        <w:rPr>
          <w:lang w:val="en-US"/>
        </w:rPr>
        <w:t>A</w:t>
      </w:r>
      <w:r w:rsidRPr="00F1294E">
        <w:t>.</w:t>
      </w:r>
      <w:r w:rsidRPr="005B11AD">
        <w:rPr>
          <w:lang w:val="en-US"/>
        </w:rPr>
        <w:t>D</w:t>
      </w:r>
      <w:r w:rsidRPr="00F1294E">
        <w:t xml:space="preserve">., </w:t>
      </w:r>
      <w:r w:rsidRPr="005B11AD">
        <w:rPr>
          <w:lang w:val="en-US"/>
        </w:rPr>
        <w:t>Terron</w:t>
      </w:r>
      <w:r w:rsidRPr="00F1294E">
        <w:t>-</w:t>
      </w:r>
      <w:r w:rsidRPr="005B11AD">
        <w:rPr>
          <w:lang w:val="en-US"/>
        </w:rPr>
        <w:t>Kwiatkowski</w:t>
      </w:r>
      <w:r w:rsidRPr="00F1294E">
        <w:t xml:space="preserve"> </w:t>
      </w:r>
      <w:r w:rsidRPr="005B11AD">
        <w:rPr>
          <w:lang w:val="en-US"/>
        </w:rPr>
        <w:t>A</w:t>
      </w:r>
      <w:r w:rsidRPr="00F1294E">
        <w:t xml:space="preserve">. </w:t>
      </w:r>
      <w:r w:rsidRPr="005B11AD">
        <w:rPr>
          <w:lang w:val="en-US"/>
        </w:rPr>
        <w:t>et</w:t>
      </w:r>
      <w:r w:rsidRPr="00F1294E">
        <w:t xml:space="preserve"> </w:t>
      </w:r>
      <w:r w:rsidRPr="005B11AD">
        <w:rPr>
          <w:lang w:val="en-US"/>
        </w:rPr>
        <w:t>al</w:t>
      </w:r>
      <w:r w:rsidRPr="00F1294E">
        <w:t xml:space="preserve">. </w:t>
      </w:r>
      <w:r w:rsidRPr="005D763A">
        <w:rPr>
          <w:lang w:val="en-US"/>
        </w:rPr>
        <w:t>Common loss-of-function variants of the epidermal barrier protein filaggrin are a major predisposing factor for atopic dermatitis. Nat. Genet. 2006; 38: 441–446.</w:t>
      </w:r>
    </w:p>
    <w:p w14:paraId="2494802E" w14:textId="77777777" w:rsidR="005D763A" w:rsidRPr="005D763A" w:rsidRDefault="005D763A" w:rsidP="000810CB">
      <w:pPr>
        <w:pStyle w:val="afff2"/>
        <w:contextualSpacing/>
        <w:rPr>
          <w:lang w:val="en-US"/>
        </w:rPr>
      </w:pPr>
      <w:r w:rsidRPr="005D763A">
        <w:rPr>
          <w:lang w:val="en-US"/>
        </w:rPr>
        <w:t>11.</w:t>
      </w:r>
      <w:r w:rsidRPr="005D763A">
        <w:rPr>
          <w:lang w:val="en-US"/>
        </w:rPr>
        <w:tab/>
        <w:t>McGirtL.Y., Beck L.A. Innate immune defects in atopic dermatitis. J Allergy Clin Immunol. 2006; 118: 202–208.</w:t>
      </w:r>
    </w:p>
    <w:p w14:paraId="700621A0" w14:textId="77777777" w:rsidR="005D763A" w:rsidRPr="005D763A" w:rsidRDefault="005D763A" w:rsidP="000810CB">
      <w:pPr>
        <w:pStyle w:val="afff2"/>
        <w:contextualSpacing/>
        <w:rPr>
          <w:lang w:val="en-US"/>
        </w:rPr>
      </w:pPr>
      <w:r w:rsidRPr="005D763A">
        <w:rPr>
          <w:lang w:val="en-US"/>
        </w:rPr>
        <w:lastRenderedPageBreak/>
        <w:t>12.</w:t>
      </w:r>
      <w:r w:rsidRPr="005D763A">
        <w:rPr>
          <w:lang w:val="en-US"/>
        </w:rPr>
        <w:tab/>
        <w:t>Bao L., Zhang H., Chan L.S. The involvement of the JAK-STAT signaling pathway in chronic inflammatory skin disease atopic dermatitis. JAKSTAT. 2013; 2(3) e24137.</w:t>
      </w:r>
    </w:p>
    <w:p w14:paraId="3644EAD1" w14:textId="77777777" w:rsidR="005D763A" w:rsidRPr="005D763A" w:rsidRDefault="005D763A" w:rsidP="000810CB">
      <w:pPr>
        <w:pStyle w:val="afff2"/>
        <w:contextualSpacing/>
        <w:rPr>
          <w:lang w:val="en-US"/>
        </w:rPr>
      </w:pPr>
      <w:r w:rsidRPr="005D763A">
        <w:rPr>
          <w:lang w:val="en-US"/>
        </w:rPr>
        <w:t>13.</w:t>
      </w:r>
      <w:r w:rsidRPr="005D763A">
        <w:rPr>
          <w:lang w:val="en-US"/>
        </w:rPr>
        <w:tab/>
        <w:t>Gandhi N.A., Pirozzi G., Graham N.M. Commonality of the IL-4/IL-13 pathway in atopic diseases. Expert Rev Clin Immunol. 2017; 13 (5): 425–437.</w:t>
      </w:r>
    </w:p>
    <w:p w14:paraId="0CF118CA" w14:textId="77777777" w:rsidR="005D763A" w:rsidRPr="005D763A" w:rsidRDefault="005D763A" w:rsidP="000810CB">
      <w:pPr>
        <w:pStyle w:val="afff2"/>
        <w:contextualSpacing/>
        <w:rPr>
          <w:lang w:val="en-US"/>
        </w:rPr>
      </w:pPr>
      <w:r w:rsidRPr="005D763A">
        <w:rPr>
          <w:lang w:val="en-US"/>
        </w:rPr>
        <w:t>14.</w:t>
      </w:r>
      <w:r w:rsidRPr="005D763A">
        <w:rPr>
          <w:lang w:val="en-US"/>
        </w:rPr>
        <w:tab/>
        <w:t>Werfel T., Allam J.P., Biedermann T. et al. Cellular and molecular immunologic mechanisms in patients with atopic dermatitis. J Allergy Clin Immunol 2016; 138: 336–349.</w:t>
      </w:r>
    </w:p>
    <w:p w14:paraId="1850AE17" w14:textId="77777777" w:rsidR="005D763A" w:rsidRPr="005D763A" w:rsidRDefault="005D763A" w:rsidP="000810CB">
      <w:pPr>
        <w:pStyle w:val="afff2"/>
        <w:contextualSpacing/>
      </w:pPr>
      <w:r w:rsidRPr="005D763A">
        <w:rPr>
          <w:lang w:val="en-US"/>
        </w:rPr>
        <w:t>15.</w:t>
      </w:r>
      <w:r w:rsidRPr="005D763A">
        <w:rPr>
          <w:lang w:val="en-US"/>
        </w:rPr>
        <w:tab/>
        <w:t xml:space="preserve">Wollenberg A., Barbarot S., Bieber T. et al. Consensus-based European guidelines for treatment of atopic eczema (atopic dermatitis) in adults and children: part I.J Eur Acad Dermatol Venereol. </w:t>
      </w:r>
      <w:r w:rsidRPr="005D763A">
        <w:t>2018; 32 (5): 657–682.</w:t>
      </w:r>
    </w:p>
    <w:p w14:paraId="6A335E60" w14:textId="77777777" w:rsidR="005D763A" w:rsidRPr="005D763A" w:rsidRDefault="005D763A" w:rsidP="000810CB">
      <w:pPr>
        <w:pStyle w:val="afff2"/>
        <w:contextualSpacing/>
        <w:rPr>
          <w:lang w:val="en-US"/>
        </w:rPr>
      </w:pPr>
      <w:r w:rsidRPr="005D763A">
        <w:t>16.</w:t>
      </w:r>
      <w:r w:rsidRPr="005D763A">
        <w:tab/>
        <w:t>Кубанов А.А., Богданова Е.В. Организация и результаты оказания медицинской помощи по профилю дерматовенерология в Российской Федерации. Итоги</w:t>
      </w:r>
      <w:r w:rsidRPr="005D763A">
        <w:rPr>
          <w:lang w:val="en-US"/>
        </w:rPr>
        <w:t xml:space="preserve"> 2018 </w:t>
      </w:r>
      <w:r w:rsidRPr="005D763A">
        <w:t>года</w:t>
      </w:r>
      <w:r w:rsidRPr="005D763A">
        <w:rPr>
          <w:lang w:val="en-US"/>
        </w:rPr>
        <w:t xml:space="preserve">. </w:t>
      </w:r>
      <w:r w:rsidRPr="005D763A">
        <w:t>Вестник</w:t>
      </w:r>
      <w:r w:rsidRPr="005D763A">
        <w:rPr>
          <w:lang w:val="en-US"/>
        </w:rPr>
        <w:t xml:space="preserve"> </w:t>
      </w:r>
      <w:r w:rsidRPr="005D763A">
        <w:t>дерматологии</w:t>
      </w:r>
      <w:r w:rsidRPr="005D763A">
        <w:rPr>
          <w:lang w:val="en-US"/>
        </w:rPr>
        <w:t xml:space="preserve"> </w:t>
      </w:r>
      <w:r w:rsidRPr="005D763A">
        <w:t>и</w:t>
      </w:r>
      <w:r w:rsidRPr="005D763A">
        <w:rPr>
          <w:lang w:val="en-US"/>
        </w:rPr>
        <w:t xml:space="preserve"> </w:t>
      </w:r>
      <w:r w:rsidRPr="005D763A">
        <w:t>венерологии</w:t>
      </w:r>
      <w:r w:rsidRPr="005D763A">
        <w:rPr>
          <w:lang w:val="en-US"/>
        </w:rPr>
        <w:t>. 2019; 95 (4): 8–23.</w:t>
      </w:r>
    </w:p>
    <w:p w14:paraId="4FB887A7" w14:textId="77777777" w:rsidR="005D763A" w:rsidRPr="005D763A" w:rsidRDefault="005D763A" w:rsidP="000810CB">
      <w:pPr>
        <w:pStyle w:val="afff2"/>
        <w:contextualSpacing/>
      </w:pPr>
      <w:r w:rsidRPr="005D763A">
        <w:rPr>
          <w:lang w:val="en-US"/>
        </w:rPr>
        <w:t>17.</w:t>
      </w:r>
      <w:r w:rsidRPr="005D763A">
        <w:rPr>
          <w:lang w:val="en-US"/>
        </w:rPr>
        <w:tab/>
        <w:t xml:space="preserve">Messenger A.G., McKillop J., Farrant P., McDonagh A.J., Sladden M. British Association of Dermatologists’ guidelines for the management of alopecia areata 2012. </w:t>
      </w:r>
      <w:r w:rsidRPr="005D763A">
        <w:t>British Journal of Dermatology 2012; 166: 916-926.</w:t>
      </w:r>
    </w:p>
    <w:p w14:paraId="7538F864" w14:textId="77777777" w:rsidR="005D763A" w:rsidRPr="005D763A" w:rsidRDefault="005D763A" w:rsidP="000810CB">
      <w:pPr>
        <w:pStyle w:val="afff2"/>
        <w:contextualSpacing/>
        <w:rPr>
          <w:lang w:val="en-US"/>
        </w:rPr>
      </w:pPr>
      <w:r w:rsidRPr="005D763A">
        <w:t>18.</w:t>
      </w:r>
      <w:r w:rsidRPr="005D763A">
        <w:tab/>
        <w:t>Министерство здравоохранения Российской Федерации. Клинические рекомендации. Гнездная</w:t>
      </w:r>
      <w:r w:rsidRPr="005D763A">
        <w:rPr>
          <w:lang w:val="en-US"/>
        </w:rPr>
        <w:t xml:space="preserve"> </w:t>
      </w:r>
      <w:r w:rsidRPr="005D763A">
        <w:t>алопеция</w:t>
      </w:r>
      <w:r w:rsidRPr="005D763A">
        <w:rPr>
          <w:lang w:val="en-US"/>
        </w:rPr>
        <w:t>. 2020.</w:t>
      </w:r>
    </w:p>
    <w:p w14:paraId="259E15A8" w14:textId="77777777" w:rsidR="005D763A" w:rsidRPr="005D763A" w:rsidRDefault="005D763A" w:rsidP="000810CB">
      <w:pPr>
        <w:pStyle w:val="afff2"/>
        <w:contextualSpacing/>
        <w:rPr>
          <w:lang w:val="en-US"/>
        </w:rPr>
      </w:pPr>
      <w:r w:rsidRPr="005D763A">
        <w:rPr>
          <w:lang w:val="en-US"/>
        </w:rPr>
        <w:t>19.</w:t>
      </w:r>
      <w:r w:rsidRPr="005D763A">
        <w:rPr>
          <w:lang w:val="en-US"/>
        </w:rPr>
        <w:tab/>
        <w:t>Darwin E., Hirt P., Fertig R. et al.  Alopecia Areata: Review of Epidemiology, Clinical Features, Pathogenesis, and New Treatment Options.  Int J Trichology. 2018 Mar-Apr; 10(2): 51–60.</w:t>
      </w:r>
    </w:p>
    <w:p w14:paraId="3CB1954A" w14:textId="77777777" w:rsidR="005D763A" w:rsidRPr="005D763A" w:rsidRDefault="005D763A" w:rsidP="000810CB">
      <w:pPr>
        <w:pStyle w:val="afff2"/>
        <w:contextualSpacing/>
        <w:rPr>
          <w:lang w:val="en-US"/>
        </w:rPr>
      </w:pPr>
      <w:r w:rsidRPr="005D763A">
        <w:rPr>
          <w:lang w:val="en-US"/>
        </w:rPr>
        <w:t>20.</w:t>
      </w:r>
      <w:r w:rsidRPr="005D763A">
        <w:rPr>
          <w:lang w:val="en-US"/>
        </w:rPr>
        <w:tab/>
        <w:t>Strazzulla L.C., Wang  E. H. C., Avila L. et al.  Alopecia areata: Disease characteristics, clinical evaluation, and new perspectives on pathogenesis.  J Am Acad Dermatol. 2018 Jan;78(1):1-12. doi: 10.1016/j.jaad.2017.04.1141.</w:t>
      </w:r>
    </w:p>
    <w:p w14:paraId="03B907C3" w14:textId="77777777" w:rsidR="005D763A" w:rsidRPr="005D763A" w:rsidRDefault="005D763A" w:rsidP="000810CB">
      <w:pPr>
        <w:pStyle w:val="afff2"/>
        <w:contextualSpacing/>
      </w:pPr>
      <w:r w:rsidRPr="005D763A">
        <w:rPr>
          <w:lang w:val="en-US"/>
        </w:rPr>
        <w:t>21.</w:t>
      </w:r>
      <w:r w:rsidRPr="005D763A">
        <w:rPr>
          <w:lang w:val="en-US"/>
        </w:rPr>
        <w:tab/>
        <w:t xml:space="preserve">Alkhalifah A. Alopecia areata update. Dermatol Clin. 2013; 31:93–108. Mohamed Z., Bhouri A., Jallouli A. et al. Alopecia areata treatment with aphototoxic dose of UVA and topical 8-methoxypsoralen. </w:t>
      </w:r>
      <w:r w:rsidRPr="005B11AD">
        <w:rPr>
          <w:lang w:val="en-US"/>
        </w:rPr>
        <w:t>J</w:t>
      </w:r>
      <w:r w:rsidRPr="00F1294E">
        <w:t xml:space="preserve"> </w:t>
      </w:r>
      <w:r w:rsidRPr="005B11AD">
        <w:rPr>
          <w:lang w:val="en-US"/>
        </w:rPr>
        <w:t>Eur</w:t>
      </w:r>
      <w:r w:rsidRPr="00F1294E">
        <w:t xml:space="preserve"> </w:t>
      </w:r>
      <w:r w:rsidRPr="005B11AD">
        <w:rPr>
          <w:lang w:val="en-US"/>
        </w:rPr>
        <w:t>Acad</w:t>
      </w:r>
      <w:r w:rsidRPr="00F1294E">
        <w:t xml:space="preserve"> </w:t>
      </w:r>
      <w:r w:rsidRPr="005B11AD">
        <w:rPr>
          <w:lang w:val="en-US"/>
        </w:rPr>
        <w:t>DermatolVenereol</w:t>
      </w:r>
      <w:r w:rsidRPr="00F1294E">
        <w:t xml:space="preserve">. </w:t>
      </w:r>
      <w:r w:rsidRPr="005D763A">
        <w:t>2005;19:552-555.</w:t>
      </w:r>
    </w:p>
    <w:p w14:paraId="6C6B6914" w14:textId="77777777" w:rsidR="005D763A" w:rsidRPr="005D763A" w:rsidRDefault="005D763A" w:rsidP="000810CB">
      <w:pPr>
        <w:pStyle w:val="afff2"/>
        <w:contextualSpacing/>
      </w:pPr>
      <w:r w:rsidRPr="005D763A">
        <w:t>22.</w:t>
      </w:r>
      <w:r w:rsidRPr="005D763A">
        <w:tab/>
        <w:t>Министерство здравоохранения Российской Федерации. Временные клинические рекомендации. Профилактика, диагностика и лечение новой коронавирусной инфекции (COVID-19). 2022.</w:t>
      </w:r>
    </w:p>
    <w:p w14:paraId="6FAB08AB" w14:textId="77777777" w:rsidR="005D763A" w:rsidRPr="005D763A" w:rsidRDefault="005D763A" w:rsidP="000810CB">
      <w:pPr>
        <w:pStyle w:val="afff2"/>
        <w:contextualSpacing/>
      </w:pPr>
      <w:r w:rsidRPr="005D763A">
        <w:t>23.</w:t>
      </w:r>
      <w:r w:rsidRPr="005D763A">
        <w:tab/>
        <w:t>Насонов E.Л. Биоаналоги в ревматологии. Научно-практическая ревматология. 2016; 54(6): 628-640. https://doi.org/10.14412/1995-4484-2016-628-640.</w:t>
      </w:r>
    </w:p>
    <w:p w14:paraId="0F787140" w14:textId="77777777" w:rsidR="005D763A" w:rsidRPr="005D763A" w:rsidRDefault="005D763A" w:rsidP="000810CB">
      <w:pPr>
        <w:pStyle w:val="afff2"/>
        <w:contextualSpacing/>
        <w:rPr>
          <w:lang w:val="en-US"/>
        </w:rPr>
      </w:pPr>
      <w:r w:rsidRPr="005D763A">
        <w:rPr>
          <w:lang w:val="en-US"/>
        </w:rPr>
        <w:t>24.</w:t>
      </w:r>
      <w:r w:rsidRPr="005D763A">
        <w:rPr>
          <w:lang w:val="en-US"/>
        </w:rPr>
        <w:tab/>
        <w:t>Kay J, Schoels MM,  T, Emery P, Kvien TK, Smolen JS, Breedveld FC; Task Force on the Use of Biosimilars to Treat Rheumatological Diseases. Consensus-based recommendations for the use of biosimilars to treat rheumatological diseases. Ann Rheum Dis. 2018; 77(2): 165-174. doi: 10.1136/annrheumdis-2017-211937.</w:t>
      </w:r>
    </w:p>
    <w:p w14:paraId="1A9D51BC" w14:textId="77777777" w:rsidR="005D763A" w:rsidRPr="005D763A" w:rsidRDefault="005D763A" w:rsidP="000810CB">
      <w:pPr>
        <w:pStyle w:val="afff2"/>
        <w:contextualSpacing/>
        <w:rPr>
          <w:lang w:val="en-US"/>
        </w:rPr>
      </w:pPr>
      <w:r w:rsidRPr="005D763A">
        <w:rPr>
          <w:lang w:val="en-US"/>
        </w:rPr>
        <w:t>25.</w:t>
      </w:r>
      <w:r w:rsidRPr="005D763A">
        <w:rPr>
          <w:lang w:val="en-US"/>
        </w:rPr>
        <w:tab/>
        <w:t>Klint E, Catrina Al, Matt P, et al. Evaluation of arthroscopy and macroscopic scoring. Arthr Res Ther. 2009; 11: R81. doi: 10.1186/ar2714.</w:t>
      </w:r>
    </w:p>
    <w:p w14:paraId="20555697" w14:textId="77777777" w:rsidR="005D763A" w:rsidRPr="005D763A" w:rsidRDefault="005D763A" w:rsidP="000810CB">
      <w:pPr>
        <w:pStyle w:val="afff2"/>
        <w:contextualSpacing/>
        <w:rPr>
          <w:lang w:val="en-US"/>
        </w:rPr>
      </w:pPr>
      <w:r w:rsidRPr="005D763A">
        <w:rPr>
          <w:lang w:val="en-US"/>
        </w:rPr>
        <w:t>26.</w:t>
      </w:r>
      <w:r w:rsidRPr="005D763A">
        <w:rPr>
          <w:lang w:val="en-US"/>
        </w:rPr>
        <w:tab/>
        <w:t>Bae J.M., Choi Y.Y., Park C.O. et al. Efficacy of allergen-specific immunotherapy for atopic dermatitis: a systematic review and meta-analysis of randomized controlled trials. J Allergy Clin Immunol 2013; 132: 110–117.</w:t>
      </w:r>
    </w:p>
    <w:p w14:paraId="04E7A8AA" w14:textId="77777777" w:rsidR="005D763A" w:rsidRPr="005D763A" w:rsidRDefault="005D763A" w:rsidP="000810CB">
      <w:pPr>
        <w:pStyle w:val="afff2"/>
        <w:contextualSpacing/>
        <w:rPr>
          <w:lang w:val="en-US"/>
        </w:rPr>
      </w:pPr>
      <w:r w:rsidRPr="005D763A">
        <w:rPr>
          <w:lang w:val="en-US"/>
        </w:rPr>
        <w:t>27.</w:t>
      </w:r>
      <w:r w:rsidRPr="005D763A">
        <w:rPr>
          <w:lang w:val="en-US"/>
        </w:rPr>
        <w:tab/>
        <w:t>Novak N., Bieber T., Hoffmann M. et al. Efficacy and safety of subcutaneous allergenspecific immunotherapy with depigmented polymerized mite extract in atopic dermatitis. J Allergy Clin Immunol 2012; 130: 925– 931 e4.</w:t>
      </w:r>
    </w:p>
    <w:p w14:paraId="463E3203" w14:textId="77777777" w:rsidR="005D763A" w:rsidRPr="005D763A" w:rsidRDefault="005D763A" w:rsidP="000810CB">
      <w:pPr>
        <w:pStyle w:val="afff2"/>
        <w:contextualSpacing/>
        <w:rPr>
          <w:lang w:val="en-US"/>
        </w:rPr>
      </w:pPr>
      <w:r w:rsidRPr="005D763A">
        <w:rPr>
          <w:lang w:val="en-US"/>
        </w:rPr>
        <w:t>28.</w:t>
      </w:r>
      <w:r w:rsidRPr="005D763A">
        <w:rPr>
          <w:lang w:val="en-US"/>
        </w:rPr>
        <w:tab/>
        <w:t>Qin Y.E., Mao J.R., Sang Y.C., Li W.X. Clinical efficacy and compliance of sublingual immunotherapy with Dermatophagoides farinae drops in patients with atopic dermatitis. Int J Dermatol 2014; 53: 650–655.</w:t>
      </w:r>
    </w:p>
    <w:p w14:paraId="5B117607" w14:textId="77777777" w:rsidR="005D763A" w:rsidRPr="005D763A" w:rsidRDefault="005D763A" w:rsidP="000810CB">
      <w:pPr>
        <w:pStyle w:val="afff2"/>
        <w:contextualSpacing/>
        <w:rPr>
          <w:lang w:val="en-US"/>
        </w:rPr>
      </w:pPr>
      <w:r w:rsidRPr="005D763A">
        <w:rPr>
          <w:lang w:val="en-US"/>
        </w:rPr>
        <w:lastRenderedPageBreak/>
        <w:t>29.</w:t>
      </w:r>
      <w:r w:rsidRPr="005D763A">
        <w:rPr>
          <w:lang w:val="en-US"/>
        </w:rPr>
        <w:tab/>
        <w:t>Liu L., Guo D., Liang Q. et al. The efficacy of sublingual immunotherapy with Dermatophagoides farinae vaccine in a murine atopic dermatitis model. Clin Exp Allergy 2015; 45: 815–822.</w:t>
      </w:r>
    </w:p>
    <w:p w14:paraId="47E9DBAF" w14:textId="77777777" w:rsidR="005D763A" w:rsidRPr="005D763A" w:rsidRDefault="005D763A" w:rsidP="000810CB">
      <w:pPr>
        <w:pStyle w:val="afff2"/>
        <w:contextualSpacing/>
      </w:pPr>
      <w:r w:rsidRPr="005D763A">
        <w:rPr>
          <w:lang w:val="en-US"/>
        </w:rPr>
        <w:t>30.</w:t>
      </w:r>
      <w:r w:rsidRPr="005D763A">
        <w:rPr>
          <w:lang w:val="en-US"/>
        </w:rPr>
        <w:tab/>
        <w:t xml:space="preserve">Ring J. Successful hyposensitization treatment in atopic eczema: results of a trial in monozygotic twins. </w:t>
      </w:r>
      <w:r w:rsidRPr="005D763A">
        <w:t>Br J Dermatol 1982; 107: 597–602.</w:t>
      </w:r>
    </w:p>
    <w:p w14:paraId="719DAD0D" w14:textId="77777777" w:rsidR="005D763A" w:rsidRPr="005D763A" w:rsidRDefault="005D763A" w:rsidP="000810CB">
      <w:pPr>
        <w:pStyle w:val="afff2"/>
        <w:contextualSpacing/>
      </w:pPr>
      <w:r w:rsidRPr="005D763A">
        <w:t>31.</w:t>
      </w:r>
      <w:r w:rsidRPr="005D763A">
        <w:tab/>
        <w:t>Монахов С. А., Коржачкина Н. Б., Олисова О. Ю. Узковолновая фототерапия 311 нм в лечении больных атопическим дерматитом. Российский журнал кожных и венерических болезней. 2012; 3: 25–27.</w:t>
      </w:r>
    </w:p>
    <w:p w14:paraId="4904BBD1" w14:textId="77777777" w:rsidR="005D763A" w:rsidRPr="005D763A" w:rsidRDefault="005D763A" w:rsidP="000810CB">
      <w:pPr>
        <w:pStyle w:val="afff2"/>
        <w:contextualSpacing/>
        <w:rPr>
          <w:lang w:val="en-US"/>
        </w:rPr>
      </w:pPr>
      <w:r w:rsidRPr="00F1294E">
        <w:t>32.</w:t>
      </w:r>
      <w:r w:rsidRPr="00F1294E">
        <w:tab/>
      </w:r>
      <w:r w:rsidRPr="005B11AD">
        <w:rPr>
          <w:lang w:val="en-US"/>
        </w:rPr>
        <w:t>Pugashetti</w:t>
      </w:r>
      <w:r w:rsidRPr="00F1294E">
        <w:t xml:space="preserve"> </w:t>
      </w:r>
      <w:r w:rsidRPr="005B11AD">
        <w:rPr>
          <w:lang w:val="en-US"/>
        </w:rPr>
        <w:t>R</w:t>
      </w:r>
      <w:r w:rsidRPr="00F1294E">
        <w:t xml:space="preserve">., </w:t>
      </w:r>
      <w:r w:rsidRPr="005B11AD">
        <w:rPr>
          <w:lang w:val="en-US"/>
        </w:rPr>
        <w:t>Lim</w:t>
      </w:r>
      <w:r w:rsidRPr="00F1294E">
        <w:t xml:space="preserve"> </w:t>
      </w:r>
      <w:r w:rsidRPr="005B11AD">
        <w:rPr>
          <w:lang w:val="en-US"/>
        </w:rPr>
        <w:t>H</w:t>
      </w:r>
      <w:r w:rsidRPr="00F1294E">
        <w:t>.</w:t>
      </w:r>
      <w:r w:rsidRPr="005B11AD">
        <w:rPr>
          <w:lang w:val="en-US"/>
        </w:rPr>
        <w:t>W</w:t>
      </w:r>
      <w:r w:rsidRPr="00F1294E">
        <w:t xml:space="preserve">., </w:t>
      </w:r>
      <w:r w:rsidRPr="005B11AD">
        <w:rPr>
          <w:lang w:val="en-US"/>
        </w:rPr>
        <w:t>Koo</w:t>
      </w:r>
      <w:r w:rsidRPr="00F1294E">
        <w:t xml:space="preserve"> </w:t>
      </w:r>
      <w:r w:rsidRPr="005B11AD">
        <w:rPr>
          <w:lang w:val="en-US"/>
        </w:rPr>
        <w:t>J</w:t>
      </w:r>
      <w:r w:rsidRPr="00F1294E">
        <w:t xml:space="preserve">. </w:t>
      </w:r>
      <w:r w:rsidRPr="005B11AD">
        <w:rPr>
          <w:lang w:val="en-US"/>
        </w:rPr>
        <w:t>Broadband</w:t>
      </w:r>
      <w:r w:rsidRPr="00F1294E">
        <w:t xml:space="preserve"> </w:t>
      </w:r>
      <w:r w:rsidRPr="005B11AD">
        <w:rPr>
          <w:lang w:val="en-US"/>
        </w:rPr>
        <w:t>UVB</w:t>
      </w:r>
      <w:r w:rsidRPr="00F1294E">
        <w:t xml:space="preserve"> </w:t>
      </w:r>
      <w:r w:rsidRPr="005B11AD">
        <w:rPr>
          <w:lang w:val="en-US"/>
        </w:rPr>
        <w:t>revisited</w:t>
      </w:r>
      <w:r w:rsidRPr="00F1294E">
        <w:t xml:space="preserve">: </w:t>
      </w:r>
      <w:r w:rsidRPr="005B11AD">
        <w:rPr>
          <w:lang w:val="en-US"/>
        </w:rPr>
        <w:t>is</w:t>
      </w:r>
      <w:r w:rsidRPr="00F1294E">
        <w:t xml:space="preserve"> </w:t>
      </w:r>
      <w:r w:rsidRPr="005B11AD">
        <w:rPr>
          <w:lang w:val="en-US"/>
        </w:rPr>
        <w:t>the</w:t>
      </w:r>
      <w:r w:rsidRPr="00F1294E">
        <w:t xml:space="preserve"> </w:t>
      </w:r>
      <w:r w:rsidRPr="005B11AD">
        <w:rPr>
          <w:lang w:val="en-US"/>
        </w:rPr>
        <w:t>narrowband</w:t>
      </w:r>
      <w:r w:rsidRPr="00F1294E">
        <w:t xml:space="preserve"> </w:t>
      </w:r>
      <w:r w:rsidRPr="005B11AD">
        <w:rPr>
          <w:lang w:val="en-US"/>
        </w:rPr>
        <w:t>UVB</w:t>
      </w:r>
      <w:r w:rsidRPr="00F1294E">
        <w:t xml:space="preserve"> </w:t>
      </w:r>
      <w:r w:rsidRPr="005B11AD">
        <w:rPr>
          <w:lang w:val="en-US"/>
        </w:rPr>
        <w:t>fad</w:t>
      </w:r>
      <w:r w:rsidRPr="00F1294E">
        <w:t xml:space="preserve"> </w:t>
      </w:r>
      <w:r w:rsidRPr="005B11AD">
        <w:rPr>
          <w:lang w:val="en-US"/>
        </w:rPr>
        <w:t>limiting</w:t>
      </w:r>
      <w:r w:rsidRPr="00F1294E">
        <w:t xml:space="preserve"> </w:t>
      </w:r>
      <w:r w:rsidRPr="005B11AD">
        <w:rPr>
          <w:lang w:val="en-US"/>
        </w:rPr>
        <w:t>our</w:t>
      </w:r>
      <w:r w:rsidRPr="00F1294E">
        <w:t xml:space="preserve"> </w:t>
      </w:r>
      <w:r w:rsidRPr="005B11AD">
        <w:rPr>
          <w:lang w:val="en-US"/>
        </w:rPr>
        <w:t>therapeutic</w:t>
      </w:r>
      <w:r w:rsidRPr="00F1294E">
        <w:t xml:space="preserve"> </w:t>
      </w:r>
      <w:r w:rsidRPr="005B11AD">
        <w:rPr>
          <w:lang w:val="en-US"/>
        </w:rPr>
        <w:t>options</w:t>
      </w:r>
      <w:r w:rsidRPr="00F1294E">
        <w:t xml:space="preserve">? </w:t>
      </w:r>
      <w:r w:rsidRPr="005D763A">
        <w:rPr>
          <w:lang w:val="en-US"/>
        </w:rPr>
        <w:t>J Dermatolog Treat 2010; 21: 326–330.</w:t>
      </w:r>
    </w:p>
    <w:p w14:paraId="55A61093" w14:textId="77777777" w:rsidR="005D763A" w:rsidRPr="005D763A" w:rsidRDefault="005D763A" w:rsidP="000810CB">
      <w:pPr>
        <w:pStyle w:val="afff2"/>
        <w:contextualSpacing/>
        <w:rPr>
          <w:lang w:val="en-US"/>
        </w:rPr>
      </w:pPr>
      <w:r w:rsidRPr="005D763A">
        <w:rPr>
          <w:lang w:val="en-US"/>
        </w:rPr>
        <w:t>33.</w:t>
      </w:r>
      <w:r w:rsidRPr="005D763A">
        <w:rPr>
          <w:lang w:val="en-US"/>
        </w:rPr>
        <w:tab/>
        <w:t>Tzaneva S., Kittler H., Holzer G. et al. 5-Methoxypsoralen plus ultraviolet (UV) A is superior to medium-dose UVA1 in the treatment of severe atopic dermatitis: a randomized crossover trial. Br J Dermatol 2010; 162: 655–660.</w:t>
      </w:r>
    </w:p>
    <w:p w14:paraId="5ED6B476" w14:textId="77777777" w:rsidR="005D763A" w:rsidRPr="005D763A" w:rsidRDefault="005D763A" w:rsidP="000810CB">
      <w:pPr>
        <w:pStyle w:val="afff2"/>
        <w:contextualSpacing/>
        <w:rPr>
          <w:lang w:val="en-US"/>
        </w:rPr>
      </w:pPr>
      <w:r w:rsidRPr="005D763A">
        <w:rPr>
          <w:lang w:val="en-US"/>
        </w:rPr>
        <w:t>34.</w:t>
      </w:r>
      <w:r w:rsidRPr="005D763A">
        <w:rPr>
          <w:lang w:val="en-US"/>
        </w:rPr>
        <w:tab/>
        <w:t>Patrizi A., Raone B., Ravaioli G.M. Management of atopic dermatitis: safety and efficacy of phototherapy. Clin Cosmet Investig Dermatol 2015:8 511–520.</w:t>
      </w:r>
    </w:p>
    <w:p w14:paraId="6DD603A2" w14:textId="77777777" w:rsidR="005D763A" w:rsidRPr="005D763A" w:rsidRDefault="005D763A" w:rsidP="000810CB">
      <w:pPr>
        <w:pStyle w:val="afff2"/>
        <w:contextualSpacing/>
        <w:rPr>
          <w:lang w:val="en-US"/>
        </w:rPr>
      </w:pPr>
      <w:r w:rsidRPr="005D763A">
        <w:rPr>
          <w:lang w:val="en-US"/>
        </w:rPr>
        <w:t>35.</w:t>
      </w:r>
      <w:r w:rsidRPr="005D763A">
        <w:rPr>
          <w:lang w:val="en-US"/>
        </w:rPr>
        <w:tab/>
        <w:t>Pérez-Ferriols A., Aranegui B., Pujol-Montcusí J.A. et al. Phototherapy in atopic dermatitis: a systematic review of the literature. Actas Dermosifiliogr. 2015; 106 (5): 387–401.</w:t>
      </w:r>
    </w:p>
    <w:p w14:paraId="465645DA" w14:textId="77777777" w:rsidR="005D763A" w:rsidRPr="005D763A" w:rsidRDefault="005D763A" w:rsidP="000810CB">
      <w:pPr>
        <w:pStyle w:val="afff2"/>
        <w:contextualSpacing/>
        <w:rPr>
          <w:lang w:val="en-US"/>
        </w:rPr>
      </w:pPr>
      <w:r w:rsidRPr="005D763A">
        <w:rPr>
          <w:lang w:val="en-US"/>
        </w:rPr>
        <w:t>36.</w:t>
      </w:r>
      <w:r w:rsidRPr="005D763A">
        <w:rPr>
          <w:lang w:val="en-US"/>
        </w:rPr>
        <w:tab/>
        <w:t>Dogra S., Mahajan R.; Indian Association of Dermatologists, Venereologists and Leprologists. Phototherapy for atopic dermatitis. Indian J Dermatol Venereol Leprol. 2015; 81 (1): 10–15.</w:t>
      </w:r>
    </w:p>
    <w:p w14:paraId="76C29A87" w14:textId="77777777" w:rsidR="005D763A" w:rsidRPr="005D763A" w:rsidRDefault="005D763A" w:rsidP="000810CB">
      <w:pPr>
        <w:pStyle w:val="afff2"/>
        <w:contextualSpacing/>
        <w:rPr>
          <w:lang w:val="en-US"/>
        </w:rPr>
      </w:pPr>
      <w:r w:rsidRPr="005D763A">
        <w:rPr>
          <w:lang w:val="en-US"/>
        </w:rPr>
        <w:t>37.</w:t>
      </w:r>
      <w:r w:rsidRPr="005D763A">
        <w:rPr>
          <w:lang w:val="en-US"/>
        </w:rPr>
        <w:tab/>
        <w:t>Summary of product characteristics. Olumiant.</w:t>
      </w:r>
    </w:p>
    <w:p w14:paraId="22AF212F" w14:textId="77777777" w:rsidR="005D763A" w:rsidRPr="005D763A" w:rsidRDefault="005D763A" w:rsidP="000810CB">
      <w:pPr>
        <w:pStyle w:val="afff2"/>
        <w:contextualSpacing/>
        <w:rPr>
          <w:lang w:val="en-US"/>
        </w:rPr>
      </w:pPr>
      <w:r w:rsidRPr="005D763A">
        <w:rPr>
          <w:lang w:val="en-US"/>
        </w:rPr>
        <w:t>38.</w:t>
      </w:r>
      <w:r w:rsidRPr="005D763A">
        <w:rPr>
          <w:lang w:val="en-US"/>
        </w:rPr>
        <w:tab/>
        <w:t>Assessment report. Olumiant International non-proprietary name: baricitinib. Procedure No. EMEA/H/C/004085/0000. 2016.</w:t>
      </w:r>
    </w:p>
    <w:p w14:paraId="3398D088" w14:textId="77777777" w:rsidR="005D763A" w:rsidRPr="005D763A" w:rsidRDefault="005D763A" w:rsidP="000810CB">
      <w:pPr>
        <w:pStyle w:val="afff2"/>
        <w:contextualSpacing/>
        <w:rPr>
          <w:lang w:val="en-US"/>
        </w:rPr>
      </w:pPr>
      <w:r w:rsidRPr="005D763A">
        <w:rPr>
          <w:lang w:val="en-US"/>
        </w:rPr>
        <w:t>39.</w:t>
      </w:r>
      <w:r w:rsidRPr="005D763A">
        <w:rPr>
          <w:lang w:val="en-US"/>
        </w:rPr>
        <w:tab/>
        <w:t>Australian Public Assessment Report for Baricitinib. Proprietary Product Name: Olumiant. Sponsor: Eli Lilly Australia Pty Ltd. 2019.</w:t>
      </w:r>
    </w:p>
    <w:p w14:paraId="0884BDB0" w14:textId="77777777" w:rsidR="005D763A" w:rsidRPr="005D763A" w:rsidRDefault="005D763A" w:rsidP="000810CB">
      <w:pPr>
        <w:pStyle w:val="afff2"/>
        <w:contextualSpacing/>
        <w:rPr>
          <w:lang w:val="en-US"/>
        </w:rPr>
      </w:pPr>
      <w:r w:rsidRPr="005D763A">
        <w:rPr>
          <w:lang w:val="en-US"/>
        </w:rPr>
        <w:t>40.</w:t>
      </w:r>
      <w:r w:rsidRPr="005D763A">
        <w:rPr>
          <w:lang w:val="en-US"/>
        </w:rPr>
        <w:tab/>
        <w:t>U.S. Food and Drug Administration. Drug Approval PackagOLUMIANT® (baricitinib).</w:t>
      </w:r>
    </w:p>
    <w:p w14:paraId="676DB8F7" w14:textId="77777777" w:rsidR="005D763A" w:rsidRPr="005D763A" w:rsidRDefault="005D763A" w:rsidP="000810CB">
      <w:pPr>
        <w:pStyle w:val="afff2"/>
        <w:contextualSpacing/>
      </w:pPr>
      <w:r w:rsidRPr="005D763A">
        <w:rPr>
          <w:lang w:val="en-US"/>
        </w:rPr>
        <w:t>41.</w:t>
      </w:r>
      <w:r w:rsidRPr="005D763A">
        <w:rPr>
          <w:lang w:val="en-US"/>
        </w:rPr>
        <w:tab/>
        <w:t xml:space="preserve">Assessment report. Olumiant. International non-proprietary name: baricitinib. </w:t>
      </w:r>
      <w:r w:rsidRPr="005D763A">
        <w:t>Procedure No. EMEA/H/C/004085/II/0029/G. 2022.</w:t>
      </w:r>
    </w:p>
    <w:p w14:paraId="775DC620" w14:textId="77777777" w:rsidR="005D763A" w:rsidRPr="005D763A" w:rsidRDefault="005D763A" w:rsidP="000810CB">
      <w:pPr>
        <w:pStyle w:val="afff2"/>
        <w:contextualSpacing/>
      </w:pPr>
      <w:r w:rsidRPr="005D763A">
        <w:t>42.</w:t>
      </w:r>
      <w:r w:rsidRPr="005D763A">
        <w:tab/>
        <w:t>Инструкция по медицинскому применению препарата Олюмиант. 2022.</w:t>
      </w:r>
    </w:p>
    <w:p w14:paraId="6386B721" w14:textId="77777777" w:rsidR="005D763A" w:rsidRPr="005D763A" w:rsidRDefault="005D763A" w:rsidP="000810CB">
      <w:pPr>
        <w:pStyle w:val="afff2"/>
        <w:contextualSpacing/>
        <w:rPr>
          <w:lang w:val="en-US"/>
        </w:rPr>
      </w:pPr>
      <w:r w:rsidRPr="005D763A">
        <w:rPr>
          <w:lang w:val="en-US"/>
        </w:rPr>
        <w:t>43.</w:t>
      </w:r>
      <w:r w:rsidRPr="005D763A">
        <w:rPr>
          <w:lang w:val="en-US"/>
        </w:rPr>
        <w:tab/>
        <w:t>Lin Z, Niu J, Xu Y, Qin L, Ding J, Zhou L. Clinical efficacy and adverse events of baricitinib treatment for coronavirus disease-2019 (COVID-19): A systematic review and meta-analysis. J Med Virol. 2022 Apr;94(4):1523-1534. doi: 10.1002/jmv.27482. Epub 2021 Dec 13. PMID: 34846766; PMCID: PMC9015594.</w:t>
      </w:r>
    </w:p>
    <w:p w14:paraId="422C506B" w14:textId="77777777" w:rsidR="005D763A" w:rsidRPr="005D763A" w:rsidRDefault="005D763A" w:rsidP="000810CB">
      <w:pPr>
        <w:pStyle w:val="afff2"/>
        <w:contextualSpacing/>
        <w:rPr>
          <w:lang w:val="en-US"/>
        </w:rPr>
      </w:pPr>
      <w:r w:rsidRPr="005D763A">
        <w:rPr>
          <w:lang w:val="en-US"/>
        </w:rPr>
        <w:t>44.</w:t>
      </w:r>
      <w:r w:rsidRPr="005D763A">
        <w:rPr>
          <w:lang w:val="en-US"/>
        </w:rPr>
        <w:tab/>
        <w:t>Yasuda Y, Hirayama Y, Uemasu K, Arasawa S, Iwashima D, Takahashi KI. Efficacy of the combination of baricitinib, remdesivir, and dexamethasone in hypoxic adults with COVID-19: A retrospective study. Respir Med Res. 2022 May;81:100903. doi: 10.1016/j.resmer.2022.100903. Epub 2022 Mar 19. PMID: 35316675; PMCID: PMC8933643.</w:t>
      </w:r>
    </w:p>
    <w:p w14:paraId="3915F422" w14:textId="77777777" w:rsidR="005D763A" w:rsidRPr="005D763A" w:rsidRDefault="005D763A" w:rsidP="000810CB">
      <w:pPr>
        <w:pStyle w:val="afff2"/>
        <w:contextualSpacing/>
        <w:rPr>
          <w:lang w:val="en-US"/>
        </w:rPr>
      </w:pPr>
      <w:r w:rsidRPr="005D763A">
        <w:rPr>
          <w:lang w:val="en-US"/>
        </w:rPr>
        <w:t>45.</w:t>
      </w:r>
      <w:r w:rsidRPr="005D763A">
        <w:rPr>
          <w:lang w:val="en-US"/>
        </w:rPr>
        <w:tab/>
        <w:t>Thoms BL, Gosselin J, Libman B, Littenberg B, Budd RC. Efficacy of Combination Therapy with the JAK Inhibitor Baricitinib in the Treatment of COVID-19. SN Compr Clin Med. 2022;4(1):42. doi: 10.1007/s42399-022-01121-4. Epub 2022 Jan 21. PMID: 35079694; PMCID: PMC8776555.</w:t>
      </w:r>
    </w:p>
    <w:p w14:paraId="1A439F56" w14:textId="77777777" w:rsidR="005D763A" w:rsidRPr="005D763A" w:rsidRDefault="005D763A" w:rsidP="000810CB">
      <w:pPr>
        <w:pStyle w:val="afff2"/>
        <w:contextualSpacing/>
        <w:rPr>
          <w:lang w:val="en-US"/>
        </w:rPr>
      </w:pPr>
      <w:r w:rsidRPr="005D763A">
        <w:rPr>
          <w:lang w:val="en-US"/>
        </w:rPr>
        <w:t>46.</w:t>
      </w:r>
      <w:r w:rsidRPr="005D763A">
        <w:rPr>
          <w:lang w:val="en-US"/>
        </w:rPr>
        <w:tab/>
        <w:t xml:space="preserve">Marconi VC, Ramanan AV, de Bono S, Kartman CE, Krishnan V, Liao R, Piruzeli MLB, Goldman JD, Alatorre-Alexander J, de Cassia Pellegrini R, Estrada V, Som M, Cardoso A, Chakladar S, Crowe B, Reis P, Zhang X, Adams DH, Ely EW; COV-BARRIER Study Group. Efficacy and safety of baricitinib for the treatment of hospitalised adults with COVID-19 (COV-BARRIER): a randomised, double-blind, parallel-group, placebo-controlled phase 3 trial. Lancet Respir Med. 2021 Dec;9(12):1407-1418. doi: </w:t>
      </w:r>
      <w:r w:rsidRPr="005D763A">
        <w:rPr>
          <w:lang w:val="en-US"/>
        </w:rPr>
        <w:lastRenderedPageBreak/>
        <w:t>10.1016/S2213-2600(21)00331-3. Epub 2021 Sep 1. Erratum in: Lancet Respir Med. 2021 Oct;9(10):e102. PMID: 34480861; PMCID: PMC8409066.</w:t>
      </w:r>
    </w:p>
    <w:p w14:paraId="2F4457B2" w14:textId="77777777" w:rsidR="005D763A" w:rsidRPr="005D763A" w:rsidRDefault="005D763A" w:rsidP="000810CB">
      <w:pPr>
        <w:pStyle w:val="afff2"/>
        <w:contextualSpacing/>
        <w:rPr>
          <w:lang w:val="en-US"/>
        </w:rPr>
      </w:pPr>
      <w:r w:rsidRPr="005D763A">
        <w:rPr>
          <w:lang w:val="en-US"/>
        </w:rPr>
        <w:t>47.</w:t>
      </w:r>
      <w:r w:rsidRPr="005D763A">
        <w:rPr>
          <w:lang w:val="en-US"/>
        </w:rPr>
        <w:tab/>
        <w:t>Ely EW, Ramanan AV, Kartman CE, de Bono S, Liao R, Piruzeli MLB, Goldman JD, Saraiva JFK, Chakladar S, Marconi VC; COV-BARRIER Study Group. Efficacy and safety of baricitinib plus standard of care for the treatment of critically ill hospitalised adults with COVID-19 on invasive mechanical ventilation or extracorporeal membrane oxygenation: an exploratory, randomised, placebo-controlled trial. Lancet Respir Med. 2022 Apr;10(4):327-336. doi: 10.1016/S2213-2600(22)00006-6. Epub 2022 Feb 3. Erratum in: Lancet Respir Med. 2022 Feb 11;: PMID: 35123660; PMCID: PMC8813065.</w:t>
      </w:r>
    </w:p>
    <w:p w14:paraId="09E9A3DC" w14:textId="0050790E" w:rsidR="00FD0B41" w:rsidRPr="00815CC0" w:rsidRDefault="005D763A" w:rsidP="007B5610">
      <w:pPr>
        <w:pStyle w:val="afff2"/>
        <w:contextualSpacing/>
        <w:rPr>
          <w:lang w:val="en-US" w:eastAsia="en-US"/>
        </w:rPr>
      </w:pPr>
      <w:r w:rsidRPr="005D763A">
        <w:rPr>
          <w:lang w:val="en-US"/>
        </w:rPr>
        <w:t>48.</w:t>
      </w:r>
      <w:r w:rsidRPr="005D763A">
        <w:rPr>
          <w:lang w:val="en-US"/>
        </w:rPr>
        <w:tab/>
        <w:t xml:space="preserve">Bieber T, Thyssen JP, Reich K, Simpson EL, Katoh N, Torrelo A, De Bruin-Weller M, Thaci D, Bissonnette R, Gooderham M, Weisman J, Nunes F, Brinker D, Issa M, Holzwarth K, Gamalo M, Riedl E, Janes J. Pooled safety analysis of baricitinib in adult patients with atopic dermatitis from 8 randomized clinical trials. J Eur Acad Dermatol Venereol. 2021 Feb;35(2):476-485. doi: 10.1111/jdv.16948. Epub 2020 Oct 6. </w:t>
      </w:r>
      <w:r w:rsidRPr="005D763A">
        <w:t>PMID: 32926462.</w:t>
      </w:r>
      <w:r w:rsidR="00815CC0">
        <w:rPr>
          <w:lang w:eastAsia="en-US"/>
        </w:rPr>
        <w:fldChar w:fldCharType="end"/>
      </w:r>
    </w:p>
    <w:p w14:paraId="162B2C90" w14:textId="77777777" w:rsidR="00425C04" w:rsidRPr="005E6358" w:rsidRDefault="00425C04" w:rsidP="004C505D">
      <w:pPr>
        <w:pStyle w:val="12"/>
        <w:numPr>
          <w:ilvl w:val="0"/>
          <w:numId w:val="1"/>
        </w:numPr>
        <w:tabs>
          <w:tab w:val="left" w:pos="142"/>
          <w:tab w:val="left" w:pos="284"/>
        </w:tabs>
        <w:spacing w:line="240" w:lineRule="auto"/>
        <w:ind w:left="0" w:firstLine="0"/>
        <w:rPr>
          <w:rFonts w:cs="Times New Roman"/>
          <w:color w:val="000000" w:themeColor="text1"/>
          <w:szCs w:val="24"/>
        </w:rPr>
      </w:pPr>
      <w:bookmarkStart w:id="42" w:name="_Toc120288112"/>
      <w:r w:rsidRPr="005E6358">
        <w:rPr>
          <w:rFonts w:cs="Times New Roman"/>
          <w:color w:val="000000" w:themeColor="text1"/>
          <w:szCs w:val="24"/>
        </w:rPr>
        <w:t>ФИЗИЧЕСКИЕ, ХИМИЧЕСКИЕ И ФАРМАЦЕВТИЧЕСКИЕ СВОЙСТВА И ЛЕКАРСТВЕННАЯ ФОРМА</w:t>
      </w:r>
      <w:bookmarkEnd w:id="42"/>
    </w:p>
    <w:p w14:paraId="115957B9" w14:textId="77777777" w:rsidR="00A1083A" w:rsidRPr="005E6358" w:rsidRDefault="00A1083A" w:rsidP="004C505D">
      <w:pPr>
        <w:pStyle w:val="2"/>
        <w:spacing w:line="240" w:lineRule="auto"/>
        <w:rPr>
          <w:color w:val="000000" w:themeColor="text1"/>
          <w:szCs w:val="24"/>
        </w:rPr>
      </w:pPr>
      <w:bookmarkStart w:id="43" w:name="_Toc415001079"/>
      <w:bookmarkStart w:id="44" w:name="_Toc120288113"/>
      <w:r w:rsidRPr="005E6358">
        <w:rPr>
          <w:color w:val="000000" w:themeColor="text1"/>
          <w:szCs w:val="24"/>
        </w:rPr>
        <w:t>2.1</w:t>
      </w:r>
      <w:r w:rsidR="00CF2256">
        <w:rPr>
          <w:color w:val="000000" w:themeColor="text1"/>
          <w:szCs w:val="24"/>
        </w:rPr>
        <w:t>.</w:t>
      </w:r>
      <w:r w:rsidRPr="005E6358">
        <w:rPr>
          <w:color w:val="000000" w:themeColor="text1"/>
          <w:szCs w:val="24"/>
        </w:rPr>
        <w:t xml:space="preserve"> Описание свойств исследуемого препарата</w:t>
      </w:r>
      <w:bookmarkEnd w:id="43"/>
      <w:bookmarkEnd w:id="44"/>
    </w:p>
    <w:p w14:paraId="2B870BA8" w14:textId="77777777" w:rsidR="00A1083A" w:rsidRPr="005E6358" w:rsidRDefault="00A1083A" w:rsidP="004C505D">
      <w:pPr>
        <w:pStyle w:val="3"/>
        <w:spacing w:after="240"/>
        <w:rPr>
          <w:color w:val="000000" w:themeColor="text1"/>
          <w:szCs w:val="24"/>
        </w:rPr>
      </w:pPr>
      <w:bookmarkStart w:id="45" w:name="_Toc415001080"/>
      <w:bookmarkStart w:id="46" w:name="_Toc120288114"/>
      <w:r w:rsidRPr="005E6358">
        <w:rPr>
          <w:color w:val="000000" w:themeColor="text1"/>
          <w:szCs w:val="24"/>
        </w:rPr>
        <w:t>2.1.1</w:t>
      </w:r>
      <w:r w:rsidR="00CF2256">
        <w:rPr>
          <w:color w:val="000000" w:themeColor="text1"/>
          <w:szCs w:val="24"/>
        </w:rPr>
        <w:t>.</w:t>
      </w:r>
      <w:r w:rsidRPr="005E6358">
        <w:rPr>
          <w:color w:val="000000" w:themeColor="text1"/>
          <w:szCs w:val="24"/>
        </w:rPr>
        <w:t xml:space="preserve"> Химическая формула</w:t>
      </w:r>
      <w:bookmarkEnd w:id="45"/>
      <w:bookmarkEnd w:id="46"/>
    </w:p>
    <w:p w14:paraId="76D6EF64" w14:textId="3E7389F5" w:rsidR="00727F41" w:rsidRPr="009B0091" w:rsidRDefault="00A13913" w:rsidP="00BA2D96">
      <w:pPr>
        <w:spacing w:after="0" w:line="240" w:lineRule="auto"/>
        <w:rPr>
          <w:rFonts w:eastAsia="Times New Roman"/>
          <w:b/>
          <w:szCs w:val="22"/>
          <w:lang w:eastAsia="en-US"/>
        </w:rPr>
      </w:pPr>
      <w:bookmarkStart w:id="47" w:name="_Toc415001081"/>
      <w:r w:rsidRPr="00A13913">
        <w:rPr>
          <w:rStyle w:val="afff1"/>
          <w:rFonts w:eastAsia="MS Mincho"/>
          <w:b w:val="0"/>
        </w:rPr>
        <w:t>C</w:t>
      </w:r>
      <w:r w:rsidRPr="00A13913">
        <w:rPr>
          <w:rStyle w:val="afff1"/>
          <w:rFonts w:eastAsia="MS Mincho"/>
          <w:b w:val="0"/>
          <w:vertAlign w:val="subscript"/>
        </w:rPr>
        <w:t>16</w:t>
      </w:r>
      <w:r w:rsidRPr="00A13913">
        <w:rPr>
          <w:rStyle w:val="afff1"/>
          <w:rFonts w:eastAsia="MS Mincho"/>
          <w:b w:val="0"/>
        </w:rPr>
        <w:t>H</w:t>
      </w:r>
      <w:r w:rsidRPr="00A13913">
        <w:rPr>
          <w:rStyle w:val="afff1"/>
          <w:rFonts w:eastAsia="MS Mincho"/>
          <w:b w:val="0"/>
          <w:vertAlign w:val="subscript"/>
        </w:rPr>
        <w:t>17</w:t>
      </w:r>
      <w:r w:rsidRPr="00A13913">
        <w:rPr>
          <w:rStyle w:val="afff1"/>
          <w:rFonts w:eastAsia="MS Mincho"/>
          <w:b w:val="0"/>
        </w:rPr>
        <w:t>N</w:t>
      </w:r>
      <w:r w:rsidRPr="00A13913">
        <w:rPr>
          <w:rStyle w:val="afff1"/>
          <w:rFonts w:eastAsia="MS Mincho"/>
          <w:b w:val="0"/>
          <w:vertAlign w:val="subscript"/>
        </w:rPr>
        <w:t>7</w:t>
      </w:r>
      <w:r w:rsidRPr="00A13913">
        <w:rPr>
          <w:rStyle w:val="afff1"/>
          <w:rFonts w:eastAsia="MS Mincho"/>
          <w:b w:val="0"/>
        </w:rPr>
        <w:t>O</w:t>
      </w:r>
      <w:r w:rsidRPr="00A13913">
        <w:rPr>
          <w:rStyle w:val="afff1"/>
          <w:rFonts w:eastAsia="MS Mincho"/>
          <w:b w:val="0"/>
          <w:vertAlign w:val="subscript"/>
        </w:rPr>
        <w:t>2</w:t>
      </w:r>
      <w:r w:rsidRPr="00A13913">
        <w:rPr>
          <w:rStyle w:val="afff1"/>
          <w:rFonts w:eastAsia="MS Mincho"/>
          <w:b w:val="0"/>
        </w:rPr>
        <w:t>S</w:t>
      </w:r>
    </w:p>
    <w:p w14:paraId="2EAAB47C" w14:textId="77777777" w:rsidR="00A1083A" w:rsidRPr="005E6358" w:rsidRDefault="00A1083A" w:rsidP="004C505D">
      <w:pPr>
        <w:pStyle w:val="3"/>
        <w:spacing w:after="240"/>
        <w:rPr>
          <w:color w:val="000000" w:themeColor="text1"/>
          <w:szCs w:val="24"/>
        </w:rPr>
      </w:pPr>
      <w:bookmarkStart w:id="48" w:name="_Toc120288115"/>
      <w:r w:rsidRPr="005E6358">
        <w:rPr>
          <w:color w:val="000000" w:themeColor="text1"/>
          <w:szCs w:val="24"/>
        </w:rPr>
        <w:t>2.1.2</w:t>
      </w:r>
      <w:r w:rsidR="00CF2256">
        <w:rPr>
          <w:color w:val="000000" w:themeColor="text1"/>
          <w:szCs w:val="24"/>
        </w:rPr>
        <w:t>.</w:t>
      </w:r>
      <w:r w:rsidRPr="005E6358">
        <w:rPr>
          <w:color w:val="000000" w:themeColor="text1"/>
          <w:szCs w:val="24"/>
        </w:rPr>
        <w:t xml:space="preserve"> Структурная формула</w:t>
      </w:r>
      <w:bookmarkEnd w:id="47"/>
      <w:bookmarkEnd w:id="48"/>
    </w:p>
    <w:p w14:paraId="65DAB4EA" w14:textId="6DF53600" w:rsidR="00BD4C8F" w:rsidRPr="005E6358" w:rsidRDefault="00BD4C8F" w:rsidP="00895541">
      <w:pPr>
        <w:spacing w:after="0" w:line="240" w:lineRule="auto"/>
        <w:rPr>
          <w:color w:val="000000" w:themeColor="text1"/>
        </w:rPr>
      </w:pPr>
      <w:r w:rsidRPr="005E6358">
        <w:rPr>
          <w:b/>
          <w:color w:val="000000" w:themeColor="text1"/>
        </w:rPr>
        <w:t xml:space="preserve">Рисунок </w:t>
      </w:r>
      <w:r w:rsidR="008F42EE" w:rsidRPr="005E6358">
        <w:rPr>
          <w:b/>
          <w:color w:val="000000" w:themeColor="text1"/>
        </w:rPr>
        <w:t>2</w:t>
      </w:r>
      <w:r w:rsidR="00AB01E2">
        <w:rPr>
          <w:b/>
          <w:color w:val="000000" w:themeColor="text1"/>
        </w:rPr>
        <w:t>-</w:t>
      </w:r>
      <w:r w:rsidR="00B042F3" w:rsidRPr="005E6358">
        <w:rPr>
          <w:b/>
          <w:color w:val="000000" w:themeColor="text1"/>
        </w:rPr>
        <w:t>1.</w:t>
      </w:r>
      <w:r w:rsidRPr="005E6358">
        <w:rPr>
          <w:color w:val="000000" w:themeColor="text1"/>
        </w:rPr>
        <w:t xml:space="preserve"> Структурная формула </w:t>
      </w:r>
      <w:r w:rsidR="00A13913">
        <w:rPr>
          <w:rFonts w:eastAsia="Times New Roman"/>
          <w:bCs/>
          <w:lang w:eastAsia="ru-RU"/>
        </w:rPr>
        <w:t>бар</w:t>
      </w:r>
      <w:r w:rsidR="007B5610">
        <w:rPr>
          <w:rFonts w:eastAsia="Times New Roman"/>
          <w:bCs/>
          <w:lang w:eastAsia="ru-RU"/>
        </w:rPr>
        <w:t>и</w:t>
      </w:r>
      <w:r w:rsidR="00A13913">
        <w:rPr>
          <w:rFonts w:eastAsia="Times New Roman"/>
          <w:bCs/>
          <w:lang w:eastAsia="ru-RU"/>
        </w:rPr>
        <w:t>цитиниба</w:t>
      </w:r>
      <w:r w:rsidRPr="005E6358">
        <w:rPr>
          <w:color w:val="000000" w:themeColor="text1"/>
        </w:rPr>
        <w:t>.</w:t>
      </w:r>
    </w:p>
    <w:p w14:paraId="125B53DF" w14:textId="7E972ED2" w:rsidR="009B0091" w:rsidRPr="001543BB" w:rsidRDefault="00FD0B41" w:rsidP="000810CB">
      <w:pPr>
        <w:spacing w:line="240" w:lineRule="auto"/>
        <w:contextualSpacing/>
        <w:rPr>
          <w:b/>
        </w:rPr>
      </w:pPr>
      <w:r w:rsidRPr="00FD0B41">
        <w:t xml:space="preserve"> </w:t>
      </w:r>
      <w:r w:rsidR="001875DA">
        <w:rPr>
          <w:noProof/>
          <w:lang w:eastAsia="ru-RU"/>
        </w:rPr>
        <w:drawing>
          <wp:inline distT="0" distB="0" distL="0" distR="0" wp14:anchorId="3E35A301" wp14:editId="3FAFA7B6">
            <wp:extent cx="1790700" cy="2829306"/>
            <wp:effectExtent l="0" t="0" r="0" b="0"/>
            <wp:docPr id="21" name="Рисунок 21" descr="Барицитиниб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арицитиниб — Википеди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4350" cy="2835073"/>
                    </a:xfrm>
                    <a:prstGeom prst="rect">
                      <a:avLst/>
                    </a:prstGeom>
                    <a:noFill/>
                    <a:ln>
                      <a:noFill/>
                    </a:ln>
                  </pic:spPr>
                </pic:pic>
              </a:graphicData>
            </a:graphic>
          </wp:inline>
        </w:drawing>
      </w:r>
    </w:p>
    <w:p w14:paraId="54AD43D7" w14:textId="77777777" w:rsidR="00EA5D20" w:rsidRDefault="00EA5D20" w:rsidP="000810CB">
      <w:pPr>
        <w:spacing w:after="0" w:line="240" w:lineRule="auto"/>
        <w:contextualSpacing/>
        <w:rPr>
          <w:rStyle w:val="lrzxr"/>
          <w:b/>
        </w:rPr>
      </w:pPr>
    </w:p>
    <w:p w14:paraId="612D22A1" w14:textId="77777777" w:rsidR="00052AE8" w:rsidRDefault="003B15F3" w:rsidP="00052AE8">
      <w:pPr>
        <w:spacing w:after="0" w:line="240" w:lineRule="auto"/>
        <w:contextualSpacing/>
      </w:pPr>
      <w:r w:rsidRPr="00EA5D20">
        <w:rPr>
          <w:rStyle w:val="lrzxr"/>
          <w:b/>
        </w:rPr>
        <w:t xml:space="preserve">Молекулярная масса: </w:t>
      </w:r>
      <w:r w:rsidR="00A13913">
        <w:t>371,4</w:t>
      </w:r>
      <w:r w:rsidR="00EC7281" w:rsidRPr="00407F86">
        <w:t xml:space="preserve"> г/моль</w:t>
      </w:r>
      <w:bookmarkStart w:id="49" w:name="_Toc323751672"/>
    </w:p>
    <w:p w14:paraId="73EE2C80" w14:textId="77777777" w:rsidR="00052AE8" w:rsidRDefault="00052AE8" w:rsidP="00052AE8">
      <w:pPr>
        <w:spacing w:after="0" w:line="240" w:lineRule="auto"/>
        <w:contextualSpacing/>
      </w:pPr>
    </w:p>
    <w:p w14:paraId="3BE079C2" w14:textId="77777777" w:rsidR="007B5610" w:rsidRDefault="007B5610" w:rsidP="00052AE8">
      <w:pPr>
        <w:pStyle w:val="3"/>
        <w:contextualSpacing/>
        <w:sectPr w:rsidR="007B5610" w:rsidSect="00E34EAC">
          <w:pgSz w:w="11906" w:h="16838"/>
          <w:pgMar w:top="1134" w:right="849" w:bottom="1134" w:left="1701" w:header="708" w:footer="708" w:gutter="0"/>
          <w:cols w:space="708"/>
          <w:docGrid w:linePitch="360"/>
        </w:sectPr>
      </w:pPr>
      <w:bookmarkStart w:id="50" w:name="_Toc120288116"/>
    </w:p>
    <w:p w14:paraId="6B4342EB" w14:textId="5075378A" w:rsidR="00052AE8" w:rsidRDefault="00E30437" w:rsidP="00052AE8">
      <w:pPr>
        <w:pStyle w:val="3"/>
        <w:contextualSpacing/>
      </w:pPr>
      <w:r w:rsidRPr="00052AE8">
        <w:lastRenderedPageBreak/>
        <w:t>2.1.</w:t>
      </w:r>
      <w:r w:rsidR="00225ABA" w:rsidRPr="00052AE8">
        <w:t xml:space="preserve">3. </w:t>
      </w:r>
      <w:r w:rsidRPr="00052AE8">
        <w:t xml:space="preserve">Физико-химические </w:t>
      </w:r>
      <w:r w:rsidR="00425C04" w:rsidRPr="00052AE8">
        <w:t xml:space="preserve">и фармацевтические </w:t>
      </w:r>
      <w:r w:rsidRPr="00052AE8">
        <w:t>свойства</w:t>
      </w:r>
      <w:bookmarkEnd w:id="49"/>
      <w:bookmarkEnd w:id="50"/>
    </w:p>
    <w:p w14:paraId="3C6BBED9" w14:textId="77777777" w:rsidR="00052AE8" w:rsidRDefault="00052AE8" w:rsidP="00052AE8">
      <w:pPr>
        <w:spacing w:after="0" w:line="240" w:lineRule="auto"/>
        <w:contextualSpacing/>
        <w:rPr>
          <w:b/>
        </w:rPr>
      </w:pPr>
    </w:p>
    <w:p w14:paraId="5A3C2B04" w14:textId="4DD71EB2" w:rsidR="00052AE8" w:rsidRDefault="00116914" w:rsidP="001875DA">
      <w:pPr>
        <w:spacing w:after="0" w:line="240" w:lineRule="auto"/>
        <w:ind w:firstLine="709"/>
        <w:contextualSpacing/>
      </w:pPr>
      <w:r w:rsidRPr="000810CB">
        <w:t xml:space="preserve">Барицитиниб представляет собой негигроскопичный порошок от белого до практически белого </w:t>
      </w:r>
      <w:r w:rsidR="009333D1">
        <w:t>или светло-розового цвета, мало</w:t>
      </w:r>
      <w:r w:rsidRPr="000810CB">
        <w:t>растворимый в 0,1 N HCl и практич</w:t>
      </w:r>
      <w:r w:rsidR="009333D1">
        <w:t>ески нерастворимый в воде. Мало</w:t>
      </w:r>
      <w:r w:rsidRPr="000810CB">
        <w:t xml:space="preserve">растворим в этаноле и умеренно растворим в ацетоне и тетрагидрофуране. Он классифицируется как вещество класса </w:t>
      </w:r>
      <w:r w:rsidRPr="000810CB">
        <w:rPr>
          <w:lang w:val="en-US"/>
        </w:rPr>
        <w:t>III</w:t>
      </w:r>
      <w:r w:rsidRPr="000810CB">
        <w:t xml:space="preserve"> БКС. Барицитиниб имеет нехиральную молекулярную структуру. Несколько кристаллических форм барицитиниба в виде свободного основания были обнаружены во время комплексного полиморфного скрининга </w:t>
      </w:r>
      <w:r w:rsidRPr="000810CB">
        <w:rPr>
          <w:b/>
        </w:rPr>
        <w:fldChar w:fldCharType="begin"/>
      </w:r>
      <w:r w:rsidR="00915FF7" w:rsidRPr="000810CB">
        <w:instrText xml:space="preserve"> ADDIN ZOTERO_ITEM CSL_CITATION {"citationID":"mQE4ZDH2","properties":{"formattedCitation":"[38]","plainCitation":"[38]","noteIndex":0},"citationItems":[{"id":3455,"uris":["http://zotero.org/groups/4514912/items/UB7ESC4C"],"uri":["http://zotero.org/groups/4514912/items/UB7ESC4C"],"itemData":{"id":3455,"type":"article","title":"Assessment report. Olumiant International non-proprietary name: baricitinib. Procedure No. EMEA/H/C/004085/0000. 2016"}}],"schema":"https://github.com/citation-style-language/schema/raw/master/csl-citation.json"} </w:instrText>
      </w:r>
      <w:r w:rsidRPr="000810CB">
        <w:rPr>
          <w:b/>
        </w:rPr>
        <w:fldChar w:fldCharType="separate"/>
      </w:r>
      <w:r w:rsidR="00915FF7" w:rsidRPr="000810CB">
        <w:t>[38]</w:t>
      </w:r>
      <w:r w:rsidRPr="000810CB">
        <w:rPr>
          <w:b/>
        </w:rPr>
        <w:fldChar w:fldCharType="end"/>
      </w:r>
      <w:r w:rsidRPr="000810CB">
        <w:t>.</w:t>
      </w:r>
    </w:p>
    <w:p w14:paraId="50C18049" w14:textId="77777777" w:rsidR="001875DA" w:rsidRDefault="001875DA" w:rsidP="001875DA">
      <w:pPr>
        <w:spacing w:after="0" w:line="240" w:lineRule="auto"/>
        <w:ind w:firstLine="709"/>
        <w:contextualSpacing/>
      </w:pPr>
    </w:p>
    <w:p w14:paraId="140C01B7" w14:textId="03E21E22" w:rsidR="00A76DCF" w:rsidRDefault="00E30437" w:rsidP="001875DA">
      <w:pPr>
        <w:pStyle w:val="3"/>
        <w:spacing w:before="0"/>
        <w:contextualSpacing/>
      </w:pPr>
      <w:bookmarkStart w:id="51" w:name="_Toc120288117"/>
      <w:r w:rsidRPr="00052AE8">
        <w:t>2.2</w:t>
      </w:r>
      <w:r w:rsidR="00AA7419" w:rsidRPr="00052AE8">
        <w:t xml:space="preserve">. </w:t>
      </w:r>
      <w:r w:rsidRPr="00052AE8">
        <w:t>Лекарственная</w:t>
      </w:r>
      <w:r w:rsidR="00C0510B" w:rsidRPr="00052AE8">
        <w:t xml:space="preserve"> </w:t>
      </w:r>
      <w:r w:rsidRPr="00052AE8">
        <w:t>форма</w:t>
      </w:r>
      <w:bookmarkEnd w:id="51"/>
    </w:p>
    <w:p w14:paraId="14AAB940" w14:textId="77777777" w:rsidR="001875DA" w:rsidRPr="001875DA" w:rsidRDefault="001875DA" w:rsidP="001875DA">
      <w:pPr>
        <w:spacing w:after="0"/>
      </w:pPr>
    </w:p>
    <w:p w14:paraId="055945E2" w14:textId="09B10493" w:rsidR="00A76DCF" w:rsidRDefault="00E30437" w:rsidP="001875DA">
      <w:pPr>
        <w:pStyle w:val="4"/>
        <w:spacing w:before="0"/>
      </w:pPr>
      <w:bookmarkStart w:id="52" w:name="_Toc120288118"/>
      <w:r w:rsidRPr="005E6358">
        <w:t>2.2.1</w:t>
      </w:r>
      <w:r w:rsidR="00CF2256">
        <w:t>.</w:t>
      </w:r>
      <w:r w:rsidRPr="005E6358">
        <w:t xml:space="preserve"> Название лекарственной формы</w:t>
      </w:r>
      <w:bookmarkEnd w:id="52"/>
    </w:p>
    <w:p w14:paraId="5D3089A9" w14:textId="77777777" w:rsidR="00052AE8" w:rsidRPr="00052AE8" w:rsidRDefault="00052AE8" w:rsidP="001875DA">
      <w:pPr>
        <w:spacing w:after="0" w:line="240" w:lineRule="auto"/>
      </w:pPr>
    </w:p>
    <w:p w14:paraId="5DB4547C" w14:textId="67092B81" w:rsidR="00A76DCF" w:rsidRPr="00052AE8" w:rsidRDefault="00AE4621" w:rsidP="001875DA">
      <w:pPr>
        <w:pStyle w:val="OT"/>
        <w:ind w:firstLine="709"/>
        <w:contextualSpacing/>
        <w:rPr>
          <w:b/>
        </w:rPr>
      </w:pPr>
      <w:r w:rsidRPr="00A76DCF">
        <w:t>Т</w:t>
      </w:r>
      <w:r w:rsidR="002F2C48" w:rsidRPr="00A76DCF">
        <w:t>аблетки, покрытые пленочной оболочкой</w:t>
      </w:r>
      <w:r w:rsidR="00FD0B41" w:rsidRPr="00A76DCF">
        <w:t>.</w:t>
      </w:r>
    </w:p>
    <w:p w14:paraId="2AC65EE9" w14:textId="1C3AA0F3" w:rsidR="00052AE8" w:rsidRPr="00052AE8" w:rsidRDefault="00E30437" w:rsidP="001875DA">
      <w:pPr>
        <w:pStyle w:val="4"/>
        <w:spacing w:before="0"/>
      </w:pPr>
      <w:bookmarkStart w:id="53" w:name="_Toc120288119"/>
      <w:r w:rsidRPr="005E6358">
        <w:t>2.2.2</w:t>
      </w:r>
      <w:r w:rsidR="00CF2256">
        <w:t>.</w:t>
      </w:r>
      <w:r w:rsidRPr="005E6358">
        <w:t xml:space="preserve"> Описание лекарственной формы</w:t>
      </w:r>
      <w:bookmarkEnd w:id="53"/>
    </w:p>
    <w:p w14:paraId="103D3D62" w14:textId="77777777" w:rsidR="00052AE8" w:rsidRDefault="00052AE8" w:rsidP="001875DA">
      <w:pPr>
        <w:pStyle w:val="OT"/>
        <w:ind w:firstLine="709"/>
        <w:contextualSpacing/>
        <w:rPr>
          <w:rFonts w:eastAsia="Calibri"/>
        </w:rPr>
      </w:pPr>
    </w:p>
    <w:p w14:paraId="5C12ED7D" w14:textId="77777777" w:rsidR="001875DA" w:rsidRDefault="001875DA" w:rsidP="001875DA">
      <w:pPr>
        <w:pStyle w:val="OT"/>
        <w:ind w:firstLine="709"/>
        <w:contextualSpacing/>
        <w:rPr>
          <w:rFonts w:eastAsia="Calibri"/>
        </w:rPr>
      </w:pPr>
      <w:r w:rsidRPr="001C6A4E">
        <w:t xml:space="preserve">Лекарственный препарат </w:t>
      </w:r>
      <w:r w:rsidRPr="001C6A4E">
        <w:rPr>
          <w:lang w:val="en-US"/>
        </w:rPr>
        <w:t>D</w:t>
      </w:r>
      <w:r w:rsidRPr="001C6A4E">
        <w:t>T-</w:t>
      </w:r>
      <w:r>
        <w:rPr>
          <w:lang w:val="en-US"/>
        </w:rPr>
        <w:t>BRC</w:t>
      </w:r>
      <w:r w:rsidRPr="001C6A4E">
        <w:t xml:space="preserve"> планируется выпускать в единственной дозировке - </w:t>
      </w:r>
      <w:r w:rsidRPr="00AB1FF1">
        <w:t>4</w:t>
      </w:r>
      <w:r w:rsidRPr="001C6A4E">
        <w:t xml:space="preserve"> мг</w:t>
      </w:r>
      <w:r w:rsidRPr="00AB1FF1">
        <w:t>.</w:t>
      </w:r>
      <w:r w:rsidRPr="00A76DCF">
        <w:rPr>
          <w:rFonts w:eastAsia="Calibri"/>
        </w:rPr>
        <w:t xml:space="preserve"> </w:t>
      </w:r>
    </w:p>
    <w:p w14:paraId="45915A6A" w14:textId="3CEFD369" w:rsidR="00A76DCF" w:rsidRPr="00052AE8" w:rsidRDefault="001875DA" w:rsidP="001875DA">
      <w:pPr>
        <w:pStyle w:val="OT"/>
        <w:ind w:firstLine="709"/>
        <w:contextualSpacing/>
        <w:rPr>
          <w:rFonts w:eastAsia="Calibri"/>
          <w:b/>
        </w:rPr>
      </w:pPr>
      <w:r>
        <w:rPr>
          <w:rFonts w:eastAsia="Calibri"/>
        </w:rPr>
        <w:t xml:space="preserve">Таблетки </w:t>
      </w:r>
      <w:r w:rsidR="008766E7" w:rsidRPr="00A76DCF">
        <w:rPr>
          <w:rFonts w:eastAsia="Calibri"/>
        </w:rPr>
        <w:t>круглые</w:t>
      </w:r>
      <w:r w:rsidR="009333D1">
        <w:rPr>
          <w:rFonts w:eastAsia="Calibri"/>
        </w:rPr>
        <w:t>, двояковыпуклые,</w:t>
      </w:r>
      <w:r w:rsidR="008766E7" w:rsidRPr="00A76DCF">
        <w:rPr>
          <w:rFonts w:eastAsia="Calibri"/>
        </w:rPr>
        <w:t xml:space="preserve"> </w:t>
      </w:r>
      <w:r w:rsidR="009333D1">
        <w:rPr>
          <w:rFonts w:eastAsia="Calibri"/>
        </w:rPr>
        <w:t xml:space="preserve">покрытые пленочной оболочкой </w:t>
      </w:r>
      <w:r w:rsidR="008766E7" w:rsidRPr="00A76DCF">
        <w:rPr>
          <w:rFonts w:eastAsia="Calibri"/>
        </w:rPr>
        <w:t xml:space="preserve">розового </w:t>
      </w:r>
      <w:r w:rsidR="009333D1">
        <w:rPr>
          <w:rFonts w:eastAsia="Calibri"/>
        </w:rPr>
        <w:t>с коричневатым оттенком цвета.</w:t>
      </w:r>
    </w:p>
    <w:p w14:paraId="4DF59324" w14:textId="77777777" w:rsidR="00A76DCF" w:rsidRPr="009333D1" w:rsidRDefault="00E30437" w:rsidP="00052AE8">
      <w:pPr>
        <w:pStyle w:val="4"/>
      </w:pPr>
      <w:bookmarkStart w:id="54" w:name="_Toc120288120"/>
      <w:r w:rsidRPr="009333D1">
        <w:t>2.2.3</w:t>
      </w:r>
      <w:r w:rsidR="00CF2256" w:rsidRPr="009333D1">
        <w:t>.</w:t>
      </w:r>
      <w:r w:rsidRPr="009333D1">
        <w:t xml:space="preserve"> Состав лекарственной формы</w:t>
      </w:r>
      <w:bookmarkEnd w:id="54"/>
    </w:p>
    <w:p w14:paraId="56283C5F" w14:textId="77777777" w:rsidR="00A76DCF" w:rsidRPr="009333D1" w:rsidRDefault="00A76DCF" w:rsidP="004523A0">
      <w:pPr>
        <w:pStyle w:val="OT"/>
        <w:contextualSpacing/>
      </w:pPr>
    </w:p>
    <w:p w14:paraId="4F78CBF8" w14:textId="019A9C0C" w:rsidR="000635FB" w:rsidRPr="00A76DCF" w:rsidRDefault="000635FB" w:rsidP="004523A0">
      <w:pPr>
        <w:pStyle w:val="OT"/>
        <w:contextualSpacing/>
        <w:rPr>
          <w:b/>
          <w:szCs w:val="24"/>
        </w:rPr>
      </w:pPr>
      <w:r w:rsidRPr="009333D1">
        <w:rPr>
          <w:rFonts w:eastAsia="Calibri"/>
          <w:b/>
          <w:lang w:eastAsia="en-US"/>
        </w:rPr>
        <w:t>Таблица 2</w:t>
      </w:r>
      <w:r w:rsidR="000222E6" w:rsidRPr="009333D1">
        <w:rPr>
          <w:rFonts w:eastAsia="Calibri"/>
          <w:b/>
          <w:lang w:eastAsia="en-US"/>
        </w:rPr>
        <w:t>-</w:t>
      </w:r>
      <w:r w:rsidR="00185F94" w:rsidRPr="009333D1">
        <w:rPr>
          <w:rFonts w:eastAsia="Calibri"/>
          <w:b/>
          <w:lang w:eastAsia="en-US"/>
        </w:rPr>
        <w:t>1</w:t>
      </w:r>
      <w:r w:rsidR="000222E6" w:rsidRPr="009333D1">
        <w:rPr>
          <w:rFonts w:eastAsia="Calibri"/>
          <w:b/>
          <w:lang w:eastAsia="en-US"/>
        </w:rPr>
        <w:t>.</w:t>
      </w:r>
      <w:r w:rsidRPr="009333D1">
        <w:rPr>
          <w:rFonts w:eastAsia="Calibri"/>
          <w:lang w:eastAsia="en-US"/>
        </w:rPr>
        <w:t xml:space="preserve"> </w:t>
      </w:r>
      <w:r w:rsidR="00895AFA" w:rsidRPr="009333D1">
        <w:t xml:space="preserve">Состав </w:t>
      </w:r>
      <w:r w:rsidR="004D6656" w:rsidRPr="009333D1">
        <w:t xml:space="preserve">готовой лекарственной формы препарата </w:t>
      </w:r>
      <w:r w:rsidR="004D6656" w:rsidRPr="009333D1">
        <w:rPr>
          <w:lang w:val="en-US"/>
        </w:rPr>
        <w:t>DT</w:t>
      </w:r>
      <w:r w:rsidR="004D6656" w:rsidRPr="009333D1">
        <w:t>-</w:t>
      </w:r>
      <w:r w:rsidR="004D6656" w:rsidRPr="009333D1">
        <w:rPr>
          <w:lang w:val="en-US"/>
        </w:rPr>
        <w:t>BRC</w:t>
      </w:r>
      <w:r w:rsidR="008B19DB">
        <w:t xml:space="preserve"> в дозировке 4 мг.</w:t>
      </w:r>
    </w:p>
    <w:tbl>
      <w:tblPr>
        <w:tblW w:w="4873" w:type="pct"/>
        <w:tblInd w:w="136" w:type="dxa"/>
        <w:tblLayout w:type="fixed"/>
        <w:tblLook w:val="01E0" w:firstRow="1" w:lastRow="1" w:firstColumn="1" w:lastColumn="1" w:noHBand="0" w:noVBand="0"/>
      </w:tblPr>
      <w:tblGrid>
        <w:gridCol w:w="6666"/>
        <w:gridCol w:w="2663"/>
      </w:tblGrid>
      <w:tr w:rsidR="008B19DB" w:rsidRPr="008766E7" w14:paraId="311A87E9" w14:textId="21904453" w:rsidTr="00AB1FF1">
        <w:trPr>
          <w:trHeight w:val="20"/>
          <w:tblHeader/>
        </w:trPr>
        <w:tc>
          <w:tcPr>
            <w:tcW w:w="6665"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F4863A" w14:textId="05282531" w:rsidR="008B19DB" w:rsidRDefault="008B19DB" w:rsidP="004523A0">
            <w:pPr>
              <w:spacing w:after="0" w:line="240" w:lineRule="auto"/>
              <w:contextualSpacing/>
              <w:jc w:val="center"/>
              <w:rPr>
                <w:b/>
              </w:rPr>
            </w:pPr>
            <w:r>
              <w:rPr>
                <w:b/>
              </w:rPr>
              <w:t>Компонент</w:t>
            </w:r>
          </w:p>
        </w:tc>
        <w:tc>
          <w:tcPr>
            <w:tcW w:w="2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5F6E62" w14:textId="74CAD481" w:rsidR="008B19DB" w:rsidRPr="008766E7" w:rsidRDefault="008B19DB" w:rsidP="004523A0">
            <w:pPr>
              <w:spacing w:after="0" w:line="240" w:lineRule="auto"/>
              <w:contextualSpacing/>
              <w:jc w:val="center"/>
              <w:rPr>
                <w:b/>
              </w:rPr>
            </w:pPr>
            <w:r>
              <w:rPr>
                <w:b/>
              </w:rPr>
              <w:t>Дозировка</w:t>
            </w:r>
          </w:p>
        </w:tc>
      </w:tr>
      <w:tr w:rsidR="008B19DB" w:rsidRPr="008766E7" w14:paraId="0A5AC538" w14:textId="4AE45C55" w:rsidTr="00AB1FF1">
        <w:trPr>
          <w:trHeight w:val="20"/>
          <w:tblHeader/>
        </w:trPr>
        <w:tc>
          <w:tcPr>
            <w:tcW w:w="6665"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036C770" w14:textId="031985A1" w:rsidR="008B19DB" w:rsidRPr="00052AE8" w:rsidRDefault="008B19DB" w:rsidP="004523A0">
            <w:pPr>
              <w:spacing w:after="0" w:line="240" w:lineRule="auto"/>
              <w:contextualSpacing/>
              <w:jc w:val="center"/>
              <w:rPr>
                <w:b/>
                <w:iCs/>
                <w:lang w:eastAsia="en-US"/>
              </w:rPr>
            </w:pPr>
          </w:p>
        </w:tc>
        <w:tc>
          <w:tcPr>
            <w:tcW w:w="2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88D045" w14:textId="03AC29E2" w:rsidR="008B19DB" w:rsidRPr="008766E7" w:rsidRDefault="008B19DB" w:rsidP="004523A0">
            <w:pPr>
              <w:spacing w:after="0" w:line="240" w:lineRule="auto"/>
              <w:contextualSpacing/>
              <w:jc w:val="center"/>
              <w:rPr>
                <w:b/>
              </w:rPr>
            </w:pPr>
            <w:r w:rsidRPr="008766E7">
              <w:rPr>
                <w:b/>
              </w:rPr>
              <w:t>4 мг</w:t>
            </w:r>
          </w:p>
        </w:tc>
      </w:tr>
      <w:tr w:rsidR="008B19DB" w:rsidRPr="008766E7" w14:paraId="72EDE2A0" w14:textId="1AE513C5" w:rsidTr="00AB1FF1">
        <w:trPr>
          <w:trHeight w:val="20"/>
        </w:trPr>
        <w:tc>
          <w:tcPr>
            <w:tcW w:w="9328" w:type="dxa"/>
            <w:gridSpan w:val="2"/>
            <w:tcBorders>
              <w:top w:val="single" w:sz="4" w:space="0" w:color="auto"/>
              <w:left w:val="single" w:sz="4" w:space="0" w:color="auto"/>
              <w:bottom w:val="single" w:sz="4" w:space="0" w:color="auto"/>
              <w:right w:val="single" w:sz="4" w:space="0" w:color="auto"/>
            </w:tcBorders>
            <w:shd w:val="clear" w:color="auto" w:fill="auto"/>
          </w:tcPr>
          <w:p w14:paraId="332834AC" w14:textId="5C6A563D" w:rsidR="008B19DB" w:rsidRPr="008766E7" w:rsidRDefault="008B19DB" w:rsidP="004523A0">
            <w:pPr>
              <w:spacing w:after="0" w:line="240" w:lineRule="auto"/>
              <w:contextualSpacing/>
              <w:jc w:val="left"/>
            </w:pPr>
            <w:r w:rsidRPr="008766E7">
              <w:rPr>
                <w:i/>
                <w:iCs/>
                <w:lang w:eastAsia="en-US"/>
              </w:rPr>
              <w:t>Действующее вещество:</w:t>
            </w:r>
          </w:p>
        </w:tc>
      </w:tr>
      <w:tr w:rsidR="008B19DB" w:rsidRPr="008766E7" w14:paraId="15B6EC25" w14:textId="76014963" w:rsidTr="00AB1FF1">
        <w:trPr>
          <w:trHeight w:val="20"/>
        </w:trPr>
        <w:tc>
          <w:tcPr>
            <w:tcW w:w="6665" w:type="dxa"/>
            <w:tcBorders>
              <w:top w:val="single" w:sz="4" w:space="0" w:color="auto"/>
              <w:left w:val="single" w:sz="4" w:space="0" w:color="auto"/>
              <w:bottom w:val="single" w:sz="4" w:space="0" w:color="auto"/>
              <w:right w:val="single" w:sz="4" w:space="0" w:color="auto"/>
            </w:tcBorders>
            <w:shd w:val="clear" w:color="auto" w:fill="auto"/>
          </w:tcPr>
          <w:p w14:paraId="2B1BFC21" w14:textId="45D8F655" w:rsidR="008B19DB" w:rsidRPr="008766E7" w:rsidRDefault="008B19DB" w:rsidP="004523A0">
            <w:pPr>
              <w:spacing w:after="0" w:line="240" w:lineRule="auto"/>
              <w:ind w:left="567"/>
              <w:contextualSpacing/>
              <w:jc w:val="left"/>
              <w:rPr>
                <w:iCs/>
                <w:lang w:eastAsia="en-US"/>
              </w:rPr>
            </w:pPr>
            <w:r w:rsidRPr="008766E7">
              <w:rPr>
                <w:iCs/>
                <w:lang w:eastAsia="en-US"/>
              </w:rPr>
              <w:t>барицитиниб</w:t>
            </w:r>
          </w:p>
        </w:tc>
        <w:tc>
          <w:tcPr>
            <w:tcW w:w="2663" w:type="dxa"/>
            <w:tcBorders>
              <w:top w:val="single" w:sz="4" w:space="0" w:color="auto"/>
              <w:left w:val="single" w:sz="4" w:space="0" w:color="auto"/>
              <w:bottom w:val="single" w:sz="4" w:space="0" w:color="auto"/>
              <w:right w:val="single" w:sz="4" w:space="0" w:color="auto"/>
            </w:tcBorders>
          </w:tcPr>
          <w:p w14:paraId="69AFB5AE" w14:textId="50096B9C" w:rsidR="008B19DB" w:rsidRPr="008766E7" w:rsidRDefault="008B19DB" w:rsidP="004523A0">
            <w:pPr>
              <w:spacing w:after="0" w:line="240" w:lineRule="auto"/>
              <w:contextualSpacing/>
              <w:jc w:val="center"/>
            </w:pPr>
            <w:r w:rsidRPr="008766E7">
              <w:t>4</w:t>
            </w:r>
            <w:r>
              <w:t>,0</w:t>
            </w:r>
            <w:r w:rsidRPr="008766E7">
              <w:t xml:space="preserve"> мг</w:t>
            </w:r>
          </w:p>
        </w:tc>
      </w:tr>
      <w:tr w:rsidR="008B19DB" w:rsidRPr="008766E7" w14:paraId="4CA50271" w14:textId="6656A16E" w:rsidTr="00AB1FF1">
        <w:trPr>
          <w:trHeight w:val="20"/>
        </w:trPr>
        <w:tc>
          <w:tcPr>
            <w:tcW w:w="9328" w:type="dxa"/>
            <w:gridSpan w:val="2"/>
            <w:tcBorders>
              <w:top w:val="single" w:sz="4" w:space="0" w:color="auto"/>
              <w:left w:val="single" w:sz="4" w:space="0" w:color="auto"/>
              <w:bottom w:val="single" w:sz="4" w:space="0" w:color="auto"/>
              <w:right w:val="single" w:sz="4" w:space="0" w:color="auto"/>
            </w:tcBorders>
            <w:shd w:val="clear" w:color="auto" w:fill="auto"/>
          </w:tcPr>
          <w:p w14:paraId="567A490F" w14:textId="12209F56" w:rsidR="008B19DB" w:rsidRPr="008766E7" w:rsidRDefault="008B19DB" w:rsidP="004523A0">
            <w:pPr>
              <w:spacing w:after="0" w:line="240" w:lineRule="auto"/>
              <w:contextualSpacing/>
              <w:jc w:val="left"/>
            </w:pPr>
            <w:r w:rsidRPr="008766E7">
              <w:rPr>
                <w:i/>
                <w:iCs/>
                <w:lang w:eastAsia="en-US"/>
              </w:rPr>
              <w:t>Вспомогательные вещества</w:t>
            </w:r>
            <w:r>
              <w:rPr>
                <w:i/>
                <w:iCs/>
                <w:lang w:eastAsia="en-US"/>
              </w:rPr>
              <w:t>, входящие в состав таблетки</w:t>
            </w:r>
            <w:r w:rsidRPr="008766E7">
              <w:rPr>
                <w:i/>
                <w:iCs/>
                <w:lang w:eastAsia="en-US"/>
              </w:rPr>
              <w:t>:</w:t>
            </w:r>
          </w:p>
        </w:tc>
      </w:tr>
      <w:tr w:rsidR="008B19DB" w:rsidRPr="008766E7" w14:paraId="31A681E3" w14:textId="689A6DF6" w:rsidTr="00AB1FF1">
        <w:trPr>
          <w:trHeight w:val="20"/>
        </w:trPr>
        <w:tc>
          <w:tcPr>
            <w:tcW w:w="6665" w:type="dxa"/>
            <w:tcBorders>
              <w:top w:val="single" w:sz="4" w:space="0" w:color="auto"/>
              <w:left w:val="single" w:sz="4" w:space="0" w:color="auto"/>
              <w:bottom w:val="single" w:sz="4" w:space="0" w:color="auto"/>
              <w:right w:val="single" w:sz="4" w:space="0" w:color="auto"/>
            </w:tcBorders>
            <w:shd w:val="clear" w:color="auto" w:fill="auto"/>
          </w:tcPr>
          <w:p w14:paraId="715B8450" w14:textId="63866ABC" w:rsidR="008B19DB" w:rsidRPr="00052AE8" w:rsidRDefault="008B19DB" w:rsidP="004523A0">
            <w:pPr>
              <w:spacing w:after="0" w:line="240" w:lineRule="auto"/>
              <w:ind w:left="567"/>
              <w:contextualSpacing/>
              <w:jc w:val="left"/>
              <w:rPr>
                <w:iCs/>
                <w:lang w:val="en-US" w:eastAsia="en-US"/>
              </w:rPr>
            </w:pPr>
            <w:r w:rsidRPr="008766E7">
              <w:rPr>
                <w:iCs/>
                <w:lang w:eastAsia="en-US"/>
              </w:rPr>
              <w:t>Маннитол</w:t>
            </w:r>
            <w:r>
              <w:rPr>
                <w:iCs/>
                <w:lang w:eastAsia="en-US"/>
              </w:rPr>
              <w:t xml:space="preserve"> 200</w:t>
            </w:r>
            <w:r>
              <w:rPr>
                <w:iCs/>
                <w:lang w:val="en-US" w:eastAsia="en-US"/>
              </w:rPr>
              <w:t>SD</w:t>
            </w:r>
          </w:p>
        </w:tc>
        <w:tc>
          <w:tcPr>
            <w:tcW w:w="2663" w:type="dxa"/>
            <w:tcBorders>
              <w:top w:val="single" w:sz="4" w:space="0" w:color="auto"/>
              <w:left w:val="single" w:sz="4" w:space="0" w:color="auto"/>
              <w:bottom w:val="single" w:sz="4" w:space="0" w:color="auto"/>
              <w:right w:val="single" w:sz="4" w:space="0" w:color="auto"/>
            </w:tcBorders>
          </w:tcPr>
          <w:p w14:paraId="567F3D06" w14:textId="1946D5C9" w:rsidR="008B19DB" w:rsidRPr="008766E7" w:rsidRDefault="008B19DB" w:rsidP="004523A0">
            <w:pPr>
              <w:spacing w:after="0" w:line="240" w:lineRule="auto"/>
              <w:contextualSpacing/>
              <w:jc w:val="center"/>
            </w:pPr>
            <w:r>
              <w:rPr>
                <w:lang w:val="en-US"/>
              </w:rPr>
              <w:t>50</w:t>
            </w:r>
            <w:r>
              <w:t>,0 мг</w:t>
            </w:r>
          </w:p>
        </w:tc>
      </w:tr>
      <w:tr w:rsidR="008B19DB" w:rsidRPr="008766E7" w14:paraId="410ED982" w14:textId="7C913377" w:rsidTr="00AB1FF1">
        <w:trPr>
          <w:trHeight w:val="20"/>
        </w:trPr>
        <w:tc>
          <w:tcPr>
            <w:tcW w:w="6665" w:type="dxa"/>
            <w:tcBorders>
              <w:top w:val="single" w:sz="4" w:space="0" w:color="auto"/>
              <w:left w:val="single" w:sz="4" w:space="0" w:color="auto"/>
              <w:bottom w:val="single" w:sz="4" w:space="0" w:color="auto"/>
              <w:right w:val="single" w:sz="4" w:space="0" w:color="auto"/>
            </w:tcBorders>
            <w:shd w:val="clear" w:color="auto" w:fill="auto"/>
          </w:tcPr>
          <w:p w14:paraId="5BD1BDC6" w14:textId="4CFCCCBA" w:rsidR="008B19DB" w:rsidRPr="008766E7" w:rsidRDefault="008B19DB" w:rsidP="004523A0">
            <w:pPr>
              <w:spacing w:after="0" w:line="240" w:lineRule="auto"/>
              <w:ind w:left="567"/>
              <w:contextualSpacing/>
              <w:jc w:val="left"/>
              <w:rPr>
                <w:iCs/>
                <w:lang w:eastAsia="en-US"/>
              </w:rPr>
            </w:pPr>
            <w:r>
              <w:rPr>
                <w:iCs/>
                <w:lang w:eastAsia="en-US"/>
              </w:rPr>
              <w:t>МКЦ 200</w:t>
            </w:r>
          </w:p>
        </w:tc>
        <w:tc>
          <w:tcPr>
            <w:tcW w:w="2663" w:type="dxa"/>
            <w:tcBorders>
              <w:top w:val="single" w:sz="4" w:space="0" w:color="auto"/>
              <w:left w:val="single" w:sz="4" w:space="0" w:color="auto"/>
              <w:bottom w:val="single" w:sz="4" w:space="0" w:color="auto"/>
              <w:right w:val="single" w:sz="4" w:space="0" w:color="auto"/>
            </w:tcBorders>
          </w:tcPr>
          <w:p w14:paraId="559920B4" w14:textId="1DC9FD45" w:rsidR="008B19DB" w:rsidRPr="008766E7" w:rsidRDefault="008B19DB" w:rsidP="004523A0">
            <w:pPr>
              <w:spacing w:after="0" w:line="240" w:lineRule="auto"/>
              <w:contextualSpacing/>
              <w:jc w:val="center"/>
            </w:pPr>
            <w:r>
              <w:t>132,0 мг</w:t>
            </w:r>
          </w:p>
        </w:tc>
      </w:tr>
      <w:tr w:rsidR="008B19DB" w:rsidRPr="008766E7" w14:paraId="56464421" w14:textId="5033262D" w:rsidTr="00AB1FF1">
        <w:trPr>
          <w:trHeight w:val="20"/>
        </w:trPr>
        <w:tc>
          <w:tcPr>
            <w:tcW w:w="6665" w:type="dxa"/>
            <w:tcBorders>
              <w:top w:val="single" w:sz="4" w:space="0" w:color="auto"/>
              <w:left w:val="single" w:sz="4" w:space="0" w:color="auto"/>
              <w:bottom w:val="single" w:sz="4" w:space="0" w:color="auto"/>
              <w:right w:val="single" w:sz="4" w:space="0" w:color="auto"/>
            </w:tcBorders>
            <w:shd w:val="clear" w:color="auto" w:fill="auto"/>
          </w:tcPr>
          <w:p w14:paraId="71BB2AD0" w14:textId="77777777" w:rsidR="008B19DB" w:rsidRPr="008766E7" w:rsidRDefault="008B19DB" w:rsidP="00A76DCF">
            <w:pPr>
              <w:spacing w:after="0" w:line="240" w:lineRule="auto"/>
              <w:ind w:left="567"/>
              <w:contextualSpacing/>
              <w:jc w:val="left"/>
              <w:rPr>
                <w:iCs/>
                <w:lang w:eastAsia="en-US"/>
              </w:rPr>
            </w:pPr>
            <w:r w:rsidRPr="008766E7">
              <w:rPr>
                <w:iCs/>
                <w:lang w:eastAsia="en-US"/>
              </w:rPr>
              <w:t>Кроскармеллоза натрия</w:t>
            </w:r>
          </w:p>
        </w:tc>
        <w:tc>
          <w:tcPr>
            <w:tcW w:w="2663" w:type="dxa"/>
            <w:tcBorders>
              <w:top w:val="single" w:sz="4" w:space="0" w:color="auto"/>
              <w:left w:val="single" w:sz="4" w:space="0" w:color="auto"/>
              <w:bottom w:val="single" w:sz="4" w:space="0" w:color="auto"/>
              <w:right w:val="single" w:sz="4" w:space="0" w:color="auto"/>
            </w:tcBorders>
          </w:tcPr>
          <w:p w14:paraId="0673F0AF" w14:textId="62F8DF52" w:rsidR="008B19DB" w:rsidRPr="008766E7" w:rsidRDefault="008B19DB" w:rsidP="00A76DCF">
            <w:pPr>
              <w:spacing w:after="0" w:line="240" w:lineRule="auto"/>
              <w:contextualSpacing/>
              <w:jc w:val="center"/>
            </w:pPr>
            <w:r>
              <w:t>12,0 мг</w:t>
            </w:r>
          </w:p>
        </w:tc>
      </w:tr>
      <w:tr w:rsidR="008B19DB" w:rsidRPr="008766E7" w14:paraId="5712FFCE" w14:textId="60B34B1F" w:rsidTr="00AB1FF1">
        <w:trPr>
          <w:trHeight w:val="20"/>
        </w:trPr>
        <w:tc>
          <w:tcPr>
            <w:tcW w:w="6665" w:type="dxa"/>
            <w:tcBorders>
              <w:top w:val="single" w:sz="4" w:space="0" w:color="auto"/>
              <w:left w:val="single" w:sz="4" w:space="0" w:color="auto"/>
              <w:bottom w:val="single" w:sz="4" w:space="0" w:color="auto"/>
              <w:right w:val="single" w:sz="4" w:space="0" w:color="auto"/>
            </w:tcBorders>
            <w:shd w:val="clear" w:color="auto" w:fill="auto"/>
          </w:tcPr>
          <w:p w14:paraId="60B077F5" w14:textId="22CE72CA" w:rsidR="008B19DB" w:rsidRPr="008766E7" w:rsidRDefault="008B19DB" w:rsidP="00A76DCF">
            <w:pPr>
              <w:spacing w:after="0" w:line="240" w:lineRule="auto"/>
              <w:ind w:left="567"/>
              <w:contextualSpacing/>
              <w:jc w:val="left"/>
              <w:rPr>
                <w:iCs/>
                <w:lang w:eastAsia="en-US"/>
              </w:rPr>
            </w:pPr>
            <w:r w:rsidRPr="008766E7">
              <w:rPr>
                <w:iCs/>
                <w:lang w:eastAsia="en-US"/>
              </w:rPr>
              <w:t>Магния стеарат</w:t>
            </w:r>
          </w:p>
        </w:tc>
        <w:tc>
          <w:tcPr>
            <w:tcW w:w="2663" w:type="dxa"/>
            <w:tcBorders>
              <w:top w:val="single" w:sz="4" w:space="0" w:color="auto"/>
              <w:left w:val="single" w:sz="4" w:space="0" w:color="auto"/>
              <w:bottom w:val="single" w:sz="4" w:space="0" w:color="auto"/>
              <w:right w:val="single" w:sz="4" w:space="0" w:color="auto"/>
            </w:tcBorders>
          </w:tcPr>
          <w:p w14:paraId="77F194E4" w14:textId="3B300766" w:rsidR="008B19DB" w:rsidRPr="008766E7" w:rsidRDefault="008B19DB" w:rsidP="00A76DCF">
            <w:pPr>
              <w:spacing w:after="0" w:line="240" w:lineRule="auto"/>
              <w:contextualSpacing/>
              <w:jc w:val="center"/>
            </w:pPr>
            <w:r>
              <w:t>2,0 мг</w:t>
            </w:r>
          </w:p>
        </w:tc>
      </w:tr>
      <w:tr w:rsidR="008B19DB" w:rsidRPr="008766E7" w14:paraId="31357CBD" w14:textId="4967881C" w:rsidTr="00AB1FF1">
        <w:trPr>
          <w:trHeight w:val="20"/>
        </w:trPr>
        <w:tc>
          <w:tcPr>
            <w:tcW w:w="6665" w:type="dxa"/>
            <w:tcBorders>
              <w:top w:val="single" w:sz="4" w:space="0" w:color="auto"/>
              <w:left w:val="single" w:sz="4" w:space="0" w:color="auto"/>
              <w:bottom w:val="single" w:sz="4" w:space="0" w:color="auto"/>
              <w:right w:val="single" w:sz="4" w:space="0" w:color="auto"/>
            </w:tcBorders>
            <w:shd w:val="clear" w:color="auto" w:fill="auto"/>
          </w:tcPr>
          <w:p w14:paraId="095A7C6F" w14:textId="2BEA0DF1" w:rsidR="008B19DB" w:rsidRPr="00052AE8" w:rsidRDefault="008B19DB" w:rsidP="00A76DCF">
            <w:pPr>
              <w:spacing w:after="0" w:line="240" w:lineRule="auto"/>
              <w:contextualSpacing/>
              <w:jc w:val="left"/>
              <w:rPr>
                <w:b/>
                <w:lang w:eastAsia="en-US"/>
              </w:rPr>
            </w:pPr>
            <w:r w:rsidRPr="00052AE8">
              <w:rPr>
                <w:b/>
                <w:lang w:eastAsia="en-US"/>
              </w:rPr>
              <w:t>Масса ядра таблетки:</w:t>
            </w:r>
          </w:p>
        </w:tc>
        <w:tc>
          <w:tcPr>
            <w:tcW w:w="2663" w:type="dxa"/>
            <w:tcBorders>
              <w:top w:val="single" w:sz="4" w:space="0" w:color="auto"/>
              <w:left w:val="single" w:sz="4" w:space="0" w:color="auto"/>
              <w:bottom w:val="single" w:sz="4" w:space="0" w:color="auto"/>
              <w:right w:val="single" w:sz="4" w:space="0" w:color="auto"/>
            </w:tcBorders>
          </w:tcPr>
          <w:p w14:paraId="7B02B061" w14:textId="01F11752" w:rsidR="008B19DB" w:rsidRPr="004D6656" w:rsidRDefault="008B19DB" w:rsidP="00A76DCF">
            <w:pPr>
              <w:spacing w:after="0" w:line="240" w:lineRule="auto"/>
              <w:contextualSpacing/>
              <w:jc w:val="center"/>
              <w:rPr>
                <w:b/>
              </w:rPr>
            </w:pPr>
            <w:r w:rsidRPr="004D6656">
              <w:rPr>
                <w:b/>
              </w:rPr>
              <w:t>200,0 мг</w:t>
            </w:r>
          </w:p>
        </w:tc>
      </w:tr>
      <w:tr w:rsidR="008B19DB" w:rsidRPr="008766E7" w14:paraId="02C88B19" w14:textId="15CCFF12" w:rsidTr="00AB1FF1">
        <w:trPr>
          <w:trHeight w:val="20"/>
        </w:trPr>
        <w:tc>
          <w:tcPr>
            <w:tcW w:w="9328" w:type="dxa"/>
            <w:gridSpan w:val="2"/>
            <w:tcBorders>
              <w:top w:val="single" w:sz="4" w:space="0" w:color="auto"/>
              <w:left w:val="single" w:sz="4" w:space="0" w:color="auto"/>
              <w:bottom w:val="single" w:sz="4" w:space="0" w:color="auto"/>
              <w:right w:val="single" w:sz="4" w:space="0" w:color="auto"/>
            </w:tcBorders>
            <w:shd w:val="clear" w:color="auto" w:fill="auto"/>
          </w:tcPr>
          <w:p w14:paraId="01E6A42B" w14:textId="22BA19C6" w:rsidR="008B19DB" w:rsidRPr="004D6656" w:rsidRDefault="008B19DB" w:rsidP="00052AE8">
            <w:pPr>
              <w:spacing w:after="0" w:line="240" w:lineRule="auto"/>
              <w:contextualSpacing/>
              <w:jc w:val="left"/>
              <w:rPr>
                <w:i/>
              </w:rPr>
            </w:pPr>
            <w:r>
              <w:rPr>
                <w:i/>
                <w:iCs/>
                <w:lang w:eastAsia="en-US"/>
              </w:rPr>
              <w:t>Оболочка таблетки:</w:t>
            </w:r>
          </w:p>
        </w:tc>
      </w:tr>
      <w:tr w:rsidR="008B19DB" w:rsidRPr="008766E7" w14:paraId="7C9ECEE9" w14:textId="659D2703" w:rsidTr="00AB1FF1">
        <w:trPr>
          <w:trHeight w:val="20"/>
        </w:trPr>
        <w:tc>
          <w:tcPr>
            <w:tcW w:w="6665" w:type="dxa"/>
            <w:tcBorders>
              <w:top w:val="single" w:sz="4" w:space="0" w:color="auto"/>
              <w:left w:val="single" w:sz="4" w:space="0" w:color="auto"/>
              <w:bottom w:val="single" w:sz="4" w:space="0" w:color="auto"/>
              <w:right w:val="single" w:sz="4" w:space="0" w:color="auto"/>
            </w:tcBorders>
            <w:shd w:val="clear" w:color="auto" w:fill="auto"/>
          </w:tcPr>
          <w:p w14:paraId="7FE1F227" w14:textId="77777777" w:rsidR="008B19DB" w:rsidRPr="004D6656" w:rsidRDefault="008B19DB" w:rsidP="004D6656">
            <w:pPr>
              <w:spacing w:line="240" w:lineRule="auto"/>
              <w:contextualSpacing/>
              <w:jc w:val="left"/>
              <w:rPr>
                <w:color w:val="000000" w:themeColor="text1"/>
              </w:rPr>
            </w:pPr>
            <w:r w:rsidRPr="004D6656">
              <w:rPr>
                <w:color w:val="000000" w:themeColor="text1"/>
              </w:rPr>
              <w:t xml:space="preserve">Готовое пленочное покрытие </w:t>
            </w:r>
          </w:p>
          <w:p w14:paraId="6AEE7A57" w14:textId="100E4358" w:rsidR="008B19DB" w:rsidRPr="004D6656" w:rsidRDefault="008B19DB" w:rsidP="004D6656">
            <w:pPr>
              <w:spacing w:line="240" w:lineRule="auto"/>
              <w:contextualSpacing/>
              <w:jc w:val="left"/>
              <w:rPr>
                <w:color w:val="000000" w:themeColor="text1"/>
              </w:rPr>
            </w:pPr>
            <w:r w:rsidRPr="004D6656">
              <w:rPr>
                <w:color w:val="000000" w:themeColor="text1"/>
              </w:rPr>
              <w:t>[поливиниловый спирт – 40,0 %; титана диоксид – 21,8 %; макрогол 3350</w:t>
            </w:r>
            <w:r w:rsidRPr="004D6656">
              <w:rPr>
                <w:color w:val="000000" w:themeColor="text1"/>
                <w:vertAlign w:val="superscript"/>
              </w:rPr>
              <w:t>*</w:t>
            </w:r>
            <w:r w:rsidRPr="004D6656">
              <w:rPr>
                <w:color w:val="000000" w:themeColor="text1"/>
              </w:rPr>
              <w:t xml:space="preserve"> – 20,2 %; тальк – 14,8 %; краситель железа оксид желтый – 2,0 %, краситель железа оксид красный – 1,2 %].</w:t>
            </w:r>
          </w:p>
          <w:p w14:paraId="2761D9F9" w14:textId="3629A0ED" w:rsidR="008B19DB" w:rsidRPr="008766E7" w:rsidRDefault="008B19DB">
            <w:pPr>
              <w:spacing w:after="0" w:line="240" w:lineRule="auto"/>
              <w:contextualSpacing/>
              <w:rPr>
                <w:iCs/>
                <w:lang w:eastAsia="en-US"/>
              </w:rPr>
            </w:pPr>
            <w:r w:rsidRPr="004D6656">
              <w:rPr>
                <w:color w:val="000000" w:themeColor="text1"/>
                <w:vertAlign w:val="superscript"/>
              </w:rPr>
              <w:t>*</w:t>
            </w:r>
            <w:r w:rsidRPr="004D6656">
              <w:rPr>
                <w:color w:val="000000" w:themeColor="text1"/>
                <w:sz w:val="20"/>
                <w:szCs w:val="20"/>
              </w:rPr>
              <w:t>макрогол с молекулярной массой 3350</w:t>
            </w:r>
            <w:r w:rsidR="00196706">
              <w:rPr>
                <w:color w:val="000000" w:themeColor="text1"/>
                <w:sz w:val="20"/>
                <w:szCs w:val="20"/>
              </w:rPr>
              <w:t>.</w:t>
            </w:r>
          </w:p>
        </w:tc>
        <w:tc>
          <w:tcPr>
            <w:tcW w:w="2663" w:type="dxa"/>
            <w:tcBorders>
              <w:top w:val="single" w:sz="4" w:space="0" w:color="auto"/>
              <w:left w:val="single" w:sz="4" w:space="0" w:color="auto"/>
              <w:bottom w:val="single" w:sz="4" w:space="0" w:color="auto"/>
              <w:right w:val="single" w:sz="4" w:space="0" w:color="auto"/>
            </w:tcBorders>
          </w:tcPr>
          <w:p w14:paraId="06165759" w14:textId="29F5C349" w:rsidR="008B19DB" w:rsidRPr="008766E7" w:rsidRDefault="008B19DB" w:rsidP="008766E7">
            <w:pPr>
              <w:spacing w:after="0" w:line="240" w:lineRule="auto"/>
              <w:jc w:val="center"/>
            </w:pPr>
            <w:r>
              <w:t>6,0 мг</w:t>
            </w:r>
          </w:p>
        </w:tc>
      </w:tr>
      <w:tr w:rsidR="008B19DB" w:rsidRPr="008766E7" w14:paraId="4BEA06D5" w14:textId="3B4EF487" w:rsidTr="00AB1FF1">
        <w:trPr>
          <w:trHeight w:val="20"/>
        </w:trPr>
        <w:tc>
          <w:tcPr>
            <w:tcW w:w="6665" w:type="dxa"/>
            <w:tcBorders>
              <w:top w:val="single" w:sz="4" w:space="0" w:color="auto"/>
              <w:left w:val="single" w:sz="4" w:space="0" w:color="auto"/>
              <w:bottom w:val="single" w:sz="4" w:space="0" w:color="auto"/>
              <w:right w:val="single" w:sz="4" w:space="0" w:color="auto"/>
            </w:tcBorders>
            <w:shd w:val="clear" w:color="auto" w:fill="auto"/>
          </w:tcPr>
          <w:p w14:paraId="481A5DF0" w14:textId="2CD92C37" w:rsidR="008B19DB" w:rsidRPr="004D6656" w:rsidRDefault="008B19DB" w:rsidP="004D6656">
            <w:pPr>
              <w:spacing w:line="240" w:lineRule="auto"/>
              <w:contextualSpacing/>
              <w:jc w:val="left"/>
              <w:rPr>
                <w:b/>
                <w:color w:val="000000" w:themeColor="text1"/>
              </w:rPr>
            </w:pPr>
            <w:r w:rsidRPr="004D6656">
              <w:rPr>
                <w:b/>
                <w:color w:val="000000" w:themeColor="text1"/>
              </w:rPr>
              <w:t>Масса таблетки:</w:t>
            </w:r>
          </w:p>
        </w:tc>
        <w:tc>
          <w:tcPr>
            <w:tcW w:w="2663" w:type="dxa"/>
            <w:tcBorders>
              <w:top w:val="single" w:sz="4" w:space="0" w:color="auto"/>
              <w:left w:val="single" w:sz="4" w:space="0" w:color="auto"/>
              <w:bottom w:val="single" w:sz="4" w:space="0" w:color="auto"/>
              <w:right w:val="single" w:sz="4" w:space="0" w:color="auto"/>
            </w:tcBorders>
          </w:tcPr>
          <w:p w14:paraId="2F2C273C" w14:textId="589D7CE8" w:rsidR="008B19DB" w:rsidRPr="004D6656" w:rsidRDefault="008B19DB" w:rsidP="008766E7">
            <w:pPr>
              <w:spacing w:after="0" w:line="240" w:lineRule="auto"/>
              <w:jc w:val="center"/>
              <w:rPr>
                <w:b/>
              </w:rPr>
            </w:pPr>
            <w:r>
              <w:rPr>
                <w:b/>
              </w:rPr>
              <w:t>206,0 мг</w:t>
            </w:r>
          </w:p>
        </w:tc>
      </w:tr>
    </w:tbl>
    <w:p w14:paraId="71CEFD08" w14:textId="77777777" w:rsidR="00195552" w:rsidRPr="00A13913" w:rsidRDefault="00195552" w:rsidP="00BA2D96">
      <w:pPr>
        <w:spacing w:after="0" w:line="240" w:lineRule="auto"/>
        <w:rPr>
          <w:highlight w:val="yellow"/>
          <w:shd w:val="clear" w:color="auto" w:fill="FFFFFF"/>
          <w:lang w:eastAsia="ru-RU" w:bidi="ru-RU"/>
        </w:rPr>
      </w:pPr>
    </w:p>
    <w:p w14:paraId="666FE37E" w14:textId="787AC4B4" w:rsidR="004D6656" w:rsidRPr="001A35D0" w:rsidRDefault="004D6656" w:rsidP="004D6656">
      <w:pPr>
        <w:spacing w:after="0" w:line="240" w:lineRule="auto"/>
        <w:ind w:firstLine="709"/>
        <w:contextualSpacing/>
        <w:rPr>
          <w:highlight w:val="yellow"/>
          <w:lang w:eastAsia="ru-RU"/>
        </w:rPr>
      </w:pPr>
      <w:r w:rsidRPr="008F1926">
        <w:rPr>
          <w:rFonts w:eastAsia="Calibri"/>
          <w:color w:val="000000" w:themeColor="text1"/>
          <w:lang w:eastAsia="ru-RU"/>
        </w:rPr>
        <w:t xml:space="preserve">Препарат </w:t>
      </w:r>
      <w:r w:rsidRPr="008F1926">
        <w:rPr>
          <w:lang w:val="en-US" w:eastAsia="ru-RU"/>
        </w:rPr>
        <w:t>D</w:t>
      </w:r>
      <w:r w:rsidRPr="008F1926">
        <w:rPr>
          <w:lang w:eastAsia="ru-RU"/>
        </w:rPr>
        <w:t>T-</w:t>
      </w:r>
      <w:r>
        <w:rPr>
          <w:lang w:val="en-US" w:eastAsia="ru-RU"/>
        </w:rPr>
        <w:t>BRC</w:t>
      </w:r>
      <w:r w:rsidRPr="008F1926">
        <w:rPr>
          <w:color w:val="000000" w:themeColor="text1"/>
        </w:rPr>
        <w:t xml:space="preserve">, </w:t>
      </w:r>
      <w:r>
        <w:rPr>
          <w:rFonts w:eastAsia="Calibri"/>
        </w:rPr>
        <w:t>таблетки, покрытые пленочной оболочкой</w:t>
      </w:r>
      <w:r w:rsidRPr="008F1926">
        <w:t xml:space="preserve">, </w:t>
      </w:r>
      <w:r>
        <w:t>4</w:t>
      </w:r>
      <w:r w:rsidRPr="008F1926">
        <w:t xml:space="preserve"> мг</w:t>
      </w:r>
      <w:r w:rsidRPr="008F1926">
        <w:rPr>
          <w:bCs/>
          <w:lang w:eastAsia="ru-RU"/>
        </w:rPr>
        <w:t>,</w:t>
      </w:r>
      <w:r w:rsidRPr="008F1926">
        <w:rPr>
          <w:color w:val="000000" w:themeColor="text1"/>
        </w:rPr>
        <w:t xml:space="preserve"> </w:t>
      </w:r>
      <w:r w:rsidR="005B477E" w:rsidRPr="00BB6CED">
        <w:rPr>
          <w:color w:val="000000" w:themeColor="text1"/>
        </w:rPr>
        <w:t xml:space="preserve">разработанный </w:t>
      </w:r>
      <w:r w:rsidR="005B477E">
        <w:rPr>
          <w:bCs/>
          <w:lang w:eastAsia="ru-RU"/>
        </w:rPr>
        <w:t>дочерним подразделением ГК «Р-Фарм», Россия – ООО «Технология лекарств»</w:t>
      </w:r>
      <w:r w:rsidR="005B477E" w:rsidRPr="00BB6CED">
        <w:rPr>
          <w:color w:val="000000" w:themeColor="text1"/>
        </w:rPr>
        <w:t xml:space="preserve">, </w:t>
      </w:r>
      <w:r w:rsidRPr="004523A0">
        <w:rPr>
          <w:bCs/>
          <w:lang w:eastAsia="ru-RU"/>
        </w:rPr>
        <w:t>п</w:t>
      </w:r>
      <w:r w:rsidRPr="004523A0">
        <w:rPr>
          <w:color w:val="000000"/>
        </w:rPr>
        <w:t xml:space="preserve">олностью соответствует по качественному и количественному составу действующего и основных вспомогательных веществ, лекарственной форме и дозировке </w:t>
      </w:r>
      <w:r w:rsidRPr="008A69D9">
        <w:rPr>
          <w:color w:val="000000"/>
        </w:rPr>
        <w:t xml:space="preserve">референтному </w:t>
      </w:r>
      <w:r w:rsidRPr="008A69D9">
        <w:rPr>
          <w:color w:val="000000"/>
        </w:rPr>
        <w:lastRenderedPageBreak/>
        <w:t xml:space="preserve">препарату </w:t>
      </w:r>
      <w:r>
        <w:rPr>
          <w:color w:val="000000"/>
        </w:rPr>
        <w:t>барицитиниба</w:t>
      </w:r>
      <w:r w:rsidRPr="008A69D9">
        <w:rPr>
          <w:color w:val="000000"/>
        </w:rPr>
        <w:t xml:space="preserve"> </w:t>
      </w:r>
      <w:r w:rsidR="007B5610">
        <w:rPr>
          <w:color w:val="000000"/>
        </w:rPr>
        <w:t>Олуми</w:t>
      </w:r>
      <w:r>
        <w:rPr>
          <w:color w:val="000000"/>
        </w:rPr>
        <w:t>а</w:t>
      </w:r>
      <w:r w:rsidR="007B5610">
        <w:rPr>
          <w:color w:val="000000"/>
        </w:rPr>
        <w:t>н</w:t>
      </w:r>
      <w:r>
        <w:rPr>
          <w:color w:val="000000"/>
        </w:rPr>
        <w:t>т</w:t>
      </w:r>
      <w:r w:rsidRPr="008A69D9">
        <w:rPr>
          <w:color w:val="000000"/>
          <w:vertAlign w:val="superscript"/>
        </w:rPr>
        <w:t>®</w:t>
      </w:r>
      <w:r w:rsidRPr="008A69D9">
        <w:rPr>
          <w:color w:val="000000"/>
        </w:rPr>
        <w:t xml:space="preserve"> </w:t>
      </w:r>
      <w:r>
        <w:rPr>
          <w:color w:val="000000"/>
        </w:rPr>
        <w:t xml:space="preserve">производства </w:t>
      </w:r>
      <w:r w:rsidRPr="004D6656">
        <w:t>«Лилли дель Крибе Инк.», Пуэрто-Рико</w:t>
      </w:r>
      <w:r w:rsidRPr="008A69D9">
        <w:rPr>
          <w:lang w:eastAsia="ru-RU"/>
        </w:rPr>
        <w:t xml:space="preserve"> (владелец РУ - </w:t>
      </w:r>
      <w:r>
        <w:rPr>
          <w:lang w:eastAsia="ru-RU"/>
        </w:rPr>
        <w:t>Эли Лилли Восток С.А., Швейцария</w:t>
      </w:r>
      <w:r w:rsidRPr="008A69D9">
        <w:rPr>
          <w:lang w:eastAsia="ru-RU"/>
        </w:rPr>
        <w:t xml:space="preserve">), </w:t>
      </w:r>
      <w:r w:rsidRPr="004523A0">
        <w:rPr>
          <w:lang w:eastAsia="ru-RU"/>
        </w:rPr>
        <w:t xml:space="preserve">имея минимальные отличия в качественном и количественном составе </w:t>
      </w:r>
      <w:r w:rsidR="004523A0" w:rsidRPr="004523A0">
        <w:rPr>
          <w:lang w:eastAsia="ru-RU"/>
        </w:rPr>
        <w:t>оболочки таблетки</w:t>
      </w:r>
      <w:r w:rsidRPr="004523A0">
        <w:rPr>
          <w:lang w:eastAsia="ru-RU"/>
        </w:rPr>
        <w:t>.</w:t>
      </w:r>
    </w:p>
    <w:p w14:paraId="6D773A7A" w14:textId="06E25B96" w:rsidR="004D6656" w:rsidRDefault="004D6656" w:rsidP="004D6656">
      <w:pPr>
        <w:spacing w:after="0" w:line="240" w:lineRule="auto"/>
        <w:ind w:firstLine="709"/>
        <w:contextualSpacing/>
        <w:rPr>
          <w:color w:val="000000" w:themeColor="text1"/>
        </w:rPr>
      </w:pPr>
      <w:r w:rsidRPr="008F1926">
        <w:rPr>
          <w:color w:val="000000" w:themeColor="text1"/>
        </w:rPr>
        <w:t xml:space="preserve">В планируемом клиническом исследовании биоэквивалентности будет использоваться дозировка </w:t>
      </w:r>
      <w:r>
        <w:rPr>
          <w:color w:val="000000" w:themeColor="text1"/>
        </w:rPr>
        <w:t>4</w:t>
      </w:r>
      <w:r w:rsidRPr="008F1926">
        <w:rPr>
          <w:color w:val="000000" w:themeColor="text1"/>
        </w:rPr>
        <w:t xml:space="preserve"> мг. Сопоставление составов </w:t>
      </w:r>
      <w:r w:rsidRPr="008F1926">
        <w:rPr>
          <w:lang w:val="en-US" w:eastAsia="ru-RU"/>
        </w:rPr>
        <w:t>D</w:t>
      </w:r>
      <w:r w:rsidRPr="008F1926">
        <w:rPr>
          <w:lang w:eastAsia="ru-RU"/>
        </w:rPr>
        <w:t>T-</w:t>
      </w:r>
      <w:r>
        <w:rPr>
          <w:lang w:val="en-US" w:eastAsia="ru-RU"/>
        </w:rPr>
        <w:t>BRC</w:t>
      </w:r>
      <w:r w:rsidRPr="008F1926">
        <w:rPr>
          <w:lang w:eastAsia="ru-RU"/>
        </w:rPr>
        <w:t xml:space="preserve"> </w:t>
      </w:r>
      <w:r w:rsidRPr="008F1926">
        <w:rPr>
          <w:rFonts w:eastAsiaTheme="minorHAnsi"/>
          <w:color w:val="000000" w:themeColor="text1"/>
          <w:lang w:eastAsia="en-US"/>
        </w:rPr>
        <w:t>(</w:t>
      </w:r>
      <w:r>
        <w:rPr>
          <w:rFonts w:eastAsiaTheme="minorHAnsi"/>
          <w:color w:val="000000" w:themeColor="text1"/>
          <w:lang w:eastAsia="en-US"/>
        </w:rPr>
        <w:t xml:space="preserve">производства </w:t>
      </w:r>
      <w:r w:rsidR="007F72CA">
        <w:rPr>
          <w:rFonts w:eastAsiaTheme="minorHAnsi"/>
          <w:color w:val="000000" w:themeColor="text1"/>
          <w:lang w:eastAsia="en-US"/>
        </w:rPr>
        <w:t>А</w:t>
      </w:r>
      <w:r w:rsidRPr="008F1926">
        <w:rPr>
          <w:rFonts w:eastAsiaTheme="minorHAnsi"/>
          <w:color w:val="000000" w:themeColor="text1"/>
          <w:lang w:eastAsia="en-US"/>
        </w:rPr>
        <w:t>О «</w:t>
      </w:r>
      <w:r w:rsidR="003A3709">
        <w:rPr>
          <w:rFonts w:eastAsiaTheme="minorHAnsi"/>
          <w:color w:val="000000" w:themeColor="text1"/>
          <w:lang w:eastAsia="en-US"/>
        </w:rPr>
        <w:t>Р-Фарм</w:t>
      </w:r>
      <w:r w:rsidRPr="008F1926">
        <w:rPr>
          <w:rFonts w:eastAsiaTheme="minorHAnsi"/>
          <w:color w:val="000000" w:themeColor="text1"/>
          <w:lang w:eastAsia="en-US"/>
        </w:rPr>
        <w:t xml:space="preserve">», Россия) </w:t>
      </w:r>
      <w:r w:rsidRPr="008A69D9">
        <w:rPr>
          <w:rFonts w:eastAsiaTheme="minorHAnsi"/>
          <w:color w:val="000000" w:themeColor="text1"/>
          <w:lang w:eastAsia="en-US"/>
        </w:rPr>
        <w:t xml:space="preserve">и референтного препарата </w:t>
      </w:r>
      <w:r w:rsidR="007B5610">
        <w:rPr>
          <w:color w:val="000000" w:themeColor="text1"/>
        </w:rPr>
        <w:t>Олуми</w:t>
      </w:r>
      <w:r>
        <w:rPr>
          <w:color w:val="000000" w:themeColor="text1"/>
        </w:rPr>
        <w:t>а</w:t>
      </w:r>
      <w:r w:rsidR="007B5610">
        <w:rPr>
          <w:color w:val="000000" w:themeColor="text1"/>
        </w:rPr>
        <w:t>н</w:t>
      </w:r>
      <w:r>
        <w:rPr>
          <w:color w:val="000000" w:themeColor="text1"/>
        </w:rPr>
        <w:t>т</w:t>
      </w:r>
      <w:r w:rsidRPr="008A69D9">
        <w:rPr>
          <w:color w:val="000000" w:themeColor="text1"/>
          <w:vertAlign w:val="superscript"/>
        </w:rPr>
        <w:t>®</w:t>
      </w:r>
      <w:r w:rsidRPr="008A69D9">
        <w:rPr>
          <w:color w:val="000000" w:themeColor="text1"/>
        </w:rPr>
        <w:t xml:space="preserve"> (</w:t>
      </w:r>
      <w:r>
        <w:rPr>
          <w:color w:val="000000" w:themeColor="text1"/>
        </w:rPr>
        <w:t xml:space="preserve">производства </w:t>
      </w:r>
      <w:r w:rsidRPr="004D6656">
        <w:t xml:space="preserve">«Лилли дель </w:t>
      </w:r>
      <w:r w:rsidR="003A3709" w:rsidRPr="004D6656">
        <w:t>К</w:t>
      </w:r>
      <w:r w:rsidR="003A3709">
        <w:t>а</w:t>
      </w:r>
      <w:r w:rsidR="003A3709" w:rsidRPr="004D6656">
        <w:t>рибе</w:t>
      </w:r>
      <w:r w:rsidRPr="004D6656">
        <w:t xml:space="preserve"> Инк.», Пуэрто-Рико</w:t>
      </w:r>
      <w:r w:rsidRPr="008F1926">
        <w:rPr>
          <w:color w:val="000000" w:themeColor="text1"/>
        </w:rPr>
        <w:t>)</w:t>
      </w:r>
      <w:r w:rsidRPr="008F1926">
        <w:rPr>
          <w:rFonts w:eastAsiaTheme="minorHAnsi"/>
          <w:color w:val="000000" w:themeColor="text1"/>
          <w:lang w:eastAsia="en-US"/>
        </w:rPr>
        <w:t xml:space="preserve"> представлено в табл. 2-2. ниже.</w:t>
      </w:r>
      <w:r>
        <w:rPr>
          <w:rFonts w:eastAsiaTheme="minorHAnsi"/>
          <w:color w:val="000000" w:themeColor="text1"/>
          <w:lang w:eastAsia="en-US"/>
        </w:rPr>
        <w:t xml:space="preserve"> </w:t>
      </w:r>
    </w:p>
    <w:p w14:paraId="69534A8F" w14:textId="77777777" w:rsidR="00195552" w:rsidRDefault="00195552" w:rsidP="00BA2D96">
      <w:pPr>
        <w:spacing w:after="0" w:line="240" w:lineRule="auto"/>
        <w:rPr>
          <w:lang w:eastAsia="ru-RU" w:bidi="ru-RU"/>
        </w:rPr>
      </w:pPr>
    </w:p>
    <w:p w14:paraId="06C2A5D5" w14:textId="4FE2EADE" w:rsidR="004D6656" w:rsidRDefault="004D6656" w:rsidP="004D6656">
      <w:pPr>
        <w:spacing w:after="0" w:line="240" w:lineRule="auto"/>
        <w:contextualSpacing/>
        <w:rPr>
          <w:rFonts w:eastAsia="Times New Roman"/>
          <w:lang w:eastAsia="ru-RU"/>
        </w:rPr>
      </w:pPr>
      <w:r>
        <w:rPr>
          <w:b/>
        </w:rPr>
        <w:t>Таблица 2-2.</w:t>
      </w:r>
      <w:r>
        <w:t xml:space="preserve"> Сопоставление составов препарата </w:t>
      </w:r>
      <w:r w:rsidRPr="008F1926">
        <w:rPr>
          <w:lang w:val="en-US" w:eastAsia="ru-RU"/>
        </w:rPr>
        <w:t>D</w:t>
      </w:r>
      <w:r w:rsidRPr="008F1926">
        <w:rPr>
          <w:lang w:eastAsia="ru-RU"/>
        </w:rPr>
        <w:t>T-</w:t>
      </w:r>
      <w:r>
        <w:rPr>
          <w:lang w:val="en-US" w:eastAsia="ru-RU"/>
        </w:rPr>
        <w:t>BRC</w:t>
      </w:r>
      <w:r w:rsidRPr="008F1926">
        <w:rPr>
          <w:lang w:eastAsia="ru-RU"/>
        </w:rPr>
        <w:t xml:space="preserve"> </w:t>
      </w:r>
      <w:r>
        <w:rPr>
          <w:rFonts w:eastAsiaTheme="minorHAnsi"/>
          <w:color w:val="000000" w:themeColor="text1"/>
          <w:lang w:eastAsia="en-US"/>
        </w:rPr>
        <w:t xml:space="preserve">(АО «Р-Фарм», Россия) </w:t>
      </w:r>
      <w:r w:rsidRPr="00243565">
        <w:rPr>
          <w:rFonts w:eastAsiaTheme="minorHAnsi"/>
          <w:color w:val="000000" w:themeColor="text1"/>
          <w:lang w:eastAsia="en-US"/>
        </w:rPr>
        <w:t>и референтного препарата</w:t>
      </w:r>
      <w:r>
        <w:rPr>
          <w:rFonts w:eastAsiaTheme="minorHAnsi"/>
          <w:color w:val="000000" w:themeColor="text1"/>
          <w:lang w:eastAsia="en-US"/>
        </w:rPr>
        <w:t xml:space="preserve"> </w:t>
      </w:r>
      <w:r w:rsidR="007B5610">
        <w:rPr>
          <w:color w:val="000000"/>
        </w:rPr>
        <w:t>Олуми</w:t>
      </w:r>
      <w:r>
        <w:rPr>
          <w:color w:val="000000"/>
        </w:rPr>
        <w:t>а</w:t>
      </w:r>
      <w:r w:rsidR="007B5610">
        <w:rPr>
          <w:color w:val="000000"/>
        </w:rPr>
        <w:t>н</w:t>
      </w:r>
      <w:r>
        <w:rPr>
          <w:color w:val="000000"/>
        </w:rPr>
        <w:t>т</w:t>
      </w:r>
      <w:r w:rsidRPr="008A69D9">
        <w:rPr>
          <w:color w:val="000000"/>
          <w:vertAlign w:val="superscript"/>
        </w:rPr>
        <w:t>®</w:t>
      </w:r>
      <w:r w:rsidRPr="008A69D9">
        <w:rPr>
          <w:color w:val="000000"/>
        </w:rPr>
        <w:t xml:space="preserve"> </w:t>
      </w:r>
      <w:r w:rsidRPr="004D6656">
        <w:rPr>
          <w:color w:val="000000" w:themeColor="text1"/>
        </w:rPr>
        <w:t>(</w:t>
      </w:r>
      <w:r w:rsidRPr="004D6656">
        <w:t>«Лилли дель Крибе Инк.», Пуэрто-Рико</w:t>
      </w:r>
      <w:r w:rsidRPr="00ED15AE">
        <w:rPr>
          <w:color w:val="000000" w:themeColor="text1"/>
        </w:rPr>
        <w:t>)</w:t>
      </w:r>
      <w:r>
        <w:rPr>
          <w:color w:val="000000" w:themeColor="text1"/>
        </w:rPr>
        <w:t xml:space="preserve"> в дозировке 4 мг.</w:t>
      </w:r>
      <w:r>
        <w:rPr>
          <w:lang w:eastAsia="ru-RU"/>
        </w:rPr>
        <w:t xml:space="preserve"> </w:t>
      </w:r>
    </w:p>
    <w:tbl>
      <w:tblPr>
        <w:tblStyle w:val="1e"/>
        <w:tblW w:w="4873" w:type="pct"/>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4"/>
        <w:gridCol w:w="1843"/>
        <w:gridCol w:w="1702"/>
      </w:tblGrid>
      <w:tr w:rsidR="004523A0" w:rsidRPr="00232731" w14:paraId="2667BB7A" w14:textId="77777777" w:rsidTr="00AB1FF1">
        <w:trPr>
          <w:trHeight w:val="20"/>
          <w:tblHeader/>
        </w:trPr>
        <w:tc>
          <w:tcPr>
            <w:tcW w:w="5784" w:type="dxa"/>
            <w:vMerge w:val="restart"/>
            <w:shd w:val="clear" w:color="auto" w:fill="D9D9D9" w:themeFill="background1" w:themeFillShade="D9"/>
            <w:vAlign w:val="center"/>
          </w:tcPr>
          <w:p w14:paraId="02B76AD9" w14:textId="31E9547D" w:rsidR="004523A0" w:rsidRPr="00EC1560" w:rsidRDefault="004523A0" w:rsidP="00A043A6">
            <w:pPr>
              <w:jc w:val="center"/>
              <w:rPr>
                <w:b/>
              </w:rPr>
            </w:pPr>
            <w:r w:rsidRPr="00EC1560">
              <w:rPr>
                <w:b/>
              </w:rPr>
              <w:t>Компонент</w:t>
            </w:r>
          </w:p>
        </w:tc>
        <w:tc>
          <w:tcPr>
            <w:tcW w:w="3545" w:type="dxa"/>
            <w:gridSpan w:val="2"/>
            <w:shd w:val="clear" w:color="auto" w:fill="D9D9D9" w:themeFill="background1" w:themeFillShade="D9"/>
            <w:vAlign w:val="center"/>
          </w:tcPr>
          <w:p w14:paraId="4F5FB9CD" w14:textId="634EC864" w:rsidR="004523A0" w:rsidRPr="00EC1560" w:rsidRDefault="004523A0" w:rsidP="00A043A6">
            <w:pPr>
              <w:jc w:val="center"/>
              <w:rPr>
                <w:b/>
              </w:rPr>
            </w:pPr>
            <w:r w:rsidRPr="00EC1560">
              <w:rPr>
                <w:b/>
              </w:rPr>
              <w:t>Дозировка 4 мг</w:t>
            </w:r>
          </w:p>
        </w:tc>
      </w:tr>
      <w:tr w:rsidR="004523A0" w:rsidRPr="00232731" w14:paraId="4589C360" w14:textId="0EAD27B8" w:rsidTr="00AB1FF1">
        <w:trPr>
          <w:trHeight w:val="20"/>
          <w:tblHeader/>
        </w:trPr>
        <w:tc>
          <w:tcPr>
            <w:tcW w:w="5784" w:type="dxa"/>
            <w:vMerge/>
            <w:shd w:val="clear" w:color="auto" w:fill="D9D9D9" w:themeFill="background1" w:themeFillShade="D9"/>
            <w:vAlign w:val="center"/>
          </w:tcPr>
          <w:p w14:paraId="139B3D42" w14:textId="16F436DC" w:rsidR="004523A0" w:rsidRPr="00EC1560" w:rsidRDefault="004523A0" w:rsidP="00A043A6">
            <w:pPr>
              <w:jc w:val="center"/>
              <w:rPr>
                <w:b/>
              </w:rPr>
            </w:pPr>
          </w:p>
        </w:tc>
        <w:tc>
          <w:tcPr>
            <w:tcW w:w="1843" w:type="dxa"/>
            <w:shd w:val="clear" w:color="auto" w:fill="D9D9D9" w:themeFill="background1" w:themeFillShade="D9"/>
            <w:vAlign w:val="center"/>
          </w:tcPr>
          <w:p w14:paraId="00C7250E" w14:textId="6F4FB50B" w:rsidR="004523A0" w:rsidRPr="00EC1560" w:rsidRDefault="004523A0" w:rsidP="00A043A6">
            <w:pPr>
              <w:jc w:val="center"/>
              <w:rPr>
                <w:b/>
              </w:rPr>
            </w:pPr>
            <w:r w:rsidRPr="00EC1560">
              <w:rPr>
                <w:b/>
                <w:lang w:val="en-US" w:eastAsia="ru-RU"/>
              </w:rPr>
              <w:t>D</w:t>
            </w:r>
            <w:r w:rsidRPr="00EC1560">
              <w:rPr>
                <w:b/>
                <w:lang w:eastAsia="ru-RU"/>
              </w:rPr>
              <w:t>T-</w:t>
            </w:r>
            <w:r w:rsidRPr="00EC1560">
              <w:rPr>
                <w:b/>
                <w:lang w:val="en-US" w:eastAsia="ru-RU"/>
              </w:rPr>
              <w:t>BRC</w:t>
            </w:r>
          </w:p>
        </w:tc>
        <w:tc>
          <w:tcPr>
            <w:tcW w:w="1702" w:type="dxa"/>
            <w:shd w:val="clear" w:color="auto" w:fill="D9D9D9" w:themeFill="background1" w:themeFillShade="D9"/>
            <w:vAlign w:val="center"/>
          </w:tcPr>
          <w:p w14:paraId="23D972F8" w14:textId="0342E168" w:rsidR="004523A0" w:rsidRPr="00EC1560" w:rsidRDefault="004523A0" w:rsidP="00A043A6">
            <w:pPr>
              <w:jc w:val="center"/>
              <w:rPr>
                <w:b/>
              </w:rPr>
            </w:pPr>
            <w:r w:rsidRPr="00EC1560">
              <w:rPr>
                <w:b/>
              </w:rPr>
              <w:t>Олумиант</w:t>
            </w:r>
            <w:r w:rsidRPr="00AB1FF1">
              <w:rPr>
                <w:b/>
                <w:vertAlign w:val="superscript"/>
              </w:rPr>
              <w:t>®</w:t>
            </w:r>
            <w:r w:rsidRPr="00EC1560">
              <w:rPr>
                <w:b/>
              </w:rPr>
              <w:t>,</w:t>
            </w:r>
          </w:p>
        </w:tc>
      </w:tr>
      <w:tr w:rsidR="004523A0" w:rsidRPr="00FB6426" w14:paraId="49586DB0" w14:textId="4D67D5EF" w:rsidTr="00AB1FF1">
        <w:trPr>
          <w:trHeight w:val="20"/>
        </w:trPr>
        <w:tc>
          <w:tcPr>
            <w:tcW w:w="7627" w:type="dxa"/>
            <w:gridSpan w:val="2"/>
            <w:vAlign w:val="center"/>
          </w:tcPr>
          <w:p w14:paraId="51190EC5" w14:textId="77777777" w:rsidR="004523A0" w:rsidRPr="00EC1560" w:rsidRDefault="004523A0" w:rsidP="00A043A6">
            <w:r w:rsidRPr="00EC1560">
              <w:rPr>
                <w:i/>
              </w:rPr>
              <w:t>Действующее вещество:</w:t>
            </w:r>
          </w:p>
        </w:tc>
        <w:tc>
          <w:tcPr>
            <w:tcW w:w="1702" w:type="dxa"/>
            <w:vAlign w:val="center"/>
          </w:tcPr>
          <w:p w14:paraId="23871C99" w14:textId="77777777" w:rsidR="004523A0" w:rsidRPr="00EC1560" w:rsidRDefault="004523A0" w:rsidP="004523A0"/>
        </w:tc>
      </w:tr>
      <w:tr w:rsidR="004523A0" w:rsidRPr="00FB6426" w14:paraId="31A481BF" w14:textId="6FC5AA3E" w:rsidTr="00AB1FF1">
        <w:trPr>
          <w:trHeight w:val="20"/>
        </w:trPr>
        <w:tc>
          <w:tcPr>
            <w:tcW w:w="5784" w:type="dxa"/>
            <w:vAlign w:val="center"/>
          </w:tcPr>
          <w:p w14:paraId="6074D5C6" w14:textId="77777777" w:rsidR="004523A0" w:rsidRPr="00EC1560" w:rsidRDefault="004523A0" w:rsidP="008C6732">
            <w:pPr>
              <w:widowControl w:val="0"/>
              <w:ind w:left="574"/>
            </w:pPr>
            <w:r w:rsidRPr="00EC1560">
              <w:rPr>
                <w:color w:val="000000" w:themeColor="text1"/>
              </w:rPr>
              <w:t>Барицитиниб</w:t>
            </w:r>
          </w:p>
        </w:tc>
        <w:tc>
          <w:tcPr>
            <w:tcW w:w="1843" w:type="dxa"/>
            <w:vAlign w:val="center"/>
          </w:tcPr>
          <w:p w14:paraId="7D39E8CA" w14:textId="35AB288D" w:rsidR="004523A0" w:rsidRPr="00EC1560" w:rsidRDefault="004523A0" w:rsidP="004523A0">
            <w:pPr>
              <w:jc w:val="center"/>
            </w:pPr>
            <w:r w:rsidRPr="00EC1560">
              <w:rPr>
                <w:color w:val="000000" w:themeColor="text1"/>
              </w:rPr>
              <w:t>4,0 мг</w:t>
            </w:r>
          </w:p>
        </w:tc>
        <w:tc>
          <w:tcPr>
            <w:tcW w:w="1702" w:type="dxa"/>
            <w:vAlign w:val="center"/>
          </w:tcPr>
          <w:p w14:paraId="0D20EEC2" w14:textId="54C87018" w:rsidR="004523A0" w:rsidRPr="00EC1560" w:rsidRDefault="004523A0" w:rsidP="00A043A6">
            <w:pPr>
              <w:jc w:val="center"/>
            </w:pPr>
            <w:r w:rsidRPr="00EC1560">
              <w:rPr>
                <w:color w:val="000000" w:themeColor="text1"/>
              </w:rPr>
              <w:t>4,0 мг</w:t>
            </w:r>
          </w:p>
        </w:tc>
      </w:tr>
      <w:tr w:rsidR="004523A0" w:rsidRPr="00FB6426" w14:paraId="4E06FACB" w14:textId="493B6321" w:rsidTr="00AB1FF1">
        <w:trPr>
          <w:trHeight w:val="20"/>
        </w:trPr>
        <w:tc>
          <w:tcPr>
            <w:tcW w:w="9329" w:type="dxa"/>
            <w:gridSpan w:val="3"/>
            <w:vAlign w:val="center"/>
          </w:tcPr>
          <w:p w14:paraId="0656CB26" w14:textId="0AF1F43A" w:rsidR="004523A0" w:rsidRPr="00EC1560" w:rsidRDefault="004523A0" w:rsidP="004523A0">
            <w:pPr>
              <w:rPr>
                <w:color w:val="000000" w:themeColor="text1"/>
              </w:rPr>
            </w:pPr>
            <w:r w:rsidRPr="00EC1560">
              <w:rPr>
                <w:i/>
                <w:color w:val="000000" w:themeColor="text1"/>
              </w:rPr>
              <w:t>Вспомогательные вещества:</w:t>
            </w:r>
          </w:p>
        </w:tc>
      </w:tr>
      <w:tr w:rsidR="004523A0" w:rsidRPr="00FB6426" w14:paraId="5424BD06" w14:textId="173105E3" w:rsidTr="00AB1FF1">
        <w:trPr>
          <w:trHeight w:val="20"/>
        </w:trPr>
        <w:tc>
          <w:tcPr>
            <w:tcW w:w="5784" w:type="dxa"/>
            <w:vAlign w:val="center"/>
          </w:tcPr>
          <w:p w14:paraId="7CD01961" w14:textId="77777777" w:rsidR="004523A0" w:rsidRPr="00EC1560" w:rsidRDefault="004523A0" w:rsidP="00AB1FF1">
            <w:pPr>
              <w:ind w:left="574"/>
            </w:pPr>
            <w:r w:rsidRPr="00EC1560">
              <w:t>Маннитол</w:t>
            </w:r>
          </w:p>
        </w:tc>
        <w:tc>
          <w:tcPr>
            <w:tcW w:w="1843" w:type="dxa"/>
            <w:vAlign w:val="center"/>
          </w:tcPr>
          <w:p w14:paraId="566AA40F" w14:textId="016A3AB1" w:rsidR="004523A0" w:rsidRPr="00EC1560" w:rsidRDefault="004523A0" w:rsidP="004523A0">
            <w:pPr>
              <w:jc w:val="center"/>
            </w:pPr>
            <w:r w:rsidRPr="00EC1560">
              <w:t>50,0 мг</w:t>
            </w:r>
          </w:p>
        </w:tc>
        <w:tc>
          <w:tcPr>
            <w:tcW w:w="1702" w:type="dxa"/>
            <w:vAlign w:val="center"/>
          </w:tcPr>
          <w:p w14:paraId="4EBBA018" w14:textId="7FA6FC22" w:rsidR="004523A0" w:rsidRPr="00EC1560" w:rsidRDefault="004523A0" w:rsidP="00A043A6">
            <w:pPr>
              <w:jc w:val="center"/>
            </w:pPr>
            <w:r w:rsidRPr="00EC1560">
              <w:t>50,0 мг</w:t>
            </w:r>
          </w:p>
        </w:tc>
      </w:tr>
      <w:tr w:rsidR="004523A0" w:rsidRPr="00FB6426" w14:paraId="22DE38A1" w14:textId="016AF921" w:rsidTr="00AB1FF1">
        <w:trPr>
          <w:trHeight w:val="20"/>
        </w:trPr>
        <w:tc>
          <w:tcPr>
            <w:tcW w:w="5784" w:type="dxa"/>
            <w:vAlign w:val="center"/>
          </w:tcPr>
          <w:p w14:paraId="20746666" w14:textId="77777777" w:rsidR="004523A0" w:rsidRPr="00EC1560" w:rsidRDefault="004523A0" w:rsidP="00AB1FF1">
            <w:pPr>
              <w:ind w:left="574"/>
            </w:pPr>
            <w:r w:rsidRPr="00EC1560">
              <w:t>Целлюлоза микрокристаллическая</w:t>
            </w:r>
          </w:p>
        </w:tc>
        <w:tc>
          <w:tcPr>
            <w:tcW w:w="1843" w:type="dxa"/>
            <w:vAlign w:val="center"/>
          </w:tcPr>
          <w:p w14:paraId="2C891B04" w14:textId="635A591D" w:rsidR="004523A0" w:rsidRPr="00EC1560" w:rsidRDefault="004523A0" w:rsidP="004523A0">
            <w:pPr>
              <w:jc w:val="center"/>
            </w:pPr>
            <w:r w:rsidRPr="00EC1560">
              <w:t>132,0 мг</w:t>
            </w:r>
          </w:p>
        </w:tc>
        <w:tc>
          <w:tcPr>
            <w:tcW w:w="1702" w:type="dxa"/>
            <w:vAlign w:val="center"/>
          </w:tcPr>
          <w:p w14:paraId="7FE41178" w14:textId="567A722D" w:rsidR="004523A0" w:rsidRPr="00EC1560" w:rsidRDefault="004523A0" w:rsidP="00A043A6">
            <w:pPr>
              <w:jc w:val="center"/>
            </w:pPr>
            <w:r w:rsidRPr="00EC1560">
              <w:t>132,0 мг</w:t>
            </w:r>
          </w:p>
        </w:tc>
      </w:tr>
      <w:tr w:rsidR="004523A0" w:rsidRPr="00FB6426" w14:paraId="26ABB4E9" w14:textId="5F0DD60B" w:rsidTr="00AB1FF1">
        <w:trPr>
          <w:trHeight w:val="20"/>
        </w:trPr>
        <w:tc>
          <w:tcPr>
            <w:tcW w:w="5784" w:type="dxa"/>
            <w:vAlign w:val="center"/>
          </w:tcPr>
          <w:p w14:paraId="422F399A" w14:textId="77777777" w:rsidR="004523A0" w:rsidRPr="00EC1560" w:rsidRDefault="004523A0" w:rsidP="00AB1FF1">
            <w:pPr>
              <w:ind w:left="574"/>
            </w:pPr>
            <w:r w:rsidRPr="00EC1560">
              <w:t>Кроскармеллоза натрия</w:t>
            </w:r>
          </w:p>
        </w:tc>
        <w:tc>
          <w:tcPr>
            <w:tcW w:w="1843" w:type="dxa"/>
            <w:vAlign w:val="center"/>
          </w:tcPr>
          <w:p w14:paraId="28C19CDE" w14:textId="1C198BF3" w:rsidR="004523A0" w:rsidRPr="00EC1560" w:rsidRDefault="004523A0" w:rsidP="004523A0">
            <w:pPr>
              <w:jc w:val="center"/>
            </w:pPr>
            <w:r w:rsidRPr="00EC1560">
              <w:t>12,0 мг</w:t>
            </w:r>
          </w:p>
        </w:tc>
        <w:tc>
          <w:tcPr>
            <w:tcW w:w="1702" w:type="dxa"/>
            <w:vAlign w:val="center"/>
          </w:tcPr>
          <w:p w14:paraId="30D94BB3" w14:textId="37B8E9F4" w:rsidR="004523A0" w:rsidRPr="00EC1560" w:rsidRDefault="004523A0" w:rsidP="00A043A6">
            <w:pPr>
              <w:jc w:val="center"/>
            </w:pPr>
            <w:r w:rsidRPr="00EC1560">
              <w:t>12,0 мг</w:t>
            </w:r>
          </w:p>
        </w:tc>
      </w:tr>
      <w:tr w:rsidR="004523A0" w:rsidRPr="00FB6426" w14:paraId="58E69DA5" w14:textId="1D715A1F" w:rsidTr="00AB1FF1">
        <w:trPr>
          <w:trHeight w:val="20"/>
        </w:trPr>
        <w:tc>
          <w:tcPr>
            <w:tcW w:w="5784" w:type="dxa"/>
            <w:vAlign w:val="center"/>
          </w:tcPr>
          <w:p w14:paraId="24481454" w14:textId="77777777" w:rsidR="004523A0" w:rsidRPr="00EC1560" w:rsidRDefault="004523A0" w:rsidP="00AB1FF1">
            <w:pPr>
              <w:ind w:left="574"/>
            </w:pPr>
            <w:r w:rsidRPr="00EC1560">
              <w:t>Магния стеарат</w:t>
            </w:r>
          </w:p>
        </w:tc>
        <w:tc>
          <w:tcPr>
            <w:tcW w:w="1843" w:type="dxa"/>
            <w:vAlign w:val="center"/>
          </w:tcPr>
          <w:p w14:paraId="7C40B181" w14:textId="1B1AA320" w:rsidR="004523A0" w:rsidRPr="00EC1560" w:rsidRDefault="004523A0" w:rsidP="004523A0">
            <w:pPr>
              <w:jc w:val="center"/>
            </w:pPr>
            <w:r w:rsidRPr="00EC1560">
              <w:t>2,0 мг</w:t>
            </w:r>
          </w:p>
        </w:tc>
        <w:tc>
          <w:tcPr>
            <w:tcW w:w="1702" w:type="dxa"/>
            <w:vAlign w:val="center"/>
          </w:tcPr>
          <w:p w14:paraId="209B1BD3" w14:textId="4093B539" w:rsidR="004523A0" w:rsidRPr="00EC1560" w:rsidRDefault="004523A0" w:rsidP="00A043A6">
            <w:pPr>
              <w:jc w:val="center"/>
            </w:pPr>
            <w:r w:rsidRPr="00EC1560">
              <w:t>2,0 мг</w:t>
            </w:r>
          </w:p>
        </w:tc>
      </w:tr>
      <w:tr w:rsidR="004523A0" w14:paraId="6C008B04" w14:textId="01F807D8" w:rsidTr="00AB1FF1">
        <w:trPr>
          <w:trHeight w:val="20"/>
        </w:trPr>
        <w:tc>
          <w:tcPr>
            <w:tcW w:w="5784" w:type="dxa"/>
            <w:vAlign w:val="center"/>
          </w:tcPr>
          <w:p w14:paraId="640243AD" w14:textId="77777777" w:rsidR="004523A0" w:rsidRPr="00EC1560" w:rsidRDefault="004523A0" w:rsidP="00A043A6">
            <w:r w:rsidRPr="00EC1560">
              <w:rPr>
                <w:b/>
              </w:rPr>
              <w:t>Масса ядра таблетки:</w:t>
            </w:r>
          </w:p>
        </w:tc>
        <w:tc>
          <w:tcPr>
            <w:tcW w:w="1843" w:type="dxa"/>
            <w:vAlign w:val="center"/>
          </w:tcPr>
          <w:p w14:paraId="45EB3943" w14:textId="67F0BECA" w:rsidR="004523A0" w:rsidRPr="00EC1560" w:rsidRDefault="004523A0" w:rsidP="004523A0">
            <w:pPr>
              <w:jc w:val="center"/>
              <w:rPr>
                <w:color w:val="000000" w:themeColor="text1"/>
              </w:rPr>
            </w:pPr>
            <w:r w:rsidRPr="00EC1560">
              <w:rPr>
                <w:b/>
              </w:rPr>
              <w:t>200,0 мг</w:t>
            </w:r>
          </w:p>
        </w:tc>
        <w:tc>
          <w:tcPr>
            <w:tcW w:w="1702" w:type="dxa"/>
            <w:vAlign w:val="center"/>
          </w:tcPr>
          <w:p w14:paraId="2351A7BC" w14:textId="2BF11824" w:rsidR="004523A0" w:rsidRPr="00EC1560" w:rsidRDefault="004523A0" w:rsidP="00A043A6">
            <w:pPr>
              <w:jc w:val="center"/>
              <w:rPr>
                <w:color w:val="000000" w:themeColor="text1"/>
              </w:rPr>
            </w:pPr>
            <w:r w:rsidRPr="00EC1560">
              <w:rPr>
                <w:b/>
              </w:rPr>
              <w:t>200,0 мг</w:t>
            </w:r>
          </w:p>
        </w:tc>
      </w:tr>
      <w:tr w:rsidR="004523A0" w:rsidRPr="007C6900" w14:paraId="58B99ABB" w14:textId="677FEA8F" w:rsidTr="00AB1FF1">
        <w:trPr>
          <w:trHeight w:val="20"/>
        </w:trPr>
        <w:tc>
          <w:tcPr>
            <w:tcW w:w="9329" w:type="dxa"/>
            <w:gridSpan w:val="3"/>
            <w:vAlign w:val="center"/>
          </w:tcPr>
          <w:p w14:paraId="31566ECE" w14:textId="73ECFE36" w:rsidR="004523A0" w:rsidRPr="00EC1560" w:rsidRDefault="004523A0" w:rsidP="004523A0">
            <w:pPr>
              <w:rPr>
                <w:i/>
                <w:color w:val="000000" w:themeColor="text1"/>
              </w:rPr>
            </w:pPr>
            <w:r w:rsidRPr="00EC1560">
              <w:rPr>
                <w:i/>
                <w:color w:val="000000" w:themeColor="text1"/>
              </w:rPr>
              <w:t>Оболочка таблетки:</w:t>
            </w:r>
          </w:p>
        </w:tc>
      </w:tr>
      <w:tr w:rsidR="004523A0" w:rsidRPr="007C6900" w14:paraId="13BEE15F" w14:textId="0F0FB8CC" w:rsidTr="00AB1FF1">
        <w:trPr>
          <w:trHeight w:val="20"/>
        </w:trPr>
        <w:tc>
          <w:tcPr>
            <w:tcW w:w="5784" w:type="dxa"/>
            <w:vAlign w:val="center"/>
          </w:tcPr>
          <w:p w14:paraId="6371D31F" w14:textId="77777777" w:rsidR="004523A0" w:rsidRPr="00EC1560" w:rsidRDefault="004523A0" w:rsidP="00A043A6">
            <w:pPr>
              <w:jc w:val="left"/>
              <w:rPr>
                <w:lang w:val="en-US"/>
              </w:rPr>
            </w:pPr>
            <w:r w:rsidRPr="00EC1560">
              <w:t>Смесь красителей розовая 85</w:t>
            </w:r>
            <w:r w:rsidRPr="00EC1560">
              <w:rPr>
                <w:lang w:val="en-US"/>
              </w:rPr>
              <w:t>G140009</w:t>
            </w:r>
          </w:p>
        </w:tc>
        <w:tc>
          <w:tcPr>
            <w:tcW w:w="1843" w:type="dxa"/>
            <w:vAlign w:val="center"/>
          </w:tcPr>
          <w:p w14:paraId="20BD2847" w14:textId="3062DF2A" w:rsidR="004523A0" w:rsidRPr="00EC1560" w:rsidRDefault="004523A0" w:rsidP="004523A0">
            <w:pPr>
              <w:jc w:val="center"/>
            </w:pPr>
          </w:p>
        </w:tc>
        <w:tc>
          <w:tcPr>
            <w:tcW w:w="1702" w:type="dxa"/>
            <w:vAlign w:val="center"/>
          </w:tcPr>
          <w:p w14:paraId="69312946" w14:textId="0C52338D" w:rsidR="004523A0" w:rsidRPr="00EC1560" w:rsidRDefault="004523A0" w:rsidP="00A043A6">
            <w:pPr>
              <w:jc w:val="center"/>
            </w:pPr>
            <w:r w:rsidRPr="00EC1560">
              <w:t>6,0 мг</w:t>
            </w:r>
          </w:p>
        </w:tc>
      </w:tr>
      <w:tr w:rsidR="004523A0" w:rsidRPr="007C6900" w14:paraId="51DBFFD4" w14:textId="77777777" w:rsidTr="00AB1FF1">
        <w:trPr>
          <w:trHeight w:val="20"/>
        </w:trPr>
        <w:tc>
          <w:tcPr>
            <w:tcW w:w="5784" w:type="dxa"/>
            <w:vAlign w:val="center"/>
          </w:tcPr>
          <w:p w14:paraId="4056E325" w14:textId="77777777" w:rsidR="00EC1560" w:rsidRPr="00EC1560" w:rsidRDefault="00EC1560" w:rsidP="00EC1560">
            <w:pPr>
              <w:contextualSpacing/>
              <w:jc w:val="left"/>
              <w:rPr>
                <w:color w:val="000000" w:themeColor="text1"/>
              </w:rPr>
            </w:pPr>
            <w:r w:rsidRPr="00EC1560">
              <w:rPr>
                <w:color w:val="000000" w:themeColor="text1"/>
              </w:rPr>
              <w:t xml:space="preserve">Готовое пленочное покрытие </w:t>
            </w:r>
          </w:p>
          <w:p w14:paraId="5419545F" w14:textId="34E1A02F" w:rsidR="004523A0" w:rsidRPr="00EC1560" w:rsidRDefault="00EC1560" w:rsidP="00EC1560">
            <w:pPr>
              <w:contextualSpacing/>
              <w:jc w:val="left"/>
              <w:rPr>
                <w:color w:val="000000" w:themeColor="text1"/>
              </w:rPr>
            </w:pPr>
            <w:r w:rsidRPr="00EC1560">
              <w:rPr>
                <w:color w:val="000000" w:themeColor="text1"/>
              </w:rPr>
              <w:t>[поливиниловый спирт – 40,0 %; титана диоксид – 21,8 %; макрогол 3350</w:t>
            </w:r>
            <w:r w:rsidRPr="00EC1560">
              <w:rPr>
                <w:color w:val="000000" w:themeColor="text1"/>
                <w:vertAlign w:val="superscript"/>
              </w:rPr>
              <w:t>*</w:t>
            </w:r>
            <w:r w:rsidRPr="00EC1560">
              <w:rPr>
                <w:color w:val="000000" w:themeColor="text1"/>
              </w:rPr>
              <w:t xml:space="preserve"> – 20,2 %; тальк – 14,8 %; краситель железа оксид желтый – 2,0 %, краситель железа оксид красный – 1,2 %].</w:t>
            </w:r>
          </w:p>
        </w:tc>
        <w:tc>
          <w:tcPr>
            <w:tcW w:w="1843" w:type="dxa"/>
            <w:vAlign w:val="center"/>
          </w:tcPr>
          <w:p w14:paraId="6AC6B180" w14:textId="0F2A11E0" w:rsidR="004523A0" w:rsidRPr="00EC1560" w:rsidRDefault="004523A0" w:rsidP="004523A0">
            <w:pPr>
              <w:jc w:val="center"/>
            </w:pPr>
            <w:r w:rsidRPr="00EC1560">
              <w:t>6,0 мг</w:t>
            </w:r>
          </w:p>
        </w:tc>
        <w:tc>
          <w:tcPr>
            <w:tcW w:w="1702" w:type="dxa"/>
            <w:vAlign w:val="center"/>
          </w:tcPr>
          <w:p w14:paraId="63947867" w14:textId="77777777" w:rsidR="004523A0" w:rsidRPr="00EC1560" w:rsidRDefault="004523A0" w:rsidP="00A043A6">
            <w:pPr>
              <w:jc w:val="center"/>
            </w:pPr>
          </w:p>
        </w:tc>
      </w:tr>
      <w:tr w:rsidR="004523A0" w14:paraId="758D459F" w14:textId="6A8D7114" w:rsidTr="00AB1FF1">
        <w:trPr>
          <w:trHeight w:val="20"/>
        </w:trPr>
        <w:tc>
          <w:tcPr>
            <w:tcW w:w="5784" w:type="dxa"/>
            <w:vAlign w:val="center"/>
          </w:tcPr>
          <w:p w14:paraId="1CD8A81F" w14:textId="77777777" w:rsidR="004523A0" w:rsidRPr="00EC1560" w:rsidRDefault="004523A0" w:rsidP="00A043A6">
            <w:pPr>
              <w:jc w:val="left"/>
              <w:rPr>
                <w:b/>
              </w:rPr>
            </w:pPr>
            <w:r w:rsidRPr="00EC1560">
              <w:rPr>
                <w:b/>
              </w:rPr>
              <w:t>Масса таблетки:</w:t>
            </w:r>
          </w:p>
        </w:tc>
        <w:tc>
          <w:tcPr>
            <w:tcW w:w="1843" w:type="dxa"/>
            <w:vAlign w:val="center"/>
          </w:tcPr>
          <w:p w14:paraId="3EB65FFD" w14:textId="1D2853F5" w:rsidR="004523A0" w:rsidRPr="00EC1560" w:rsidRDefault="004523A0" w:rsidP="004523A0">
            <w:pPr>
              <w:jc w:val="center"/>
              <w:rPr>
                <w:b/>
              </w:rPr>
            </w:pPr>
            <w:r w:rsidRPr="00EC1560">
              <w:rPr>
                <w:b/>
              </w:rPr>
              <w:t>206,0 мг</w:t>
            </w:r>
          </w:p>
        </w:tc>
        <w:tc>
          <w:tcPr>
            <w:tcW w:w="1702" w:type="dxa"/>
            <w:vAlign w:val="center"/>
          </w:tcPr>
          <w:p w14:paraId="4F380C51" w14:textId="33061B50" w:rsidR="004523A0" w:rsidRPr="00EC1560" w:rsidRDefault="004523A0" w:rsidP="00A043A6">
            <w:pPr>
              <w:jc w:val="center"/>
              <w:rPr>
                <w:b/>
              </w:rPr>
            </w:pPr>
            <w:r w:rsidRPr="00EC1560">
              <w:rPr>
                <w:b/>
              </w:rPr>
              <w:t>206,0 мг</w:t>
            </w:r>
          </w:p>
        </w:tc>
      </w:tr>
    </w:tbl>
    <w:p w14:paraId="120B5522" w14:textId="77777777" w:rsidR="004D6656" w:rsidRDefault="004D6656" w:rsidP="00BA2D96">
      <w:pPr>
        <w:spacing w:after="0" w:line="240" w:lineRule="auto"/>
        <w:rPr>
          <w:lang w:eastAsia="ru-RU" w:bidi="ru-RU"/>
        </w:rPr>
      </w:pPr>
    </w:p>
    <w:p w14:paraId="75E725F2" w14:textId="4E8D65D4" w:rsidR="004523A0" w:rsidRPr="003158E8" w:rsidRDefault="004523A0" w:rsidP="004523A0">
      <w:pPr>
        <w:spacing w:after="0" w:line="240" w:lineRule="auto"/>
        <w:ind w:firstLine="709"/>
        <w:rPr>
          <w:color w:val="000000" w:themeColor="text1"/>
        </w:rPr>
      </w:pPr>
      <w:r w:rsidRPr="008A69D9">
        <w:rPr>
          <w:color w:val="000000" w:themeColor="text1"/>
        </w:rPr>
        <w:t xml:space="preserve">Для доказательства эквивалентности препарата </w:t>
      </w:r>
      <w:r w:rsidRPr="008F1926">
        <w:rPr>
          <w:lang w:val="en-US" w:eastAsia="ru-RU"/>
        </w:rPr>
        <w:t>D</w:t>
      </w:r>
      <w:r w:rsidRPr="008F1926">
        <w:rPr>
          <w:lang w:eastAsia="ru-RU"/>
        </w:rPr>
        <w:t>T-</w:t>
      </w:r>
      <w:r>
        <w:rPr>
          <w:lang w:val="en-US" w:eastAsia="ru-RU"/>
        </w:rPr>
        <w:t>BRC</w:t>
      </w:r>
      <w:r w:rsidRPr="008F1926">
        <w:rPr>
          <w:lang w:eastAsia="ru-RU"/>
        </w:rPr>
        <w:t xml:space="preserve"> </w:t>
      </w:r>
      <w:r w:rsidRPr="008A69D9">
        <w:rPr>
          <w:color w:val="000000" w:themeColor="text1"/>
        </w:rPr>
        <w:t xml:space="preserve">были проведены исследования сравнительной кинетики растворения в сравнении с референтным препаратом </w:t>
      </w:r>
      <w:r>
        <w:rPr>
          <w:color w:val="000000" w:themeColor="text1"/>
        </w:rPr>
        <w:t>Олуми</w:t>
      </w:r>
      <w:r w:rsidR="0029110D">
        <w:rPr>
          <w:color w:val="000000" w:themeColor="text1"/>
        </w:rPr>
        <w:t>ан</w:t>
      </w:r>
      <w:r>
        <w:rPr>
          <w:color w:val="000000" w:themeColor="text1"/>
        </w:rPr>
        <w:t>т</w:t>
      </w:r>
      <w:r w:rsidRPr="008A69D9">
        <w:rPr>
          <w:color w:val="000000" w:themeColor="text1"/>
          <w:vertAlign w:val="superscript"/>
        </w:rPr>
        <w:t>®</w:t>
      </w:r>
      <w:r w:rsidRPr="008A69D9">
        <w:rPr>
          <w:color w:val="000000" w:themeColor="text1"/>
        </w:rPr>
        <w:t xml:space="preserve"> (</w:t>
      </w:r>
      <w:r w:rsidRPr="004D6656">
        <w:t>«Лилли дель Крибе Инк.», Пуэрто-Рико</w:t>
      </w:r>
      <w:r w:rsidRPr="008F1926">
        <w:rPr>
          <w:color w:val="000000" w:themeColor="text1"/>
        </w:rPr>
        <w:t>)</w:t>
      </w:r>
      <w:r w:rsidRPr="008F1926">
        <w:rPr>
          <w:rFonts w:eastAsiaTheme="minorHAnsi"/>
          <w:color w:val="000000" w:themeColor="text1"/>
          <w:lang w:eastAsia="en-US"/>
        </w:rPr>
        <w:t xml:space="preserve"> в дозировке </w:t>
      </w:r>
      <w:r>
        <w:rPr>
          <w:rFonts w:eastAsiaTheme="minorHAnsi"/>
          <w:color w:val="000000" w:themeColor="text1"/>
          <w:lang w:eastAsia="en-US"/>
        </w:rPr>
        <w:t>4</w:t>
      </w:r>
      <w:r w:rsidRPr="008F1926">
        <w:rPr>
          <w:rFonts w:eastAsiaTheme="minorHAnsi"/>
          <w:color w:val="000000" w:themeColor="text1"/>
          <w:lang w:eastAsia="en-US"/>
        </w:rPr>
        <w:t xml:space="preserve"> мг. </w:t>
      </w:r>
      <w:r w:rsidRPr="00A043A6">
        <w:rPr>
          <w:rFonts w:eastAsia="Calibri"/>
          <w:lang w:eastAsia="en-US"/>
        </w:rPr>
        <w:t>Исследование проводили с использованием прибора типа «Лопастная мешалка</w:t>
      </w:r>
      <w:r w:rsidR="00A043A6" w:rsidRPr="00A043A6">
        <w:rPr>
          <w:rFonts w:eastAsia="Calibri"/>
          <w:lang w:eastAsia="en-US"/>
        </w:rPr>
        <w:t>»</w:t>
      </w:r>
      <w:r w:rsidR="003158E8">
        <w:rPr>
          <w:rFonts w:eastAsia="Calibri"/>
          <w:lang w:eastAsia="en-US"/>
        </w:rPr>
        <w:t xml:space="preserve"> в условиях скорости вращения 75</w:t>
      </w:r>
      <w:r w:rsidRPr="00A043A6">
        <w:rPr>
          <w:rFonts w:eastAsia="Calibri"/>
          <w:lang w:eastAsia="en-US"/>
        </w:rPr>
        <w:t xml:space="preserve"> об/мин, температуре 37 ± 0,5 </w:t>
      </w:r>
      <w:r w:rsidRPr="00A043A6">
        <w:rPr>
          <w:rFonts w:eastAsia="Calibri"/>
          <w:vertAlign w:val="superscript"/>
          <w:lang w:eastAsia="en-US"/>
        </w:rPr>
        <w:t>о</w:t>
      </w:r>
      <w:r w:rsidRPr="00A043A6">
        <w:rPr>
          <w:rFonts w:eastAsia="Calibri"/>
          <w:lang w:eastAsia="en-US"/>
        </w:rPr>
        <w:t xml:space="preserve">С и </w:t>
      </w:r>
      <w:r w:rsidR="003158E8" w:rsidRPr="003158E8">
        <w:rPr>
          <w:rFonts w:eastAsia="Calibri"/>
          <w:lang w:eastAsia="en-US"/>
        </w:rPr>
        <w:t>объеме среды – 9</w:t>
      </w:r>
      <w:r w:rsidRPr="003158E8">
        <w:rPr>
          <w:rFonts w:eastAsia="Calibri"/>
          <w:lang w:eastAsia="en-US"/>
        </w:rPr>
        <w:t xml:space="preserve">00 мл. </w:t>
      </w:r>
    </w:p>
    <w:p w14:paraId="3FA7A070" w14:textId="34C5CB66" w:rsidR="004523A0" w:rsidRPr="00A043A6" w:rsidRDefault="004523A0" w:rsidP="004523A0">
      <w:pPr>
        <w:spacing w:after="0" w:line="240" w:lineRule="auto"/>
        <w:ind w:firstLine="709"/>
      </w:pPr>
      <w:r w:rsidRPr="003158E8">
        <w:rPr>
          <w:rFonts w:eastAsia="Calibri"/>
          <w:lang w:eastAsia="en-US"/>
        </w:rPr>
        <w:t xml:space="preserve">Для испытания использовали </w:t>
      </w:r>
      <w:r w:rsidR="00A043A6" w:rsidRPr="003158E8">
        <w:rPr>
          <w:rFonts w:eastAsia="Calibri"/>
          <w:lang w:eastAsia="en-US"/>
        </w:rPr>
        <w:t>три</w:t>
      </w:r>
      <w:r w:rsidRPr="003158E8">
        <w:rPr>
          <w:rFonts w:eastAsia="Calibri"/>
          <w:lang w:eastAsia="en-US"/>
        </w:rPr>
        <w:t xml:space="preserve"> среды растворения: </w:t>
      </w:r>
      <w:r w:rsidRPr="003158E8">
        <w:t>буферный</w:t>
      </w:r>
      <w:r w:rsidRPr="00A043A6">
        <w:t xml:space="preserve"> раствор </w:t>
      </w:r>
      <w:r w:rsidRPr="00A043A6">
        <w:rPr>
          <w:lang w:val="en-US"/>
        </w:rPr>
        <w:t>pH</w:t>
      </w:r>
      <w:r w:rsidRPr="00A043A6">
        <w:t xml:space="preserve"> 1,2, ацетатный буферный раствор </w:t>
      </w:r>
      <w:r w:rsidRPr="00A043A6">
        <w:rPr>
          <w:lang w:val="en-US"/>
        </w:rPr>
        <w:t>pH</w:t>
      </w:r>
      <w:r w:rsidRPr="00A043A6">
        <w:t xml:space="preserve"> 4,5</w:t>
      </w:r>
      <w:r w:rsidR="00A043A6">
        <w:t xml:space="preserve"> (среда по НД)</w:t>
      </w:r>
      <w:r w:rsidRPr="00A043A6">
        <w:t xml:space="preserve"> и фосфатный буферный раствор </w:t>
      </w:r>
      <w:r w:rsidRPr="00A043A6">
        <w:rPr>
          <w:lang w:val="en-US"/>
        </w:rPr>
        <w:t>pH</w:t>
      </w:r>
      <w:r w:rsidRPr="00A043A6">
        <w:t xml:space="preserve"> 6,8. </w:t>
      </w:r>
      <w:r w:rsidRPr="00A043A6">
        <w:rPr>
          <w:rFonts w:eastAsia="Calibri"/>
          <w:lang w:eastAsia="en-US"/>
        </w:rPr>
        <w:t xml:space="preserve">Анализ проб в точках </w:t>
      </w:r>
      <w:r w:rsidR="00A043A6" w:rsidRPr="00A043A6">
        <w:rPr>
          <w:rFonts w:eastAsia="Calibri"/>
          <w:lang w:eastAsia="en-US"/>
        </w:rPr>
        <w:t>5, 10, 15, 20 и 30</w:t>
      </w:r>
      <w:r w:rsidRPr="00A043A6">
        <w:rPr>
          <w:rFonts w:eastAsia="Calibri"/>
          <w:lang w:eastAsia="en-US"/>
        </w:rPr>
        <w:t xml:space="preserve"> мин выполняли методом ВЭЖК.</w:t>
      </w:r>
    </w:p>
    <w:p w14:paraId="1CC2B557" w14:textId="071C6B3B" w:rsidR="004523A0" w:rsidRDefault="004523A0" w:rsidP="004523A0">
      <w:pPr>
        <w:spacing w:after="0" w:line="240" w:lineRule="auto"/>
        <w:ind w:firstLine="708"/>
        <w:rPr>
          <w:color w:val="000000" w:themeColor="text1"/>
        </w:rPr>
      </w:pPr>
      <w:r w:rsidRPr="00A043A6">
        <w:rPr>
          <w:rFonts w:eastAsia="Calibri"/>
          <w:lang w:eastAsia="en-US"/>
        </w:rPr>
        <w:t>В результате исследований как исследуемого, так и референтного препарата, в</w:t>
      </w:r>
      <w:r w:rsidR="00A043A6" w:rsidRPr="00A043A6">
        <w:rPr>
          <w:rFonts w:eastAsia="Calibri"/>
          <w:lang w:eastAsia="en-US"/>
        </w:rPr>
        <w:t xml:space="preserve">о всех средах растворения </w:t>
      </w:r>
      <w:r w:rsidRPr="00A043A6">
        <w:rPr>
          <w:rFonts w:eastAsia="Calibri"/>
          <w:lang w:eastAsia="en-US"/>
        </w:rPr>
        <w:t xml:space="preserve">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 </w:t>
      </w:r>
      <w:r w:rsidRPr="008A69D9">
        <w:rPr>
          <w:color w:val="000000" w:themeColor="text1"/>
        </w:rPr>
        <w:t>Результаты теста сравнительной кинетики растворения (ТСКР) приведены в таблице 2-3 и на рисунках 2-2 – 2-5.</w:t>
      </w:r>
    </w:p>
    <w:p w14:paraId="74B39D79" w14:textId="77777777" w:rsidR="004523A0" w:rsidRDefault="004523A0" w:rsidP="004523A0">
      <w:pPr>
        <w:spacing w:after="0" w:line="240" w:lineRule="auto"/>
        <w:rPr>
          <w:color w:val="000000" w:themeColor="text1"/>
        </w:rPr>
      </w:pPr>
    </w:p>
    <w:p w14:paraId="29AD271D" w14:textId="77F06E43" w:rsidR="004523A0" w:rsidRPr="00D6050D" w:rsidRDefault="004523A0" w:rsidP="004523A0">
      <w:pPr>
        <w:spacing w:after="0" w:line="240" w:lineRule="auto"/>
        <w:rPr>
          <w:color w:val="000000" w:themeColor="text1"/>
        </w:rPr>
      </w:pPr>
      <w:r w:rsidRPr="00D6050D">
        <w:rPr>
          <w:b/>
        </w:rPr>
        <w:lastRenderedPageBreak/>
        <w:t>Таблица 2-3.</w:t>
      </w:r>
      <w:r w:rsidRPr="00D6050D">
        <w:t xml:space="preserve"> </w:t>
      </w:r>
      <w:r w:rsidRPr="00D6050D">
        <w:rPr>
          <w:color w:val="000000" w:themeColor="text1"/>
        </w:rPr>
        <w:t xml:space="preserve">Результаты теста сравнительной кинетики растворения препарата </w:t>
      </w:r>
      <w:r w:rsidR="00EC1560" w:rsidRPr="008F1926">
        <w:rPr>
          <w:lang w:val="en-US" w:eastAsia="ru-RU"/>
        </w:rPr>
        <w:t>D</w:t>
      </w:r>
      <w:r w:rsidR="00EC1560" w:rsidRPr="008F1926">
        <w:rPr>
          <w:lang w:eastAsia="ru-RU"/>
        </w:rPr>
        <w:t>T-</w:t>
      </w:r>
      <w:r w:rsidR="00EC1560">
        <w:rPr>
          <w:lang w:val="en-US" w:eastAsia="ru-RU"/>
        </w:rPr>
        <w:t>BRC</w:t>
      </w:r>
      <w:r>
        <w:rPr>
          <w:color w:val="000000" w:themeColor="text1"/>
        </w:rPr>
        <w:t xml:space="preserve">, </w:t>
      </w:r>
      <w:r w:rsidR="00EC1560">
        <w:rPr>
          <w:color w:val="000000" w:themeColor="text1"/>
        </w:rPr>
        <w:t>таблетки, покрытые пленочной оболочкой</w:t>
      </w:r>
      <w:r>
        <w:rPr>
          <w:color w:val="000000" w:themeColor="text1"/>
        </w:rPr>
        <w:t xml:space="preserve">, </w:t>
      </w:r>
      <w:r w:rsidR="00EC1560">
        <w:rPr>
          <w:color w:val="000000" w:themeColor="text1"/>
        </w:rPr>
        <w:t>4</w:t>
      </w:r>
      <w:r>
        <w:rPr>
          <w:color w:val="000000" w:themeColor="text1"/>
        </w:rPr>
        <w:t xml:space="preserve"> мг</w:t>
      </w:r>
      <w:r w:rsidRPr="00D6050D">
        <w:rPr>
          <w:color w:val="000000" w:themeColor="text1"/>
        </w:rPr>
        <w:t xml:space="preserve"> в сравнении с препаратом </w:t>
      </w:r>
      <w:r w:rsidR="00EC1560">
        <w:rPr>
          <w:color w:val="000000" w:themeColor="text1"/>
        </w:rPr>
        <w:t>Олуми</w:t>
      </w:r>
      <w:r w:rsidR="0029110D">
        <w:rPr>
          <w:color w:val="000000" w:themeColor="text1"/>
        </w:rPr>
        <w:t>ант</w:t>
      </w:r>
      <w:r w:rsidRPr="008A69D9">
        <w:rPr>
          <w:color w:val="000000" w:themeColor="text1"/>
          <w:vertAlign w:val="superscript"/>
        </w:rPr>
        <w:t>®</w:t>
      </w:r>
      <w:r>
        <w:rPr>
          <w:color w:val="000000" w:themeColor="text1"/>
        </w:rPr>
        <w:t xml:space="preserve">, </w:t>
      </w:r>
      <w:r w:rsidR="00EC1560">
        <w:rPr>
          <w:color w:val="000000" w:themeColor="text1"/>
        </w:rPr>
        <w:t>таблетки, покрытые пленочной оболочкой, 4 мг</w:t>
      </w:r>
      <w:r w:rsidRPr="00D6050D">
        <w:rPr>
          <w:color w:val="000000" w:themeColor="text1"/>
        </w:rPr>
        <w:t>.</w:t>
      </w:r>
    </w:p>
    <w:tbl>
      <w:tblPr>
        <w:tblStyle w:val="a8"/>
        <w:tblW w:w="0" w:type="auto"/>
        <w:tblInd w:w="108" w:type="dxa"/>
        <w:tblLook w:val="04A0" w:firstRow="1" w:lastRow="0" w:firstColumn="1" w:lastColumn="0" w:noHBand="0" w:noVBand="1"/>
      </w:tblPr>
      <w:tblGrid>
        <w:gridCol w:w="2416"/>
        <w:gridCol w:w="913"/>
        <w:gridCol w:w="3034"/>
        <w:gridCol w:w="2993"/>
      </w:tblGrid>
      <w:tr w:rsidR="00EC1560" w:rsidRPr="00D6050D" w14:paraId="246A6D72" w14:textId="77777777" w:rsidTr="00A043A6">
        <w:trPr>
          <w:trHeight w:val="255"/>
          <w:tblHeader/>
        </w:trPr>
        <w:tc>
          <w:tcPr>
            <w:tcW w:w="2416" w:type="dxa"/>
            <w:vMerge w:val="restart"/>
            <w:shd w:val="clear" w:color="auto" w:fill="D9D9D9" w:themeFill="background1" w:themeFillShade="D9"/>
            <w:vAlign w:val="center"/>
          </w:tcPr>
          <w:p w14:paraId="43755C40" w14:textId="77777777" w:rsidR="00EC1560" w:rsidRPr="00D6050D" w:rsidRDefault="00EC1560" w:rsidP="00A043A6">
            <w:pPr>
              <w:jc w:val="center"/>
              <w:rPr>
                <w:b/>
              </w:rPr>
            </w:pPr>
            <w:r w:rsidRPr="00D6050D">
              <w:rPr>
                <w:b/>
              </w:rPr>
              <w:t>Среда</w:t>
            </w:r>
          </w:p>
          <w:p w14:paraId="0860E6D5" w14:textId="77777777" w:rsidR="00EC1560" w:rsidRPr="00D6050D" w:rsidRDefault="00EC1560" w:rsidP="00A043A6">
            <w:pPr>
              <w:jc w:val="center"/>
              <w:rPr>
                <w:b/>
              </w:rPr>
            </w:pPr>
            <w:r w:rsidRPr="00D6050D">
              <w:rPr>
                <w:b/>
              </w:rPr>
              <w:t>растворения</w:t>
            </w:r>
          </w:p>
        </w:tc>
        <w:tc>
          <w:tcPr>
            <w:tcW w:w="913" w:type="dxa"/>
            <w:vMerge w:val="restart"/>
            <w:shd w:val="clear" w:color="auto" w:fill="D9D9D9" w:themeFill="background1" w:themeFillShade="D9"/>
            <w:vAlign w:val="center"/>
          </w:tcPr>
          <w:p w14:paraId="08843C38" w14:textId="77777777" w:rsidR="00EC1560" w:rsidRPr="00D6050D" w:rsidRDefault="00EC1560" w:rsidP="00A043A6">
            <w:pPr>
              <w:ind w:left="-57" w:right="-57"/>
              <w:jc w:val="center"/>
              <w:rPr>
                <w:b/>
              </w:rPr>
            </w:pPr>
            <w:r w:rsidRPr="00D6050D">
              <w:rPr>
                <w:b/>
              </w:rPr>
              <w:t>Время. мин</w:t>
            </w:r>
          </w:p>
        </w:tc>
        <w:tc>
          <w:tcPr>
            <w:tcW w:w="6027" w:type="dxa"/>
            <w:gridSpan w:val="2"/>
            <w:shd w:val="clear" w:color="auto" w:fill="D9D9D9" w:themeFill="background1" w:themeFillShade="D9"/>
            <w:vAlign w:val="center"/>
          </w:tcPr>
          <w:p w14:paraId="5406E4B8" w14:textId="71BEB9E8" w:rsidR="00EC1560" w:rsidRPr="00D6050D" w:rsidRDefault="00EC1560" w:rsidP="00A043A6">
            <w:pPr>
              <w:ind w:left="-57" w:right="-57"/>
              <w:jc w:val="center"/>
              <w:rPr>
                <w:b/>
              </w:rPr>
            </w:pPr>
            <w:r w:rsidRPr="00D6050D">
              <w:rPr>
                <w:b/>
              </w:rPr>
              <w:t xml:space="preserve">Количество высвободившегося </w:t>
            </w:r>
            <w:r w:rsidR="00F371CE">
              <w:rPr>
                <w:b/>
              </w:rPr>
              <w:t>действующего</w:t>
            </w:r>
          </w:p>
          <w:p w14:paraId="27813F69" w14:textId="77777777" w:rsidR="00EC1560" w:rsidRPr="00D6050D" w:rsidRDefault="00EC1560" w:rsidP="00A043A6">
            <w:pPr>
              <w:ind w:left="-57" w:right="-57"/>
              <w:jc w:val="center"/>
              <w:rPr>
                <w:b/>
              </w:rPr>
            </w:pPr>
            <w:r w:rsidRPr="00D6050D">
              <w:rPr>
                <w:b/>
              </w:rPr>
              <w:t>вещества, %</w:t>
            </w:r>
          </w:p>
        </w:tc>
      </w:tr>
      <w:tr w:rsidR="00EC1560" w:rsidRPr="0026130A" w14:paraId="6493D7FE" w14:textId="77777777" w:rsidTr="00A043A6">
        <w:trPr>
          <w:trHeight w:val="170"/>
          <w:tblHeader/>
        </w:trPr>
        <w:tc>
          <w:tcPr>
            <w:tcW w:w="2416" w:type="dxa"/>
            <w:vMerge/>
            <w:shd w:val="clear" w:color="auto" w:fill="D9D9D9" w:themeFill="background1" w:themeFillShade="D9"/>
            <w:vAlign w:val="center"/>
          </w:tcPr>
          <w:p w14:paraId="21F58123" w14:textId="77777777" w:rsidR="00EC1560" w:rsidRPr="00D6050D" w:rsidRDefault="00EC1560" w:rsidP="00A043A6">
            <w:pPr>
              <w:spacing w:before="120" w:after="120"/>
              <w:rPr>
                <w:b/>
              </w:rPr>
            </w:pPr>
          </w:p>
        </w:tc>
        <w:tc>
          <w:tcPr>
            <w:tcW w:w="913" w:type="dxa"/>
            <w:vMerge/>
            <w:shd w:val="clear" w:color="auto" w:fill="D9D9D9" w:themeFill="background1" w:themeFillShade="D9"/>
            <w:vAlign w:val="center"/>
          </w:tcPr>
          <w:p w14:paraId="6267E392" w14:textId="77777777" w:rsidR="00EC1560" w:rsidRPr="00D6050D" w:rsidRDefault="00EC1560" w:rsidP="00A043A6">
            <w:pPr>
              <w:spacing w:before="120" w:after="120"/>
              <w:rPr>
                <w:b/>
              </w:rPr>
            </w:pPr>
          </w:p>
        </w:tc>
        <w:tc>
          <w:tcPr>
            <w:tcW w:w="3034" w:type="dxa"/>
            <w:shd w:val="clear" w:color="auto" w:fill="D9D9D9" w:themeFill="background1" w:themeFillShade="D9"/>
            <w:vAlign w:val="center"/>
          </w:tcPr>
          <w:p w14:paraId="4692394C" w14:textId="1CD9B7FB" w:rsidR="00EC1560" w:rsidRPr="00051324" w:rsidRDefault="00EC1560" w:rsidP="00A043A6">
            <w:pPr>
              <w:jc w:val="center"/>
              <w:rPr>
                <w:b/>
                <w:lang w:val="en-US"/>
              </w:rPr>
            </w:pPr>
            <w:r w:rsidRPr="0026130A">
              <w:rPr>
                <w:b/>
              </w:rPr>
              <w:t>DT-</w:t>
            </w:r>
            <w:r w:rsidR="00A043A6">
              <w:rPr>
                <w:b/>
                <w:lang w:val="en-US"/>
              </w:rPr>
              <w:t>BRC</w:t>
            </w:r>
          </w:p>
          <w:p w14:paraId="72ACE99B" w14:textId="77777777" w:rsidR="00EC1560" w:rsidRPr="00D6050D" w:rsidRDefault="00EC1560" w:rsidP="00A043A6">
            <w:pPr>
              <w:jc w:val="center"/>
              <w:rPr>
                <w:b/>
              </w:rPr>
            </w:pPr>
            <w:r>
              <w:rPr>
                <w:b/>
              </w:rPr>
              <w:t>(серия 011022)</w:t>
            </w:r>
          </w:p>
        </w:tc>
        <w:tc>
          <w:tcPr>
            <w:tcW w:w="2993" w:type="dxa"/>
            <w:shd w:val="clear" w:color="auto" w:fill="D9D9D9" w:themeFill="background1" w:themeFillShade="D9"/>
            <w:vAlign w:val="center"/>
          </w:tcPr>
          <w:p w14:paraId="6E8AC6B5" w14:textId="48559295" w:rsidR="00EC1560" w:rsidRPr="00D6050D" w:rsidRDefault="00A043A6" w:rsidP="00A043A6">
            <w:pPr>
              <w:jc w:val="center"/>
              <w:rPr>
                <w:b/>
              </w:rPr>
            </w:pPr>
            <w:r>
              <w:rPr>
                <w:b/>
              </w:rPr>
              <w:t>Олуми</w:t>
            </w:r>
            <w:r w:rsidR="0029110D">
              <w:rPr>
                <w:b/>
              </w:rPr>
              <w:t>ант</w:t>
            </w:r>
            <w:r w:rsidR="00EC1560" w:rsidRPr="00D6050D">
              <w:rPr>
                <w:b/>
                <w:color w:val="000000" w:themeColor="text1"/>
                <w:vertAlign w:val="superscript"/>
              </w:rPr>
              <w:t>®</w:t>
            </w:r>
            <w:r w:rsidR="00EC1560" w:rsidRPr="00D6050D">
              <w:rPr>
                <w:b/>
              </w:rPr>
              <w:t xml:space="preserve"> </w:t>
            </w:r>
          </w:p>
          <w:p w14:paraId="5CF60111" w14:textId="78F46340" w:rsidR="00EC1560" w:rsidRPr="0026130A" w:rsidRDefault="00EC1560" w:rsidP="00A043A6">
            <w:pPr>
              <w:jc w:val="center"/>
              <w:rPr>
                <w:b/>
              </w:rPr>
            </w:pPr>
            <w:r>
              <w:rPr>
                <w:b/>
              </w:rPr>
              <w:t>(</w:t>
            </w:r>
            <w:r w:rsidRPr="004327EA">
              <w:rPr>
                <w:b/>
              </w:rPr>
              <w:t xml:space="preserve">серия </w:t>
            </w:r>
            <w:r w:rsidR="00A043A6">
              <w:rPr>
                <w:b/>
                <w:lang w:val="en-US"/>
              </w:rPr>
              <w:t>D454456</w:t>
            </w:r>
            <w:r w:rsidRPr="004327EA">
              <w:rPr>
                <w:b/>
              </w:rPr>
              <w:t>)</w:t>
            </w:r>
          </w:p>
        </w:tc>
      </w:tr>
      <w:tr w:rsidR="00A043A6" w:rsidRPr="00535B9A" w14:paraId="7861FBE0" w14:textId="77777777" w:rsidTr="00A043A6">
        <w:trPr>
          <w:trHeight w:val="225"/>
        </w:trPr>
        <w:tc>
          <w:tcPr>
            <w:tcW w:w="2416" w:type="dxa"/>
            <w:vMerge w:val="restart"/>
            <w:vAlign w:val="center"/>
          </w:tcPr>
          <w:p w14:paraId="352D70E2" w14:textId="77777777" w:rsidR="00A043A6" w:rsidRPr="00535B9A" w:rsidRDefault="00A043A6" w:rsidP="00A043A6">
            <w:pPr>
              <w:jc w:val="center"/>
              <w:rPr>
                <w:color w:val="000000"/>
              </w:rPr>
            </w:pPr>
            <w:r w:rsidRPr="00D6050D">
              <w:rPr>
                <w:color w:val="000000"/>
              </w:rPr>
              <w:t xml:space="preserve">Буферный раствор с </w:t>
            </w:r>
            <w:r w:rsidRPr="00D6050D">
              <w:rPr>
                <w:color w:val="000000"/>
                <w:lang w:val="en-US"/>
              </w:rPr>
              <w:t>pH</w:t>
            </w:r>
            <w:r w:rsidRPr="00535B9A">
              <w:rPr>
                <w:color w:val="000000"/>
              </w:rPr>
              <w:t xml:space="preserve"> 1,2</w:t>
            </w:r>
          </w:p>
        </w:tc>
        <w:tc>
          <w:tcPr>
            <w:tcW w:w="913" w:type="dxa"/>
          </w:tcPr>
          <w:p w14:paraId="2B505C54" w14:textId="6FC5B1BC" w:rsidR="00A043A6" w:rsidRPr="00D6050D" w:rsidRDefault="00A043A6" w:rsidP="00A043A6">
            <w:pPr>
              <w:jc w:val="center"/>
              <w:rPr>
                <w:color w:val="000000"/>
              </w:rPr>
            </w:pPr>
            <w:r>
              <w:rPr>
                <w:color w:val="000000"/>
              </w:rPr>
              <w:t>5</w:t>
            </w:r>
          </w:p>
        </w:tc>
        <w:tc>
          <w:tcPr>
            <w:tcW w:w="3034" w:type="dxa"/>
            <w:vAlign w:val="center"/>
          </w:tcPr>
          <w:p w14:paraId="44F2CE45" w14:textId="3D90D284" w:rsidR="00A043A6" w:rsidRPr="00A043A6" w:rsidRDefault="00A043A6" w:rsidP="00A043A6">
            <w:pPr>
              <w:jc w:val="center"/>
              <w:rPr>
                <w:lang w:val="en-US"/>
              </w:rPr>
            </w:pPr>
            <w:r>
              <w:rPr>
                <w:lang w:val="en-US"/>
              </w:rPr>
              <w:t>101</w:t>
            </w:r>
          </w:p>
        </w:tc>
        <w:tc>
          <w:tcPr>
            <w:tcW w:w="2993" w:type="dxa"/>
            <w:vAlign w:val="center"/>
          </w:tcPr>
          <w:p w14:paraId="31DFF90B" w14:textId="51AADBCF" w:rsidR="00A043A6" w:rsidRPr="00A043A6" w:rsidRDefault="00A043A6" w:rsidP="00A043A6">
            <w:pPr>
              <w:jc w:val="center"/>
              <w:rPr>
                <w:lang w:val="en-US"/>
              </w:rPr>
            </w:pPr>
            <w:r>
              <w:rPr>
                <w:lang w:val="en-US"/>
              </w:rPr>
              <w:t>102</w:t>
            </w:r>
          </w:p>
        </w:tc>
      </w:tr>
      <w:tr w:rsidR="00A043A6" w:rsidRPr="00535B9A" w14:paraId="14D95855" w14:textId="77777777" w:rsidTr="00A043A6">
        <w:trPr>
          <w:trHeight w:val="195"/>
        </w:trPr>
        <w:tc>
          <w:tcPr>
            <w:tcW w:w="2416" w:type="dxa"/>
            <w:vMerge/>
            <w:vAlign w:val="center"/>
          </w:tcPr>
          <w:p w14:paraId="6208BB41" w14:textId="77777777" w:rsidR="00A043A6" w:rsidRPr="00D6050D" w:rsidRDefault="00A043A6" w:rsidP="00A043A6">
            <w:pPr>
              <w:jc w:val="center"/>
              <w:rPr>
                <w:color w:val="000000"/>
              </w:rPr>
            </w:pPr>
          </w:p>
        </w:tc>
        <w:tc>
          <w:tcPr>
            <w:tcW w:w="913" w:type="dxa"/>
          </w:tcPr>
          <w:p w14:paraId="0404A8A0" w14:textId="5914F122" w:rsidR="00A043A6" w:rsidRPr="00D6050D" w:rsidRDefault="00A043A6" w:rsidP="00A043A6">
            <w:pPr>
              <w:jc w:val="center"/>
              <w:rPr>
                <w:color w:val="000000"/>
              </w:rPr>
            </w:pPr>
            <w:r>
              <w:rPr>
                <w:color w:val="000000"/>
              </w:rPr>
              <w:t>10</w:t>
            </w:r>
          </w:p>
        </w:tc>
        <w:tc>
          <w:tcPr>
            <w:tcW w:w="3034" w:type="dxa"/>
            <w:vAlign w:val="center"/>
          </w:tcPr>
          <w:p w14:paraId="41C5A6D7" w14:textId="39B28A1B" w:rsidR="00A043A6" w:rsidRPr="00535B9A" w:rsidRDefault="00A043A6" w:rsidP="00A043A6">
            <w:pPr>
              <w:jc w:val="center"/>
            </w:pPr>
            <w:r>
              <w:rPr>
                <w:lang w:val="en-US"/>
              </w:rPr>
              <w:t>101</w:t>
            </w:r>
          </w:p>
        </w:tc>
        <w:tc>
          <w:tcPr>
            <w:tcW w:w="2993" w:type="dxa"/>
            <w:vAlign w:val="center"/>
          </w:tcPr>
          <w:p w14:paraId="569E6018" w14:textId="47459238" w:rsidR="00A043A6" w:rsidRPr="00535B9A" w:rsidRDefault="00A043A6" w:rsidP="00A043A6">
            <w:pPr>
              <w:jc w:val="center"/>
            </w:pPr>
            <w:r>
              <w:rPr>
                <w:lang w:val="en-US"/>
              </w:rPr>
              <w:t>102</w:t>
            </w:r>
          </w:p>
        </w:tc>
      </w:tr>
      <w:tr w:rsidR="00A043A6" w:rsidRPr="00535B9A" w14:paraId="7622872F" w14:textId="77777777" w:rsidTr="00A043A6">
        <w:trPr>
          <w:trHeight w:val="225"/>
        </w:trPr>
        <w:tc>
          <w:tcPr>
            <w:tcW w:w="2416" w:type="dxa"/>
            <w:vMerge/>
            <w:vAlign w:val="center"/>
          </w:tcPr>
          <w:p w14:paraId="711E5FA9" w14:textId="77777777" w:rsidR="00A043A6" w:rsidRPr="00D6050D" w:rsidRDefault="00A043A6" w:rsidP="00A043A6">
            <w:pPr>
              <w:jc w:val="center"/>
              <w:rPr>
                <w:color w:val="000000"/>
              </w:rPr>
            </w:pPr>
          </w:p>
        </w:tc>
        <w:tc>
          <w:tcPr>
            <w:tcW w:w="913" w:type="dxa"/>
          </w:tcPr>
          <w:p w14:paraId="3548CBBC" w14:textId="545B8483" w:rsidR="00A043A6" w:rsidRPr="00D6050D" w:rsidRDefault="00A043A6" w:rsidP="00A043A6">
            <w:pPr>
              <w:jc w:val="center"/>
              <w:rPr>
                <w:color w:val="000000"/>
              </w:rPr>
            </w:pPr>
            <w:r>
              <w:rPr>
                <w:color w:val="000000"/>
              </w:rPr>
              <w:t>15</w:t>
            </w:r>
          </w:p>
        </w:tc>
        <w:tc>
          <w:tcPr>
            <w:tcW w:w="3034" w:type="dxa"/>
            <w:vAlign w:val="center"/>
          </w:tcPr>
          <w:p w14:paraId="44BCB002" w14:textId="03579400" w:rsidR="00A043A6" w:rsidRPr="00535B9A" w:rsidRDefault="00A043A6" w:rsidP="00A043A6">
            <w:pPr>
              <w:jc w:val="center"/>
            </w:pPr>
            <w:r>
              <w:rPr>
                <w:lang w:val="en-US"/>
              </w:rPr>
              <w:t>101</w:t>
            </w:r>
          </w:p>
        </w:tc>
        <w:tc>
          <w:tcPr>
            <w:tcW w:w="2993" w:type="dxa"/>
            <w:vAlign w:val="center"/>
          </w:tcPr>
          <w:p w14:paraId="15B905DC" w14:textId="5A8B57AF" w:rsidR="00A043A6" w:rsidRPr="00535B9A" w:rsidRDefault="00A043A6" w:rsidP="00A043A6">
            <w:pPr>
              <w:jc w:val="center"/>
            </w:pPr>
            <w:r>
              <w:rPr>
                <w:lang w:val="en-US"/>
              </w:rPr>
              <w:t>102</w:t>
            </w:r>
          </w:p>
        </w:tc>
      </w:tr>
      <w:tr w:rsidR="00A043A6" w:rsidRPr="00535B9A" w14:paraId="3B7DA9F6" w14:textId="77777777" w:rsidTr="00A043A6">
        <w:trPr>
          <w:trHeight w:val="315"/>
        </w:trPr>
        <w:tc>
          <w:tcPr>
            <w:tcW w:w="2416" w:type="dxa"/>
            <w:vMerge/>
            <w:vAlign w:val="center"/>
          </w:tcPr>
          <w:p w14:paraId="25A9141B" w14:textId="77777777" w:rsidR="00A043A6" w:rsidRPr="00D6050D" w:rsidRDefault="00A043A6" w:rsidP="00A043A6">
            <w:pPr>
              <w:jc w:val="center"/>
              <w:rPr>
                <w:color w:val="000000"/>
              </w:rPr>
            </w:pPr>
          </w:p>
        </w:tc>
        <w:tc>
          <w:tcPr>
            <w:tcW w:w="913" w:type="dxa"/>
          </w:tcPr>
          <w:p w14:paraId="62751737" w14:textId="0F4CCE37" w:rsidR="00A043A6" w:rsidRPr="00D6050D" w:rsidRDefault="00A043A6" w:rsidP="00A043A6">
            <w:pPr>
              <w:jc w:val="center"/>
              <w:rPr>
                <w:color w:val="000000"/>
              </w:rPr>
            </w:pPr>
            <w:r>
              <w:rPr>
                <w:color w:val="000000"/>
              </w:rPr>
              <w:t>20</w:t>
            </w:r>
          </w:p>
        </w:tc>
        <w:tc>
          <w:tcPr>
            <w:tcW w:w="3034" w:type="dxa"/>
            <w:vAlign w:val="center"/>
          </w:tcPr>
          <w:p w14:paraId="410876CA" w14:textId="05F64DC1" w:rsidR="00A043A6" w:rsidRPr="00535B9A" w:rsidRDefault="00A043A6" w:rsidP="00A043A6">
            <w:pPr>
              <w:jc w:val="center"/>
            </w:pPr>
            <w:r>
              <w:rPr>
                <w:lang w:val="en-US"/>
              </w:rPr>
              <w:t>101</w:t>
            </w:r>
          </w:p>
        </w:tc>
        <w:tc>
          <w:tcPr>
            <w:tcW w:w="2993" w:type="dxa"/>
            <w:vAlign w:val="center"/>
          </w:tcPr>
          <w:p w14:paraId="7CC20D1A" w14:textId="258F0100" w:rsidR="00A043A6" w:rsidRPr="00535B9A" w:rsidRDefault="00A043A6" w:rsidP="00A043A6">
            <w:pPr>
              <w:jc w:val="center"/>
            </w:pPr>
            <w:r>
              <w:rPr>
                <w:lang w:val="en-US"/>
              </w:rPr>
              <w:t>102</w:t>
            </w:r>
          </w:p>
        </w:tc>
      </w:tr>
      <w:tr w:rsidR="00A043A6" w:rsidRPr="00535B9A" w14:paraId="6052136D" w14:textId="77777777" w:rsidTr="00A043A6">
        <w:trPr>
          <w:trHeight w:val="237"/>
        </w:trPr>
        <w:tc>
          <w:tcPr>
            <w:tcW w:w="2416" w:type="dxa"/>
            <w:vMerge/>
            <w:vAlign w:val="center"/>
          </w:tcPr>
          <w:p w14:paraId="5EEE2472" w14:textId="77777777" w:rsidR="00A043A6" w:rsidRPr="00D6050D" w:rsidRDefault="00A043A6" w:rsidP="00A043A6">
            <w:pPr>
              <w:jc w:val="center"/>
              <w:rPr>
                <w:color w:val="000000"/>
              </w:rPr>
            </w:pPr>
          </w:p>
        </w:tc>
        <w:tc>
          <w:tcPr>
            <w:tcW w:w="913" w:type="dxa"/>
          </w:tcPr>
          <w:p w14:paraId="70F920B2" w14:textId="786D7374" w:rsidR="00A043A6" w:rsidRPr="00D6050D" w:rsidRDefault="00A043A6" w:rsidP="00A043A6">
            <w:pPr>
              <w:jc w:val="center"/>
              <w:rPr>
                <w:color w:val="000000"/>
              </w:rPr>
            </w:pPr>
            <w:r>
              <w:rPr>
                <w:color w:val="000000"/>
              </w:rPr>
              <w:t>30</w:t>
            </w:r>
          </w:p>
        </w:tc>
        <w:tc>
          <w:tcPr>
            <w:tcW w:w="3034" w:type="dxa"/>
            <w:vAlign w:val="center"/>
          </w:tcPr>
          <w:p w14:paraId="20685376" w14:textId="1EEF6C57" w:rsidR="00A043A6" w:rsidRPr="00535B9A" w:rsidRDefault="00A043A6" w:rsidP="00A043A6">
            <w:pPr>
              <w:jc w:val="center"/>
            </w:pPr>
            <w:r>
              <w:rPr>
                <w:lang w:val="en-US"/>
              </w:rPr>
              <w:t>101</w:t>
            </w:r>
          </w:p>
        </w:tc>
        <w:tc>
          <w:tcPr>
            <w:tcW w:w="2993" w:type="dxa"/>
            <w:vAlign w:val="center"/>
          </w:tcPr>
          <w:p w14:paraId="5D56A703" w14:textId="2366B212" w:rsidR="00A043A6" w:rsidRPr="00535B9A" w:rsidRDefault="00A043A6" w:rsidP="00A043A6">
            <w:pPr>
              <w:jc w:val="center"/>
            </w:pPr>
            <w:r>
              <w:rPr>
                <w:lang w:val="en-US"/>
              </w:rPr>
              <w:t>102</w:t>
            </w:r>
          </w:p>
        </w:tc>
      </w:tr>
      <w:tr w:rsidR="00EC1560" w:rsidRPr="00535B9A" w14:paraId="7D09FDA9" w14:textId="77777777" w:rsidTr="00A043A6">
        <w:trPr>
          <w:trHeight w:val="64"/>
        </w:trPr>
        <w:tc>
          <w:tcPr>
            <w:tcW w:w="3329" w:type="dxa"/>
            <w:gridSpan w:val="2"/>
            <w:vAlign w:val="center"/>
          </w:tcPr>
          <w:p w14:paraId="47C027AC" w14:textId="77777777" w:rsidR="00EC1560" w:rsidRPr="00D6050D" w:rsidRDefault="00EC1560" w:rsidP="00A043A6">
            <w:pPr>
              <w:jc w:val="right"/>
              <w:rPr>
                <w:b/>
                <w:i/>
                <w:color w:val="000000"/>
              </w:rPr>
            </w:pPr>
            <w:r w:rsidRPr="00D6050D">
              <w:rPr>
                <w:b/>
                <w:i/>
                <w:color w:val="000000"/>
              </w:rPr>
              <w:t>фактор подобия f2</w:t>
            </w:r>
          </w:p>
        </w:tc>
        <w:tc>
          <w:tcPr>
            <w:tcW w:w="6027" w:type="dxa"/>
            <w:gridSpan w:val="2"/>
            <w:vAlign w:val="center"/>
          </w:tcPr>
          <w:p w14:paraId="31BEBA9E" w14:textId="68D177D8" w:rsidR="00EC1560" w:rsidRPr="00535B9A" w:rsidRDefault="00A043A6" w:rsidP="00A043A6">
            <w:pPr>
              <w:jc w:val="center"/>
              <w:rPr>
                <w:b/>
              </w:rPr>
            </w:pPr>
            <w:r>
              <w:rPr>
                <w:b/>
              </w:rPr>
              <w:t>эквивалентно</w:t>
            </w:r>
            <w:r w:rsidRPr="00535B9A">
              <w:rPr>
                <w:b/>
              </w:rPr>
              <w:t xml:space="preserve"> без математической </w:t>
            </w:r>
            <w:r>
              <w:rPr>
                <w:b/>
              </w:rPr>
              <w:t>оценки</w:t>
            </w:r>
          </w:p>
        </w:tc>
      </w:tr>
      <w:tr w:rsidR="00A043A6" w:rsidRPr="00D6050D" w14:paraId="1F238956" w14:textId="77777777" w:rsidTr="00A043A6">
        <w:trPr>
          <w:trHeight w:val="225"/>
        </w:trPr>
        <w:tc>
          <w:tcPr>
            <w:tcW w:w="2416" w:type="dxa"/>
            <w:vMerge w:val="restart"/>
            <w:vAlign w:val="center"/>
          </w:tcPr>
          <w:p w14:paraId="03553A6E" w14:textId="7E688DE0" w:rsidR="00A043A6" w:rsidRPr="00D6050D" w:rsidRDefault="00A043A6" w:rsidP="00A043A6">
            <w:pPr>
              <w:jc w:val="center"/>
              <w:rPr>
                <w:color w:val="000000"/>
              </w:rPr>
            </w:pPr>
            <w:r w:rsidRPr="00D6050D">
              <w:rPr>
                <w:color w:val="000000"/>
              </w:rPr>
              <w:t>Ацетатный буферный раствор рН 4,5</w:t>
            </w:r>
            <w:r>
              <w:rPr>
                <w:color w:val="000000"/>
              </w:rPr>
              <w:t xml:space="preserve"> </w:t>
            </w:r>
            <w:r>
              <w:rPr>
                <w:color w:val="000000" w:themeColor="text1"/>
              </w:rPr>
              <w:t>(среда НД)</w:t>
            </w:r>
          </w:p>
        </w:tc>
        <w:tc>
          <w:tcPr>
            <w:tcW w:w="913" w:type="dxa"/>
          </w:tcPr>
          <w:p w14:paraId="77AF2F00" w14:textId="372C2F78" w:rsidR="00A043A6" w:rsidRPr="00D6050D" w:rsidRDefault="00A043A6" w:rsidP="00A043A6">
            <w:pPr>
              <w:jc w:val="center"/>
              <w:rPr>
                <w:color w:val="000000"/>
              </w:rPr>
            </w:pPr>
            <w:r>
              <w:rPr>
                <w:color w:val="000000"/>
              </w:rPr>
              <w:t>5</w:t>
            </w:r>
          </w:p>
        </w:tc>
        <w:tc>
          <w:tcPr>
            <w:tcW w:w="3034" w:type="dxa"/>
            <w:vAlign w:val="center"/>
          </w:tcPr>
          <w:p w14:paraId="16AB172E" w14:textId="7482E1E7" w:rsidR="00A043A6" w:rsidRPr="00A043A6" w:rsidRDefault="00A043A6" w:rsidP="00A043A6">
            <w:pPr>
              <w:jc w:val="center"/>
              <w:rPr>
                <w:lang w:val="en-US"/>
              </w:rPr>
            </w:pPr>
            <w:r>
              <w:rPr>
                <w:lang w:val="en-US"/>
              </w:rPr>
              <w:t>71</w:t>
            </w:r>
          </w:p>
        </w:tc>
        <w:tc>
          <w:tcPr>
            <w:tcW w:w="2993" w:type="dxa"/>
            <w:vAlign w:val="center"/>
          </w:tcPr>
          <w:p w14:paraId="3CA4F3A3" w14:textId="38F556DD" w:rsidR="00A043A6" w:rsidRPr="00A043A6" w:rsidRDefault="00A043A6" w:rsidP="00A043A6">
            <w:pPr>
              <w:jc w:val="center"/>
              <w:rPr>
                <w:lang w:val="en-US"/>
              </w:rPr>
            </w:pPr>
            <w:r>
              <w:rPr>
                <w:lang w:val="en-US"/>
              </w:rPr>
              <w:t>67</w:t>
            </w:r>
          </w:p>
        </w:tc>
      </w:tr>
      <w:tr w:rsidR="00A043A6" w:rsidRPr="00D6050D" w14:paraId="17F248DD" w14:textId="77777777" w:rsidTr="00A043A6">
        <w:trPr>
          <w:trHeight w:val="240"/>
        </w:trPr>
        <w:tc>
          <w:tcPr>
            <w:tcW w:w="2416" w:type="dxa"/>
            <w:vMerge/>
            <w:vAlign w:val="center"/>
          </w:tcPr>
          <w:p w14:paraId="315868E8" w14:textId="77777777" w:rsidR="00A043A6" w:rsidRPr="00D6050D" w:rsidRDefault="00A043A6" w:rsidP="00A043A6">
            <w:pPr>
              <w:jc w:val="center"/>
              <w:rPr>
                <w:color w:val="000000"/>
              </w:rPr>
            </w:pPr>
          </w:p>
        </w:tc>
        <w:tc>
          <w:tcPr>
            <w:tcW w:w="913" w:type="dxa"/>
          </w:tcPr>
          <w:p w14:paraId="27BD5CC2" w14:textId="0A279DF1" w:rsidR="00A043A6" w:rsidRPr="00D6050D" w:rsidRDefault="00A043A6" w:rsidP="00A043A6">
            <w:pPr>
              <w:jc w:val="center"/>
              <w:rPr>
                <w:color w:val="000000"/>
              </w:rPr>
            </w:pPr>
            <w:r>
              <w:rPr>
                <w:color w:val="000000"/>
              </w:rPr>
              <w:t>10</w:t>
            </w:r>
          </w:p>
        </w:tc>
        <w:tc>
          <w:tcPr>
            <w:tcW w:w="3034" w:type="dxa"/>
            <w:vAlign w:val="center"/>
          </w:tcPr>
          <w:p w14:paraId="269C351A" w14:textId="5843BCEA" w:rsidR="00A043A6" w:rsidRPr="00A043A6" w:rsidRDefault="00A043A6" w:rsidP="00A043A6">
            <w:pPr>
              <w:jc w:val="center"/>
              <w:rPr>
                <w:lang w:val="en-US"/>
              </w:rPr>
            </w:pPr>
            <w:r>
              <w:rPr>
                <w:lang w:val="en-US"/>
              </w:rPr>
              <w:t>88</w:t>
            </w:r>
          </w:p>
        </w:tc>
        <w:tc>
          <w:tcPr>
            <w:tcW w:w="2993" w:type="dxa"/>
            <w:vAlign w:val="center"/>
          </w:tcPr>
          <w:p w14:paraId="51ADE9E1" w14:textId="127F217E" w:rsidR="00A043A6" w:rsidRPr="00A043A6" w:rsidRDefault="00A043A6" w:rsidP="00A043A6">
            <w:pPr>
              <w:jc w:val="center"/>
              <w:rPr>
                <w:lang w:val="en-US"/>
              </w:rPr>
            </w:pPr>
            <w:r>
              <w:rPr>
                <w:lang w:val="en-US"/>
              </w:rPr>
              <w:t>81</w:t>
            </w:r>
          </w:p>
        </w:tc>
      </w:tr>
      <w:tr w:rsidR="00A043A6" w:rsidRPr="00D6050D" w14:paraId="16BCF132" w14:textId="77777777" w:rsidTr="00A043A6">
        <w:trPr>
          <w:trHeight w:val="237"/>
        </w:trPr>
        <w:tc>
          <w:tcPr>
            <w:tcW w:w="2416" w:type="dxa"/>
            <w:vMerge/>
            <w:vAlign w:val="center"/>
          </w:tcPr>
          <w:p w14:paraId="44E1FDE2" w14:textId="77777777" w:rsidR="00A043A6" w:rsidRPr="00D6050D" w:rsidRDefault="00A043A6" w:rsidP="00A043A6">
            <w:pPr>
              <w:jc w:val="center"/>
              <w:rPr>
                <w:color w:val="000000"/>
              </w:rPr>
            </w:pPr>
          </w:p>
        </w:tc>
        <w:tc>
          <w:tcPr>
            <w:tcW w:w="913" w:type="dxa"/>
          </w:tcPr>
          <w:p w14:paraId="2CD59866" w14:textId="1385CABB" w:rsidR="00A043A6" w:rsidRPr="00D6050D" w:rsidRDefault="00A043A6" w:rsidP="00A043A6">
            <w:pPr>
              <w:jc w:val="center"/>
              <w:rPr>
                <w:color w:val="000000"/>
              </w:rPr>
            </w:pPr>
            <w:r>
              <w:rPr>
                <w:color w:val="000000"/>
              </w:rPr>
              <w:t>15</w:t>
            </w:r>
          </w:p>
        </w:tc>
        <w:tc>
          <w:tcPr>
            <w:tcW w:w="3034" w:type="dxa"/>
            <w:vAlign w:val="center"/>
          </w:tcPr>
          <w:p w14:paraId="19445DF8" w14:textId="2516F6BE" w:rsidR="00A043A6" w:rsidRPr="00A043A6" w:rsidRDefault="00A043A6" w:rsidP="00A043A6">
            <w:pPr>
              <w:jc w:val="center"/>
              <w:rPr>
                <w:lang w:val="en-US"/>
              </w:rPr>
            </w:pPr>
            <w:r>
              <w:rPr>
                <w:lang w:val="en-US"/>
              </w:rPr>
              <w:t>94</w:t>
            </w:r>
          </w:p>
        </w:tc>
        <w:tc>
          <w:tcPr>
            <w:tcW w:w="2993" w:type="dxa"/>
            <w:vAlign w:val="center"/>
          </w:tcPr>
          <w:p w14:paraId="6ED5AF8F" w14:textId="57090780" w:rsidR="00A043A6" w:rsidRPr="00A043A6" w:rsidRDefault="00A043A6" w:rsidP="00A043A6">
            <w:pPr>
              <w:jc w:val="center"/>
              <w:rPr>
                <w:lang w:val="en-US"/>
              </w:rPr>
            </w:pPr>
            <w:r>
              <w:rPr>
                <w:lang w:val="en-US"/>
              </w:rPr>
              <w:t>88</w:t>
            </w:r>
          </w:p>
        </w:tc>
      </w:tr>
      <w:tr w:rsidR="00A043A6" w:rsidRPr="00D6050D" w14:paraId="299AFF0A" w14:textId="77777777" w:rsidTr="00A043A6">
        <w:trPr>
          <w:trHeight w:val="300"/>
        </w:trPr>
        <w:tc>
          <w:tcPr>
            <w:tcW w:w="2416" w:type="dxa"/>
            <w:vMerge/>
            <w:vAlign w:val="center"/>
          </w:tcPr>
          <w:p w14:paraId="697DC262" w14:textId="77777777" w:rsidR="00A043A6" w:rsidRPr="00D6050D" w:rsidRDefault="00A043A6" w:rsidP="00A043A6">
            <w:pPr>
              <w:jc w:val="center"/>
              <w:rPr>
                <w:color w:val="000000"/>
              </w:rPr>
            </w:pPr>
          </w:p>
        </w:tc>
        <w:tc>
          <w:tcPr>
            <w:tcW w:w="913" w:type="dxa"/>
          </w:tcPr>
          <w:p w14:paraId="189724C9" w14:textId="5499BC2B" w:rsidR="00A043A6" w:rsidRPr="00D6050D" w:rsidRDefault="00A043A6" w:rsidP="00A043A6">
            <w:pPr>
              <w:jc w:val="center"/>
              <w:rPr>
                <w:color w:val="000000"/>
              </w:rPr>
            </w:pPr>
            <w:r>
              <w:rPr>
                <w:color w:val="000000"/>
              </w:rPr>
              <w:t>20</w:t>
            </w:r>
          </w:p>
        </w:tc>
        <w:tc>
          <w:tcPr>
            <w:tcW w:w="3034" w:type="dxa"/>
            <w:vAlign w:val="center"/>
          </w:tcPr>
          <w:p w14:paraId="796AFE2B" w14:textId="43119814" w:rsidR="00A043A6" w:rsidRPr="00A043A6" w:rsidRDefault="00A043A6" w:rsidP="00A043A6">
            <w:pPr>
              <w:jc w:val="center"/>
              <w:rPr>
                <w:lang w:val="en-US"/>
              </w:rPr>
            </w:pPr>
            <w:r>
              <w:rPr>
                <w:lang w:val="en-US"/>
              </w:rPr>
              <w:t>96</w:t>
            </w:r>
          </w:p>
        </w:tc>
        <w:tc>
          <w:tcPr>
            <w:tcW w:w="2993" w:type="dxa"/>
            <w:vAlign w:val="center"/>
          </w:tcPr>
          <w:p w14:paraId="18A5BEF2" w14:textId="7E155A05" w:rsidR="00A043A6" w:rsidRPr="00A043A6" w:rsidRDefault="00A043A6" w:rsidP="00A043A6">
            <w:pPr>
              <w:jc w:val="center"/>
              <w:rPr>
                <w:lang w:val="en-US"/>
              </w:rPr>
            </w:pPr>
            <w:r>
              <w:rPr>
                <w:lang w:val="en-US"/>
              </w:rPr>
              <w:t>93</w:t>
            </w:r>
          </w:p>
        </w:tc>
      </w:tr>
      <w:tr w:rsidR="00A043A6" w:rsidRPr="00D6050D" w14:paraId="0AAFBA87" w14:textId="77777777" w:rsidTr="00A043A6">
        <w:trPr>
          <w:trHeight w:val="195"/>
        </w:trPr>
        <w:tc>
          <w:tcPr>
            <w:tcW w:w="2416" w:type="dxa"/>
            <w:vMerge/>
            <w:vAlign w:val="center"/>
          </w:tcPr>
          <w:p w14:paraId="3A36F428" w14:textId="77777777" w:rsidR="00A043A6" w:rsidRPr="00D6050D" w:rsidRDefault="00A043A6" w:rsidP="00A043A6">
            <w:pPr>
              <w:jc w:val="center"/>
              <w:rPr>
                <w:color w:val="000000"/>
              </w:rPr>
            </w:pPr>
          </w:p>
        </w:tc>
        <w:tc>
          <w:tcPr>
            <w:tcW w:w="913" w:type="dxa"/>
          </w:tcPr>
          <w:p w14:paraId="69416DFB" w14:textId="015B5DAB" w:rsidR="00A043A6" w:rsidRPr="00D6050D" w:rsidRDefault="00A043A6" w:rsidP="00A043A6">
            <w:pPr>
              <w:jc w:val="center"/>
              <w:rPr>
                <w:color w:val="000000"/>
              </w:rPr>
            </w:pPr>
            <w:r>
              <w:rPr>
                <w:color w:val="000000"/>
              </w:rPr>
              <w:t>30</w:t>
            </w:r>
          </w:p>
        </w:tc>
        <w:tc>
          <w:tcPr>
            <w:tcW w:w="3034" w:type="dxa"/>
            <w:vAlign w:val="center"/>
          </w:tcPr>
          <w:p w14:paraId="0E253304" w14:textId="1175AC75" w:rsidR="00A043A6" w:rsidRPr="00A043A6" w:rsidRDefault="00A043A6" w:rsidP="00A043A6">
            <w:pPr>
              <w:jc w:val="center"/>
              <w:rPr>
                <w:lang w:val="en-US"/>
              </w:rPr>
            </w:pPr>
            <w:r>
              <w:rPr>
                <w:lang w:val="en-US"/>
              </w:rPr>
              <w:t>99</w:t>
            </w:r>
          </w:p>
        </w:tc>
        <w:tc>
          <w:tcPr>
            <w:tcW w:w="2993" w:type="dxa"/>
            <w:vAlign w:val="center"/>
          </w:tcPr>
          <w:p w14:paraId="4422EB75" w14:textId="54B29CC1" w:rsidR="00A043A6" w:rsidRPr="00A043A6" w:rsidRDefault="00A043A6" w:rsidP="00A043A6">
            <w:pPr>
              <w:jc w:val="center"/>
              <w:rPr>
                <w:lang w:val="en-US"/>
              </w:rPr>
            </w:pPr>
            <w:r>
              <w:rPr>
                <w:lang w:val="en-US"/>
              </w:rPr>
              <w:t>97</w:t>
            </w:r>
          </w:p>
        </w:tc>
      </w:tr>
      <w:tr w:rsidR="00EC1560" w:rsidRPr="00D6050D" w14:paraId="2A103FDE" w14:textId="77777777" w:rsidTr="00A043A6">
        <w:trPr>
          <w:trHeight w:val="64"/>
        </w:trPr>
        <w:tc>
          <w:tcPr>
            <w:tcW w:w="3329" w:type="dxa"/>
            <w:gridSpan w:val="2"/>
            <w:vAlign w:val="center"/>
          </w:tcPr>
          <w:p w14:paraId="12938A6A" w14:textId="77777777" w:rsidR="00EC1560" w:rsidRPr="00D6050D" w:rsidRDefault="00EC1560" w:rsidP="00A043A6">
            <w:pPr>
              <w:jc w:val="right"/>
              <w:rPr>
                <w:b/>
                <w:i/>
                <w:color w:val="000000"/>
              </w:rPr>
            </w:pPr>
            <w:r w:rsidRPr="00D6050D">
              <w:rPr>
                <w:b/>
                <w:i/>
                <w:color w:val="000000"/>
              </w:rPr>
              <w:t>фактор подобия f2</w:t>
            </w:r>
          </w:p>
        </w:tc>
        <w:tc>
          <w:tcPr>
            <w:tcW w:w="6027" w:type="dxa"/>
            <w:gridSpan w:val="2"/>
            <w:vAlign w:val="center"/>
          </w:tcPr>
          <w:p w14:paraId="4131AEEB" w14:textId="77777777" w:rsidR="00EC1560" w:rsidRPr="00D6050D" w:rsidRDefault="00EC1560" w:rsidP="00A043A6">
            <w:pPr>
              <w:jc w:val="center"/>
              <w:rPr>
                <w:b/>
                <w:i/>
                <w:lang w:val="en-US"/>
              </w:rPr>
            </w:pPr>
            <w:r>
              <w:rPr>
                <w:b/>
              </w:rPr>
              <w:t>эквивалентно</w:t>
            </w:r>
            <w:r w:rsidRPr="00535B9A">
              <w:rPr>
                <w:b/>
              </w:rPr>
              <w:t xml:space="preserve"> без математической </w:t>
            </w:r>
            <w:r>
              <w:rPr>
                <w:b/>
              </w:rPr>
              <w:t>оценки</w:t>
            </w:r>
          </w:p>
        </w:tc>
      </w:tr>
      <w:tr w:rsidR="00A043A6" w:rsidRPr="00D6050D" w14:paraId="2847ED2B" w14:textId="77777777" w:rsidTr="00A043A6">
        <w:trPr>
          <w:trHeight w:val="225"/>
        </w:trPr>
        <w:tc>
          <w:tcPr>
            <w:tcW w:w="2416" w:type="dxa"/>
            <w:vMerge w:val="restart"/>
            <w:vAlign w:val="center"/>
          </w:tcPr>
          <w:p w14:paraId="4C6F00F6" w14:textId="77777777" w:rsidR="00A043A6" w:rsidRPr="00D6050D" w:rsidRDefault="00A043A6" w:rsidP="00A043A6">
            <w:pPr>
              <w:jc w:val="center"/>
              <w:rPr>
                <w:color w:val="000000"/>
              </w:rPr>
            </w:pPr>
            <w:r w:rsidRPr="00D6050D">
              <w:rPr>
                <w:color w:val="000000"/>
              </w:rPr>
              <w:t>Фосфатный буферный раствор рН 6,8</w:t>
            </w:r>
          </w:p>
        </w:tc>
        <w:tc>
          <w:tcPr>
            <w:tcW w:w="913" w:type="dxa"/>
          </w:tcPr>
          <w:p w14:paraId="5984CAFC" w14:textId="64852472" w:rsidR="00A043A6" w:rsidRPr="00D6050D" w:rsidRDefault="00A043A6" w:rsidP="00A043A6">
            <w:pPr>
              <w:jc w:val="center"/>
              <w:rPr>
                <w:color w:val="000000"/>
              </w:rPr>
            </w:pPr>
            <w:r>
              <w:rPr>
                <w:color w:val="000000"/>
              </w:rPr>
              <w:t>5</w:t>
            </w:r>
          </w:p>
        </w:tc>
        <w:tc>
          <w:tcPr>
            <w:tcW w:w="3034" w:type="dxa"/>
            <w:vAlign w:val="center"/>
          </w:tcPr>
          <w:p w14:paraId="566C1BC8" w14:textId="021581E5" w:rsidR="00A043A6" w:rsidRPr="00A043A6" w:rsidRDefault="00A043A6" w:rsidP="00A043A6">
            <w:pPr>
              <w:jc w:val="center"/>
              <w:rPr>
                <w:lang w:val="en-US"/>
              </w:rPr>
            </w:pPr>
            <w:r>
              <w:rPr>
                <w:lang w:val="en-US"/>
              </w:rPr>
              <w:t>66</w:t>
            </w:r>
          </w:p>
        </w:tc>
        <w:tc>
          <w:tcPr>
            <w:tcW w:w="2993" w:type="dxa"/>
          </w:tcPr>
          <w:p w14:paraId="0C72B9A0" w14:textId="1FADF9A1" w:rsidR="00A043A6" w:rsidRPr="00A043A6" w:rsidRDefault="00A043A6" w:rsidP="00A043A6">
            <w:pPr>
              <w:jc w:val="center"/>
              <w:rPr>
                <w:lang w:val="en-US"/>
              </w:rPr>
            </w:pPr>
            <w:r>
              <w:rPr>
                <w:lang w:val="en-US"/>
              </w:rPr>
              <w:t>64</w:t>
            </w:r>
          </w:p>
        </w:tc>
      </w:tr>
      <w:tr w:rsidR="00A043A6" w:rsidRPr="00D6050D" w14:paraId="7150AF61" w14:textId="77777777" w:rsidTr="00A043A6">
        <w:trPr>
          <w:trHeight w:val="240"/>
        </w:trPr>
        <w:tc>
          <w:tcPr>
            <w:tcW w:w="2416" w:type="dxa"/>
            <w:vMerge/>
            <w:vAlign w:val="center"/>
          </w:tcPr>
          <w:p w14:paraId="6A624D61" w14:textId="77777777" w:rsidR="00A043A6" w:rsidRPr="00D6050D" w:rsidRDefault="00A043A6" w:rsidP="00A043A6">
            <w:pPr>
              <w:jc w:val="center"/>
              <w:rPr>
                <w:color w:val="000000"/>
              </w:rPr>
            </w:pPr>
          </w:p>
        </w:tc>
        <w:tc>
          <w:tcPr>
            <w:tcW w:w="913" w:type="dxa"/>
          </w:tcPr>
          <w:p w14:paraId="583F7C5F" w14:textId="7D14692F" w:rsidR="00A043A6" w:rsidRPr="00D6050D" w:rsidRDefault="00A043A6" w:rsidP="00A043A6">
            <w:pPr>
              <w:jc w:val="center"/>
              <w:rPr>
                <w:color w:val="000000"/>
              </w:rPr>
            </w:pPr>
            <w:r>
              <w:rPr>
                <w:color w:val="000000"/>
              </w:rPr>
              <w:t>10</w:t>
            </w:r>
          </w:p>
        </w:tc>
        <w:tc>
          <w:tcPr>
            <w:tcW w:w="3034" w:type="dxa"/>
            <w:vAlign w:val="center"/>
          </w:tcPr>
          <w:p w14:paraId="16932533" w14:textId="6D1E1929" w:rsidR="00A043A6" w:rsidRPr="00A043A6" w:rsidRDefault="00A043A6" w:rsidP="00A043A6">
            <w:pPr>
              <w:jc w:val="center"/>
              <w:rPr>
                <w:lang w:val="en-US"/>
              </w:rPr>
            </w:pPr>
            <w:r>
              <w:rPr>
                <w:lang w:val="en-US"/>
              </w:rPr>
              <w:t>85</w:t>
            </w:r>
          </w:p>
        </w:tc>
        <w:tc>
          <w:tcPr>
            <w:tcW w:w="2993" w:type="dxa"/>
          </w:tcPr>
          <w:p w14:paraId="2606E374" w14:textId="08744910" w:rsidR="00A043A6" w:rsidRPr="00A043A6" w:rsidRDefault="00A043A6" w:rsidP="00A043A6">
            <w:pPr>
              <w:jc w:val="center"/>
              <w:rPr>
                <w:lang w:val="en-US"/>
              </w:rPr>
            </w:pPr>
            <w:r>
              <w:rPr>
                <w:lang w:val="en-US"/>
              </w:rPr>
              <w:t>76</w:t>
            </w:r>
          </w:p>
        </w:tc>
      </w:tr>
      <w:tr w:rsidR="00A043A6" w:rsidRPr="00D6050D" w14:paraId="56EF6FDE" w14:textId="77777777" w:rsidTr="00A043A6">
        <w:trPr>
          <w:trHeight w:val="300"/>
        </w:trPr>
        <w:tc>
          <w:tcPr>
            <w:tcW w:w="2416" w:type="dxa"/>
            <w:vMerge/>
            <w:vAlign w:val="center"/>
          </w:tcPr>
          <w:p w14:paraId="3F651F10" w14:textId="77777777" w:rsidR="00A043A6" w:rsidRPr="00D6050D" w:rsidRDefault="00A043A6" w:rsidP="00A043A6">
            <w:pPr>
              <w:jc w:val="center"/>
              <w:rPr>
                <w:color w:val="000000"/>
              </w:rPr>
            </w:pPr>
          </w:p>
        </w:tc>
        <w:tc>
          <w:tcPr>
            <w:tcW w:w="913" w:type="dxa"/>
          </w:tcPr>
          <w:p w14:paraId="25658833" w14:textId="0781917F" w:rsidR="00A043A6" w:rsidRPr="00D6050D" w:rsidRDefault="00A043A6" w:rsidP="00A043A6">
            <w:pPr>
              <w:jc w:val="center"/>
              <w:rPr>
                <w:color w:val="000000"/>
              </w:rPr>
            </w:pPr>
            <w:r>
              <w:rPr>
                <w:color w:val="000000"/>
              </w:rPr>
              <w:t>15</w:t>
            </w:r>
          </w:p>
        </w:tc>
        <w:tc>
          <w:tcPr>
            <w:tcW w:w="3034" w:type="dxa"/>
            <w:vAlign w:val="center"/>
          </w:tcPr>
          <w:p w14:paraId="4326C8C5" w14:textId="177A08B7" w:rsidR="00A043A6" w:rsidRPr="00A043A6" w:rsidRDefault="00A043A6" w:rsidP="00A043A6">
            <w:pPr>
              <w:jc w:val="center"/>
              <w:rPr>
                <w:lang w:val="en-US"/>
              </w:rPr>
            </w:pPr>
            <w:r>
              <w:rPr>
                <w:lang w:val="en-US"/>
              </w:rPr>
              <w:t>91</w:t>
            </w:r>
          </w:p>
        </w:tc>
        <w:tc>
          <w:tcPr>
            <w:tcW w:w="2993" w:type="dxa"/>
          </w:tcPr>
          <w:p w14:paraId="41F108E7" w14:textId="4241CE43" w:rsidR="00A043A6" w:rsidRPr="00A043A6" w:rsidRDefault="00A043A6" w:rsidP="00A043A6">
            <w:pPr>
              <w:jc w:val="center"/>
              <w:rPr>
                <w:lang w:val="en-US"/>
              </w:rPr>
            </w:pPr>
            <w:r>
              <w:rPr>
                <w:lang w:val="en-US"/>
              </w:rPr>
              <w:t>86</w:t>
            </w:r>
          </w:p>
        </w:tc>
      </w:tr>
      <w:tr w:rsidR="00A043A6" w:rsidRPr="00D6050D" w14:paraId="4908447E" w14:textId="77777777" w:rsidTr="00A043A6">
        <w:trPr>
          <w:trHeight w:val="237"/>
        </w:trPr>
        <w:tc>
          <w:tcPr>
            <w:tcW w:w="2416" w:type="dxa"/>
            <w:vMerge/>
            <w:vAlign w:val="center"/>
          </w:tcPr>
          <w:p w14:paraId="3AA36B58" w14:textId="77777777" w:rsidR="00A043A6" w:rsidRPr="00D6050D" w:rsidRDefault="00A043A6" w:rsidP="00A043A6">
            <w:pPr>
              <w:jc w:val="center"/>
              <w:rPr>
                <w:color w:val="000000"/>
              </w:rPr>
            </w:pPr>
          </w:p>
        </w:tc>
        <w:tc>
          <w:tcPr>
            <w:tcW w:w="913" w:type="dxa"/>
          </w:tcPr>
          <w:p w14:paraId="2A59E4B0" w14:textId="67158221" w:rsidR="00A043A6" w:rsidRPr="00D6050D" w:rsidRDefault="00A043A6" w:rsidP="00A043A6">
            <w:pPr>
              <w:jc w:val="center"/>
              <w:rPr>
                <w:color w:val="000000"/>
              </w:rPr>
            </w:pPr>
            <w:r>
              <w:rPr>
                <w:color w:val="000000"/>
              </w:rPr>
              <w:t>20</w:t>
            </w:r>
          </w:p>
        </w:tc>
        <w:tc>
          <w:tcPr>
            <w:tcW w:w="3034" w:type="dxa"/>
            <w:vAlign w:val="center"/>
          </w:tcPr>
          <w:p w14:paraId="55A705FC" w14:textId="77777777" w:rsidR="00A043A6" w:rsidRPr="00535B9A" w:rsidRDefault="00A043A6" w:rsidP="00A043A6">
            <w:pPr>
              <w:jc w:val="center"/>
            </w:pPr>
            <w:r>
              <w:t>95</w:t>
            </w:r>
          </w:p>
        </w:tc>
        <w:tc>
          <w:tcPr>
            <w:tcW w:w="2993" w:type="dxa"/>
          </w:tcPr>
          <w:p w14:paraId="039D6A6B" w14:textId="77777777" w:rsidR="00A043A6" w:rsidRPr="00D6050D" w:rsidRDefault="00A043A6" w:rsidP="00A043A6">
            <w:pPr>
              <w:jc w:val="center"/>
            </w:pPr>
            <w:r>
              <w:t>91</w:t>
            </w:r>
          </w:p>
        </w:tc>
      </w:tr>
      <w:tr w:rsidR="00A043A6" w:rsidRPr="00D6050D" w14:paraId="320677BA" w14:textId="77777777" w:rsidTr="00A043A6">
        <w:trPr>
          <w:trHeight w:val="300"/>
        </w:trPr>
        <w:tc>
          <w:tcPr>
            <w:tcW w:w="2416" w:type="dxa"/>
            <w:vMerge/>
            <w:vAlign w:val="center"/>
          </w:tcPr>
          <w:p w14:paraId="5D386366" w14:textId="77777777" w:rsidR="00A043A6" w:rsidRPr="00D6050D" w:rsidRDefault="00A043A6" w:rsidP="00A043A6">
            <w:pPr>
              <w:jc w:val="center"/>
              <w:rPr>
                <w:color w:val="000000"/>
              </w:rPr>
            </w:pPr>
          </w:p>
        </w:tc>
        <w:tc>
          <w:tcPr>
            <w:tcW w:w="913" w:type="dxa"/>
          </w:tcPr>
          <w:p w14:paraId="574A20C9" w14:textId="649C7C6F" w:rsidR="00A043A6" w:rsidRPr="00D6050D" w:rsidRDefault="00A043A6" w:rsidP="00A043A6">
            <w:pPr>
              <w:jc w:val="center"/>
              <w:rPr>
                <w:color w:val="000000"/>
              </w:rPr>
            </w:pPr>
            <w:r>
              <w:rPr>
                <w:color w:val="000000"/>
              </w:rPr>
              <w:t>30</w:t>
            </w:r>
          </w:p>
        </w:tc>
        <w:tc>
          <w:tcPr>
            <w:tcW w:w="3034" w:type="dxa"/>
            <w:vAlign w:val="center"/>
          </w:tcPr>
          <w:p w14:paraId="51D8ABF7" w14:textId="2C770EEF" w:rsidR="00A043A6" w:rsidRPr="00A043A6" w:rsidRDefault="00A043A6" w:rsidP="00A043A6">
            <w:pPr>
              <w:jc w:val="center"/>
              <w:rPr>
                <w:lang w:val="en-US"/>
              </w:rPr>
            </w:pPr>
            <w:r>
              <w:rPr>
                <w:lang w:val="en-US"/>
              </w:rPr>
              <w:t>99</w:t>
            </w:r>
          </w:p>
        </w:tc>
        <w:tc>
          <w:tcPr>
            <w:tcW w:w="2993" w:type="dxa"/>
          </w:tcPr>
          <w:p w14:paraId="004A009F" w14:textId="040A2FDF" w:rsidR="00A043A6" w:rsidRPr="00A043A6" w:rsidRDefault="00A043A6" w:rsidP="00A043A6">
            <w:pPr>
              <w:jc w:val="center"/>
              <w:rPr>
                <w:lang w:val="en-US"/>
              </w:rPr>
            </w:pPr>
            <w:r>
              <w:rPr>
                <w:lang w:val="en-US"/>
              </w:rPr>
              <w:t>96</w:t>
            </w:r>
          </w:p>
        </w:tc>
      </w:tr>
      <w:tr w:rsidR="00EC1560" w:rsidRPr="00535B9A" w14:paraId="14AF94FE" w14:textId="77777777" w:rsidTr="00A043A6">
        <w:trPr>
          <w:trHeight w:val="64"/>
        </w:trPr>
        <w:tc>
          <w:tcPr>
            <w:tcW w:w="3329" w:type="dxa"/>
            <w:gridSpan w:val="2"/>
            <w:vAlign w:val="center"/>
          </w:tcPr>
          <w:p w14:paraId="3D2BFB9B" w14:textId="77777777" w:rsidR="00EC1560" w:rsidRPr="00D6050D" w:rsidRDefault="00EC1560" w:rsidP="00A043A6">
            <w:pPr>
              <w:jc w:val="right"/>
              <w:rPr>
                <w:b/>
                <w:i/>
                <w:color w:val="000000"/>
              </w:rPr>
            </w:pPr>
            <w:r w:rsidRPr="00D6050D">
              <w:rPr>
                <w:b/>
                <w:i/>
                <w:color w:val="000000"/>
              </w:rPr>
              <w:t>фактор подобия f2</w:t>
            </w:r>
          </w:p>
        </w:tc>
        <w:tc>
          <w:tcPr>
            <w:tcW w:w="6027" w:type="dxa"/>
            <w:gridSpan w:val="2"/>
            <w:vAlign w:val="center"/>
          </w:tcPr>
          <w:p w14:paraId="5B6033C9" w14:textId="77777777" w:rsidR="00EC1560" w:rsidRPr="00535B9A" w:rsidRDefault="00EC1560" w:rsidP="00A043A6">
            <w:pPr>
              <w:jc w:val="center"/>
              <w:rPr>
                <w:b/>
              </w:rPr>
            </w:pPr>
            <w:r>
              <w:rPr>
                <w:b/>
              </w:rPr>
              <w:t>эквивалентно</w:t>
            </w:r>
            <w:r w:rsidRPr="00535B9A">
              <w:rPr>
                <w:b/>
              </w:rPr>
              <w:t xml:space="preserve"> без математической </w:t>
            </w:r>
            <w:r>
              <w:rPr>
                <w:b/>
              </w:rPr>
              <w:t>оценки</w:t>
            </w:r>
          </w:p>
        </w:tc>
      </w:tr>
    </w:tbl>
    <w:p w14:paraId="6EDED6E6" w14:textId="77777777" w:rsidR="004523A0" w:rsidRDefault="004523A0" w:rsidP="00BA2D96">
      <w:pPr>
        <w:spacing w:after="0" w:line="240" w:lineRule="auto"/>
        <w:rPr>
          <w:lang w:eastAsia="ru-RU" w:bidi="ru-RU"/>
        </w:rPr>
      </w:pPr>
    </w:p>
    <w:p w14:paraId="2EA22738" w14:textId="70B6CF82" w:rsidR="00A043A6" w:rsidRDefault="00A043A6" w:rsidP="00A043A6">
      <w:pPr>
        <w:spacing w:after="0" w:line="240" w:lineRule="auto"/>
      </w:pPr>
      <w:r w:rsidRPr="00D6050D">
        <w:rPr>
          <w:b/>
        </w:rPr>
        <w:t>Рисунок 2-</w:t>
      </w:r>
      <w:r>
        <w:rPr>
          <w:b/>
        </w:rPr>
        <w:t>2</w:t>
      </w:r>
      <w:r w:rsidRPr="00D6050D">
        <w:rPr>
          <w:b/>
        </w:rPr>
        <w:t>.</w:t>
      </w:r>
      <w:r w:rsidRPr="00D6050D">
        <w:t xml:space="preserve"> Усредненные профили высвобождения </w:t>
      </w:r>
      <w:r w:rsidR="00F371CE">
        <w:t>действующего веществ</w:t>
      </w:r>
      <w:r w:rsidRPr="00D6050D">
        <w:t xml:space="preserve">а из препаратов </w:t>
      </w:r>
      <w:r w:rsidRPr="00D6050D">
        <w:rPr>
          <w:color w:val="000000" w:themeColor="text1"/>
          <w:lang w:val="en-US"/>
        </w:rPr>
        <w:t>DT</w:t>
      </w:r>
      <w:r w:rsidRPr="00D6050D">
        <w:rPr>
          <w:color w:val="000000" w:themeColor="text1"/>
        </w:rPr>
        <w:t>-</w:t>
      </w:r>
      <w:r w:rsidRPr="00A043A6">
        <w:rPr>
          <w:lang w:eastAsia="ru-RU"/>
        </w:rPr>
        <w:t xml:space="preserve"> </w:t>
      </w:r>
      <w:r>
        <w:rPr>
          <w:lang w:val="en-US" w:eastAsia="ru-RU"/>
        </w:rPr>
        <w:t>BRC</w:t>
      </w:r>
      <w:r w:rsidRPr="00D6050D">
        <w:rPr>
          <w:color w:val="000000" w:themeColor="text1"/>
        </w:rPr>
        <w:t xml:space="preserve"> и </w:t>
      </w:r>
      <w:r w:rsidR="007B5610">
        <w:rPr>
          <w:color w:val="000000" w:themeColor="text1"/>
        </w:rPr>
        <w:t>Олуми</w:t>
      </w:r>
      <w:r>
        <w:rPr>
          <w:color w:val="000000" w:themeColor="text1"/>
        </w:rPr>
        <w:t>а</w:t>
      </w:r>
      <w:r w:rsidR="007B5610">
        <w:rPr>
          <w:color w:val="000000" w:themeColor="text1"/>
        </w:rPr>
        <w:t>н</w:t>
      </w:r>
      <w:r>
        <w:rPr>
          <w:color w:val="000000" w:themeColor="text1"/>
        </w:rPr>
        <w:t>т</w:t>
      </w:r>
      <w:r w:rsidRPr="008A69D9">
        <w:rPr>
          <w:color w:val="000000" w:themeColor="text1"/>
          <w:vertAlign w:val="superscript"/>
        </w:rPr>
        <w:t>®</w:t>
      </w:r>
      <w:r w:rsidRPr="008A69D9">
        <w:rPr>
          <w:color w:val="000000" w:themeColor="text1"/>
        </w:rPr>
        <w:t xml:space="preserve"> </w:t>
      </w:r>
      <w:r w:rsidRPr="00D6050D">
        <w:rPr>
          <w:color w:val="000000" w:themeColor="text1"/>
        </w:rPr>
        <w:t xml:space="preserve">в </w:t>
      </w:r>
      <w:r w:rsidRPr="00A043A6">
        <w:rPr>
          <w:color w:val="000000" w:themeColor="text1"/>
        </w:rPr>
        <w:t xml:space="preserve">дозировке 4 мг </w:t>
      </w:r>
      <w:r w:rsidRPr="00A043A6">
        <w:t xml:space="preserve">в </w:t>
      </w:r>
      <w:r w:rsidRPr="00A043A6">
        <w:rPr>
          <w:noProof/>
        </w:rPr>
        <w:t>буферном растворе pH 1.2</w:t>
      </w:r>
      <w:r w:rsidRPr="00A043A6">
        <w:t>.</w:t>
      </w:r>
    </w:p>
    <w:p w14:paraId="0555FE3A" w14:textId="132F2A1C" w:rsidR="00A043A6" w:rsidRDefault="00A043A6" w:rsidP="00A043A6">
      <w:pPr>
        <w:spacing w:after="0" w:line="240" w:lineRule="auto"/>
      </w:pPr>
      <w:r>
        <w:rPr>
          <w:noProof/>
          <w:lang w:eastAsia="ru-RU"/>
        </w:rPr>
        <w:drawing>
          <wp:inline distT="0" distB="0" distL="0" distR="0" wp14:anchorId="136F3B36" wp14:editId="742EE7E0">
            <wp:extent cx="5941060" cy="2717320"/>
            <wp:effectExtent l="0" t="0" r="2540" b="698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5D147B" w14:textId="77777777" w:rsidR="00A043A6" w:rsidRDefault="00A043A6" w:rsidP="00A043A6">
      <w:pPr>
        <w:spacing w:after="0" w:line="240" w:lineRule="auto"/>
      </w:pPr>
    </w:p>
    <w:p w14:paraId="15D4A65E" w14:textId="3D94F3CB" w:rsidR="00A043A6" w:rsidRDefault="00A043A6" w:rsidP="00A043A6">
      <w:pPr>
        <w:pStyle w:val="Default"/>
        <w:jc w:val="both"/>
      </w:pPr>
      <w:r w:rsidRPr="00D6050D">
        <w:rPr>
          <w:b/>
        </w:rPr>
        <w:lastRenderedPageBreak/>
        <w:t>Рисунок 2-</w:t>
      </w:r>
      <w:r>
        <w:rPr>
          <w:b/>
        </w:rPr>
        <w:t>3</w:t>
      </w:r>
      <w:r w:rsidRPr="00D6050D">
        <w:rPr>
          <w:b/>
        </w:rPr>
        <w:t>.</w:t>
      </w:r>
      <w:r w:rsidRPr="00D6050D">
        <w:t xml:space="preserve"> Усредненные профили высвобождения </w:t>
      </w:r>
      <w:r w:rsidR="00F371CE">
        <w:t>действующего вещества</w:t>
      </w:r>
      <w:r w:rsidRPr="00D6050D">
        <w:t xml:space="preserve"> из препаратов </w:t>
      </w:r>
      <w:r w:rsidRPr="00D6050D">
        <w:rPr>
          <w:color w:val="000000" w:themeColor="text1"/>
          <w:lang w:val="en-US"/>
        </w:rPr>
        <w:t>DT</w:t>
      </w:r>
      <w:r w:rsidRPr="00D6050D">
        <w:rPr>
          <w:color w:val="000000" w:themeColor="text1"/>
        </w:rPr>
        <w:t>-</w:t>
      </w:r>
      <w:r w:rsidRPr="00A043A6">
        <w:t xml:space="preserve"> </w:t>
      </w:r>
      <w:r>
        <w:rPr>
          <w:lang w:val="en-US"/>
        </w:rPr>
        <w:t>BRC</w:t>
      </w:r>
      <w:r w:rsidRPr="00D6050D">
        <w:rPr>
          <w:color w:val="000000" w:themeColor="text1"/>
        </w:rPr>
        <w:t xml:space="preserve"> и </w:t>
      </w:r>
      <w:r w:rsidR="007B5610">
        <w:rPr>
          <w:color w:val="000000" w:themeColor="text1"/>
        </w:rPr>
        <w:t>Олуми</w:t>
      </w:r>
      <w:r>
        <w:rPr>
          <w:color w:val="000000" w:themeColor="text1"/>
        </w:rPr>
        <w:t>а</w:t>
      </w:r>
      <w:r w:rsidR="007B5610">
        <w:rPr>
          <w:color w:val="000000" w:themeColor="text1"/>
        </w:rPr>
        <w:t>н</w:t>
      </w:r>
      <w:r>
        <w:rPr>
          <w:color w:val="000000" w:themeColor="text1"/>
        </w:rPr>
        <w:t>т</w:t>
      </w:r>
      <w:r w:rsidRPr="008A69D9">
        <w:rPr>
          <w:color w:val="000000" w:themeColor="text1"/>
          <w:vertAlign w:val="superscript"/>
        </w:rPr>
        <w:t>®</w:t>
      </w:r>
      <w:r w:rsidRPr="008A69D9">
        <w:rPr>
          <w:color w:val="000000" w:themeColor="text1"/>
        </w:rPr>
        <w:t xml:space="preserve"> </w:t>
      </w:r>
      <w:r w:rsidRPr="00D6050D">
        <w:rPr>
          <w:color w:val="000000" w:themeColor="text1"/>
        </w:rPr>
        <w:t xml:space="preserve">в </w:t>
      </w:r>
      <w:r w:rsidRPr="00A043A6">
        <w:rPr>
          <w:color w:val="000000" w:themeColor="text1"/>
        </w:rPr>
        <w:t>дозировке 4</w:t>
      </w:r>
      <w:r>
        <w:rPr>
          <w:color w:val="000000" w:themeColor="text1"/>
        </w:rPr>
        <w:t xml:space="preserve"> </w:t>
      </w:r>
      <w:r w:rsidRPr="00D6050D">
        <w:t>мг в ацетатном буферном растворе рН 4,5</w:t>
      </w:r>
      <w:r>
        <w:t xml:space="preserve"> (среда по НД)</w:t>
      </w:r>
      <w:r w:rsidRPr="00D6050D">
        <w:t>.</w:t>
      </w:r>
    </w:p>
    <w:p w14:paraId="4D6C86C0" w14:textId="7BE0C928" w:rsidR="00A043A6" w:rsidRDefault="00A043A6" w:rsidP="00A043A6">
      <w:pPr>
        <w:pStyle w:val="Default"/>
        <w:jc w:val="both"/>
      </w:pPr>
      <w:r>
        <w:rPr>
          <w:noProof/>
        </w:rPr>
        <w:drawing>
          <wp:inline distT="0" distB="0" distL="0" distR="0" wp14:anchorId="7991F904" wp14:editId="689928E6">
            <wp:extent cx="5941060" cy="2751826"/>
            <wp:effectExtent l="0" t="0" r="2540" b="1079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84E1F1" w14:textId="77777777" w:rsidR="00A043A6" w:rsidRDefault="00A043A6" w:rsidP="00A043A6">
      <w:pPr>
        <w:pStyle w:val="Default"/>
        <w:jc w:val="both"/>
      </w:pPr>
    </w:p>
    <w:p w14:paraId="0F587C9E" w14:textId="65E0B7CF" w:rsidR="00A043A6" w:rsidRDefault="00A043A6" w:rsidP="00A043A6">
      <w:pPr>
        <w:pStyle w:val="Default"/>
        <w:jc w:val="both"/>
      </w:pPr>
      <w:r w:rsidRPr="00D6050D">
        <w:rPr>
          <w:b/>
        </w:rPr>
        <w:t>Рисунок 2-</w:t>
      </w:r>
      <w:r>
        <w:rPr>
          <w:b/>
        </w:rPr>
        <w:t>4</w:t>
      </w:r>
      <w:r w:rsidRPr="00D6050D">
        <w:rPr>
          <w:b/>
        </w:rPr>
        <w:t>.</w:t>
      </w:r>
      <w:r w:rsidRPr="00D6050D">
        <w:t xml:space="preserve"> Усредненные профили высвобождения </w:t>
      </w:r>
      <w:r w:rsidR="00F371CE">
        <w:t>действующего вещества</w:t>
      </w:r>
      <w:r w:rsidRPr="00D6050D">
        <w:t xml:space="preserve"> из препаратов </w:t>
      </w:r>
      <w:r w:rsidRPr="00D6050D">
        <w:rPr>
          <w:color w:val="000000" w:themeColor="text1"/>
          <w:lang w:val="en-US"/>
        </w:rPr>
        <w:t>DT</w:t>
      </w:r>
      <w:r w:rsidRPr="00D6050D">
        <w:rPr>
          <w:color w:val="000000" w:themeColor="text1"/>
        </w:rPr>
        <w:t>-</w:t>
      </w:r>
      <w:r w:rsidRPr="00A043A6">
        <w:t xml:space="preserve"> </w:t>
      </w:r>
      <w:r>
        <w:rPr>
          <w:lang w:val="en-US"/>
        </w:rPr>
        <w:t>BRC</w:t>
      </w:r>
      <w:r w:rsidRPr="00D6050D">
        <w:rPr>
          <w:color w:val="000000" w:themeColor="text1"/>
        </w:rPr>
        <w:t xml:space="preserve"> и </w:t>
      </w:r>
      <w:r>
        <w:rPr>
          <w:color w:val="000000" w:themeColor="text1"/>
        </w:rPr>
        <w:t>Олумиа</w:t>
      </w:r>
      <w:r w:rsidR="007B5610">
        <w:rPr>
          <w:color w:val="000000" w:themeColor="text1"/>
        </w:rPr>
        <w:t>н</w:t>
      </w:r>
      <w:r>
        <w:rPr>
          <w:color w:val="000000" w:themeColor="text1"/>
        </w:rPr>
        <w:t>т</w:t>
      </w:r>
      <w:r w:rsidRPr="008A69D9">
        <w:rPr>
          <w:color w:val="000000" w:themeColor="text1"/>
          <w:vertAlign w:val="superscript"/>
        </w:rPr>
        <w:t>®</w:t>
      </w:r>
      <w:r w:rsidRPr="008A69D9">
        <w:rPr>
          <w:color w:val="000000" w:themeColor="text1"/>
        </w:rPr>
        <w:t xml:space="preserve"> </w:t>
      </w:r>
      <w:r w:rsidRPr="00D6050D">
        <w:rPr>
          <w:color w:val="000000" w:themeColor="text1"/>
        </w:rPr>
        <w:t xml:space="preserve">в </w:t>
      </w:r>
      <w:r w:rsidRPr="00A043A6">
        <w:rPr>
          <w:color w:val="000000" w:themeColor="text1"/>
        </w:rPr>
        <w:t>дозировке 4</w:t>
      </w:r>
      <w:r>
        <w:rPr>
          <w:color w:val="000000" w:themeColor="text1"/>
        </w:rPr>
        <w:t xml:space="preserve"> </w:t>
      </w:r>
      <w:r w:rsidRPr="00D6050D">
        <w:t>мг в фосфатном буферном растворе рН 6,8.</w:t>
      </w:r>
    </w:p>
    <w:p w14:paraId="2EF38820" w14:textId="6580380B" w:rsidR="00EC1560" w:rsidRDefault="00A043A6" w:rsidP="00A043A6">
      <w:pPr>
        <w:pStyle w:val="Default"/>
        <w:jc w:val="both"/>
      </w:pPr>
      <w:r>
        <w:rPr>
          <w:noProof/>
        </w:rPr>
        <w:drawing>
          <wp:inline distT="0" distB="0" distL="0" distR="0" wp14:anchorId="03697D28" wp14:editId="78779D0A">
            <wp:extent cx="5941060" cy="2717320"/>
            <wp:effectExtent l="0" t="0" r="2540" b="698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F2D8D0" w14:textId="77777777" w:rsidR="00F371CE" w:rsidRPr="008766E7" w:rsidRDefault="00F371CE" w:rsidP="00A043A6">
      <w:pPr>
        <w:pStyle w:val="Default"/>
        <w:jc w:val="both"/>
      </w:pPr>
    </w:p>
    <w:p w14:paraId="2EEEB042" w14:textId="77777777" w:rsidR="00E30437" w:rsidRPr="003158E8" w:rsidRDefault="00E30437" w:rsidP="003158E8">
      <w:pPr>
        <w:pStyle w:val="3"/>
        <w:spacing w:after="240"/>
        <w:contextualSpacing/>
        <w:rPr>
          <w:color w:val="000000" w:themeColor="text1"/>
          <w:szCs w:val="24"/>
        </w:rPr>
      </w:pPr>
      <w:bookmarkStart w:id="55" w:name="_Toc120288121"/>
      <w:r w:rsidRPr="003158E8">
        <w:rPr>
          <w:color w:val="000000" w:themeColor="text1"/>
          <w:szCs w:val="24"/>
        </w:rPr>
        <w:t>2.2.4 Форма выпуска</w:t>
      </w:r>
      <w:bookmarkEnd w:id="55"/>
    </w:p>
    <w:p w14:paraId="7566D70E" w14:textId="23611AC1" w:rsidR="00895AFA" w:rsidRPr="003158E8" w:rsidRDefault="00895AFA" w:rsidP="003158E8">
      <w:pPr>
        <w:spacing w:after="0" w:line="240" w:lineRule="auto"/>
        <w:ind w:firstLine="709"/>
        <w:contextualSpacing/>
        <w:rPr>
          <w:rFonts w:eastAsia="Calibri"/>
          <w:lang w:eastAsia="ru-RU"/>
        </w:rPr>
      </w:pPr>
      <w:r w:rsidRPr="003158E8">
        <w:t xml:space="preserve">Таблетки, покрытые пленочной оболочкой, </w:t>
      </w:r>
      <w:r w:rsidR="00116914" w:rsidRPr="003158E8">
        <w:t>4 мг</w:t>
      </w:r>
      <w:r w:rsidRPr="003158E8">
        <w:rPr>
          <w:rFonts w:eastAsia="Calibri"/>
          <w:lang w:eastAsia="ru-RU"/>
        </w:rPr>
        <w:t>.</w:t>
      </w:r>
    </w:p>
    <w:p w14:paraId="3A8DAF61" w14:textId="2C0F4A15" w:rsidR="003158E8" w:rsidRPr="003158E8" w:rsidRDefault="003158E8" w:rsidP="00153559">
      <w:pPr>
        <w:pStyle w:val="aff"/>
        <w:tabs>
          <w:tab w:val="left" w:pos="4678"/>
        </w:tabs>
        <w:spacing w:after="0" w:line="240" w:lineRule="auto"/>
        <w:ind w:firstLine="709"/>
        <w:contextualSpacing/>
      </w:pPr>
      <w:r w:rsidRPr="003158E8">
        <w:t>По 28 таблеток в банку полимерную (из полиэтилена или полипропилена) для лекарственных средств, укупоренную крышкой полимерной (из полиэтилена или полипропилена) с контролем первого вскрытия.</w:t>
      </w:r>
    </w:p>
    <w:p w14:paraId="688DF5A0" w14:textId="77777777" w:rsidR="003158E8" w:rsidRPr="003158E8" w:rsidRDefault="003158E8" w:rsidP="003158E8">
      <w:pPr>
        <w:pStyle w:val="aff"/>
        <w:tabs>
          <w:tab w:val="left" w:pos="4678"/>
        </w:tabs>
        <w:spacing w:after="0" w:line="240" w:lineRule="auto"/>
        <w:ind w:firstLine="709"/>
        <w:contextualSpacing/>
      </w:pPr>
      <w:r w:rsidRPr="003158E8">
        <w:t>На банку наклеивают этикетку из бумаги этикеточной или писчей, или самоклеящуюся этикетку.</w:t>
      </w:r>
    </w:p>
    <w:p w14:paraId="233D0B3C" w14:textId="6199CC43" w:rsidR="003158E8" w:rsidRPr="003158E8" w:rsidRDefault="003158E8" w:rsidP="003158E8">
      <w:pPr>
        <w:pStyle w:val="aff"/>
        <w:tabs>
          <w:tab w:val="left" w:pos="4678"/>
        </w:tabs>
        <w:spacing w:after="0" w:line="240" w:lineRule="auto"/>
        <w:ind w:firstLine="709"/>
        <w:contextualSpacing/>
      </w:pPr>
      <w:r w:rsidRPr="003158E8">
        <w:lastRenderedPageBreak/>
        <w:t>Каждую банку вместе с инструкцией по применению помещают в пачку из картона коробочного.</w:t>
      </w:r>
      <w:r>
        <w:t xml:space="preserve"> </w:t>
      </w:r>
      <w:r w:rsidRPr="003158E8">
        <w:t>Пачки помещают в групповую упаковку</w:t>
      </w:r>
      <w:r>
        <w:t>.</w:t>
      </w:r>
    </w:p>
    <w:p w14:paraId="77C5D33C" w14:textId="643E0EDD" w:rsidR="003158E8" w:rsidRPr="003158E8" w:rsidRDefault="003158E8" w:rsidP="003158E8">
      <w:pPr>
        <w:spacing w:line="240" w:lineRule="auto"/>
        <w:ind w:firstLine="709"/>
        <w:contextualSpacing/>
      </w:pPr>
      <w:r w:rsidRPr="003158E8">
        <w:t>Пачки помещают в групповую упаковку</w:t>
      </w:r>
      <w:r>
        <w:t>.</w:t>
      </w:r>
    </w:p>
    <w:p w14:paraId="3356824A" w14:textId="7B45A05A" w:rsidR="00BB5104" w:rsidRPr="00116914" w:rsidRDefault="00E30437" w:rsidP="003158E8">
      <w:pPr>
        <w:pStyle w:val="2"/>
        <w:spacing w:line="240" w:lineRule="auto"/>
        <w:contextualSpacing/>
        <w:rPr>
          <w:color w:val="000000" w:themeColor="text1"/>
          <w:szCs w:val="24"/>
        </w:rPr>
      </w:pPr>
      <w:bookmarkStart w:id="56" w:name="_Toc120288122"/>
      <w:r w:rsidRPr="00116914">
        <w:rPr>
          <w:color w:val="000000" w:themeColor="text1"/>
          <w:szCs w:val="24"/>
        </w:rPr>
        <w:t>2.3 Правила хранения и обращения</w:t>
      </w:r>
      <w:bookmarkEnd w:id="56"/>
    </w:p>
    <w:p w14:paraId="18D11FC9" w14:textId="77777777" w:rsidR="00E30437" w:rsidRPr="00116914" w:rsidRDefault="00E30437" w:rsidP="003158E8">
      <w:pPr>
        <w:pStyle w:val="3"/>
        <w:spacing w:after="240"/>
        <w:contextualSpacing/>
        <w:rPr>
          <w:color w:val="000000" w:themeColor="text1"/>
          <w:szCs w:val="24"/>
        </w:rPr>
      </w:pPr>
      <w:bookmarkStart w:id="57" w:name="_Toc120288123"/>
      <w:r w:rsidRPr="00116914">
        <w:rPr>
          <w:color w:val="000000" w:themeColor="text1"/>
          <w:szCs w:val="24"/>
        </w:rPr>
        <w:t>2.3.1 Условия хранения и транспортировки</w:t>
      </w:r>
      <w:bookmarkEnd w:id="57"/>
    </w:p>
    <w:p w14:paraId="29BD1FC3" w14:textId="7D6681B5" w:rsidR="00884C56" w:rsidRPr="00116914" w:rsidRDefault="00895AFA" w:rsidP="003158E8">
      <w:pPr>
        <w:spacing w:after="0" w:line="240" w:lineRule="auto"/>
        <w:ind w:firstLine="709"/>
        <w:contextualSpacing/>
        <w:rPr>
          <w:rFonts w:eastAsia="Calibri"/>
          <w:lang w:eastAsia="en-US"/>
        </w:rPr>
      </w:pPr>
      <w:r w:rsidRPr="00116914">
        <w:t xml:space="preserve">Хранить при температуре </w:t>
      </w:r>
      <w:r w:rsidR="003158E8">
        <w:t>не выше 25</w:t>
      </w:r>
      <w:r w:rsidRPr="00116914">
        <w:t>ºС</w:t>
      </w:r>
      <w:r w:rsidR="00884C56" w:rsidRPr="00116914">
        <w:rPr>
          <w:iCs/>
          <w:lang w:eastAsia="en-US"/>
        </w:rPr>
        <w:t>.</w:t>
      </w:r>
    </w:p>
    <w:p w14:paraId="57784917" w14:textId="77777777" w:rsidR="00E30437" w:rsidRPr="00116914" w:rsidRDefault="00E30437" w:rsidP="003158E8">
      <w:pPr>
        <w:pStyle w:val="3"/>
        <w:spacing w:after="240"/>
        <w:contextualSpacing/>
        <w:rPr>
          <w:color w:val="000000" w:themeColor="text1"/>
          <w:szCs w:val="24"/>
        </w:rPr>
      </w:pPr>
      <w:bookmarkStart w:id="58" w:name="_Toc120288124"/>
      <w:r w:rsidRPr="00116914">
        <w:rPr>
          <w:color w:val="000000" w:themeColor="text1"/>
          <w:szCs w:val="24"/>
        </w:rPr>
        <w:t>2.3.2</w:t>
      </w:r>
      <w:r w:rsidR="0003556A" w:rsidRPr="00116914">
        <w:rPr>
          <w:color w:val="000000" w:themeColor="text1"/>
          <w:szCs w:val="24"/>
        </w:rPr>
        <w:t>.</w:t>
      </w:r>
      <w:r w:rsidRPr="00116914">
        <w:rPr>
          <w:color w:val="000000" w:themeColor="text1"/>
          <w:szCs w:val="24"/>
        </w:rPr>
        <w:t xml:space="preserve"> Срок годности</w:t>
      </w:r>
      <w:bookmarkEnd w:id="58"/>
    </w:p>
    <w:p w14:paraId="3C98DB9C" w14:textId="3588B235" w:rsidR="00884C56" w:rsidRPr="00116914" w:rsidRDefault="00153559" w:rsidP="003158E8">
      <w:pPr>
        <w:spacing w:after="0" w:line="240" w:lineRule="auto"/>
        <w:ind w:firstLine="709"/>
        <w:contextualSpacing/>
        <w:rPr>
          <w:rFonts w:eastAsia="Calibri"/>
        </w:rPr>
      </w:pPr>
      <w:r w:rsidRPr="00153559">
        <w:rPr>
          <w:iCs/>
          <w:lang w:eastAsia="en-US"/>
        </w:rPr>
        <w:t>24 месяца</w:t>
      </w:r>
      <w:r w:rsidR="00884C56" w:rsidRPr="00153559">
        <w:rPr>
          <w:iCs/>
          <w:lang w:eastAsia="en-US"/>
        </w:rPr>
        <w:t>.</w:t>
      </w:r>
    </w:p>
    <w:p w14:paraId="4F2DCADC" w14:textId="77777777" w:rsidR="00E30437" w:rsidRPr="00116914" w:rsidRDefault="00E30437" w:rsidP="003158E8">
      <w:pPr>
        <w:pStyle w:val="3"/>
        <w:spacing w:after="240"/>
        <w:contextualSpacing/>
        <w:rPr>
          <w:color w:val="000000" w:themeColor="text1"/>
          <w:szCs w:val="24"/>
        </w:rPr>
      </w:pPr>
      <w:bookmarkStart w:id="59" w:name="_Toc120288125"/>
      <w:r w:rsidRPr="00116914">
        <w:rPr>
          <w:color w:val="000000" w:themeColor="text1"/>
          <w:szCs w:val="24"/>
        </w:rPr>
        <w:t>2.3.3</w:t>
      </w:r>
      <w:r w:rsidR="0003556A" w:rsidRPr="00116914">
        <w:rPr>
          <w:color w:val="000000" w:themeColor="text1"/>
          <w:szCs w:val="24"/>
        </w:rPr>
        <w:t>.</w:t>
      </w:r>
      <w:r w:rsidRPr="00116914">
        <w:rPr>
          <w:color w:val="000000" w:themeColor="text1"/>
          <w:szCs w:val="24"/>
        </w:rPr>
        <w:t xml:space="preserve"> Правила по обращению с препаратом</w:t>
      </w:r>
      <w:bookmarkEnd w:id="59"/>
    </w:p>
    <w:p w14:paraId="2ACC35EF" w14:textId="2BD15E82" w:rsidR="004D52F2" w:rsidRDefault="00895AFA" w:rsidP="003158E8">
      <w:pPr>
        <w:spacing w:after="0" w:line="240" w:lineRule="auto"/>
        <w:ind w:firstLine="709"/>
        <w:contextualSpacing/>
        <w:rPr>
          <w:rFonts w:eastAsia="Calibri"/>
          <w:color w:val="000000" w:themeColor="text1"/>
          <w:lang w:eastAsia="en-US"/>
        </w:rPr>
      </w:pPr>
      <w:r w:rsidRPr="00116914">
        <w:rPr>
          <w:color w:val="000000" w:themeColor="text1"/>
        </w:rPr>
        <w:t>Не требует особых мер предосторожности при использовании</w:t>
      </w:r>
      <w:r w:rsidRPr="00116914">
        <w:rPr>
          <w:rFonts w:eastAsia="Courier New"/>
          <w:lang w:bidi="ru-RU"/>
        </w:rPr>
        <w:t>.</w:t>
      </w:r>
    </w:p>
    <w:p w14:paraId="1DD726D0" w14:textId="1A2370F4" w:rsidR="004D52F2" w:rsidRDefault="004D52F2">
      <w:pPr>
        <w:spacing w:after="0" w:line="240" w:lineRule="auto"/>
        <w:ind w:left="720"/>
        <w:contextualSpacing/>
      </w:pPr>
    </w:p>
    <w:p w14:paraId="35826797" w14:textId="07A57E68" w:rsidR="003158E8" w:rsidRDefault="003158E8" w:rsidP="00AB1FF1">
      <w:pPr>
        <w:pStyle w:val="2"/>
        <w:spacing w:before="0" w:line="240" w:lineRule="auto"/>
        <w:contextualSpacing/>
        <w:jc w:val="left"/>
        <w:rPr>
          <w:color w:val="000000" w:themeColor="text1"/>
          <w:szCs w:val="24"/>
        </w:rPr>
      </w:pPr>
      <w:bookmarkStart w:id="60" w:name="_Toc120288126"/>
      <w:r>
        <w:rPr>
          <w:color w:val="000000" w:themeColor="text1"/>
          <w:szCs w:val="24"/>
        </w:rPr>
        <w:t>Список литературы</w:t>
      </w:r>
      <w:bookmarkEnd w:id="60"/>
      <w:r>
        <w:rPr>
          <w:color w:val="000000" w:themeColor="text1"/>
          <w:szCs w:val="24"/>
        </w:rPr>
        <w:t xml:space="preserve"> </w:t>
      </w:r>
    </w:p>
    <w:p w14:paraId="3DC8E4A7" w14:textId="3EAE78A3" w:rsidR="00F371CE" w:rsidRPr="007B5610" w:rsidRDefault="003158E8" w:rsidP="00AB1FF1">
      <w:pPr>
        <w:suppressAutoHyphens/>
        <w:spacing w:line="240" w:lineRule="auto"/>
        <w:contextualSpacing/>
        <w:rPr>
          <w:color w:val="000000" w:themeColor="text1"/>
        </w:rPr>
      </w:pPr>
      <w:r w:rsidRPr="003158E8">
        <w:rPr>
          <w:color w:val="000000" w:themeColor="text1"/>
        </w:rPr>
        <w:t xml:space="preserve">1. </w:t>
      </w:r>
      <w:r w:rsidR="007F72CA" w:rsidRPr="003158E8">
        <w:rPr>
          <w:color w:val="000000" w:themeColor="text1"/>
        </w:rPr>
        <w:t xml:space="preserve">Отчет о проведении теста сравнительной кинетики растворения лекарственных препаратов </w:t>
      </w:r>
      <w:r w:rsidR="007F72CA" w:rsidRPr="003158E8">
        <w:t>«БАРИЦИТИНИБ, таблетки, покрытые пленочной оболочкой, 4 мг» производства АО «ОРТАТ», Российская Федерация и «Олумиант</w:t>
      </w:r>
      <w:r w:rsidR="007F72CA" w:rsidRPr="00AB1FF1">
        <w:rPr>
          <w:vertAlign w:val="superscript"/>
        </w:rPr>
        <w:t>®</w:t>
      </w:r>
      <w:r w:rsidR="007F72CA" w:rsidRPr="003158E8">
        <w:t>, таблетки, покрытые пленочной оболочкой, 4 мг» производства «Лилли дель К</w:t>
      </w:r>
      <w:r w:rsidR="007F72CA">
        <w:t>а</w:t>
      </w:r>
      <w:r w:rsidR="007F72CA" w:rsidRPr="003158E8">
        <w:t xml:space="preserve">рибе Инк.», Пуэрто-Рико </w:t>
      </w:r>
      <w:r w:rsidR="007F72CA" w:rsidRPr="003158E8">
        <w:rPr>
          <w:color w:val="000000" w:themeColor="text1"/>
        </w:rPr>
        <w:t>от 15 ноября</w:t>
      </w:r>
      <w:r w:rsidR="007F72CA">
        <w:rPr>
          <w:color w:val="000000" w:themeColor="text1"/>
        </w:rPr>
        <w:t xml:space="preserve"> 2022 г</w:t>
      </w:r>
      <w:r w:rsidR="007F72CA">
        <w:rPr>
          <w:color w:val="000000" w:themeColor="text1"/>
        </w:rPr>
        <w:t>.</w:t>
      </w:r>
    </w:p>
    <w:p w14:paraId="6B7D8CC6" w14:textId="77777777" w:rsidR="00CF1BE3" w:rsidRPr="005E6358" w:rsidRDefault="00CF1BE3" w:rsidP="00CF1BE3">
      <w:pPr>
        <w:pStyle w:val="12"/>
        <w:tabs>
          <w:tab w:val="left" w:pos="142"/>
          <w:tab w:val="left" w:pos="284"/>
        </w:tabs>
        <w:spacing w:line="240" w:lineRule="auto"/>
        <w:rPr>
          <w:rFonts w:cs="Times New Roman"/>
          <w:color w:val="000000" w:themeColor="text1"/>
          <w:szCs w:val="24"/>
        </w:rPr>
      </w:pPr>
      <w:bookmarkStart w:id="61" w:name="_Toc120288127"/>
      <w:r w:rsidRPr="005E6358">
        <w:rPr>
          <w:rFonts w:cs="Times New Roman"/>
          <w:color w:val="000000" w:themeColor="text1"/>
          <w:szCs w:val="24"/>
        </w:rPr>
        <w:t>3. РЕЗУЛЬТАТЫ ДОКЛИНИЧЕСКИХ ИССЛЕДОВАНИЙ</w:t>
      </w:r>
      <w:bookmarkEnd w:id="61"/>
    </w:p>
    <w:p w14:paraId="4A8E6F41" w14:textId="77777777" w:rsidR="00CF1BE3" w:rsidRPr="007F4B68" w:rsidRDefault="00CF1BE3" w:rsidP="00CF1BE3">
      <w:pPr>
        <w:pStyle w:val="2"/>
        <w:spacing w:line="240" w:lineRule="auto"/>
        <w:rPr>
          <w:color w:val="000000" w:themeColor="text1"/>
          <w:szCs w:val="24"/>
        </w:rPr>
      </w:pPr>
      <w:bookmarkStart w:id="62" w:name="_Toc120288128"/>
      <w:r w:rsidRPr="007F4B68">
        <w:rPr>
          <w:color w:val="000000" w:themeColor="text1"/>
          <w:szCs w:val="24"/>
        </w:rPr>
        <w:t>Введение и резюме</w:t>
      </w:r>
      <w:bookmarkEnd w:id="62"/>
    </w:p>
    <w:p w14:paraId="15BE098A" w14:textId="309239F7" w:rsidR="00974DEA" w:rsidRDefault="00974DEA">
      <w:pPr>
        <w:spacing w:after="0" w:line="240" w:lineRule="auto"/>
        <w:ind w:firstLine="709"/>
      </w:pPr>
      <w:bookmarkStart w:id="63" w:name="_Hlk54871378"/>
      <w:bookmarkStart w:id="64" w:name="_Toc92645858"/>
      <w:bookmarkStart w:id="65" w:name="_Toc484199231"/>
      <w:r>
        <w:rPr>
          <w:rFonts w:eastAsia="Calibri"/>
          <w:color w:val="000000" w:themeColor="text1"/>
        </w:rPr>
        <w:t xml:space="preserve">Так как препарат </w:t>
      </w:r>
      <w:r>
        <w:rPr>
          <w:lang w:val="en-US" w:eastAsia="ru-RU"/>
        </w:rPr>
        <w:t>D</w:t>
      </w:r>
      <w:r>
        <w:rPr>
          <w:lang w:eastAsia="ru-RU"/>
        </w:rPr>
        <w:t>T-</w:t>
      </w:r>
      <w:r>
        <w:rPr>
          <w:lang w:val="en-US"/>
        </w:rPr>
        <w:t>BRC</w:t>
      </w:r>
      <w:r>
        <w:rPr>
          <w:rFonts w:eastAsia="Calibri"/>
        </w:rPr>
        <w:t xml:space="preserve"> (АО «Р-Фарм», Россия) представляет собой воспроизведенный препарат </w:t>
      </w:r>
      <w:r>
        <w:t>барицитиниба</w:t>
      </w:r>
      <w:r>
        <w:rPr>
          <w:rFonts w:eastAsia="Calibri"/>
        </w:rPr>
        <w:t xml:space="preserve">, который </w:t>
      </w:r>
      <w:r>
        <w:rPr>
          <w:color w:val="000000"/>
        </w:rPr>
        <w:t xml:space="preserve">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00DB46DB" w:rsidRPr="00AB1FF1">
        <w:rPr>
          <w:color w:val="000000"/>
        </w:rPr>
        <w:t>барицитиниба</w:t>
      </w:r>
      <w:r w:rsidRPr="001451CD">
        <w:rPr>
          <w:color w:val="000000"/>
        </w:rPr>
        <w:t xml:space="preserve"> </w:t>
      </w:r>
      <w:r>
        <w:rPr>
          <w:color w:val="000000" w:themeColor="text1"/>
        </w:rPr>
        <w:t>Олумиант</w:t>
      </w:r>
      <w:r w:rsidRPr="00AB1FF1">
        <w:rPr>
          <w:color w:val="000000" w:themeColor="text1"/>
          <w:vertAlign w:val="superscript"/>
        </w:rPr>
        <w:t>®</w:t>
      </w:r>
      <w:r w:rsidRPr="00937079">
        <w:rPr>
          <w:color w:val="000000" w:themeColor="text1"/>
        </w:rPr>
        <w:t>, таблетки,</w:t>
      </w:r>
      <w:r>
        <w:rPr>
          <w:color w:val="000000" w:themeColor="text1"/>
        </w:rPr>
        <w:t xml:space="preserve"> покрытые пленочной оболочкой,</w:t>
      </w:r>
      <w:r w:rsidRPr="00937079">
        <w:rPr>
          <w:color w:val="000000" w:themeColor="text1"/>
        </w:rPr>
        <w:t xml:space="preserve"> </w:t>
      </w:r>
      <w:r>
        <w:rPr>
          <w:color w:val="000000" w:themeColor="text1"/>
        </w:rPr>
        <w:t>4</w:t>
      </w:r>
      <w:r w:rsidRPr="00937079">
        <w:rPr>
          <w:color w:val="000000" w:themeColor="text1"/>
        </w:rPr>
        <w:t xml:space="preserve"> мг (</w:t>
      </w:r>
      <w:r>
        <w:rPr>
          <w:rFonts w:eastAsia="Calibri"/>
          <w:bCs/>
        </w:rPr>
        <w:t>Эли Лилли Восток С.А., Швейцария</w:t>
      </w:r>
      <w:r w:rsidRPr="00937079">
        <w:rPr>
          <w:color w:val="000000" w:themeColor="text1"/>
        </w:rPr>
        <w:t>)</w:t>
      </w:r>
      <w:r w:rsidRPr="00937079">
        <w:t>,</w:t>
      </w:r>
      <w:r w:rsidRPr="00974DEA">
        <w:t xml:space="preserve"> </w:t>
      </w:r>
      <w:r>
        <w:t>имея отличия в количественном и качественном составе оболочки таблетки,</w:t>
      </w:r>
      <w:r w:rsidRPr="00937079">
        <w:t xml:space="preserve"> </w:t>
      </w:r>
      <w:r w:rsidRPr="00707D60">
        <w:t>ожидается, что его свойства</w:t>
      </w:r>
      <w:r>
        <w:rPr>
          <w:rFonts w:eastAsia="Calibri"/>
        </w:rPr>
        <w:t xml:space="preserve"> будут идентичны свойствам оригинального препарата. </w:t>
      </w:r>
      <w:bookmarkEnd w:id="63"/>
      <w:r>
        <w:t xml:space="preserve">Для прогнозирования токсического действия, планируемого к регистрации и коммерческому выпуску препарата </w:t>
      </w:r>
      <w:r>
        <w:rPr>
          <w:lang w:val="en-US" w:eastAsia="ru-RU"/>
        </w:rPr>
        <w:t>D</w:t>
      </w:r>
      <w:r>
        <w:rPr>
          <w:lang w:eastAsia="ru-RU"/>
        </w:rPr>
        <w:t>T-</w:t>
      </w:r>
      <w:r>
        <w:rPr>
          <w:lang w:val="en-US"/>
        </w:rPr>
        <w:t>BRC</w:t>
      </w:r>
      <w:r w:rsidRPr="00AB1FF1">
        <w:t>,</w:t>
      </w:r>
      <w:r>
        <w:rPr>
          <w:rFonts w:eastAsia="Calibri"/>
        </w:rPr>
        <w:t xml:space="preserve"> </w:t>
      </w:r>
      <w:r>
        <w:t xml:space="preserve">были проанализированы данные исследований по изучению фармакологии и токсикологии оригинального препарата барицитиниба. Поскольку лекарственный препарат </w:t>
      </w:r>
      <w:r>
        <w:rPr>
          <w:lang w:val="en-US" w:eastAsia="ru-RU"/>
        </w:rPr>
        <w:t>D</w:t>
      </w:r>
      <w:r>
        <w:rPr>
          <w:lang w:eastAsia="ru-RU"/>
        </w:rPr>
        <w:t>T-</w:t>
      </w:r>
      <w:r>
        <w:rPr>
          <w:lang w:val="en-US"/>
        </w:rPr>
        <w:t>BRC</w:t>
      </w:r>
      <w:r>
        <w:rPr>
          <w:rFonts w:eastAsia="Calibri"/>
        </w:rPr>
        <w:t xml:space="preserve"> </w:t>
      </w:r>
      <w:r>
        <w:t>является воспроизведенным препаратом, собственные доклинические исследования не проводились.</w:t>
      </w:r>
    </w:p>
    <w:p w14:paraId="524E15BD" w14:textId="77777777" w:rsidR="00CF1BE3" w:rsidRPr="007F4B68" w:rsidRDefault="00CF1BE3" w:rsidP="00CF1BE3">
      <w:pPr>
        <w:autoSpaceDE w:val="0"/>
        <w:autoSpaceDN w:val="0"/>
        <w:adjustRightInd w:val="0"/>
        <w:spacing w:after="0" w:line="240" w:lineRule="auto"/>
        <w:ind w:firstLine="708"/>
        <w:rPr>
          <w:lang w:eastAsia="en-US"/>
        </w:rPr>
      </w:pPr>
      <w:r w:rsidRPr="007F4B68">
        <w:rPr>
          <w:bCs/>
          <w:color w:val="000000" w:themeColor="text1"/>
          <w:lang w:bidi="ru-RU"/>
        </w:rPr>
        <w:t xml:space="preserve">Программа фармакологических исследований </w:t>
      </w:r>
      <w:r>
        <w:t>барицитиниба</w:t>
      </w:r>
      <w:r w:rsidRPr="007F4B68">
        <w:rPr>
          <w:bCs/>
          <w:color w:val="000000" w:themeColor="text1"/>
          <w:lang w:bidi="ru-RU"/>
        </w:rPr>
        <w:t xml:space="preserve"> включала исследования первичной фармакодинамики, вторичной фармакодинамики и фармакодинамических взаимодействий.</w:t>
      </w:r>
    </w:p>
    <w:p w14:paraId="18A4DAD7" w14:textId="77777777" w:rsidR="00CF1BE3" w:rsidRDefault="00CF1BE3" w:rsidP="00CF1BE3">
      <w:pPr>
        <w:spacing w:after="0" w:line="240" w:lineRule="auto"/>
        <w:ind w:firstLine="708"/>
      </w:pPr>
      <w:bookmarkStart w:id="66" w:name="_Hlk119012882"/>
      <w:r>
        <w:t xml:space="preserve">Ингибирующая активность барицитиниба для JAK1, JAK2, тирозинкиназы 2 и JAK3 </w:t>
      </w:r>
      <w:r w:rsidRPr="00394F18">
        <w:t>составила IC</w:t>
      </w:r>
      <w:r w:rsidRPr="00A11971">
        <w:rPr>
          <w:vertAlign w:val="subscript"/>
        </w:rPr>
        <w:t>50</w:t>
      </w:r>
      <w:r>
        <w:t xml:space="preserve"> 5,7; 5,9; 53 и 400 нмоль/л соответственно. Исследования показали, что барицитиниб, вводимый при ≤ максимальной суточной дозе для человека, может ингибировать опосредованную IL-6/IL-2/IL-12/IL-23 активацию путей JAK1/JAK2-</w:t>
      </w:r>
      <w:r>
        <w:lastRenderedPageBreak/>
        <w:t xml:space="preserve">JAK2/STAT в Т-клетках человека, а так </w:t>
      </w:r>
      <w:r w:rsidRPr="00394F18">
        <w:t>же IFN-γ,</w:t>
      </w:r>
      <w:r>
        <w:t xml:space="preserve"> IL-17, IL-22 и MCP-1. Это вызывает IL-23-опосредованную дифференцировку наивных CD4+ Т-клеток, в </w:t>
      </w:r>
      <w:r w:rsidRPr="00394F18">
        <w:t>Т-хелперные клетки типа 17 (Th17)</w:t>
      </w:r>
      <w:r>
        <w:t xml:space="preserve"> и IFN-γ</w:t>
      </w:r>
      <w:r w:rsidRPr="00A11971">
        <w:t xml:space="preserve">. </w:t>
      </w:r>
      <w:r>
        <w:t>В ходе исследований с использованием мононуклеарных клеток периферической крови человека установили, что барицитиниб ингибирует передачу сигналов цитокинов наиболее сильно в отношении интерферонов и наименее эффективно в отношении цитокинов, зависимых от передачи сигналов IL-10 и JAK1/3, включая IL-4, IL-15 и IL-21; значения IC</w:t>
      </w:r>
      <w:r w:rsidRPr="00A11971">
        <w:rPr>
          <w:vertAlign w:val="subscript"/>
        </w:rPr>
        <w:t>50</w:t>
      </w:r>
      <w:r>
        <w:t xml:space="preserve"> барицитиниба в целом сопоставимы со значениями тофацитиниба для стимуляции IL-6, IL-10, IFN-α и IFN-γ. Барицитиниб является более мощным ингибитором передачи сигналов через г</w:t>
      </w:r>
      <w:r w:rsidRPr="00394F18">
        <w:t>ранулоцитарно-макрофагальный колониестимулирующий фактор</w:t>
      </w:r>
      <w:r>
        <w:t xml:space="preserve"> по сравнению с тофацитинибом.</w:t>
      </w:r>
      <w:bookmarkEnd w:id="66"/>
      <w:r>
        <w:t xml:space="preserve"> </w:t>
      </w:r>
    </w:p>
    <w:p w14:paraId="076C2228" w14:textId="77777777" w:rsidR="00CF1BE3" w:rsidRDefault="00CF1BE3" w:rsidP="00CF1BE3">
      <w:pPr>
        <w:autoSpaceDE w:val="0"/>
        <w:autoSpaceDN w:val="0"/>
        <w:adjustRightInd w:val="0"/>
        <w:spacing w:after="0" w:line="240" w:lineRule="auto"/>
        <w:ind w:firstLine="708"/>
      </w:pPr>
      <w:bookmarkStart w:id="67" w:name="_Hlk119012901"/>
      <w:r>
        <w:t>На модели артрита у мышей, индуцированного бычьим коллагеном II</w:t>
      </w:r>
      <w:r w:rsidRPr="00814CD9">
        <w:t xml:space="preserve"> </w:t>
      </w:r>
      <w:r>
        <w:t>типа, введение барицитиниба вызывало дозозависимое снижение клинической тяжести заболевания без влияния на уровень антител к коллагену в сыворотке. На модели артрита у мышей с антителами против коллагена II типа введение барицитиниба приводило к улучшению клинических признаков заболевания на 13% и 56% соответственно по сравнению с контрольной группой. В модели адъювантного артрита у крыс введение барицитиниба приводило к значительному дозозависимому снижению показателей заболевания (≥ 24%) в течение 2 дней после начала лечения</w:t>
      </w:r>
      <w:bookmarkEnd w:id="67"/>
      <w:r>
        <w:t>.</w:t>
      </w:r>
    </w:p>
    <w:p w14:paraId="5A6706E9" w14:textId="77777777" w:rsidR="00CF1BE3" w:rsidRDefault="00CF1BE3" w:rsidP="00CF1BE3">
      <w:pPr>
        <w:autoSpaceDE w:val="0"/>
        <w:autoSpaceDN w:val="0"/>
        <w:adjustRightInd w:val="0"/>
        <w:spacing w:after="0" w:line="240" w:lineRule="auto"/>
        <w:ind w:firstLine="708"/>
      </w:pPr>
      <w:r>
        <w:t>Барицитиниб не проявлял фармакологически значимых взаимодействий в стандартной валидированной батарее контролируемых клеточных тестов, которая включала широкий спектр рецепторов, ионных каналов и транспортеров.</w:t>
      </w:r>
    </w:p>
    <w:p w14:paraId="3D810331" w14:textId="451AA3D0" w:rsidR="00CF1BE3" w:rsidRDefault="00CF1BE3" w:rsidP="00CF1BE3">
      <w:pPr>
        <w:spacing w:after="0" w:line="240" w:lineRule="auto"/>
        <w:ind w:firstLine="709"/>
        <w:rPr>
          <w:lang w:eastAsia="en-US"/>
        </w:rPr>
      </w:pPr>
      <w:r>
        <w:rPr>
          <w:lang w:eastAsia="en-US"/>
        </w:rPr>
        <w:t xml:space="preserve">В ходе исследований фармакологической безопасности регистрировали влияние барицитиниба на двигательную активность у крыс при введении доз превышающих рекомендованные для человека в 23 раза. Риск удлинения интервала QT за счет ингибирования калиевых каналов барицитинибом минимален. В токсикологических исследованиях многократного введения барицитиниба собакам не выявили неблагоприятного воздействия на параметры </w:t>
      </w:r>
      <w:r w:rsidRPr="00AB4460">
        <w:rPr>
          <w:lang w:eastAsia="en-US"/>
        </w:rPr>
        <w:t>электрокардиограммы</w:t>
      </w:r>
      <w:r>
        <w:rPr>
          <w:lang w:eastAsia="en-US"/>
        </w:rPr>
        <w:t>.</w:t>
      </w:r>
      <w:r w:rsidRPr="00AB4460">
        <w:rPr>
          <w:lang w:eastAsia="en-US"/>
        </w:rPr>
        <w:t xml:space="preserve"> </w:t>
      </w:r>
      <w:r w:rsidR="00970DBB">
        <w:rPr>
          <w:lang w:eastAsia="en-US"/>
        </w:rPr>
        <w:t>Не зарегистрировано влияние</w:t>
      </w:r>
      <w:r>
        <w:rPr>
          <w:lang w:eastAsia="en-US"/>
        </w:rPr>
        <w:t xml:space="preserve"> на функциональную активность дыхательной системы крыс при внутрижелудочном введении барицитиниба.</w:t>
      </w:r>
    </w:p>
    <w:p w14:paraId="196453E2" w14:textId="5D2B0F38" w:rsidR="00CF1BE3" w:rsidRDefault="00CF1BE3" w:rsidP="00CF1BE3">
      <w:pPr>
        <w:spacing w:after="0" w:line="240" w:lineRule="auto"/>
        <w:ind w:firstLine="708"/>
      </w:pPr>
      <w:r w:rsidRPr="00CC2CC0">
        <w:t xml:space="preserve">На основании исследований </w:t>
      </w:r>
      <w:r w:rsidRPr="009868BC">
        <w:rPr>
          <w:i/>
          <w:iCs/>
        </w:rPr>
        <w:t>in vitro</w:t>
      </w:r>
      <w:r w:rsidRPr="00CC2CC0">
        <w:t xml:space="preserve"> на клетках </w:t>
      </w:r>
      <w:r>
        <w:t>С</w:t>
      </w:r>
      <w:r w:rsidRPr="00CC2CC0">
        <w:t xml:space="preserve">aco-2 барицитиниб имел кажущийся коэффициент проницаемости </w:t>
      </w:r>
      <w:r>
        <w:t xml:space="preserve">в </w:t>
      </w:r>
      <w:r w:rsidRPr="00CC2CC0">
        <w:t>апикально-баз</w:t>
      </w:r>
      <w:r>
        <w:t xml:space="preserve">альном направлении </w:t>
      </w:r>
      <w:r w:rsidRPr="00CC2CC0">
        <w:t>энтеро</w:t>
      </w:r>
      <w:r>
        <w:t xml:space="preserve">цитов </w:t>
      </w:r>
      <w:r w:rsidRPr="00CC2CC0">
        <w:t>от низкого до умеренного.</w:t>
      </w:r>
      <w:r>
        <w:t xml:space="preserve"> </w:t>
      </w:r>
      <w:r w:rsidRPr="00F24A13">
        <w:t xml:space="preserve">Фармакокинетика </w:t>
      </w:r>
      <w:r>
        <w:t>бар</w:t>
      </w:r>
      <w:r w:rsidR="004029E9">
        <w:t>и</w:t>
      </w:r>
      <w:r>
        <w:t xml:space="preserve">цитиниба при </w:t>
      </w:r>
      <w:r w:rsidRPr="00F24A13">
        <w:t>внутривенно</w:t>
      </w:r>
      <w:r>
        <w:t>м</w:t>
      </w:r>
      <w:r w:rsidRPr="00F24A13">
        <w:t xml:space="preserve"> введени</w:t>
      </w:r>
      <w:r>
        <w:t>и</w:t>
      </w:r>
      <w:r w:rsidRPr="00F24A13">
        <w:t xml:space="preserve"> характеризовалась умеренными значениями плазменного </w:t>
      </w:r>
      <w:r w:rsidRPr="00C01A66">
        <w:t xml:space="preserve">клиренса </w:t>
      </w:r>
      <w:r w:rsidRPr="00F24A13">
        <w:t>у крыс (1,3–4,4 л/ч</w:t>
      </w:r>
      <w:r>
        <w:t>*</w:t>
      </w:r>
      <w:r w:rsidRPr="00F24A13">
        <w:t>кг) с более низкими значениями у собак (0,40 л/ч</w:t>
      </w:r>
      <w:r>
        <w:t>*</w:t>
      </w:r>
      <w:r w:rsidRPr="00F24A13">
        <w:t>кг), обезьян (0,36 л/ч</w:t>
      </w:r>
      <w:r>
        <w:t>*</w:t>
      </w:r>
      <w:r w:rsidRPr="00F24A13">
        <w:t>кг) и человека (0,21 л/ч</w:t>
      </w:r>
      <w:r>
        <w:t>*</w:t>
      </w:r>
      <w:r w:rsidRPr="00F24A13">
        <w:t xml:space="preserve">кг). </w:t>
      </w:r>
      <w:r w:rsidRPr="00C01A66">
        <w:t xml:space="preserve">Объем распределения в равновесном состоянии </w:t>
      </w:r>
      <w:r w:rsidRPr="00F24A13">
        <w:t>был умеренным у всех видов со значениями от 1,1 л/кг (обезьяна и человек), 1,4 л/кг у собак до 2,1–6,2 л/кг у крыс. Пероральная биодоступность</w:t>
      </w:r>
      <w:r>
        <w:t xml:space="preserve"> барицитиниба при введении в составе</w:t>
      </w:r>
      <w:r w:rsidRPr="00F24A13">
        <w:t xml:space="preserve"> 0,5% водного раствора метилцеллюлозы была высокой и колебалась от 48% до 54% у собак и крыс, 47–68% у обезьян и 79% у человека. Всасывание при пероральном приеме было относительно быстрым у всех видов</w:t>
      </w:r>
      <w:r>
        <w:t xml:space="preserve">. У разных видов барицитиниб связывается с белками </w:t>
      </w:r>
      <w:r w:rsidRPr="00F24A13">
        <w:rPr>
          <w:i/>
          <w:iCs/>
        </w:rPr>
        <w:t>in vitro</w:t>
      </w:r>
      <w:r>
        <w:t xml:space="preserve"> и </w:t>
      </w:r>
      <w:r w:rsidRPr="00F24A13">
        <w:rPr>
          <w:i/>
          <w:iCs/>
        </w:rPr>
        <w:t>ex vivo</w:t>
      </w:r>
      <w:r>
        <w:t xml:space="preserve"> примерно на 50% (в диапазоне от 33 до 60%). Относительные уровни радиоактивности, связанной с лекарственным средством, у крыс в тканях были следующими: тонкая кишка &gt; корковый слой почек &gt; толстая кишка &gt; печень &gt; кожа &gt; слепая кишка &gt; аорта. Распределение в содержимом кишечника, желчи и моче отражало пути воздействия и основные пути выведения. Низкие концентрации были обнаружены в </w:t>
      </w:r>
      <w:r w:rsidRPr="00C01A66">
        <w:t>центральной нервной системе</w:t>
      </w:r>
      <w:r>
        <w:t>, костях и глазах. Клинически значимое сохранение радиоактивности, связанной с лекарственным средством, не наблюдалось через &gt; 168 ч. Барицитиниб проникает через плаценту</w:t>
      </w:r>
      <w:r w:rsidRPr="00214796">
        <w:t xml:space="preserve">. Уровни </w:t>
      </w:r>
      <w:r w:rsidRPr="00214796">
        <w:rPr>
          <w:vertAlign w:val="superscript"/>
        </w:rPr>
        <w:t>14</w:t>
      </w:r>
      <w:r w:rsidRPr="00214796">
        <w:rPr>
          <w:lang w:val="en-US"/>
        </w:rPr>
        <w:t>C</w:t>
      </w:r>
      <w:r w:rsidRPr="00214796">
        <w:t xml:space="preserve">-барицитиниба в крови </w:t>
      </w:r>
      <w:r w:rsidRPr="00214796">
        <w:lastRenderedPageBreak/>
        <w:t>плода были примерно в 2,2 раза ниже, чем в крови матери</w:t>
      </w:r>
      <w:r>
        <w:t xml:space="preserve">. После однократного внутрижелудочного/перорального введения </w:t>
      </w:r>
      <w:r w:rsidRPr="00117EBC">
        <w:rPr>
          <w:vertAlign w:val="superscript"/>
        </w:rPr>
        <w:t>14</w:t>
      </w:r>
      <w:r>
        <w:t xml:space="preserve">C-барицитиниба, метаболизм </w:t>
      </w:r>
      <w:r w:rsidRPr="00117EBC">
        <w:rPr>
          <w:i/>
          <w:iCs/>
        </w:rPr>
        <w:t>in vivo</w:t>
      </w:r>
      <w:r>
        <w:t xml:space="preserve"> был минимальным и что исходное соединение было основным циркулирующим компонентом в плазме, а также основным компонентом, выделяемым как с мочой, так и с фекалиями у всех видов, включая человека.</w:t>
      </w:r>
    </w:p>
    <w:p w14:paraId="38F2B9DA" w14:textId="028DEB1A" w:rsidR="00CF1BE3" w:rsidRDefault="00CF1BE3" w:rsidP="00CF1BE3">
      <w:pPr>
        <w:spacing w:after="0" w:line="240" w:lineRule="auto"/>
        <w:ind w:firstLine="708"/>
      </w:pPr>
      <w:r>
        <w:t xml:space="preserve">Биотрансформация барицитиниба у животных (мышь CD1, крыса Sprague-Dawley, новозеландский белый кролик, собака бигль) и человека была представлена ​​моноокислением (М9, М10) и бис-окислением (М22) либо в пиразольном, либо в пиримидиновом кольце, окислительное раскрытие пиррольного кольца (М13, М3, М12) и глюкуронирование (М6). Кроме того, у этих видов также было идентифицировано несколько второстепенных окислительных метаболитов. В плазме животных барицитиниб был основным компонентом у мышей (81–92%), крыс (79–93%), кроликов (95%) и собак (84–96%). Кроме того, в плазме животных было идентифицировано около 9 метаболитов, каждый из которых составлял менее 10%. Эти метаболиты были обнаружены у мышей (М3, М6, М9, М10, М22), крыс (М13), </w:t>
      </w:r>
      <w:r w:rsidR="00970DBB">
        <w:t>кроликов (М7, М17) и собак (М2).</w:t>
      </w:r>
    </w:p>
    <w:p w14:paraId="52D0B53D" w14:textId="77777777" w:rsidR="00CF1BE3" w:rsidRDefault="00CF1BE3" w:rsidP="00CF1BE3">
      <w:pPr>
        <w:spacing w:after="0" w:line="240" w:lineRule="auto"/>
        <w:ind w:firstLine="708"/>
      </w:pPr>
      <w:r>
        <w:t xml:space="preserve">По данным исследований биоматериалов человека </w:t>
      </w:r>
      <w:r w:rsidRPr="00117EBC">
        <w:rPr>
          <w:i/>
          <w:iCs/>
        </w:rPr>
        <w:t>in vitro</w:t>
      </w:r>
      <w:r>
        <w:t xml:space="preserve">, барицитиниб подвергается ограниченному (от 10 до 16%) окислению, опосредованному изоферментом CYP3A4 </w:t>
      </w:r>
      <w:r w:rsidRPr="00EA1331">
        <w:t>цитохрома Р450 (</w:t>
      </w:r>
      <w:r w:rsidRPr="00EA1331">
        <w:rPr>
          <w:lang w:val="en-US"/>
        </w:rPr>
        <w:t>CYP</w:t>
      </w:r>
      <w:r>
        <w:t>), до 3 основных метаболитов: М3, М4 и М10. Аналогичные результаты наблюдались в моделях биоматериалов, отличных от человека; однако низкие уровни (от 0,1 до 0,6% от исходного) специфического для животных окисленного метаболита (M1) наблюдались в препаратах крыс, собак и обезьян (токсикологические корреляции отсутствуют).</w:t>
      </w:r>
    </w:p>
    <w:p w14:paraId="2BC5C538" w14:textId="77777777" w:rsidR="00CF1BE3" w:rsidRDefault="00CF1BE3" w:rsidP="00CF1BE3">
      <w:pPr>
        <w:spacing w:after="0" w:line="240" w:lineRule="auto"/>
        <w:ind w:firstLine="708"/>
        <w:rPr>
          <w:b/>
          <w:color w:val="000000" w:themeColor="text1"/>
        </w:rPr>
      </w:pPr>
      <w:r w:rsidRPr="00CC2CC0">
        <w:t xml:space="preserve">У всех видов барицитиниб выводился в основном в неизмененном виде. Присутствовали межвидовые различия в экскреторных путях (основные пути: люди </w:t>
      </w:r>
      <w:r>
        <w:t>–</w:t>
      </w:r>
      <w:r w:rsidRPr="00CC2CC0">
        <w:t xml:space="preserve"> моча, грызуны </w:t>
      </w:r>
      <w:r>
        <w:t>–</w:t>
      </w:r>
      <w:r w:rsidRPr="00CC2CC0">
        <w:t xml:space="preserve"> фекалии, собаки </w:t>
      </w:r>
      <w:r>
        <w:t>–</w:t>
      </w:r>
      <w:r w:rsidRPr="00CC2CC0">
        <w:t xml:space="preserve"> моча и фекалии). </w:t>
      </w:r>
    </w:p>
    <w:p w14:paraId="5D2BC9F0" w14:textId="42CC9D21" w:rsidR="00CF1BE3" w:rsidRDefault="00CF1BE3" w:rsidP="00CF1BE3">
      <w:pPr>
        <w:spacing w:after="0" w:line="240" w:lineRule="auto"/>
        <w:ind w:firstLine="709"/>
      </w:pPr>
      <w:r>
        <w:t xml:space="preserve">В ходе исследований на животных установили, что клинически значимые конкурентные взаимодействия между лекарственными средствами маловероятны в следующих транспортных системах: </w:t>
      </w:r>
      <w:r w:rsidRPr="004B58CB">
        <w:t>OAT1 (транспортер органических анионов 1), транспортер органических катионов (OCT) 1</w:t>
      </w:r>
      <w:r>
        <w:t xml:space="preserve"> и </w:t>
      </w:r>
      <w:r w:rsidRPr="004B58CB">
        <w:t>2, ингибитор</w:t>
      </w:r>
      <w:r>
        <w:t>ы</w:t>
      </w:r>
      <w:r w:rsidRPr="004B58CB">
        <w:t xml:space="preserve"> полипептидов 1B1 и 1B3, переносящих органические анионы</w:t>
      </w:r>
      <w:r>
        <w:t xml:space="preserve"> (</w:t>
      </w:r>
      <w:r w:rsidRPr="004B58CB">
        <w:t>OATP1B1, OATP1B3</w:t>
      </w:r>
      <w:r>
        <w:t>)</w:t>
      </w:r>
      <w:r w:rsidRPr="004B58CB">
        <w:t xml:space="preserve"> и</w:t>
      </w:r>
      <w:r>
        <w:t xml:space="preserve"> </w:t>
      </w:r>
      <w:r w:rsidRPr="004B58CB">
        <w:t>мультирезистентный и токсина экструзии белок (MATE)</w:t>
      </w:r>
      <w:r>
        <w:t xml:space="preserve"> 1. Низкий риск конкурентных взаимодействий возможен в следующих транспортных системах: ОАТ3, Р-гликопротеине и МАТЕ2-К. Установили, что двукратное увеличение AUC происходило при одновременном ингибировании ОАТ3 пробенецидом, что коррелировало со снижением почечного </w:t>
      </w:r>
      <w:r w:rsidR="008F28F6">
        <w:t>клиренса (</w:t>
      </w:r>
      <w:r w:rsidR="008F28F6">
        <w:rPr>
          <w:lang w:val="en-US"/>
        </w:rPr>
        <w:t>CL</w:t>
      </w:r>
      <w:r w:rsidR="008F28F6">
        <w:t xml:space="preserve">) </w:t>
      </w:r>
      <w:r>
        <w:t xml:space="preserve">барицитиниба на 70%. </w:t>
      </w:r>
    </w:p>
    <w:p w14:paraId="73EED8CC" w14:textId="77777777" w:rsidR="00CF1BE3" w:rsidRPr="0009632E" w:rsidRDefault="00CF1BE3" w:rsidP="00CF1BE3">
      <w:pPr>
        <w:spacing w:after="0" w:line="240" w:lineRule="auto"/>
        <w:ind w:firstLine="709"/>
        <w:rPr>
          <w:highlight w:val="yellow"/>
          <w:lang w:eastAsia="en-US"/>
        </w:rPr>
      </w:pPr>
      <w:r>
        <w:t xml:space="preserve">В ходе исследований </w:t>
      </w:r>
      <w:r w:rsidRPr="00013904">
        <w:rPr>
          <w:i/>
          <w:iCs/>
          <w:lang w:val="en-US"/>
        </w:rPr>
        <w:t>in</w:t>
      </w:r>
      <w:r w:rsidRPr="00013904">
        <w:rPr>
          <w:i/>
          <w:iCs/>
        </w:rPr>
        <w:t xml:space="preserve"> </w:t>
      </w:r>
      <w:r w:rsidRPr="00013904">
        <w:rPr>
          <w:i/>
          <w:iCs/>
          <w:lang w:val="en-US"/>
        </w:rPr>
        <w:t>vitro</w:t>
      </w:r>
      <w:r>
        <w:t xml:space="preserve"> установили низкую вероятность лекарственных взаимодействий</w:t>
      </w:r>
      <w:r w:rsidRPr="00013904">
        <w:t xml:space="preserve"> </w:t>
      </w:r>
      <w:r>
        <w:t xml:space="preserve">барицитиниба с препаратами, ингибирующими изоферменты: CYP3A4, CYP2D6, CYP2C19, CYP2C9, CYP2C8, CYP2B6 или CYP1A2. </w:t>
      </w:r>
    </w:p>
    <w:p w14:paraId="2CFFF76E" w14:textId="77777777" w:rsidR="00CF1BE3" w:rsidRPr="00A566FF" w:rsidRDefault="00CF1BE3" w:rsidP="00CF1BE3">
      <w:pPr>
        <w:spacing w:after="0" w:line="240" w:lineRule="auto"/>
        <w:ind w:firstLine="709"/>
        <w:rPr>
          <w:bCs/>
          <w:color w:val="000000" w:themeColor="text1"/>
          <w:lang w:bidi="ru-RU"/>
        </w:rPr>
      </w:pPr>
      <w:r w:rsidRPr="00A566FF">
        <w:rPr>
          <w:bCs/>
          <w:color w:val="000000" w:themeColor="text1"/>
          <w:lang w:bidi="ru-RU"/>
        </w:rPr>
        <w:t>Токсикологическая программа исследования барицтиниба 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72C41166" w14:textId="77777777" w:rsidR="00CF1BE3" w:rsidRDefault="00CF1BE3" w:rsidP="00CF1BE3">
      <w:pPr>
        <w:autoSpaceDE w:val="0"/>
        <w:autoSpaceDN w:val="0"/>
        <w:adjustRightInd w:val="0"/>
        <w:spacing w:after="0" w:line="240" w:lineRule="auto"/>
        <w:ind w:firstLine="708"/>
      </w:pPr>
      <w:r w:rsidRPr="00A566FF">
        <w:t xml:space="preserve">Исследования однократной дозы </w:t>
      </w:r>
      <w:r>
        <w:t>барицитиниба</w:t>
      </w:r>
      <w:r w:rsidRPr="00A566FF">
        <w:t xml:space="preserve"> проводились на мышах</w:t>
      </w:r>
      <w:r>
        <w:t xml:space="preserve">, </w:t>
      </w:r>
      <w:r w:rsidRPr="00A566FF">
        <w:t>крысах</w:t>
      </w:r>
      <w:r>
        <w:t xml:space="preserve"> и собаках</w:t>
      </w:r>
      <w:r w:rsidRPr="00A566FF">
        <w:t xml:space="preserve">. Самая высокая нелетальная доза для мышей составила </w:t>
      </w:r>
      <w:r>
        <w:t xml:space="preserve">&gt;1200 </w:t>
      </w:r>
      <w:r w:rsidRPr="00A566FF">
        <w:t>мг/кг</w:t>
      </w:r>
      <w:r>
        <w:t>, у</w:t>
      </w:r>
      <w:r w:rsidRPr="00A566FF">
        <w:t xml:space="preserve"> крыс самая высокая нелетальная доза составила </w:t>
      </w:r>
      <w:r>
        <w:t>&gt;600</w:t>
      </w:r>
      <w:r w:rsidRPr="00A566FF">
        <w:t xml:space="preserve"> мг/кг</w:t>
      </w:r>
      <w:r>
        <w:t>,</w:t>
      </w:r>
      <w:r w:rsidRPr="00A566FF">
        <w:t xml:space="preserve"> для </w:t>
      </w:r>
      <w:r>
        <w:t xml:space="preserve">собак &gt;40 </w:t>
      </w:r>
      <w:r w:rsidRPr="00A566FF">
        <w:t>мг/кг</w:t>
      </w:r>
    </w:p>
    <w:p w14:paraId="66DC591C" w14:textId="77777777" w:rsidR="00CF1BE3" w:rsidRPr="00A566FF" w:rsidRDefault="00CF1BE3" w:rsidP="00CF1BE3">
      <w:pPr>
        <w:autoSpaceDE w:val="0"/>
        <w:autoSpaceDN w:val="0"/>
        <w:adjustRightInd w:val="0"/>
        <w:spacing w:after="0" w:line="240" w:lineRule="auto"/>
        <w:ind w:firstLine="708"/>
      </w:pPr>
      <w:r w:rsidRPr="00A566FF">
        <w:t xml:space="preserve">Исследования токсичности при повторном введении были выполнены на мышах (до </w:t>
      </w:r>
      <w:r>
        <w:t>26 недель</w:t>
      </w:r>
      <w:r w:rsidRPr="00A566FF">
        <w:t xml:space="preserve">), крысах (до </w:t>
      </w:r>
      <w:r>
        <w:t>90 недель</w:t>
      </w:r>
      <w:r w:rsidRPr="00A566FF">
        <w:t xml:space="preserve">) и собаках (до </w:t>
      </w:r>
      <w:r>
        <w:t>39 недель</w:t>
      </w:r>
      <w:r w:rsidRPr="00A566FF">
        <w:t xml:space="preserve">). </w:t>
      </w:r>
      <w:r>
        <w:t xml:space="preserve">Токсические эффекты при многократном введении были опосредованы фармакодинамическим действием </w:t>
      </w:r>
      <w:r>
        <w:lastRenderedPageBreak/>
        <w:t>барицитиниба и включали оппортунистические инфекции у собак (пиодемодекоз, межпальцевая гранулема) и повышение активности трансаминаз печени.</w:t>
      </w:r>
    </w:p>
    <w:p w14:paraId="2E53661C" w14:textId="77777777" w:rsidR="00CF1BE3" w:rsidRDefault="00CF1BE3" w:rsidP="00CF1BE3">
      <w:pPr>
        <w:spacing w:after="0" w:line="240" w:lineRule="auto"/>
        <w:ind w:firstLine="708"/>
      </w:pPr>
      <w:r w:rsidRPr="00A566FF">
        <w:rPr>
          <w:lang w:eastAsia="en-US"/>
        </w:rPr>
        <w:t xml:space="preserve">В доклинических исследованиях не было продемонстрировано генотоксичности и канцерогенности </w:t>
      </w:r>
      <w:r>
        <w:rPr>
          <w:lang w:eastAsia="en-US"/>
        </w:rPr>
        <w:t>барицитиниба (мыши, крысы)</w:t>
      </w:r>
      <w:r w:rsidRPr="00A566FF">
        <w:rPr>
          <w:lang w:eastAsia="en-US"/>
        </w:rPr>
        <w:t xml:space="preserve">. </w:t>
      </w:r>
    </w:p>
    <w:p w14:paraId="5080F8F8" w14:textId="59E7FFD1" w:rsidR="00CF1BE3" w:rsidRPr="004634EA" w:rsidRDefault="00CF1BE3" w:rsidP="00CF1BE3">
      <w:pPr>
        <w:autoSpaceDE w:val="0"/>
        <w:autoSpaceDN w:val="0"/>
        <w:adjustRightInd w:val="0"/>
        <w:spacing w:after="0" w:line="240" w:lineRule="auto"/>
        <w:ind w:firstLine="708"/>
        <w:rPr>
          <w:color w:val="000000" w:themeColor="text1"/>
        </w:rPr>
      </w:pPr>
      <w:r>
        <w:t>В ходе исследования влияния барицитиниба на фертильность и ранее эмбриональн</w:t>
      </w:r>
      <w:r w:rsidR="00970DBB">
        <w:t>ое развитие животных установлены</w:t>
      </w:r>
      <w:r>
        <w:t xml:space="preserve"> снижение общей способности к спариванию, снижение индекса копуляции самцов, дозозависимую тенденцию к снижению индекса фертильности самцов. Введение барицитиниба также значительно снижало индекс зачатия у самок. У самок крыс наблюдалось уменьшение количества желтых тел и мест имплантации, увеличение предимплантационных потерь, увеличение числа ранних внутриутробных смертей и увеличение комбинированной ранней и поздней внутриутробной смертности.</w:t>
      </w:r>
    </w:p>
    <w:p w14:paraId="7EDC0FCA" w14:textId="77777777" w:rsidR="00CF1BE3" w:rsidRPr="004634EA" w:rsidRDefault="00CF1BE3" w:rsidP="00CF1BE3">
      <w:pPr>
        <w:spacing w:after="0" w:line="240" w:lineRule="auto"/>
        <w:ind w:firstLine="709"/>
        <w:rPr>
          <w:color w:val="000000" w:themeColor="text1"/>
        </w:rPr>
      </w:pPr>
      <w:r>
        <w:t xml:space="preserve">В исследовании эмбриофетального развития крыс внутрижелудочное введение барицитиниба в течение 6–17 дней беременности вызывало повышение частоты неблагоприятных пороков развития костей конечностей и увеличение частоты развития пороков ребер. Барицитиниб также вызывал искривление седьмого ребра и искривления других ребер плодов. Пероральное введение барицитиниба кроликам не вызывало пороков развития плода, несмотря на наличие материнской смертности. </w:t>
      </w:r>
    </w:p>
    <w:p w14:paraId="5B56C672" w14:textId="77777777" w:rsidR="00CF1BE3" w:rsidRPr="0009632E" w:rsidRDefault="00CF1BE3" w:rsidP="00CF1BE3">
      <w:pPr>
        <w:spacing w:after="0" w:line="240" w:lineRule="auto"/>
        <w:ind w:firstLine="708"/>
      </w:pPr>
      <w:r>
        <w:t>В исследовании токсичности барицитиниба в отношении пре- и постнатального развития на крысах установили негативное воздействие на животных F</w:t>
      </w:r>
      <w:r w:rsidRPr="002D0549">
        <w:rPr>
          <w:vertAlign w:val="subscript"/>
        </w:rPr>
        <w:t>1</w:t>
      </w:r>
      <w:r>
        <w:t>, полученных от материнских особей, получавших барицитиниб. Неблагоприятные эффекты в отношении следующих поколений маловероятны.</w:t>
      </w:r>
    </w:p>
    <w:p w14:paraId="2B07EC3E" w14:textId="697EB2AE" w:rsidR="00CF1BE3" w:rsidRPr="00A13913" w:rsidRDefault="00CF1BE3" w:rsidP="00CF1BE3">
      <w:pPr>
        <w:spacing w:after="0" w:line="240" w:lineRule="auto"/>
        <w:ind w:firstLine="708"/>
        <w:rPr>
          <w:highlight w:val="yellow"/>
          <w:lang w:eastAsia="en-US"/>
        </w:rPr>
      </w:pPr>
      <w:r>
        <w:t>Барицитиниб не вызы</w:t>
      </w:r>
      <w:r w:rsidR="00970DBB">
        <w:t xml:space="preserve">вал раздражения слизистой глаз и </w:t>
      </w:r>
      <w:r>
        <w:t>местно-раздражающего действия при нанесении на кожу кроликов. В токсикологических исследованиях при однократном или многократном введениях не было выявлено побочных эффектов со стороны ЖКТ. У барицитиниба отсутствует какой-либо фототоксический потенциал</w:t>
      </w:r>
      <w:r w:rsidRPr="00EB0A14">
        <w:rPr>
          <w:lang w:eastAsia="en-US"/>
        </w:rPr>
        <w:t>.</w:t>
      </w:r>
    </w:p>
    <w:p w14:paraId="69FEBE6B" w14:textId="77777777" w:rsidR="00CF1BE3" w:rsidRDefault="00CF1BE3" w:rsidP="00970DBB">
      <w:pPr>
        <w:pStyle w:val="2"/>
        <w:tabs>
          <w:tab w:val="left" w:pos="284"/>
          <w:tab w:val="left" w:pos="567"/>
        </w:tabs>
        <w:spacing w:line="240" w:lineRule="auto"/>
        <w:contextualSpacing/>
        <w:rPr>
          <w:color w:val="000000" w:themeColor="text1"/>
        </w:rPr>
      </w:pPr>
      <w:bookmarkStart w:id="68" w:name="_Toc120288129"/>
      <w:bookmarkEnd w:id="64"/>
      <w:bookmarkEnd w:id="65"/>
      <w:r w:rsidRPr="00A13913">
        <w:rPr>
          <w:color w:val="000000" w:themeColor="text1"/>
        </w:rPr>
        <w:t>3.1 Доклиническая фармакология</w:t>
      </w:r>
      <w:bookmarkEnd w:id="68"/>
    </w:p>
    <w:p w14:paraId="6CDBFC0A" w14:textId="77777777" w:rsidR="00CF1BE3" w:rsidRPr="005E6358" w:rsidRDefault="00CF1BE3" w:rsidP="00970DBB">
      <w:pPr>
        <w:pStyle w:val="3"/>
        <w:spacing w:after="240"/>
        <w:contextualSpacing/>
        <w:rPr>
          <w:color w:val="000000" w:themeColor="text1"/>
          <w:szCs w:val="24"/>
        </w:rPr>
      </w:pPr>
      <w:bookmarkStart w:id="69" w:name="_Toc120288130"/>
      <w:r w:rsidRPr="005E6358">
        <w:rPr>
          <w:color w:val="000000" w:themeColor="text1"/>
          <w:szCs w:val="24"/>
        </w:rPr>
        <w:t>3.1.1.</w:t>
      </w:r>
      <w:r>
        <w:rPr>
          <w:color w:val="000000" w:themeColor="text1"/>
          <w:szCs w:val="24"/>
        </w:rPr>
        <w:t xml:space="preserve"> </w:t>
      </w:r>
      <w:r w:rsidRPr="005E6358">
        <w:rPr>
          <w:color w:val="000000" w:themeColor="text1"/>
          <w:szCs w:val="24"/>
        </w:rPr>
        <w:t>Механизм действия</w:t>
      </w:r>
      <w:bookmarkEnd w:id="69"/>
    </w:p>
    <w:p w14:paraId="4E60FE6C" w14:textId="77777777" w:rsidR="00CF1BE3" w:rsidRPr="00116914" w:rsidRDefault="00CF1BE3" w:rsidP="00970DBB">
      <w:pPr>
        <w:autoSpaceDE w:val="0"/>
        <w:autoSpaceDN w:val="0"/>
        <w:adjustRightInd w:val="0"/>
        <w:spacing w:after="0" w:line="240" w:lineRule="auto"/>
        <w:ind w:firstLine="708"/>
        <w:contextualSpacing/>
        <w:rPr>
          <w:iCs/>
          <w:lang w:eastAsia="en-US"/>
        </w:rPr>
      </w:pPr>
      <w:bookmarkStart w:id="70" w:name="_Toc523142995"/>
      <w:bookmarkStart w:id="71" w:name="_Hlk521882691"/>
      <w:bookmarkStart w:id="72" w:name="_Toc499821138"/>
      <w:bookmarkStart w:id="73" w:name="_Toc505020000"/>
      <w:r w:rsidRPr="00116914">
        <w:rPr>
          <w:iCs/>
          <w:lang w:eastAsia="en-US"/>
        </w:rPr>
        <w:t xml:space="preserve">Барицитиниб является селективным и обратимым ингибитором </w:t>
      </w:r>
      <w:r>
        <w:rPr>
          <w:iCs/>
          <w:lang w:val="en-US" w:eastAsia="en-US"/>
        </w:rPr>
        <w:t>JAK</w:t>
      </w:r>
      <w:r w:rsidRPr="00394F18">
        <w:rPr>
          <w:iCs/>
          <w:lang w:eastAsia="en-US"/>
        </w:rPr>
        <w:t xml:space="preserve">1 </w:t>
      </w:r>
      <w:r>
        <w:rPr>
          <w:iCs/>
          <w:lang w:eastAsia="en-US"/>
        </w:rPr>
        <w:t xml:space="preserve">и </w:t>
      </w:r>
      <w:r>
        <w:rPr>
          <w:iCs/>
          <w:lang w:val="en-US" w:eastAsia="en-US"/>
        </w:rPr>
        <w:t>JAK</w:t>
      </w:r>
      <w:r w:rsidRPr="00394F18">
        <w:rPr>
          <w:iCs/>
          <w:lang w:eastAsia="en-US"/>
        </w:rPr>
        <w:t>2</w:t>
      </w:r>
      <w:r w:rsidRPr="00116914">
        <w:rPr>
          <w:iCs/>
          <w:lang w:eastAsia="en-US"/>
        </w:rPr>
        <w:t xml:space="preserve">. В исследованиях было показано, что барицитиниб ингибирует активность </w:t>
      </w:r>
      <w:r>
        <w:rPr>
          <w:iCs/>
          <w:lang w:val="en-US" w:eastAsia="en-US"/>
        </w:rPr>
        <w:t>JAK</w:t>
      </w:r>
      <w:r w:rsidRPr="00394F18">
        <w:rPr>
          <w:iCs/>
          <w:lang w:eastAsia="en-US"/>
        </w:rPr>
        <w:t xml:space="preserve">1 </w:t>
      </w:r>
      <w:r>
        <w:rPr>
          <w:iCs/>
          <w:lang w:eastAsia="en-US"/>
        </w:rPr>
        <w:t xml:space="preserve">и </w:t>
      </w:r>
      <w:r>
        <w:rPr>
          <w:iCs/>
          <w:lang w:val="en-US" w:eastAsia="en-US"/>
        </w:rPr>
        <w:t>JAK</w:t>
      </w:r>
      <w:r w:rsidRPr="00394F18">
        <w:rPr>
          <w:iCs/>
          <w:lang w:eastAsia="en-US"/>
        </w:rPr>
        <w:t>2</w:t>
      </w:r>
      <w:r>
        <w:rPr>
          <w:iCs/>
          <w:lang w:eastAsia="en-US"/>
        </w:rPr>
        <w:t xml:space="preserve">, </w:t>
      </w:r>
      <w:r w:rsidRPr="00116914">
        <w:rPr>
          <w:iCs/>
          <w:lang w:eastAsia="en-US"/>
        </w:rPr>
        <w:t xml:space="preserve">тирозинкиназы-2 и </w:t>
      </w:r>
      <w:r>
        <w:rPr>
          <w:iCs/>
          <w:lang w:val="en-US" w:eastAsia="en-US"/>
        </w:rPr>
        <w:t>JAK</w:t>
      </w:r>
      <w:r w:rsidRPr="00394F18">
        <w:rPr>
          <w:iCs/>
          <w:lang w:eastAsia="en-US"/>
        </w:rPr>
        <w:t>3</w:t>
      </w:r>
      <w:r w:rsidRPr="00116914">
        <w:rPr>
          <w:iCs/>
          <w:lang w:eastAsia="en-US"/>
        </w:rPr>
        <w:t xml:space="preserve"> со значениями </w:t>
      </w:r>
      <w:r>
        <w:rPr>
          <w:iCs/>
          <w:lang w:val="en-US" w:eastAsia="en-US"/>
        </w:rPr>
        <w:t>IC</w:t>
      </w:r>
      <w:r w:rsidRPr="00394F18">
        <w:rPr>
          <w:iCs/>
          <w:vertAlign w:val="subscript"/>
          <w:lang w:eastAsia="en-US"/>
        </w:rPr>
        <w:t>50</w:t>
      </w:r>
      <w:r w:rsidRPr="00394F18">
        <w:rPr>
          <w:iCs/>
          <w:lang w:eastAsia="en-US"/>
        </w:rPr>
        <w:t xml:space="preserve"> </w:t>
      </w:r>
      <w:r w:rsidRPr="00116914">
        <w:rPr>
          <w:iCs/>
          <w:lang w:eastAsia="en-US"/>
        </w:rPr>
        <w:t>5</w:t>
      </w:r>
      <w:r>
        <w:rPr>
          <w:iCs/>
          <w:lang w:eastAsia="en-US"/>
        </w:rPr>
        <w:t>,</w:t>
      </w:r>
      <w:r w:rsidRPr="00116914">
        <w:rPr>
          <w:iCs/>
          <w:lang w:eastAsia="en-US"/>
        </w:rPr>
        <w:t>9</w:t>
      </w:r>
      <w:r>
        <w:rPr>
          <w:iCs/>
          <w:lang w:eastAsia="en-US"/>
        </w:rPr>
        <w:t>;</w:t>
      </w:r>
      <w:r w:rsidRPr="00116914">
        <w:rPr>
          <w:iCs/>
          <w:lang w:eastAsia="en-US"/>
        </w:rPr>
        <w:t xml:space="preserve"> 5</w:t>
      </w:r>
      <w:r>
        <w:rPr>
          <w:iCs/>
          <w:lang w:eastAsia="en-US"/>
        </w:rPr>
        <w:t>,</w:t>
      </w:r>
      <w:r w:rsidRPr="00116914">
        <w:rPr>
          <w:iCs/>
          <w:lang w:eastAsia="en-US"/>
        </w:rPr>
        <w:t>7</w:t>
      </w:r>
      <w:r>
        <w:rPr>
          <w:iCs/>
          <w:lang w:eastAsia="en-US"/>
        </w:rPr>
        <w:t xml:space="preserve">; </w:t>
      </w:r>
      <w:r w:rsidRPr="00116914">
        <w:rPr>
          <w:iCs/>
          <w:lang w:eastAsia="en-US"/>
        </w:rPr>
        <w:t>53 и &gt;400 нМ, соответственно.</w:t>
      </w:r>
    </w:p>
    <w:p w14:paraId="7A0D598F" w14:textId="77777777" w:rsidR="00CF1BE3" w:rsidRPr="00116914" w:rsidRDefault="00CF1BE3" w:rsidP="00970DBB">
      <w:pPr>
        <w:autoSpaceDE w:val="0"/>
        <w:autoSpaceDN w:val="0"/>
        <w:adjustRightInd w:val="0"/>
        <w:spacing w:after="0" w:line="240" w:lineRule="auto"/>
        <w:ind w:firstLine="708"/>
        <w:contextualSpacing/>
        <w:rPr>
          <w:iCs/>
          <w:lang w:eastAsia="en-US"/>
        </w:rPr>
      </w:pPr>
      <w:r>
        <w:rPr>
          <w:iCs/>
          <w:lang w:val="en-US" w:eastAsia="en-US"/>
        </w:rPr>
        <w:t>JAK</w:t>
      </w:r>
      <w:r w:rsidRPr="00116914">
        <w:rPr>
          <w:iCs/>
          <w:lang w:eastAsia="en-US"/>
        </w:rPr>
        <w:t xml:space="preserve"> представляют собой ферменты, которые трансдуцируют</w:t>
      </w:r>
      <w:r>
        <w:rPr>
          <w:iCs/>
          <w:lang w:eastAsia="en-US"/>
        </w:rPr>
        <w:t xml:space="preserve"> </w:t>
      </w:r>
      <w:r w:rsidRPr="00116914">
        <w:rPr>
          <w:iCs/>
          <w:lang w:eastAsia="en-US"/>
        </w:rPr>
        <w:t>внутриклеточные сигналы от клеточных рецепторов ряда цитокинов и факторов роста,</w:t>
      </w:r>
      <w:r>
        <w:rPr>
          <w:iCs/>
          <w:lang w:eastAsia="en-US"/>
        </w:rPr>
        <w:t xml:space="preserve"> </w:t>
      </w:r>
      <w:r w:rsidRPr="00116914">
        <w:rPr>
          <w:iCs/>
          <w:lang w:eastAsia="en-US"/>
        </w:rPr>
        <w:t>участвующих в процессах гемопоэза, воспаления и иммунного ответа. В рамках</w:t>
      </w:r>
      <w:r>
        <w:rPr>
          <w:iCs/>
          <w:lang w:eastAsia="en-US"/>
        </w:rPr>
        <w:t xml:space="preserve"> </w:t>
      </w:r>
      <w:r w:rsidRPr="00116914">
        <w:rPr>
          <w:iCs/>
          <w:lang w:eastAsia="en-US"/>
        </w:rPr>
        <w:t xml:space="preserve">внутриклеточного сигнального пути </w:t>
      </w:r>
      <w:r>
        <w:rPr>
          <w:iCs/>
          <w:lang w:val="en-US" w:eastAsia="en-US"/>
        </w:rPr>
        <w:t>JAK</w:t>
      </w:r>
      <w:r w:rsidRPr="00116914">
        <w:rPr>
          <w:iCs/>
          <w:lang w:eastAsia="en-US"/>
        </w:rPr>
        <w:t xml:space="preserve"> фосфорилируют и активируют </w:t>
      </w:r>
      <w:r>
        <w:rPr>
          <w:iCs/>
          <w:lang w:val="en-US" w:eastAsia="en-US"/>
        </w:rPr>
        <w:t>S</w:t>
      </w:r>
      <w:r w:rsidRPr="00116914">
        <w:rPr>
          <w:iCs/>
          <w:lang w:eastAsia="en-US"/>
        </w:rPr>
        <w:t>ТАТ, которые в свою очередь активируют</w:t>
      </w:r>
      <w:r>
        <w:rPr>
          <w:iCs/>
          <w:lang w:eastAsia="en-US"/>
        </w:rPr>
        <w:t xml:space="preserve"> </w:t>
      </w:r>
      <w:r w:rsidRPr="00116914">
        <w:rPr>
          <w:iCs/>
          <w:lang w:eastAsia="en-US"/>
        </w:rPr>
        <w:t>экспрессию гена в клетке. Барицитиниб модулирует эти сигнальные каскады реакций,</w:t>
      </w:r>
      <w:r>
        <w:rPr>
          <w:iCs/>
          <w:lang w:eastAsia="en-US"/>
        </w:rPr>
        <w:t xml:space="preserve"> </w:t>
      </w:r>
      <w:r w:rsidRPr="00116914">
        <w:rPr>
          <w:iCs/>
          <w:lang w:eastAsia="en-US"/>
        </w:rPr>
        <w:t xml:space="preserve">частично ингибируя ферментативную активность </w:t>
      </w:r>
      <w:r>
        <w:rPr>
          <w:iCs/>
          <w:lang w:val="en-US" w:eastAsia="en-US"/>
        </w:rPr>
        <w:t>JAK</w:t>
      </w:r>
      <w:r w:rsidRPr="00394F18">
        <w:rPr>
          <w:iCs/>
          <w:lang w:eastAsia="en-US"/>
        </w:rPr>
        <w:t xml:space="preserve">1 </w:t>
      </w:r>
      <w:r>
        <w:rPr>
          <w:iCs/>
          <w:lang w:eastAsia="en-US"/>
        </w:rPr>
        <w:t xml:space="preserve">и </w:t>
      </w:r>
      <w:r>
        <w:rPr>
          <w:iCs/>
          <w:lang w:val="en-US" w:eastAsia="en-US"/>
        </w:rPr>
        <w:t>JAK</w:t>
      </w:r>
      <w:r w:rsidRPr="00394F18">
        <w:rPr>
          <w:iCs/>
          <w:lang w:eastAsia="en-US"/>
        </w:rPr>
        <w:t>2</w:t>
      </w:r>
      <w:r w:rsidRPr="00116914">
        <w:rPr>
          <w:iCs/>
          <w:lang w:eastAsia="en-US"/>
        </w:rPr>
        <w:t>, тем самым уменьшая</w:t>
      </w:r>
      <w:r>
        <w:rPr>
          <w:iCs/>
          <w:lang w:eastAsia="en-US"/>
        </w:rPr>
        <w:t xml:space="preserve"> </w:t>
      </w:r>
      <w:r w:rsidRPr="00116914">
        <w:rPr>
          <w:iCs/>
          <w:lang w:eastAsia="en-US"/>
        </w:rPr>
        <w:t xml:space="preserve">фосфорилирование и активацию </w:t>
      </w:r>
      <w:r>
        <w:rPr>
          <w:iCs/>
          <w:lang w:val="en-US" w:eastAsia="en-US"/>
        </w:rPr>
        <w:t>S</w:t>
      </w:r>
      <w:r w:rsidRPr="00116914">
        <w:rPr>
          <w:iCs/>
          <w:lang w:eastAsia="en-US"/>
        </w:rPr>
        <w:t>ТАТ.</w:t>
      </w:r>
    </w:p>
    <w:p w14:paraId="6D31CB77" w14:textId="5A1E46ED" w:rsidR="00CF1BE3" w:rsidRPr="00A13913" w:rsidRDefault="00CF1BE3" w:rsidP="00970DBB">
      <w:pPr>
        <w:autoSpaceDE w:val="0"/>
        <w:autoSpaceDN w:val="0"/>
        <w:adjustRightInd w:val="0"/>
        <w:spacing w:after="0" w:line="240" w:lineRule="auto"/>
        <w:ind w:firstLine="708"/>
        <w:contextualSpacing/>
        <w:rPr>
          <w:iCs/>
          <w:highlight w:val="yellow"/>
          <w:lang w:eastAsia="en-US"/>
        </w:rPr>
      </w:pPr>
      <w:r w:rsidRPr="00116914">
        <w:rPr>
          <w:iCs/>
          <w:lang w:eastAsia="en-US"/>
        </w:rPr>
        <w:t xml:space="preserve">Барицитиниб был идентифицирован как ингибитор </w:t>
      </w:r>
      <w:r>
        <w:rPr>
          <w:iCs/>
          <w:lang w:val="en-US" w:eastAsia="en-US"/>
        </w:rPr>
        <w:t>numb</w:t>
      </w:r>
      <w:r w:rsidRPr="00394F18">
        <w:rPr>
          <w:iCs/>
          <w:lang w:eastAsia="en-US"/>
        </w:rPr>
        <w:t>-</w:t>
      </w:r>
      <w:r>
        <w:rPr>
          <w:iCs/>
          <w:lang w:val="en-US" w:eastAsia="en-US"/>
        </w:rPr>
        <w:t>associated</w:t>
      </w:r>
      <w:r w:rsidRPr="00394F18">
        <w:rPr>
          <w:iCs/>
          <w:lang w:eastAsia="en-US"/>
        </w:rPr>
        <w:t xml:space="preserve"> </w:t>
      </w:r>
      <w:r>
        <w:rPr>
          <w:iCs/>
          <w:lang w:val="en-US" w:eastAsia="en-US"/>
        </w:rPr>
        <w:t>kinase</w:t>
      </w:r>
      <w:r w:rsidR="00970DBB">
        <w:rPr>
          <w:iCs/>
          <w:lang w:eastAsia="en-US"/>
        </w:rPr>
        <w:t xml:space="preserve"> с высоким сродством к ААК1</w:t>
      </w:r>
      <w:r w:rsidRPr="00116914">
        <w:rPr>
          <w:iCs/>
          <w:lang w:eastAsia="en-US"/>
        </w:rPr>
        <w:t xml:space="preserve"> - 8,2 нм</w:t>
      </w:r>
      <w:r>
        <w:rPr>
          <w:iCs/>
          <w:lang w:eastAsia="en-US"/>
        </w:rPr>
        <w:t>оль/л</w:t>
      </w:r>
      <w:r w:rsidRPr="00116914">
        <w:rPr>
          <w:iCs/>
          <w:lang w:eastAsia="en-US"/>
        </w:rPr>
        <w:t xml:space="preserve">, </w:t>
      </w:r>
      <w:r>
        <w:rPr>
          <w:iCs/>
          <w:lang w:val="en-US" w:eastAsia="en-US"/>
        </w:rPr>
        <w:t>BI</w:t>
      </w:r>
      <w:r w:rsidRPr="00116914">
        <w:rPr>
          <w:iCs/>
          <w:lang w:eastAsia="en-US"/>
        </w:rPr>
        <w:t>КЕ - 20 н</w:t>
      </w:r>
      <w:r>
        <w:rPr>
          <w:iCs/>
          <w:lang w:eastAsia="en-US"/>
        </w:rPr>
        <w:t>моль/л</w:t>
      </w:r>
      <w:r w:rsidRPr="00116914">
        <w:rPr>
          <w:iCs/>
          <w:lang w:eastAsia="en-US"/>
        </w:rPr>
        <w:t xml:space="preserve"> и </w:t>
      </w:r>
      <w:r>
        <w:rPr>
          <w:iCs/>
          <w:lang w:val="en-US" w:eastAsia="en-US"/>
        </w:rPr>
        <w:t>GAK</w:t>
      </w:r>
      <w:r>
        <w:rPr>
          <w:iCs/>
          <w:lang w:eastAsia="en-US"/>
        </w:rPr>
        <w:t xml:space="preserve"> </w:t>
      </w:r>
      <w:r w:rsidRPr="00116914">
        <w:rPr>
          <w:iCs/>
          <w:lang w:eastAsia="en-US"/>
        </w:rPr>
        <w:t>- 120 нм</w:t>
      </w:r>
      <w:r>
        <w:rPr>
          <w:iCs/>
          <w:lang w:eastAsia="en-US"/>
        </w:rPr>
        <w:t>оль/л</w:t>
      </w:r>
      <w:r w:rsidRPr="00116914">
        <w:rPr>
          <w:iCs/>
          <w:lang w:eastAsia="en-US"/>
        </w:rPr>
        <w:t>. Киназы ААК</w:t>
      </w:r>
      <w:r>
        <w:rPr>
          <w:iCs/>
          <w:lang w:eastAsia="en-US"/>
        </w:rPr>
        <w:t>1</w:t>
      </w:r>
      <w:r w:rsidRPr="00116914">
        <w:rPr>
          <w:iCs/>
          <w:lang w:eastAsia="en-US"/>
        </w:rPr>
        <w:t xml:space="preserve"> и </w:t>
      </w:r>
      <w:r>
        <w:rPr>
          <w:iCs/>
          <w:lang w:val="en-US" w:eastAsia="en-US"/>
        </w:rPr>
        <w:t>GAK</w:t>
      </w:r>
      <w:r w:rsidRPr="00116914">
        <w:rPr>
          <w:iCs/>
          <w:lang w:eastAsia="en-US"/>
        </w:rPr>
        <w:t xml:space="preserve"> участвуют в</w:t>
      </w:r>
      <w:r>
        <w:rPr>
          <w:iCs/>
          <w:lang w:eastAsia="en-US"/>
        </w:rPr>
        <w:t xml:space="preserve"> </w:t>
      </w:r>
      <w:r w:rsidRPr="00116914">
        <w:rPr>
          <w:iCs/>
          <w:lang w:eastAsia="en-US"/>
        </w:rPr>
        <w:t xml:space="preserve">проникновении вируса </w:t>
      </w:r>
      <w:r>
        <w:rPr>
          <w:iCs/>
          <w:lang w:val="en-US" w:eastAsia="en-US"/>
        </w:rPr>
        <w:t>SARS</w:t>
      </w:r>
      <w:r w:rsidRPr="00394F18">
        <w:rPr>
          <w:iCs/>
          <w:lang w:eastAsia="en-US"/>
        </w:rPr>
        <w:t>-</w:t>
      </w:r>
      <w:r>
        <w:rPr>
          <w:iCs/>
          <w:lang w:val="en-US" w:eastAsia="en-US"/>
        </w:rPr>
        <w:t>CoV</w:t>
      </w:r>
      <w:r w:rsidRPr="00116914">
        <w:rPr>
          <w:iCs/>
          <w:lang w:eastAsia="en-US"/>
        </w:rPr>
        <w:t>-2 в клетки человека.</w:t>
      </w:r>
      <w:bookmarkEnd w:id="70"/>
      <w:bookmarkEnd w:id="71"/>
    </w:p>
    <w:p w14:paraId="2A5792A3" w14:textId="77777777" w:rsidR="00CF1BE3" w:rsidRDefault="00CF1BE3" w:rsidP="00970DBB">
      <w:pPr>
        <w:spacing w:after="0" w:line="240" w:lineRule="auto"/>
        <w:contextualSpacing/>
      </w:pPr>
    </w:p>
    <w:p w14:paraId="7CA13B2C" w14:textId="77777777" w:rsidR="00CF1BE3" w:rsidRPr="00A13913" w:rsidRDefault="00CF1BE3" w:rsidP="00A3301D">
      <w:pPr>
        <w:pStyle w:val="3"/>
        <w:rPr>
          <w:rFonts w:eastAsia="Times New Roman"/>
          <w:highlight w:val="yellow"/>
          <w:lang w:eastAsia="en-US"/>
        </w:rPr>
      </w:pPr>
      <w:bookmarkStart w:id="74" w:name="_Toc120288131"/>
      <w:r w:rsidRPr="00896D64">
        <w:rPr>
          <w:rFonts w:eastAsia="Times New Roman"/>
          <w:lang w:eastAsia="en-US"/>
        </w:rPr>
        <w:lastRenderedPageBreak/>
        <w:t xml:space="preserve">3.1.2. </w:t>
      </w:r>
      <w:bookmarkEnd w:id="72"/>
      <w:bookmarkEnd w:id="73"/>
      <w:r w:rsidRPr="00896D64">
        <w:t>Первичная фармакодинамика</w:t>
      </w:r>
      <w:bookmarkEnd w:id="74"/>
    </w:p>
    <w:p w14:paraId="5067FD85" w14:textId="77777777" w:rsidR="00CF1BE3" w:rsidRPr="00896D64" w:rsidRDefault="00CF1BE3" w:rsidP="00970DBB">
      <w:pPr>
        <w:pStyle w:val="4"/>
        <w:spacing w:after="240"/>
        <w:contextualSpacing/>
        <w:rPr>
          <w:i/>
          <w:color w:val="000000" w:themeColor="text1"/>
          <w:szCs w:val="24"/>
        </w:rPr>
      </w:pPr>
      <w:bookmarkStart w:id="75" w:name="_Toc120288132"/>
      <w:bookmarkStart w:id="76" w:name="_Hlk521883669"/>
      <w:r w:rsidRPr="00896D64">
        <w:rPr>
          <w:color w:val="000000" w:themeColor="text1"/>
          <w:szCs w:val="24"/>
        </w:rPr>
        <w:t xml:space="preserve">3.1.2.1. Первичная фармакодинамика </w:t>
      </w:r>
      <w:r w:rsidRPr="00896D64">
        <w:rPr>
          <w:i/>
          <w:color w:val="000000" w:themeColor="text1"/>
          <w:szCs w:val="24"/>
        </w:rPr>
        <w:t>in vitro</w:t>
      </w:r>
      <w:bookmarkEnd w:id="75"/>
    </w:p>
    <w:p w14:paraId="4075BEF1" w14:textId="77777777" w:rsidR="00CF1BE3" w:rsidRPr="00D21480" w:rsidRDefault="00CF1BE3" w:rsidP="00970DBB">
      <w:pPr>
        <w:spacing w:after="0" w:line="240" w:lineRule="auto"/>
        <w:ind w:firstLine="708"/>
        <w:contextualSpacing/>
      </w:pPr>
      <w:r>
        <w:t xml:space="preserve">Барицитиниб является селективным и обратимым ингибитором </w:t>
      </w:r>
      <w:r w:rsidRPr="00394F18">
        <w:t>JAK1</w:t>
      </w:r>
      <w:r>
        <w:t xml:space="preserve"> и JAK2. Ингибирующая активность барицитиниба для JAK1, JAK2, тирозинкиназы 2 и JAK3 </w:t>
      </w:r>
      <w:r w:rsidRPr="00394F18">
        <w:t>составила IC</w:t>
      </w:r>
      <w:r w:rsidRPr="007F4B68">
        <w:t>50</w:t>
      </w:r>
      <w:r>
        <w:t xml:space="preserve"> 5,7 (соответствует 0,08*</w:t>
      </w:r>
      <w:r w:rsidRPr="00394F18">
        <w:t>MHRD [максимальная рекомендуемая человеку доза], расчет произведен на основании C</w:t>
      </w:r>
      <w:r w:rsidRPr="00AB1FF1">
        <w:rPr>
          <w:vertAlign w:val="subscript"/>
        </w:rPr>
        <w:t>max</w:t>
      </w:r>
      <w:r w:rsidRPr="00394F18">
        <w:t xml:space="preserve"> [максимальная</w:t>
      </w:r>
      <w:r>
        <w:t xml:space="preserve"> концентрация</w:t>
      </w:r>
      <w:r w:rsidRPr="00394F18">
        <w:t>]</w:t>
      </w:r>
      <w:r>
        <w:t>), 5,9 (соответствует 0,08*MHRD на основании C</w:t>
      </w:r>
      <w:r w:rsidRPr="00AB1FF1">
        <w:rPr>
          <w:vertAlign w:val="subscript"/>
        </w:rPr>
        <w:t>max</w:t>
      </w:r>
      <w:r>
        <w:t>) и 53 (соответствует 0,7*MHRD на основании C</w:t>
      </w:r>
      <w:r w:rsidRPr="00AB1FF1">
        <w:rPr>
          <w:vertAlign w:val="subscript"/>
        </w:rPr>
        <w:t>max</w:t>
      </w:r>
      <w:r>
        <w:t xml:space="preserve">) соответственно. JAK представляют собой ферменты, которые передают внутриклеточные сигналы от рецепторов с поверхности клетки, для реализации синтеза/ингибирования синтеза ряда цитокинов и факторов роста, участвующих в кроветворении, воспалении и иммунитете. Во внутриклеточном сигнальном пути JAK фосфорилируют и активируют STAT-киназы, которые активируют экспрессию генов внутри клетки. Барицитиниб модулирует эти сигнальные пути путем частичного ингибирования ферментативной активности JAK1 и JAK2, тем самым снижая фосфорилирование и активацию STAT. Барицитиниб, вводимый в MHRD, обладает высоко селективным ингибирующим действием в отношении JAK1 и JAK2, а также обладает некоторой ингибирующей активностью в отношении тирозин киназы 2 и минимально ингибирует </w:t>
      </w:r>
      <w:r w:rsidRPr="00373726">
        <w:t xml:space="preserve">JAK3 </w:t>
      </w:r>
      <w:r w:rsidRPr="00373726">
        <w:fldChar w:fldCharType="begin"/>
      </w:r>
      <w:r>
        <w:instrText xml:space="preserve"> ADDIN ZOTERO_ITEM CSL_CITATION {"citationID":"GJ7Te1Se","properties":{"formattedCitation":"[1]","plainCitation":"[1]","noteIndex":0},"citationItems":[{"id":3825,"uris":["http://zotero.org/groups/4514912/items/7R9UX5LD"],"itemData":{"id":3825,"type":"document","title":"Australian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373726">
        <w:fldChar w:fldCharType="separate"/>
      </w:r>
      <w:r w:rsidRPr="004A300A">
        <w:t>[1]</w:t>
      </w:r>
      <w:r w:rsidRPr="00373726">
        <w:fldChar w:fldCharType="end"/>
      </w:r>
      <w:r w:rsidRPr="00373726">
        <w:t>.</w:t>
      </w:r>
    </w:p>
    <w:p w14:paraId="002B0569" w14:textId="4BF37AA3" w:rsidR="00CF1BE3" w:rsidRPr="00D21480" w:rsidRDefault="00CF1BE3" w:rsidP="00CF1BE3">
      <w:pPr>
        <w:spacing w:after="0" w:line="240" w:lineRule="auto"/>
        <w:ind w:firstLine="708"/>
      </w:pPr>
      <w:r>
        <w:t>В</w:t>
      </w:r>
      <w:r w:rsidRPr="00475DA0">
        <w:t xml:space="preserve"> </w:t>
      </w:r>
      <w:r>
        <w:t>ходе</w:t>
      </w:r>
      <w:r w:rsidRPr="00475DA0">
        <w:t xml:space="preserve"> </w:t>
      </w:r>
      <w:r>
        <w:t>анализа</w:t>
      </w:r>
      <w:r w:rsidRPr="00475DA0">
        <w:t xml:space="preserve"> </w:t>
      </w:r>
      <w:r>
        <w:t>ингибирующей</w:t>
      </w:r>
      <w:r w:rsidRPr="00475DA0">
        <w:t xml:space="preserve"> </w:t>
      </w:r>
      <w:r>
        <w:t>активности</w:t>
      </w:r>
      <w:r w:rsidRPr="00475DA0">
        <w:t xml:space="preserve"> </w:t>
      </w:r>
      <w:r>
        <w:t>барицитин</w:t>
      </w:r>
      <w:r w:rsidR="007B31AF">
        <w:t>и</w:t>
      </w:r>
      <w:r>
        <w:t>ба</w:t>
      </w:r>
      <w:r w:rsidRPr="00475DA0">
        <w:t xml:space="preserve"> </w:t>
      </w:r>
      <w:r>
        <w:t>установили</w:t>
      </w:r>
      <w:r w:rsidRPr="00475DA0">
        <w:t xml:space="preserve"> </w:t>
      </w:r>
      <w:r>
        <w:t>наличие</w:t>
      </w:r>
      <w:r w:rsidRPr="00475DA0">
        <w:t xml:space="preserve"> </w:t>
      </w:r>
      <w:r>
        <w:t xml:space="preserve">ингибирующего действия в отношении </w:t>
      </w:r>
      <w:r w:rsidRPr="00394F18">
        <w:t>фитогемагглютинин,</w:t>
      </w:r>
      <w:r>
        <w:t xml:space="preserve"> цитокинов</w:t>
      </w:r>
      <w:r w:rsidRPr="00475DA0">
        <w:t xml:space="preserve"> (</w:t>
      </w:r>
      <w:r w:rsidRPr="007F4B68">
        <w:t>IL</w:t>
      </w:r>
      <w:r w:rsidRPr="00475DA0">
        <w:t xml:space="preserve">-2, </w:t>
      </w:r>
      <w:r w:rsidRPr="007F4B68">
        <w:t>IL</w:t>
      </w:r>
      <w:r w:rsidRPr="00475DA0">
        <w:t xml:space="preserve">-23, </w:t>
      </w:r>
      <w:r w:rsidRPr="007F4B68">
        <w:t>IL</w:t>
      </w:r>
      <w:r w:rsidRPr="00475DA0">
        <w:t xml:space="preserve">-12, </w:t>
      </w:r>
      <w:r w:rsidRPr="007F4B68">
        <w:t>IL</w:t>
      </w:r>
      <w:r w:rsidRPr="00475DA0">
        <w:t>-6</w:t>
      </w:r>
      <w:r>
        <w:t xml:space="preserve">, </w:t>
      </w:r>
      <w:r w:rsidRPr="007F4B68">
        <w:t>IL</w:t>
      </w:r>
      <w:r w:rsidRPr="00475DA0">
        <w:t xml:space="preserve">-17, </w:t>
      </w:r>
      <w:r w:rsidRPr="007F4B68">
        <w:t>IL</w:t>
      </w:r>
      <w:r w:rsidRPr="00475DA0">
        <w:t xml:space="preserve">-22, </w:t>
      </w:r>
      <w:r w:rsidRPr="007F4B68">
        <w:t>IFN</w:t>
      </w:r>
      <w:r w:rsidRPr="00475DA0">
        <w:t>-</w:t>
      </w:r>
      <w:r>
        <w:t>γ</w:t>
      </w:r>
      <w:r w:rsidRPr="00475DA0">
        <w:t xml:space="preserve">), </w:t>
      </w:r>
      <w:r>
        <w:t xml:space="preserve">фосфорилирования </w:t>
      </w:r>
      <w:r w:rsidRPr="007F4B68">
        <w:t>JAK</w:t>
      </w:r>
      <w:r w:rsidRPr="00475DA0">
        <w:t>2/</w:t>
      </w:r>
      <w:r w:rsidRPr="007F4B68">
        <w:t>STAT</w:t>
      </w:r>
      <w:r w:rsidRPr="00475DA0">
        <w:t>3/</w:t>
      </w:r>
      <w:r w:rsidRPr="007F4B68">
        <w:t>STAT</w:t>
      </w:r>
      <w:r w:rsidRPr="00475DA0">
        <w:t xml:space="preserve">5 </w:t>
      </w:r>
      <w:r>
        <w:t>и</w:t>
      </w:r>
      <w:r w:rsidRPr="00475DA0">
        <w:t xml:space="preserve"> </w:t>
      </w:r>
      <w:r>
        <w:t>активности моноцитов, а так же угнетение синтеза MCP-1 в Т-клетках/</w:t>
      </w:r>
      <w:r w:rsidRPr="00394F18">
        <w:t>мононуклеарных клетках периферической крови (PBMC)/</w:t>
      </w:r>
      <w:r>
        <w:t xml:space="preserve">культурах цельной крови человека. В целом, исследования показали, что барицитиниб, вводимый при ≤ MHRD, может ингибировать опосредованную IL-6/IL-2/IL-12/IL-23 активацию путей JAK1/JAK2-JAK2/STAT в Т-клетках человека, а так </w:t>
      </w:r>
      <w:r w:rsidRPr="00394F18">
        <w:t>же IFN-γ,</w:t>
      </w:r>
      <w:r>
        <w:t xml:space="preserve"> IL-17, IL-22 и MCP-1. Это вызывает IL-23-опосредованную дифференцировку наивных CD4+ Т-клеток, в </w:t>
      </w:r>
      <w:r w:rsidRPr="00394F18">
        <w:t>Т-хелперные клетки типа 17 (Th17)</w:t>
      </w:r>
      <w:r>
        <w:t xml:space="preserve"> и IFN-γ </w:t>
      </w:r>
      <w:r>
        <w:fldChar w:fldCharType="begin"/>
      </w:r>
      <w:r>
        <w:instrText xml:space="preserve"> ADDIN ZOTERO_ITEM CSL_CITATION {"citationID":"m8NCiF1B","properties":{"formattedCitation":"[1]","plainCitation":"[1]","noteIndex":0},"citationItems":[{"id":3825,"uris":["http://zotero.org/groups/4514912/items/7R9UX5LD"],"itemData":{"id":3825,"type":"document","title":"Australian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fldChar w:fldCharType="separate"/>
      </w:r>
      <w:r w:rsidRPr="004A300A">
        <w:t>[1]</w:t>
      </w:r>
      <w:r>
        <w:fldChar w:fldCharType="end"/>
      </w:r>
      <w:r w:rsidRPr="00D21480">
        <w:t xml:space="preserve">. </w:t>
      </w:r>
    </w:p>
    <w:p w14:paraId="0D7B492A" w14:textId="0A5E7CD1" w:rsidR="00CF1BE3" w:rsidRDefault="00CF1BE3">
      <w:pPr>
        <w:spacing w:after="0" w:line="240" w:lineRule="auto"/>
        <w:ind w:firstLine="708"/>
        <w:contextualSpacing/>
      </w:pPr>
      <w:r>
        <w:t xml:space="preserve">На основании результатов анализов митогенеза в цельной крови </w:t>
      </w:r>
      <w:r w:rsidRPr="007F4B68">
        <w:rPr>
          <w:i/>
          <w:iCs/>
        </w:rPr>
        <w:t>in vitro</w:t>
      </w:r>
      <w:r>
        <w:t xml:space="preserve"> собаки были примерно в 2 раза более чувствительны к эффектам барицитиниба по сравнению с людьми и крысами (IC</w:t>
      </w:r>
      <w:r w:rsidRPr="007F4B68">
        <w:t>50</w:t>
      </w:r>
      <w:r>
        <w:t xml:space="preserve"> человека – 104 нмоль/л, IC</w:t>
      </w:r>
      <w:r w:rsidRPr="007F4B68">
        <w:t>50</w:t>
      </w:r>
      <w:r>
        <w:t xml:space="preserve"> крысы 128 нмоль/л, IC</w:t>
      </w:r>
      <w:r w:rsidRPr="007F4B68">
        <w:t>50</w:t>
      </w:r>
      <w:r>
        <w:t xml:space="preserve"> собаки 49 нмоль/л) (данные согласуются с более высокой частотой условно-патогенных вторичных инфекций в токсикологических исследованиях собак при многократном введении). В ходе исследований с использованием РВМС установили, что барицитиниб ингибирует передачу сигналов цитокинов наиболее сильно в отношении интерферонов и наименее эффективно в отношении цитокинов, зависимых от передачи сигналов IL-10 и JAK1/3, включая IL-4, IL-15 и IL-21; значения IC</w:t>
      </w:r>
      <w:r w:rsidRPr="007F4B68">
        <w:t>50</w:t>
      </w:r>
      <w:r>
        <w:t xml:space="preserve"> барицитиниба в целом сопоставимы со значениями тофацитиниба для стимуляции IL-6, IL-10, IFN-α и IFN-γ (диапазон IC</w:t>
      </w:r>
      <w:r w:rsidRPr="007F4B68">
        <w:t>50</w:t>
      </w:r>
      <w:r>
        <w:t xml:space="preserve"> барицитиниба </w:t>
      </w:r>
      <w:r w:rsidR="00970DBB">
        <w:t>от 6 до 246 нмоль/л ≈0,08–3,4*</w:t>
      </w:r>
      <w:r>
        <w:t>MHRD); значения IC</w:t>
      </w:r>
      <w:r w:rsidRPr="007F4B68">
        <w:t>50</w:t>
      </w:r>
      <w:r>
        <w:t xml:space="preserve"> барицитиниба для ингибирования продукции IL-4, IL-5, IL-15, IL-21, IL-6, IFN-α и </w:t>
      </w:r>
      <w:r w:rsidRPr="00394F18">
        <w:t>G-CSF</w:t>
      </w:r>
      <w:r>
        <w:t xml:space="preserve"> (г</w:t>
      </w:r>
      <w:r w:rsidRPr="00394F18">
        <w:t>ранулоцитарно-макрофагальный колониестимулирующий фактор</w:t>
      </w:r>
      <w:r>
        <w:t>) составили &lt; 72 нмоль/л. Барицитиниб является более мощным ингибитором передачи сигналов G-CSF по сравнению с тофацитинибом. Наибольшие различия между значениями IC</w:t>
      </w:r>
      <w:r w:rsidRPr="007F4B68">
        <w:t>50</w:t>
      </w:r>
      <w:r>
        <w:t xml:space="preserve"> барицитиниба и тофацитиниба были для тех цитокинов, которые передают сигналы через комплекс JAK1/3 (IL-4, IL-15 и IL-21; барицитиниб имеет более низкую активность в отношении JAK3 по сравнению с </w:t>
      </w:r>
      <w:r w:rsidRPr="00584253">
        <w:t xml:space="preserve">тофацитинибом) </w:t>
      </w:r>
      <w:r w:rsidRPr="00584253">
        <w:fldChar w:fldCharType="begin"/>
      </w:r>
      <w:r>
        <w:instrText xml:space="preserve"> ADDIN ZOTERO_ITEM CSL_CITATION {"citationID":"7m3PHkp1","properties":{"formattedCitation":"[1]","plainCitation":"[1]","noteIndex":0},"citationItems":[{"id":3825,"uris":["http://zotero.org/groups/4514912/items/7R9UX5LD"],"itemData":{"id":3825,"type":"document","title":"Australian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584253">
        <w:fldChar w:fldCharType="separate"/>
      </w:r>
      <w:r w:rsidRPr="004A300A">
        <w:t>[1]</w:t>
      </w:r>
      <w:r w:rsidRPr="00584253">
        <w:fldChar w:fldCharType="end"/>
      </w:r>
      <w:r w:rsidRPr="00584253">
        <w:t>.</w:t>
      </w:r>
      <w:r w:rsidRPr="00D21480">
        <w:t xml:space="preserve"> </w:t>
      </w:r>
    </w:p>
    <w:p w14:paraId="65E7227C" w14:textId="77777777" w:rsidR="00EB77C9" w:rsidRPr="00D21480" w:rsidRDefault="00EB77C9">
      <w:pPr>
        <w:spacing w:after="0" w:line="240" w:lineRule="auto"/>
        <w:ind w:firstLine="708"/>
        <w:contextualSpacing/>
      </w:pPr>
    </w:p>
    <w:p w14:paraId="4DB296B1" w14:textId="77777777" w:rsidR="00CF1BE3" w:rsidRPr="00CC2CC0" w:rsidRDefault="00CF1BE3" w:rsidP="00AB1FF1">
      <w:pPr>
        <w:pStyle w:val="4"/>
        <w:spacing w:before="0" w:after="240"/>
        <w:contextualSpacing/>
        <w:rPr>
          <w:color w:val="000000" w:themeColor="text1"/>
          <w:szCs w:val="24"/>
        </w:rPr>
      </w:pPr>
      <w:bookmarkStart w:id="77" w:name="_Toc120288133"/>
      <w:bookmarkEnd w:id="76"/>
      <w:r w:rsidRPr="00CC2CC0">
        <w:rPr>
          <w:color w:val="000000" w:themeColor="text1"/>
          <w:szCs w:val="24"/>
        </w:rPr>
        <w:lastRenderedPageBreak/>
        <w:t xml:space="preserve">3.1.2.2. Первичная фармакодинамика </w:t>
      </w:r>
      <w:r w:rsidRPr="00CC2CC0">
        <w:rPr>
          <w:i/>
          <w:color w:val="000000" w:themeColor="text1"/>
          <w:szCs w:val="24"/>
        </w:rPr>
        <w:t>in vivo</w:t>
      </w:r>
      <w:bookmarkEnd w:id="77"/>
    </w:p>
    <w:p w14:paraId="574BE29E" w14:textId="2BB4238D" w:rsidR="00CF1BE3" w:rsidRDefault="00CF1BE3">
      <w:pPr>
        <w:spacing w:after="0" w:line="240" w:lineRule="auto"/>
        <w:ind w:firstLine="708"/>
        <w:contextualSpacing/>
      </w:pPr>
      <w:r>
        <w:t xml:space="preserve">У мышей барицитиниб (внутрижелудочно, 10 мг/кг </w:t>
      </w:r>
      <w:r w:rsidRPr="00814CD9">
        <w:t>2 раза в день</w:t>
      </w:r>
      <w:r w:rsidR="00970DBB">
        <w:t>, что соответствовало ≈ 23*</w:t>
      </w:r>
      <w:r>
        <w:t xml:space="preserve">MHRD) вызывал 50% ингибирование отека уха мыши </w:t>
      </w:r>
      <w:r w:rsidRPr="00AB4460">
        <w:t>индуцированного 1-фтор-2,4-динитробензола.</w:t>
      </w:r>
    </w:p>
    <w:p w14:paraId="15419D0B" w14:textId="3770DFB2" w:rsidR="00CF1BE3" w:rsidRDefault="00CF1BE3">
      <w:pPr>
        <w:spacing w:after="0" w:line="240" w:lineRule="auto"/>
        <w:ind w:firstLine="708"/>
        <w:contextualSpacing/>
      </w:pPr>
      <w:r>
        <w:t>На модели артрита у мышей, индуцированного бычьим коллагеном II</w:t>
      </w:r>
      <w:r w:rsidRPr="00814CD9">
        <w:t xml:space="preserve"> </w:t>
      </w:r>
      <w:r>
        <w:t>типа, введение барицитиниба в доза</w:t>
      </w:r>
      <w:r w:rsidR="00970DBB">
        <w:t>х, превышающих или ≈ равных 7*</w:t>
      </w:r>
      <w:r>
        <w:t>MHRD в течение 16 дней после индукции заболевания, вызывало дозозависимое снижение клинической тяжести (снижение на ≥ 39% по сравнению с контрольной группой) без влияния на уровень антител к коллагену в сыворотке. После введения барицитиниба 2 раза в день в дозе ≈23 * MHRD регистрировали улучшение общей оценки состояния повреждения суставов на 47% по сравнению с контрольной группой (воспаление, паннус, повреждение кости).</w:t>
      </w:r>
    </w:p>
    <w:p w14:paraId="11327A14" w14:textId="77BDC579" w:rsidR="00CF1BE3" w:rsidRDefault="00CF1BE3" w:rsidP="00CF1BE3">
      <w:pPr>
        <w:spacing w:after="0" w:line="240" w:lineRule="auto"/>
        <w:ind w:firstLine="708"/>
      </w:pPr>
      <w:r>
        <w:t xml:space="preserve">На модели артрита у мышей с антителами против коллагена II типа введение барицитиниба </w:t>
      </w:r>
      <w:r w:rsidR="00970DBB">
        <w:t>2 раза в день в дозах ≈2 и 23*</w:t>
      </w:r>
      <w:r>
        <w:t>MHRD приводило к улучшению клинических признаков заболевания на 13% и 56% соответственно по сравнению с контрольной группой. Введ</w:t>
      </w:r>
      <w:r w:rsidR="00970DBB">
        <w:t>ение барицитиниба в дозах ≈23*</w:t>
      </w:r>
      <w:r>
        <w:t>MHRD уменьшало паннус, повреждение костей, повреждение хрящей, признаки воспаления и приводило к улучшению совокупной оценки заболевания на 53% по сравнению с контрольной группой.</w:t>
      </w:r>
    </w:p>
    <w:p w14:paraId="588204E4" w14:textId="797C55BE" w:rsidR="00CF1BE3" w:rsidRDefault="00CF1BE3" w:rsidP="00CF1BE3">
      <w:pPr>
        <w:spacing w:after="0" w:line="240" w:lineRule="auto"/>
        <w:ind w:firstLine="708"/>
      </w:pPr>
      <w:r>
        <w:t>В модели адъювантного артрита у крыс введение барици</w:t>
      </w:r>
      <w:r w:rsidR="00970DBB">
        <w:t>тиниба в дозе около 2, 7 и 23*</w:t>
      </w:r>
      <w:r>
        <w:t>MHRD приводило к значительному дозозависимому снижению показателей заболевания (≥ 24%) в течение 2 дней после начала лечения. В</w:t>
      </w:r>
      <w:r w:rsidR="00970DBB">
        <w:t>ведение барицитиниба в дозе 2*</w:t>
      </w:r>
      <w:r>
        <w:t>MHRD привело к уменьшению объема лапы на 50% по сравнению с контролем через 2 недели лечения. Введение барицитиниба приводило к значительному дозозависимому подавлению воспаления суставов (уменьшение на ≥ 27%), уменьшению ширины предплюсны (≥ 19%), уменьшению резорбции костей (снижение на ≥ 15%) и восстановлению нормальной рентгенографической архитектуры пред</w:t>
      </w:r>
      <w:r w:rsidR="00970DBB">
        <w:t>плюсны. Барицитиниб в дозе 23*</w:t>
      </w:r>
      <w:r>
        <w:t>MHRD в течение 2 недель ингибировал матричную рибонуклеиновую кислоту (мРНК) IFN-γ, IL-12a, IL-17, IL-21 и IL-22 (для каждого цитокина ≥ 55%) в дренирующих лимфатических узлах.</w:t>
      </w:r>
    </w:p>
    <w:p w14:paraId="34AC21D0" w14:textId="2394A0F8" w:rsidR="00EB77C9" w:rsidRPr="00584253" w:rsidRDefault="00CF1BE3" w:rsidP="00A3301D">
      <w:pPr>
        <w:spacing w:after="0" w:line="240" w:lineRule="auto"/>
        <w:ind w:firstLine="708"/>
        <w:contextualSpacing/>
      </w:pPr>
      <w:r>
        <w:t xml:space="preserve">В целом, представленные исследования </w:t>
      </w:r>
      <w:r w:rsidRPr="009868BC">
        <w:rPr>
          <w:i/>
          <w:iCs/>
        </w:rPr>
        <w:t>in vivo</w:t>
      </w:r>
      <w:r>
        <w:t xml:space="preserve"> обеспечили качественное доказательство концепции эффективности, но прямая количественная экстраполяция дозы на человека была затруднена из-за неопределенностей в отношении относительной чувствительности моделей на животных по сравнению с клиническим заболеванием </w:t>
      </w:r>
      <w:r w:rsidRPr="00584253">
        <w:t xml:space="preserve">человека </w:t>
      </w:r>
      <w:r w:rsidRPr="00584253">
        <w:fldChar w:fldCharType="begin"/>
      </w:r>
      <w:r>
        <w:instrText xml:space="preserve"> ADDIN ZOTERO_ITEM CSL_CITATION {"citationID":"u7s7QUiJ","properties":{"formattedCitation":"[2]","plainCitation":"[2]","noteIndex":0},"citationItems":[{"id":3826,"uris":["http://zotero.org/groups/4514912/items/UB7ESC4C"],"itemData":{"id":3826,"type":"document","title":"Assessment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584253">
        <w:fldChar w:fldCharType="separate"/>
      </w:r>
      <w:r w:rsidRPr="004A300A">
        <w:t>[2]</w:t>
      </w:r>
      <w:r w:rsidRPr="00584253">
        <w:fldChar w:fldCharType="end"/>
      </w:r>
      <w:r w:rsidR="00EB77C9">
        <w:t>.</w:t>
      </w:r>
    </w:p>
    <w:p w14:paraId="56AD26B1" w14:textId="77777777" w:rsidR="00970DBB" w:rsidRPr="00A3301D" w:rsidRDefault="00970DBB" w:rsidP="00AB1FF1">
      <w:pPr>
        <w:spacing w:after="0" w:line="240" w:lineRule="auto"/>
        <w:ind w:firstLine="708"/>
        <w:contextualSpacing/>
      </w:pPr>
    </w:p>
    <w:p w14:paraId="6DB95FD5" w14:textId="77777777" w:rsidR="00CF1BE3" w:rsidRPr="00CC2CC0" w:rsidRDefault="00CF1BE3" w:rsidP="00A3301D">
      <w:pPr>
        <w:spacing w:before="240" w:after="240" w:line="240" w:lineRule="auto"/>
        <w:contextualSpacing/>
        <w:outlineLvl w:val="2"/>
        <w:rPr>
          <w:b/>
          <w:color w:val="000000" w:themeColor="text1"/>
        </w:rPr>
      </w:pPr>
      <w:bookmarkStart w:id="78" w:name="_Toc120288134"/>
      <w:r w:rsidRPr="00584253">
        <w:rPr>
          <w:b/>
          <w:color w:val="000000" w:themeColor="text1"/>
        </w:rPr>
        <w:t>3.1.3.</w:t>
      </w:r>
      <w:bookmarkStart w:id="79" w:name="_Hlk521883759"/>
      <w:r w:rsidRPr="00584253">
        <w:rPr>
          <w:b/>
          <w:color w:val="000000" w:themeColor="text1"/>
        </w:rPr>
        <w:t xml:space="preserve"> Вторичная фармакодинамика</w:t>
      </w:r>
      <w:bookmarkStart w:id="80" w:name="_Toc320631473"/>
      <w:bookmarkStart w:id="81" w:name="_Toc323751703"/>
      <w:bookmarkEnd w:id="78"/>
    </w:p>
    <w:p w14:paraId="4BB2407F" w14:textId="77777777" w:rsidR="00970DBB" w:rsidRDefault="00970DBB" w:rsidP="00A3301D">
      <w:pPr>
        <w:autoSpaceDE w:val="0"/>
        <w:autoSpaceDN w:val="0"/>
        <w:adjustRightInd w:val="0"/>
        <w:spacing w:after="0" w:line="240" w:lineRule="auto"/>
        <w:ind w:firstLine="708"/>
        <w:contextualSpacing/>
      </w:pPr>
      <w:bookmarkStart w:id="82" w:name="_Toc499821139"/>
      <w:bookmarkEnd w:id="79"/>
    </w:p>
    <w:p w14:paraId="7B9E63B7" w14:textId="0533933E" w:rsidR="00CF1BE3" w:rsidRDefault="00CF1BE3" w:rsidP="00A3301D">
      <w:pPr>
        <w:autoSpaceDE w:val="0"/>
        <w:autoSpaceDN w:val="0"/>
        <w:adjustRightInd w:val="0"/>
        <w:spacing w:after="0" w:line="240" w:lineRule="auto"/>
        <w:ind w:firstLine="708"/>
        <w:contextualSpacing/>
      </w:pPr>
      <w:r>
        <w:t>Б</w:t>
      </w:r>
      <w:r w:rsidR="00970DBB">
        <w:t>арицитиниб (концентрации ≤ 14*</w:t>
      </w:r>
      <w:r>
        <w:t>MHRD) не проявлял фармакологически значимых взаимодействий в стандартной валидированной батарее контролируемых клеточных тестов, которая включала широкий спектр рецепторов, ионных каналов и транспортеров.</w:t>
      </w:r>
    </w:p>
    <w:p w14:paraId="06644EB5" w14:textId="78B7764A" w:rsidR="00CF1BE3" w:rsidRDefault="00CF1BE3" w:rsidP="00970DBB">
      <w:pPr>
        <w:autoSpaceDE w:val="0"/>
        <w:autoSpaceDN w:val="0"/>
        <w:adjustRightInd w:val="0"/>
        <w:spacing w:after="0" w:line="240" w:lineRule="auto"/>
        <w:ind w:firstLine="708"/>
        <w:contextualSpacing/>
      </w:pPr>
      <w:r>
        <w:t>Барицитиниб в концентрациях 3</w:t>
      </w:r>
      <w:r w:rsidR="00970DBB">
        <w:t>*</w:t>
      </w:r>
      <w:r>
        <w:t>MHRD селективно ингибировал JAK2 и JAK3, не ингибируя 28 других киназ в РВМС и в лизатах моноцитарных клеточных линий. Он был наиболее активен в отношении JAK1, JAK2 и тирозинкиназы 2 со значениями IC</w:t>
      </w:r>
      <w:r w:rsidRPr="009868BC">
        <w:rPr>
          <w:vertAlign w:val="subscript"/>
        </w:rPr>
        <w:t>50</w:t>
      </w:r>
      <w:r>
        <w:t xml:space="preserve"> от 0,4</w:t>
      </w:r>
      <w:r w:rsidR="00970DBB">
        <w:t xml:space="preserve"> до 0,9*</w:t>
      </w:r>
      <w:r>
        <w:t>MHRD, имел умеренное сродство к CaMK2d (к</w:t>
      </w:r>
      <w:r w:rsidRPr="00AB4460">
        <w:t>альций/кальмодулинзависимая протеинкиназа</w:t>
      </w:r>
      <w:r>
        <w:t>) и CaMK2g (к</w:t>
      </w:r>
      <w:r w:rsidRPr="00AB4460">
        <w:t xml:space="preserve">альций/кальмодулинзависимая протеинкиназа II </w:t>
      </w:r>
      <w:r>
        <w:t>ℽ</w:t>
      </w:r>
      <w:r w:rsidR="00970DBB">
        <w:t>) при 2*</w:t>
      </w:r>
      <w:r>
        <w:t>MHRD и имел незн</w:t>
      </w:r>
      <w:r w:rsidR="00970DBB">
        <w:t>ачительную активность при ≥ 7*</w:t>
      </w:r>
      <w:r>
        <w:t>MHRD для более чем 250 других киназ.</w:t>
      </w:r>
    </w:p>
    <w:p w14:paraId="223D04A7" w14:textId="565D0219" w:rsidR="00EB77C9" w:rsidRPr="00A3301D" w:rsidRDefault="00CF1BE3" w:rsidP="00A3301D">
      <w:pPr>
        <w:autoSpaceDE w:val="0"/>
        <w:autoSpaceDN w:val="0"/>
        <w:adjustRightInd w:val="0"/>
        <w:spacing w:after="0" w:line="240" w:lineRule="auto"/>
        <w:ind w:firstLine="708"/>
        <w:contextualSpacing/>
        <w:rPr>
          <w:highlight w:val="yellow"/>
        </w:rPr>
      </w:pPr>
      <w:r>
        <w:lastRenderedPageBreak/>
        <w:t>Вторичные фармакологически индуциро</w:t>
      </w:r>
      <w:r w:rsidRPr="00584253">
        <w:t xml:space="preserve">ванные побочные эффекты маловероятны при предложенной величине MHRD барицитиниба </w:t>
      </w:r>
      <w:r w:rsidRPr="00584253">
        <w:fldChar w:fldCharType="begin"/>
      </w:r>
      <w:r>
        <w:instrText xml:space="preserve"> ADDIN ZOTERO_ITEM CSL_CITATION {"citationID":"qBM1QJVe","properties":{"formattedCitation":"[2]","plainCitation":"[2]","noteIndex":0},"citationItems":[{"id":3826,"uris":["http://zotero.org/groups/4514912/items/UB7ESC4C"],"itemData":{"id":3826,"type":"document","title":"Assessment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584253">
        <w:fldChar w:fldCharType="separate"/>
      </w:r>
      <w:r w:rsidRPr="004A300A">
        <w:t>[2]</w:t>
      </w:r>
      <w:r w:rsidRPr="00584253">
        <w:fldChar w:fldCharType="end"/>
      </w:r>
      <w:r w:rsidRPr="00584253">
        <w:t>.</w:t>
      </w:r>
    </w:p>
    <w:p w14:paraId="322DA220" w14:textId="77777777" w:rsidR="00A3301D" w:rsidRDefault="00A3301D" w:rsidP="00AB1FF1">
      <w:pPr>
        <w:autoSpaceDE w:val="0"/>
        <w:autoSpaceDN w:val="0"/>
        <w:adjustRightInd w:val="0"/>
        <w:spacing w:after="0" w:line="240" w:lineRule="auto"/>
        <w:ind w:firstLine="708"/>
        <w:contextualSpacing/>
      </w:pPr>
    </w:p>
    <w:p w14:paraId="25CF12C3" w14:textId="77777777" w:rsidR="00CF1BE3" w:rsidRPr="00CC2CC0" w:rsidRDefault="00CF1BE3" w:rsidP="00970DBB">
      <w:pPr>
        <w:spacing w:before="240" w:after="240" w:line="240" w:lineRule="auto"/>
        <w:contextualSpacing/>
        <w:outlineLvl w:val="2"/>
        <w:rPr>
          <w:b/>
          <w:color w:val="000000" w:themeColor="text1"/>
        </w:rPr>
      </w:pPr>
      <w:bookmarkStart w:id="83" w:name="_Toc120288135"/>
      <w:r w:rsidRPr="00CC2CC0">
        <w:rPr>
          <w:b/>
          <w:color w:val="000000" w:themeColor="text1"/>
        </w:rPr>
        <w:t>3.1.4. Фармакологическая безопасност</w:t>
      </w:r>
      <w:bookmarkEnd w:id="82"/>
      <w:r w:rsidRPr="00CC2CC0">
        <w:rPr>
          <w:b/>
          <w:color w:val="000000" w:themeColor="text1"/>
        </w:rPr>
        <w:t>ь</w:t>
      </w:r>
      <w:bookmarkEnd w:id="83"/>
    </w:p>
    <w:p w14:paraId="7B0AB259" w14:textId="77777777" w:rsidR="00970DBB" w:rsidRDefault="00970DBB" w:rsidP="00970DBB">
      <w:pPr>
        <w:spacing w:after="0" w:line="240" w:lineRule="auto"/>
        <w:ind w:firstLine="709"/>
        <w:contextualSpacing/>
        <w:rPr>
          <w:lang w:eastAsia="en-US"/>
        </w:rPr>
      </w:pPr>
      <w:bookmarkStart w:id="84" w:name="_Toc468892922"/>
      <w:bookmarkStart w:id="85" w:name="_Hlk521883819"/>
    </w:p>
    <w:p w14:paraId="140F9723" w14:textId="2E7FE0A4" w:rsidR="00CF1BE3" w:rsidRDefault="00CF1BE3" w:rsidP="00970DBB">
      <w:pPr>
        <w:spacing w:after="0" w:line="240" w:lineRule="auto"/>
        <w:ind w:firstLine="709"/>
        <w:contextualSpacing/>
        <w:rPr>
          <w:lang w:eastAsia="en-US"/>
        </w:rPr>
      </w:pPr>
      <w:r>
        <w:rPr>
          <w:lang w:eastAsia="en-US"/>
        </w:rPr>
        <w:t>Воздействие на двигательную активность (снижение произвольной двигательной активности) наблюдалось только у кры</w:t>
      </w:r>
      <w:r w:rsidR="00970DBB">
        <w:rPr>
          <w:lang w:eastAsia="en-US"/>
        </w:rPr>
        <w:t>с при дозах барицитиниба &gt;23*</w:t>
      </w:r>
      <w:r>
        <w:rPr>
          <w:lang w:eastAsia="en-US"/>
        </w:rPr>
        <w:t>MHRD внутрижелудочно.</w:t>
      </w:r>
    </w:p>
    <w:p w14:paraId="3525DA74" w14:textId="70680BD0" w:rsidR="00CF1BE3" w:rsidRDefault="00CF1BE3" w:rsidP="00CF1BE3">
      <w:pPr>
        <w:spacing w:after="0" w:line="240" w:lineRule="auto"/>
        <w:ind w:firstLine="709"/>
        <w:rPr>
          <w:lang w:eastAsia="en-US"/>
        </w:rPr>
      </w:pPr>
      <w:r>
        <w:rPr>
          <w:lang w:eastAsia="en-US"/>
        </w:rPr>
        <w:t>Хотя влияние барицитиниба на натриевые (NaV1.5 (SCN5a)) и калиевые (IKS) каналы не оценивалось, было показано, что риск удлинения интервала QT за счет ингибирования калиевых каналов (hERG) барицитинибом минимален (IC</w:t>
      </w:r>
      <w:r w:rsidRPr="009868BC">
        <w:rPr>
          <w:vertAlign w:val="subscript"/>
          <w:lang w:eastAsia="en-US"/>
        </w:rPr>
        <w:t>50</w:t>
      </w:r>
      <w:r>
        <w:rPr>
          <w:lang w:eastAsia="en-US"/>
        </w:rPr>
        <w:t xml:space="preserve"> &gt;1800 * </w:t>
      </w:r>
      <w:r>
        <w:t>MHRD</w:t>
      </w:r>
      <w:r>
        <w:rPr>
          <w:lang w:eastAsia="en-US"/>
        </w:rPr>
        <w:t>). Токсикологические исследования повторных доз у собак при дозах, превышающих 24</w:t>
      </w:r>
      <w:r w:rsidR="00970DBB">
        <w:rPr>
          <w:lang w:eastAsia="en-US"/>
        </w:rPr>
        <w:t>*</w:t>
      </w:r>
      <w:r>
        <w:rPr>
          <w:lang w:eastAsia="en-US"/>
        </w:rPr>
        <w:t xml:space="preserve">MHRD (расчет на основании AUC </w:t>
      </w:r>
      <w:r w:rsidRPr="00AB4460">
        <w:rPr>
          <w:lang w:eastAsia="en-US"/>
        </w:rPr>
        <w:t>[</w:t>
      </w:r>
      <w:r>
        <w:rPr>
          <w:lang w:eastAsia="en-US"/>
        </w:rPr>
        <w:t>площадь под фармакокинетической кривой «плазменная концентрация–время»</w:t>
      </w:r>
      <w:r w:rsidRPr="00AB4460">
        <w:rPr>
          <w:lang w:eastAsia="en-US"/>
        </w:rPr>
        <w:t>]</w:t>
      </w:r>
      <w:r>
        <w:rPr>
          <w:lang w:eastAsia="en-US"/>
        </w:rPr>
        <w:t xml:space="preserve">), не выявили неблагоприятного воздействия на параметры </w:t>
      </w:r>
      <w:r w:rsidRPr="00AB4460">
        <w:rPr>
          <w:lang w:eastAsia="en-US"/>
        </w:rPr>
        <w:t>электрокардиограммы (ЭКГ</w:t>
      </w:r>
      <w:r>
        <w:rPr>
          <w:lang w:eastAsia="en-US"/>
        </w:rPr>
        <w:t>). У собак наблюдались незначительное повышение частоты сердечных сокращений и незначительное преходящее снижение артериального давления, но только при введении</w:t>
      </w:r>
      <w:r w:rsidR="00970DBB">
        <w:rPr>
          <w:lang w:eastAsia="en-US"/>
        </w:rPr>
        <w:t xml:space="preserve"> супратерапевтических доз (≥ 19*</w:t>
      </w:r>
      <w:r>
        <w:rPr>
          <w:lang w:eastAsia="en-US"/>
        </w:rPr>
        <w:t>MHRD).</w:t>
      </w:r>
    </w:p>
    <w:p w14:paraId="6CE019A1" w14:textId="7B2CF8A4" w:rsidR="0029110D" w:rsidRDefault="00CF1BE3" w:rsidP="0029110D">
      <w:pPr>
        <w:spacing w:after="0" w:line="240" w:lineRule="auto"/>
        <w:ind w:firstLine="709"/>
        <w:contextualSpacing/>
      </w:pPr>
      <w:r>
        <w:rPr>
          <w:lang w:eastAsia="en-US"/>
        </w:rPr>
        <w:t>Не зарегистрировали влияния на функциональную активность дыхательной системы крыс при внутрижелудочном введении барицитини</w:t>
      </w:r>
      <w:r w:rsidR="00970DBB">
        <w:rPr>
          <w:lang w:eastAsia="en-US"/>
        </w:rPr>
        <w:t>ба в дозах 23*</w:t>
      </w:r>
      <w:r>
        <w:rPr>
          <w:lang w:eastAsia="en-US"/>
        </w:rPr>
        <w:t>MHRD (расчет на основании C</w:t>
      </w:r>
      <w:r w:rsidRPr="00AB1FF1">
        <w:rPr>
          <w:vertAlign w:val="subscript"/>
          <w:lang w:eastAsia="en-US"/>
        </w:rPr>
        <w:t>max</w:t>
      </w:r>
      <w:r>
        <w:rPr>
          <w:lang w:eastAsia="en-US"/>
        </w:rPr>
        <w:t xml:space="preserve">). Риск нежелательных явлений со стороны дыхательной системы при применении барицитиниба в MHRD </w:t>
      </w:r>
      <w:r w:rsidRPr="00584253">
        <w:rPr>
          <w:lang w:eastAsia="en-US"/>
        </w:rPr>
        <w:t>низкий</w:t>
      </w:r>
      <w:r w:rsidRPr="00584253">
        <w:t xml:space="preserve"> </w:t>
      </w:r>
      <w:r w:rsidRPr="00584253">
        <w:fldChar w:fldCharType="begin"/>
      </w:r>
      <w:r>
        <w:instrText xml:space="preserve"> ADDIN ZOTERO_ITEM CSL_CITATION {"citationID":"CNZ2GVgz","properties":{"formattedCitation":"[2,3]","plainCitation":"[2,3]","noteIndex":0},"citationItems":[{"id":3826,"uris":["http://zotero.org/groups/4514912/items/UB7ESC4C"],"itemData":{"id":3826,"type":"document","title":"Assessment report. Olumiant International non-proprietary name: baricitinib. Procedure No. EMEA/H/C/004085/0000. 2016"},"label":"page"},{"id":3930,"uris":["http://zotero.org/groups/4514912/items/A66GE4NE"],"itemData":{"id":3930,"type":"document","title":"U.S. Food and Drug Administration. Drug Approval PackagOLUMIANT® (baricitinib)."},"label":"page"}],"schema":"https://github.com/citation-style-language/schema/raw/master/csl-citation.json"} </w:instrText>
      </w:r>
      <w:r w:rsidRPr="00584253">
        <w:fldChar w:fldCharType="separate"/>
      </w:r>
      <w:r w:rsidRPr="004A300A">
        <w:t>[2,3]</w:t>
      </w:r>
      <w:r w:rsidRPr="00584253">
        <w:fldChar w:fldCharType="end"/>
      </w:r>
      <w:r>
        <w:t>.</w:t>
      </w:r>
      <w:bookmarkEnd w:id="84"/>
      <w:bookmarkEnd w:id="85"/>
    </w:p>
    <w:p w14:paraId="443E0BFE" w14:textId="77777777" w:rsidR="00CF1BE3" w:rsidRPr="005E6358" w:rsidRDefault="00CF1BE3" w:rsidP="00970DBB">
      <w:pPr>
        <w:spacing w:before="240" w:after="240" w:line="240" w:lineRule="auto"/>
        <w:outlineLvl w:val="2"/>
        <w:rPr>
          <w:b/>
          <w:color w:val="000000" w:themeColor="text1"/>
        </w:rPr>
      </w:pPr>
      <w:bookmarkStart w:id="86" w:name="_Toc120288136"/>
      <w:r w:rsidRPr="005E6358">
        <w:rPr>
          <w:b/>
          <w:color w:val="000000" w:themeColor="text1"/>
        </w:rPr>
        <w:t>3.1.</w:t>
      </w:r>
      <w:r>
        <w:rPr>
          <w:b/>
          <w:color w:val="000000" w:themeColor="text1"/>
        </w:rPr>
        <w:t>5</w:t>
      </w:r>
      <w:r w:rsidRPr="005E6358">
        <w:rPr>
          <w:b/>
          <w:color w:val="000000" w:themeColor="text1"/>
        </w:rPr>
        <w:t>. Фармакодинамические лекарственные взаимодействия</w:t>
      </w:r>
      <w:bookmarkEnd w:id="86"/>
    </w:p>
    <w:bookmarkEnd w:id="80"/>
    <w:bookmarkEnd w:id="81"/>
    <w:p w14:paraId="1B5EF973" w14:textId="77777777" w:rsidR="00CF1BE3" w:rsidRDefault="00CF1BE3" w:rsidP="00970DBB">
      <w:pPr>
        <w:spacing w:after="0" w:line="240" w:lineRule="auto"/>
        <w:ind w:firstLine="709"/>
        <w:contextualSpacing/>
      </w:pPr>
      <w:r w:rsidRPr="006A3F1A">
        <w:t>Исследований не проводилось.</w:t>
      </w:r>
    </w:p>
    <w:p w14:paraId="25947304" w14:textId="77777777" w:rsidR="00CF1BE3" w:rsidRDefault="00CF1BE3" w:rsidP="00970DBB">
      <w:pPr>
        <w:pStyle w:val="2"/>
        <w:tabs>
          <w:tab w:val="left" w:pos="284"/>
          <w:tab w:val="left" w:pos="567"/>
        </w:tabs>
        <w:spacing w:line="240" w:lineRule="auto"/>
        <w:contextualSpacing/>
        <w:rPr>
          <w:color w:val="000000" w:themeColor="text1"/>
        </w:rPr>
      </w:pPr>
      <w:bookmarkStart w:id="87" w:name="_Toc120288137"/>
      <w:r w:rsidRPr="005E6358">
        <w:rPr>
          <w:color w:val="000000" w:themeColor="text1"/>
        </w:rPr>
        <w:t>3.2. Доклиническая фармакокинетика</w:t>
      </w:r>
      <w:bookmarkEnd w:id="87"/>
    </w:p>
    <w:p w14:paraId="5DF3750A" w14:textId="7C2E601A" w:rsidR="00EB77C9" w:rsidRPr="00A3301D" w:rsidRDefault="00CF1BE3" w:rsidP="00A3301D">
      <w:pPr>
        <w:spacing w:after="0" w:line="240" w:lineRule="auto"/>
        <w:ind w:firstLine="708"/>
        <w:contextualSpacing/>
        <w:rPr>
          <w:highlight w:val="yellow"/>
          <w:lang w:eastAsia="ru-RU"/>
        </w:rPr>
      </w:pPr>
      <w:bookmarkStart w:id="88" w:name="_Toc484199228"/>
      <w:bookmarkStart w:id="89" w:name="_Toc10578060"/>
      <w:bookmarkStart w:id="90" w:name="_Hlk521883862"/>
      <w:bookmarkStart w:id="91" w:name="_Toc483835323"/>
      <w:bookmarkStart w:id="92" w:name="_Toc484591394"/>
      <w:bookmarkStart w:id="93" w:name="_Toc415001099"/>
      <w:bookmarkStart w:id="94" w:name="_Toc298775544"/>
      <w:r w:rsidRPr="004F226F">
        <w:rPr>
          <w:lang w:eastAsia="ru-RU"/>
        </w:rPr>
        <w:t>Доклинические исследования абсорбции, распределения, метаболизма и выделения (ADME) проводились на тех же видах и, как правило, на тех же штаммах</w:t>
      </w:r>
      <w:r>
        <w:rPr>
          <w:lang w:eastAsia="ru-RU"/>
        </w:rPr>
        <w:t xml:space="preserve"> микроорганизмов</w:t>
      </w:r>
      <w:r w:rsidRPr="004F226F">
        <w:rPr>
          <w:lang w:eastAsia="ru-RU"/>
        </w:rPr>
        <w:t>, которые использовались в токсикологических исследованиях. Фармакокинетика</w:t>
      </w:r>
      <w:r>
        <w:rPr>
          <w:lang w:eastAsia="ru-RU"/>
        </w:rPr>
        <w:t xml:space="preserve"> </w:t>
      </w:r>
      <w:r w:rsidRPr="004F226F">
        <w:rPr>
          <w:lang w:eastAsia="ru-RU"/>
        </w:rPr>
        <w:t xml:space="preserve">барицитиниба была исследована при однократном внутривенном или </w:t>
      </w:r>
      <w:r>
        <w:rPr>
          <w:lang w:eastAsia="ru-RU"/>
        </w:rPr>
        <w:t>внутрижелудочном/</w:t>
      </w:r>
      <w:r w:rsidRPr="004F226F">
        <w:rPr>
          <w:lang w:eastAsia="ru-RU"/>
        </w:rPr>
        <w:t>пероральном</w:t>
      </w:r>
      <w:r>
        <w:rPr>
          <w:lang w:eastAsia="ru-RU"/>
        </w:rPr>
        <w:t xml:space="preserve"> </w:t>
      </w:r>
      <w:r w:rsidRPr="004F226F">
        <w:rPr>
          <w:lang w:eastAsia="ru-RU"/>
        </w:rPr>
        <w:t xml:space="preserve">введении на мышах, крысах, собаках и обезьянах. Токсикокинетику многократных доз исследовали при ежедневном </w:t>
      </w:r>
      <w:r>
        <w:rPr>
          <w:lang w:eastAsia="ru-RU"/>
        </w:rPr>
        <w:t>внутрижелудочном</w:t>
      </w:r>
      <w:r w:rsidRPr="004F226F">
        <w:rPr>
          <w:lang w:eastAsia="ru-RU"/>
        </w:rPr>
        <w:t xml:space="preserve"> введении, что является предполагаемым клиническим путем, у мышей CD-1, мышей Tg-rasH2, крыс Sprague Dawley, собак породы бигль и (беременных) кроликов. Составы, использованные в исследованиях распределения, в целом были такими же, как и в базовых исследованиях токсичности.</w:t>
      </w:r>
    </w:p>
    <w:p w14:paraId="06F64F46" w14:textId="77777777" w:rsidR="00A3301D" w:rsidRDefault="00A3301D" w:rsidP="00AB1FF1">
      <w:pPr>
        <w:spacing w:after="0" w:line="240" w:lineRule="auto"/>
        <w:ind w:firstLine="708"/>
        <w:contextualSpacing/>
      </w:pPr>
    </w:p>
    <w:p w14:paraId="5309BD5E" w14:textId="77777777" w:rsidR="00CF1BE3" w:rsidRPr="001B1959" w:rsidRDefault="00CF1BE3" w:rsidP="00970DBB">
      <w:pPr>
        <w:spacing w:before="240" w:after="240" w:line="240" w:lineRule="auto"/>
        <w:contextualSpacing/>
        <w:outlineLvl w:val="2"/>
        <w:rPr>
          <w:b/>
          <w:color w:val="000000" w:themeColor="text1"/>
        </w:rPr>
      </w:pPr>
      <w:bookmarkStart w:id="95" w:name="_Toc120288138"/>
      <w:r w:rsidRPr="001B1959">
        <w:rPr>
          <w:b/>
          <w:color w:val="000000" w:themeColor="text1"/>
        </w:rPr>
        <w:t>3</w:t>
      </w:r>
      <w:r>
        <w:rPr>
          <w:b/>
          <w:color w:val="000000" w:themeColor="text1"/>
        </w:rPr>
        <w:t xml:space="preserve">.2.1. </w:t>
      </w:r>
      <w:bookmarkEnd w:id="88"/>
      <w:bookmarkEnd w:id="89"/>
      <w:r>
        <w:rPr>
          <w:b/>
          <w:bCs/>
          <w:iCs/>
          <w:color w:val="000000" w:themeColor="text1"/>
          <w:szCs w:val="28"/>
        </w:rPr>
        <w:t>Всасывание</w:t>
      </w:r>
      <w:bookmarkEnd w:id="95"/>
    </w:p>
    <w:p w14:paraId="745690EC" w14:textId="77777777" w:rsidR="00970DBB" w:rsidRDefault="00970DBB" w:rsidP="00970DBB">
      <w:pPr>
        <w:spacing w:after="0" w:line="240" w:lineRule="auto"/>
        <w:ind w:firstLine="708"/>
        <w:contextualSpacing/>
      </w:pPr>
      <w:bookmarkStart w:id="96" w:name="_Toc483835321"/>
      <w:bookmarkStart w:id="97" w:name="_Toc484591392"/>
      <w:bookmarkStart w:id="98" w:name="_Toc484199229"/>
      <w:bookmarkStart w:id="99" w:name="_Toc10578061"/>
    </w:p>
    <w:p w14:paraId="37B2B0D1" w14:textId="78B39B99" w:rsidR="00CF1BE3" w:rsidRDefault="00CF1BE3" w:rsidP="00970DBB">
      <w:pPr>
        <w:spacing w:after="0" w:line="240" w:lineRule="auto"/>
        <w:ind w:firstLine="708"/>
        <w:contextualSpacing/>
      </w:pPr>
      <w:r w:rsidRPr="00CC2CC0">
        <w:t xml:space="preserve">На основании исследований </w:t>
      </w:r>
      <w:r w:rsidRPr="009868BC">
        <w:rPr>
          <w:i/>
          <w:iCs/>
        </w:rPr>
        <w:t>in vitro</w:t>
      </w:r>
      <w:r w:rsidRPr="00CC2CC0">
        <w:t xml:space="preserve"> на клетках </w:t>
      </w:r>
      <w:r>
        <w:t>С</w:t>
      </w:r>
      <w:r w:rsidRPr="00CC2CC0">
        <w:t xml:space="preserve">aco-2 барицитиниб имел кажущийся коэффициент проницаемости </w:t>
      </w:r>
      <w:r>
        <w:t xml:space="preserve">в </w:t>
      </w:r>
      <w:r w:rsidRPr="00CC2CC0">
        <w:t>апикально-баз</w:t>
      </w:r>
      <w:r>
        <w:t xml:space="preserve">альном направлении </w:t>
      </w:r>
      <w:r w:rsidRPr="00CC2CC0">
        <w:t>энтеро</w:t>
      </w:r>
      <w:r>
        <w:t xml:space="preserve">цитов </w:t>
      </w:r>
      <w:r w:rsidRPr="00CC2CC0">
        <w:t xml:space="preserve">от низкого до умеренного. </w:t>
      </w:r>
      <w:r>
        <w:t>При введении меченного барици</w:t>
      </w:r>
      <w:r w:rsidR="0029110D">
        <w:t>ти</w:t>
      </w:r>
      <w:r>
        <w:t xml:space="preserve">ниба регистрировали быстрое всасывание </w:t>
      </w:r>
      <w:r w:rsidRPr="00CC2CC0">
        <w:t>(</w:t>
      </w:r>
      <w:r w:rsidR="00331076">
        <w:rPr>
          <w:lang w:val="en-US"/>
        </w:rPr>
        <w:t>T</w:t>
      </w:r>
      <w:r w:rsidR="00331076" w:rsidRPr="00AB1FF1">
        <w:rPr>
          <w:vertAlign w:val="subscript"/>
        </w:rPr>
        <w:t>max</w:t>
      </w:r>
      <w:r w:rsidR="00331076" w:rsidRPr="00C01A66">
        <w:t xml:space="preserve"> </w:t>
      </w:r>
      <w:r w:rsidRPr="00C01A66">
        <w:t>[время достижения максимальной концентрации]</w:t>
      </w:r>
      <w:r w:rsidRPr="00CC2CC0">
        <w:t xml:space="preserve"> </w:t>
      </w:r>
      <w:r>
        <w:t>р</w:t>
      </w:r>
      <w:r w:rsidRPr="00CC2CC0">
        <w:t>адиоактивност</w:t>
      </w:r>
      <w:r>
        <w:t>и</w:t>
      </w:r>
      <w:r w:rsidRPr="00CC2CC0">
        <w:t xml:space="preserve"> от 0,75 до 1 ч) после однократного введения мышам, крысам и собакам. Фармакокинетический </w:t>
      </w:r>
      <w:r w:rsidR="008F28F6">
        <w:rPr>
          <w:lang w:val="en-US"/>
        </w:rPr>
        <w:t>T</w:t>
      </w:r>
      <w:r w:rsidRPr="00AB1FF1">
        <w:rPr>
          <w:vertAlign w:val="subscript"/>
        </w:rPr>
        <w:t>1/2</w:t>
      </w:r>
      <w:r w:rsidRPr="00C01A66">
        <w:t xml:space="preserve"> [период полувыведения]</w:t>
      </w:r>
      <w:r>
        <w:t xml:space="preserve"> </w:t>
      </w:r>
      <w:r w:rsidRPr="00CC2CC0">
        <w:t>радиоактивности</w:t>
      </w:r>
      <w:r>
        <w:t xml:space="preserve"> у</w:t>
      </w:r>
      <w:r w:rsidRPr="00CC2CC0">
        <w:t xml:space="preserve"> </w:t>
      </w:r>
      <w:r w:rsidRPr="00CC2CC0">
        <w:lastRenderedPageBreak/>
        <w:t>мышей был приблизительно в 5–7 раз ниже, чем у крыс и собак. Небольшая разница</w:t>
      </w:r>
      <w:r>
        <w:t xml:space="preserve"> по полу</w:t>
      </w:r>
      <w:r w:rsidRPr="00CC2CC0">
        <w:t xml:space="preserve"> в </w:t>
      </w:r>
      <w:r>
        <w:t xml:space="preserve">концентрации </w:t>
      </w:r>
      <w:r w:rsidRPr="00CC2CC0">
        <w:t>радиоактивно</w:t>
      </w:r>
      <w:r>
        <w:t xml:space="preserve">й метки в </w:t>
      </w:r>
      <w:r w:rsidRPr="00CC2CC0">
        <w:t>плазм</w:t>
      </w:r>
      <w:r>
        <w:t>е</w:t>
      </w:r>
      <w:r w:rsidRPr="00CC2CC0">
        <w:t xml:space="preserve"> была </w:t>
      </w:r>
      <w:r>
        <w:t>зарегистрирована</w:t>
      </w:r>
      <w:r w:rsidRPr="00CC2CC0">
        <w:t xml:space="preserve"> у крыс, при этом </w:t>
      </w:r>
      <w:r w:rsidR="00331076">
        <w:rPr>
          <w:lang w:val="en-US"/>
        </w:rPr>
        <w:t>T</w:t>
      </w:r>
      <w:r w:rsidR="00331076" w:rsidRPr="00AB1FF1">
        <w:rPr>
          <w:vertAlign w:val="subscript"/>
        </w:rPr>
        <w:t>1</w:t>
      </w:r>
      <w:r w:rsidRPr="00AB1FF1">
        <w:rPr>
          <w:vertAlign w:val="subscript"/>
        </w:rPr>
        <w:t xml:space="preserve">/2 </w:t>
      </w:r>
      <w:r w:rsidRPr="00CC2CC0">
        <w:t xml:space="preserve">у самцов был приблизительно в 1,6 раза выше, чем у самок. Фармакокинетические параметры </w:t>
      </w:r>
      <w:r>
        <w:t xml:space="preserve">барицитиниба при </w:t>
      </w:r>
      <w:r w:rsidRPr="00CC2CC0">
        <w:t>однократно</w:t>
      </w:r>
      <w:r>
        <w:t xml:space="preserve">м введении в </w:t>
      </w:r>
      <w:r w:rsidRPr="00CC2CC0">
        <w:t>цельной крови и плазм</w:t>
      </w:r>
      <w:r>
        <w:t>е</w:t>
      </w:r>
      <w:r w:rsidRPr="00CC2CC0">
        <w:t xml:space="preserve"> (AUC</w:t>
      </w:r>
      <w:r w:rsidRPr="004F226F">
        <w:rPr>
          <w:vertAlign w:val="subscript"/>
        </w:rPr>
        <w:t>0-24</w:t>
      </w:r>
      <w:r w:rsidRPr="00CC2CC0">
        <w:t>, C</w:t>
      </w:r>
      <w:r w:rsidRPr="00AB1FF1">
        <w:rPr>
          <w:vertAlign w:val="subscript"/>
        </w:rPr>
        <w:t>max</w:t>
      </w:r>
      <w:r w:rsidRPr="00CC2CC0">
        <w:t xml:space="preserve">, </w:t>
      </w:r>
      <w:r w:rsidR="00331076">
        <w:rPr>
          <w:lang w:val="en-US"/>
        </w:rPr>
        <w:t>T</w:t>
      </w:r>
      <w:r w:rsidRPr="00AB1FF1">
        <w:rPr>
          <w:vertAlign w:val="subscript"/>
        </w:rPr>
        <w:t>max</w:t>
      </w:r>
      <w:r w:rsidRPr="00CC2CC0">
        <w:t xml:space="preserve">, </w:t>
      </w:r>
      <w:r w:rsidR="00331076">
        <w:rPr>
          <w:lang w:val="en-US"/>
        </w:rPr>
        <w:t>T</w:t>
      </w:r>
      <w:r w:rsidRPr="00AB1FF1">
        <w:rPr>
          <w:vertAlign w:val="subscript"/>
        </w:rPr>
        <w:t>½</w:t>
      </w:r>
      <w:r w:rsidRPr="00CC2CC0">
        <w:t xml:space="preserve">) были </w:t>
      </w:r>
      <w:r>
        <w:t>сопоставимы</w:t>
      </w:r>
      <w:r w:rsidRPr="00CC2CC0">
        <w:t xml:space="preserve"> для всех видов.</w:t>
      </w:r>
      <w:bookmarkEnd w:id="96"/>
      <w:bookmarkEnd w:id="97"/>
    </w:p>
    <w:p w14:paraId="447130A7" w14:textId="7A21DB31" w:rsidR="00EB77C9" w:rsidRPr="00584253" w:rsidRDefault="00CF1BE3" w:rsidP="00970DBB">
      <w:pPr>
        <w:spacing w:after="0" w:line="240" w:lineRule="auto"/>
        <w:ind w:firstLine="708"/>
        <w:contextualSpacing/>
      </w:pPr>
      <w:r w:rsidRPr="00F24A13">
        <w:t xml:space="preserve">Фармакокинетика </w:t>
      </w:r>
      <w:r>
        <w:t>бар</w:t>
      </w:r>
      <w:r w:rsidR="004029E9">
        <w:t>и</w:t>
      </w:r>
      <w:r>
        <w:t xml:space="preserve">цитиниба при </w:t>
      </w:r>
      <w:r w:rsidRPr="00F24A13">
        <w:t>внутривенно</w:t>
      </w:r>
      <w:r>
        <w:t>м</w:t>
      </w:r>
      <w:r w:rsidRPr="00F24A13">
        <w:t xml:space="preserve"> введени</w:t>
      </w:r>
      <w:r>
        <w:t>и</w:t>
      </w:r>
      <w:r w:rsidRPr="00F24A13">
        <w:t xml:space="preserve"> характеризовалась умеренными значениями плазменного </w:t>
      </w:r>
      <w:r w:rsidRPr="00C01A66">
        <w:t>клиренса (</w:t>
      </w:r>
      <w:r w:rsidR="008F28F6">
        <w:rPr>
          <w:lang w:val="en-US"/>
        </w:rPr>
        <w:t>CL</w:t>
      </w:r>
      <w:r w:rsidRPr="00C01A66">
        <w:t>)</w:t>
      </w:r>
      <w:r w:rsidRPr="00F24A13">
        <w:t xml:space="preserve"> у крыс (1,3–4,4 л/ч</w:t>
      </w:r>
      <w:r>
        <w:t>*</w:t>
      </w:r>
      <w:r w:rsidRPr="00F24A13">
        <w:t>кг) с более низкими значениями у собак (0,40 л/ч</w:t>
      </w:r>
      <w:r>
        <w:t>*</w:t>
      </w:r>
      <w:r w:rsidRPr="00F24A13">
        <w:t>кг), обезьян (0,36 л/ч</w:t>
      </w:r>
      <w:r>
        <w:t>*</w:t>
      </w:r>
      <w:r w:rsidRPr="00F24A13">
        <w:t>кг) и человека (0,21 л/ч</w:t>
      </w:r>
      <w:r>
        <w:t>*</w:t>
      </w:r>
      <w:r w:rsidRPr="00F24A13">
        <w:t xml:space="preserve">кг). </w:t>
      </w:r>
      <w:r w:rsidRPr="00C01A66">
        <w:t>Объем распределения в равновесном состоянии (Vss)</w:t>
      </w:r>
      <w:r w:rsidRPr="00F24A13">
        <w:t xml:space="preserve"> был умеренным у всех видов со значениями от 1,1 л/кг (обезьяна и человек), 1,4 л/кг у собак до 2,1–6,2 л/кг у крыс. Кажущийся </w:t>
      </w:r>
      <w:r w:rsidR="00331076">
        <w:rPr>
          <w:lang w:val="en-US"/>
        </w:rPr>
        <w:t>T</w:t>
      </w:r>
      <w:r w:rsidR="00331076" w:rsidRPr="00AB1FF1">
        <w:rPr>
          <w:vertAlign w:val="subscript"/>
        </w:rPr>
        <w:t>1</w:t>
      </w:r>
      <w:r w:rsidRPr="00AB1FF1">
        <w:rPr>
          <w:vertAlign w:val="subscript"/>
        </w:rPr>
        <w:t>/2</w:t>
      </w:r>
      <w:r w:rsidRPr="00F24A13">
        <w:t xml:space="preserve"> состав</w:t>
      </w:r>
      <w:r>
        <w:t>ил</w:t>
      </w:r>
      <w:r w:rsidRPr="00F24A13">
        <w:t xml:space="preserve"> 1</w:t>
      </w:r>
      <w:r>
        <w:t>–</w:t>
      </w:r>
      <w:r w:rsidRPr="00F24A13">
        <w:t>3 ч у крыс, 3</w:t>
      </w:r>
      <w:r>
        <w:t>–</w:t>
      </w:r>
      <w:r w:rsidRPr="00F24A13">
        <w:t>6 ч</w:t>
      </w:r>
      <w:r>
        <w:t xml:space="preserve"> </w:t>
      </w:r>
      <w:r w:rsidRPr="00F24A13">
        <w:t>у обезьян и 4–5 ч у собак. Пероральная биодоступность</w:t>
      </w:r>
      <w:r>
        <w:t xml:space="preserve"> барицитиниба при введении в составе</w:t>
      </w:r>
      <w:r w:rsidRPr="00F24A13">
        <w:t xml:space="preserve"> 0,5% водного раствора метилцеллюлозы была высокой и колебалась от 48% до 54% у собак и крыс, 47–68% у обезьян и 79% у человека. Всасывание при пероральном приеме было относительно быстрым у всех видов, при этом </w:t>
      </w:r>
      <w:r w:rsidRPr="00584253">
        <w:rPr>
          <w:lang w:val="en-US"/>
        </w:rPr>
        <w:t>C</w:t>
      </w:r>
      <w:r w:rsidRPr="00AB1FF1">
        <w:rPr>
          <w:vertAlign w:val="subscript"/>
          <w:lang w:val="en-US"/>
        </w:rPr>
        <w:t>max</w:t>
      </w:r>
      <w:r w:rsidRPr="00F24A13">
        <w:t xml:space="preserve"> </w:t>
      </w:r>
      <w:r w:rsidRPr="005D763A">
        <w:t xml:space="preserve">наблюдались примерно через 0,6, 1,0 и 1,6 ч после приема у крыс, собак и обезьян соответственно </w:t>
      </w:r>
      <w:r w:rsidRPr="005D763A">
        <w:fldChar w:fldCharType="begin"/>
      </w:r>
      <w:r>
        <w:instrText xml:space="preserve"> ADDIN ZOTERO_ITEM CSL_CITATION {"citationID":"m6h9iUzs","properties":{"formattedCitation":"[2,3]","plainCitation":"[2,3]","noteIndex":0},"citationItems":[{"id":3826,"uris":["http://zotero.org/groups/4514912/items/UB7ESC4C"],"itemData":{"id":3826,"type":"document","title":"Assessment report. Olumiant International non-proprietary name: baricitinib. Procedure No. EMEA/H/C/004085/0000. 2016"},"label":"page"},{"id":3930,"uris":["http://zotero.org/groups/4514912/items/A66GE4NE"],"itemData":{"id":3930,"type":"document","title":"U.S. Food and Drug Administration. Drug Approval PackagOLUMIANT® (baricitinib)."},"label":"page"}],"schema":"https://github.com/citation-style-language/schema/raw/master/csl-citation.json"} </w:instrText>
      </w:r>
      <w:r w:rsidRPr="005D763A">
        <w:fldChar w:fldCharType="separate"/>
      </w:r>
      <w:r w:rsidRPr="004A300A">
        <w:t>[2,3]</w:t>
      </w:r>
      <w:r w:rsidRPr="005D763A">
        <w:fldChar w:fldCharType="end"/>
      </w:r>
      <w:r w:rsidRPr="005D763A">
        <w:t>.</w:t>
      </w:r>
      <w:r>
        <w:t xml:space="preserve"> </w:t>
      </w:r>
    </w:p>
    <w:p w14:paraId="5705CB32" w14:textId="77777777" w:rsidR="00970DBB" w:rsidRDefault="00970DBB" w:rsidP="00AB1FF1">
      <w:pPr>
        <w:spacing w:after="0" w:line="240" w:lineRule="auto"/>
        <w:ind w:firstLine="708"/>
        <w:contextualSpacing/>
      </w:pPr>
    </w:p>
    <w:p w14:paraId="7D3BFDBF" w14:textId="77777777" w:rsidR="00CF1BE3" w:rsidRPr="001B1959" w:rsidRDefault="00CF1BE3" w:rsidP="00970DBB">
      <w:pPr>
        <w:spacing w:before="240" w:after="240" w:line="240" w:lineRule="auto"/>
        <w:contextualSpacing/>
        <w:outlineLvl w:val="2"/>
        <w:rPr>
          <w:b/>
          <w:color w:val="000000" w:themeColor="text1"/>
        </w:rPr>
      </w:pPr>
      <w:bookmarkStart w:id="100" w:name="_Toc120288139"/>
      <w:r>
        <w:rPr>
          <w:b/>
          <w:color w:val="000000" w:themeColor="text1"/>
        </w:rPr>
        <w:t xml:space="preserve">3.2.2. </w:t>
      </w:r>
      <w:bookmarkEnd w:id="98"/>
      <w:bookmarkEnd w:id="99"/>
      <w:r w:rsidRPr="00CC2CC0">
        <w:rPr>
          <w:b/>
          <w:color w:val="000000" w:themeColor="text1"/>
        </w:rPr>
        <w:t>Распределение</w:t>
      </w:r>
      <w:bookmarkEnd w:id="100"/>
    </w:p>
    <w:p w14:paraId="14512218" w14:textId="77777777" w:rsidR="00970DBB" w:rsidRDefault="00970DBB" w:rsidP="00970DBB">
      <w:pPr>
        <w:spacing w:after="0" w:line="240" w:lineRule="auto"/>
        <w:ind w:firstLine="708"/>
        <w:contextualSpacing/>
      </w:pPr>
      <w:bookmarkStart w:id="101" w:name="_Toc483835322"/>
      <w:bookmarkStart w:id="102" w:name="_Toc484591393"/>
    </w:p>
    <w:p w14:paraId="01828107" w14:textId="77777777" w:rsidR="00CF1BE3" w:rsidRPr="00D21480" w:rsidRDefault="00CF1BE3" w:rsidP="00970DBB">
      <w:pPr>
        <w:spacing w:after="0" w:line="240" w:lineRule="auto"/>
        <w:ind w:firstLine="708"/>
        <w:contextualSpacing/>
      </w:pPr>
      <w:r>
        <w:t xml:space="preserve">Маловероятно, что барицитиниб участвует в межлекарственных взаимодействиях, связанных с реакциями замещения связывания в белках плазмы. У разных видов барицитиниб связывается с белками </w:t>
      </w:r>
      <w:r w:rsidRPr="00F24A13">
        <w:rPr>
          <w:i/>
          <w:iCs/>
        </w:rPr>
        <w:t>in vitro</w:t>
      </w:r>
      <w:r>
        <w:t xml:space="preserve"> и </w:t>
      </w:r>
      <w:r w:rsidRPr="00F24A13">
        <w:rPr>
          <w:i/>
          <w:iCs/>
        </w:rPr>
        <w:t>ex vivo</w:t>
      </w:r>
      <w:r>
        <w:t xml:space="preserve"> примерно на 50% (в диапазоне от 33 до 60%) </w:t>
      </w:r>
      <w:r>
        <w:fldChar w:fldCharType="begin"/>
      </w:r>
      <w:r>
        <w:instrText xml:space="preserve"> ADDIN ZOTERO_ITEM CSL_CITATION {"citationID":"BHOEnKph","properties":{"formattedCitation":"[1]","plainCitation":"[1]","noteIndex":0},"citationItems":[{"id":3825,"uris":["http://zotero.org/groups/4514912/items/7R9UX5LD"],"itemData":{"id":3825,"type":"document","title":"Australian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fldChar w:fldCharType="separate"/>
      </w:r>
      <w:r w:rsidRPr="004A300A">
        <w:t>[1]</w:t>
      </w:r>
      <w:r>
        <w:fldChar w:fldCharType="end"/>
      </w:r>
      <w:r w:rsidRPr="00D21480">
        <w:t>.</w:t>
      </w:r>
    </w:p>
    <w:p w14:paraId="069C87BE" w14:textId="77777777" w:rsidR="00CF1BE3" w:rsidRDefault="00CF1BE3" w:rsidP="00970DBB">
      <w:pPr>
        <w:spacing w:after="0" w:line="240" w:lineRule="auto"/>
        <w:ind w:firstLine="708"/>
        <w:contextualSpacing/>
      </w:pPr>
      <w:r>
        <w:t xml:space="preserve">Селективное распределение радиоактивно меченого </w:t>
      </w:r>
      <w:r w:rsidRPr="00F24A13">
        <w:rPr>
          <w:vertAlign w:val="superscript"/>
        </w:rPr>
        <w:t>14</w:t>
      </w:r>
      <w:r>
        <w:t>C-барицитиниба в клетки крови не происходило у мышей, крыс или собак после однократного внутрижелудочного/перорального введения с соотношением концентрации радиоактивности в крови и плазме примерно от 0,7 до 1,2 для разных видов (отсутствие значимых гендерных различий).</w:t>
      </w:r>
    </w:p>
    <w:p w14:paraId="3E103F38" w14:textId="7A02E43A" w:rsidR="00CF1BE3" w:rsidRPr="00D21480" w:rsidRDefault="00CF1BE3" w:rsidP="00CF1BE3">
      <w:pPr>
        <w:spacing w:after="0" w:line="240" w:lineRule="auto"/>
        <w:ind w:firstLine="708"/>
      </w:pPr>
      <w:r>
        <w:t>Барицитиниб быстро всасывался (</w:t>
      </w:r>
      <w:bookmarkStart w:id="103" w:name="_Hlk118937395"/>
      <w:r w:rsidR="007F72CA">
        <w:rPr>
          <w:lang w:val="en-US"/>
        </w:rPr>
        <w:t>T</w:t>
      </w:r>
      <w:r w:rsidRPr="00AB1FF1">
        <w:rPr>
          <w:vertAlign w:val="subscript"/>
        </w:rPr>
        <w:t>max</w:t>
      </w:r>
      <w:bookmarkEnd w:id="103"/>
      <w:r>
        <w:t xml:space="preserve"> в плазме 2 ч) и широко распределялся (</w:t>
      </w:r>
      <w:r w:rsidR="007F72CA">
        <w:rPr>
          <w:lang w:val="en-US"/>
        </w:rPr>
        <w:t>T</w:t>
      </w:r>
      <w:r w:rsidRPr="00AB1FF1">
        <w:rPr>
          <w:vertAlign w:val="subscript"/>
        </w:rPr>
        <w:t>max</w:t>
      </w:r>
      <w:r>
        <w:t xml:space="preserve"> в тканях 2 ч; за исключением толстого кишечника tmax 8 ч). Относительные уровни радиоактивности, связанной с лекарственным средством, у крыс в тканях были следующими: тонкая кишка &gt; корковый слой почек &gt; толстая кишка &gt; печень &gt; кожа &gt; слепая кишка &gt; аорта. Распределение в содержимом кишечника, желчи и моче отражало пути воздействия и основные пути выведения. Низкие концентрации были обнаружены в </w:t>
      </w:r>
      <w:r w:rsidRPr="00C01A66">
        <w:t>центральной нервной системе (ЦНС)</w:t>
      </w:r>
      <w:r>
        <w:t xml:space="preserve"> (распределение в сосудах, а не во внесосудистых нейронах), костях и глазах. Клинически значимое сохранение радиоактивности, связанной с лекарственным средством, не наблюдалось через &gt; 168 ч </w:t>
      </w:r>
      <w:r>
        <w:fldChar w:fldCharType="begin"/>
      </w:r>
      <w:r>
        <w:instrText xml:space="preserve"> ADDIN ZOTERO_ITEM CSL_CITATION {"citationID":"WZDBxvj5","properties":{"formattedCitation":"[1]","plainCitation":"[1]","noteIndex":0},"citationItems":[{"id":3825,"uris":["http://zotero.org/groups/4514912/items/7R9UX5LD"],"itemData":{"id":3825,"type":"document","title":"Australian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fldChar w:fldCharType="separate"/>
      </w:r>
      <w:r w:rsidRPr="004A300A">
        <w:t>[1]</w:t>
      </w:r>
      <w:r>
        <w:fldChar w:fldCharType="end"/>
      </w:r>
      <w:r w:rsidRPr="00D21480">
        <w:t>.</w:t>
      </w:r>
    </w:p>
    <w:p w14:paraId="1056195A" w14:textId="77777777" w:rsidR="00CF1BE3" w:rsidRPr="005D763A" w:rsidRDefault="00CF1BE3" w:rsidP="00CF1BE3">
      <w:pPr>
        <w:spacing w:after="0" w:line="240" w:lineRule="auto"/>
        <w:ind w:firstLine="708"/>
      </w:pPr>
      <w:r w:rsidRPr="00214796">
        <w:t xml:space="preserve">После однократного </w:t>
      </w:r>
      <w:r>
        <w:t xml:space="preserve">внутрижелудочного введения </w:t>
      </w:r>
      <w:r w:rsidRPr="00214796">
        <w:rPr>
          <w:vertAlign w:val="superscript"/>
        </w:rPr>
        <w:t>14</w:t>
      </w:r>
      <w:r w:rsidRPr="00214796">
        <w:rPr>
          <w:lang w:val="en-US"/>
        </w:rPr>
        <w:t>C</w:t>
      </w:r>
      <w:r w:rsidRPr="00214796">
        <w:t xml:space="preserve">-барицитиниба в дозе 25 мг/кг беременными самками крыс на 18-й день беременности радиоактивность, измеренная с помощью </w:t>
      </w:r>
      <w:r>
        <w:t>к</w:t>
      </w:r>
      <w:r w:rsidRPr="00214796">
        <w:t>оличественн</w:t>
      </w:r>
      <w:r>
        <w:t>ой</w:t>
      </w:r>
      <w:r w:rsidRPr="00214796">
        <w:t xml:space="preserve"> ауторадиографи</w:t>
      </w:r>
      <w:r>
        <w:t>и</w:t>
      </w:r>
      <w:r w:rsidRPr="00214796">
        <w:t xml:space="preserve"> всего тела, широко распространялась в материнских тканях, проникала через плаценту и быстро </w:t>
      </w:r>
      <w:r>
        <w:t>распределялась по</w:t>
      </w:r>
      <w:r w:rsidRPr="00214796">
        <w:t xml:space="preserve"> тканям плода. Уровни </w:t>
      </w:r>
      <w:r w:rsidRPr="00214796">
        <w:rPr>
          <w:vertAlign w:val="superscript"/>
        </w:rPr>
        <w:t>14</w:t>
      </w:r>
      <w:r w:rsidRPr="00214796">
        <w:rPr>
          <w:lang w:val="en-US"/>
        </w:rPr>
        <w:t>C</w:t>
      </w:r>
      <w:r w:rsidRPr="00214796">
        <w:t xml:space="preserve">-барицитиниба в крови плода были примерно в 2,2 раза ниже, чем в крови матери. В большинстве тканей матери и во всех тканях плода максимальная концентрация достигалась через 0,5 ч после введения дозы. Плацентарная передача и последующее воздействие на плод связанной с </w:t>
      </w:r>
      <w:r w:rsidRPr="00214796">
        <w:rPr>
          <w:vertAlign w:val="superscript"/>
        </w:rPr>
        <w:t>14</w:t>
      </w:r>
      <w:r w:rsidRPr="00214796">
        <w:rPr>
          <w:lang w:val="en-US"/>
        </w:rPr>
        <w:t>C</w:t>
      </w:r>
      <w:r w:rsidRPr="00214796">
        <w:t xml:space="preserve">-барицитинибом радиоактивности происходили при умеренных и низких уровнях (до 5080 нг экв </w:t>
      </w:r>
      <w:r w:rsidRPr="00214796">
        <w:rPr>
          <w:vertAlign w:val="superscript"/>
        </w:rPr>
        <w:t>14</w:t>
      </w:r>
      <w:r w:rsidRPr="00214796">
        <w:rPr>
          <w:lang w:val="en-US"/>
        </w:rPr>
        <w:t>C</w:t>
      </w:r>
      <w:r w:rsidRPr="00214796">
        <w:t>-барицитиниба/г) в течение 8 ч после введения дозы. Самые высокие уровни были обнаружены в амниотическом мешке, плаценте, желудочно-кишечном тракте</w:t>
      </w:r>
      <w:r>
        <w:t xml:space="preserve"> (ЖКТ)</w:t>
      </w:r>
      <w:r w:rsidRPr="00214796">
        <w:t xml:space="preserve"> и </w:t>
      </w:r>
      <w:r w:rsidRPr="00214796">
        <w:lastRenderedPageBreak/>
        <w:t>надпочечниках плода.</w:t>
      </w:r>
      <w:r>
        <w:t xml:space="preserve"> </w:t>
      </w:r>
      <w:r w:rsidRPr="00214796">
        <w:t xml:space="preserve">Все концентрации </w:t>
      </w:r>
      <w:r w:rsidRPr="005D763A">
        <w:t xml:space="preserve">радиоактивности в тканях плода были максимальными, в 3 раза превышающими уровни в крови плода, и были ниже предела количественного определения или не обнаруживались к моменту окончательного отбора проб через 24 ч после введения дозы </w:t>
      </w:r>
      <w:r w:rsidRPr="005D763A">
        <w:fldChar w:fldCharType="begin"/>
      </w:r>
      <w:r>
        <w:instrText xml:space="preserve"> ADDIN ZOTERO_ITEM CSL_CITATION {"citationID":"POtZpSOr","properties":{"formattedCitation":"[2]","plainCitation":"[2]","noteIndex":0},"citationItems":[{"id":3826,"uris":["http://zotero.org/groups/4514912/items/UB7ESC4C"],"itemData":{"id":3826,"type":"document","title":"Assessment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5D763A">
        <w:fldChar w:fldCharType="separate"/>
      </w:r>
      <w:r w:rsidRPr="004A300A">
        <w:t>[2]</w:t>
      </w:r>
      <w:r w:rsidRPr="005D763A">
        <w:fldChar w:fldCharType="end"/>
      </w:r>
      <w:r w:rsidRPr="005D763A">
        <w:t>.</w:t>
      </w:r>
    </w:p>
    <w:p w14:paraId="3445E6B4" w14:textId="29B450D7" w:rsidR="00EB77C9" w:rsidRPr="005D763A" w:rsidRDefault="00CF1BE3" w:rsidP="00970DBB">
      <w:pPr>
        <w:spacing w:after="0" w:line="240" w:lineRule="auto"/>
        <w:ind w:firstLine="708"/>
        <w:contextualSpacing/>
      </w:pPr>
      <w:r w:rsidRPr="005D763A">
        <w:t xml:space="preserve">После однократного внутрижелудочного введения 25 мг/кг </w:t>
      </w:r>
      <w:r w:rsidRPr="005D763A">
        <w:rPr>
          <w:vertAlign w:val="superscript"/>
        </w:rPr>
        <w:t>14</w:t>
      </w:r>
      <w:r w:rsidRPr="005D763A">
        <w:rPr>
          <w:lang w:val="en-US"/>
        </w:rPr>
        <w:t>C</w:t>
      </w:r>
      <w:r w:rsidRPr="005D763A">
        <w:t xml:space="preserve">-барицитиниба лактирующим самкам крыс радиоактивность значимо выделялась в молоко. Пиковые концентрации радиоактивности наблюдались через 4 ч после введения дозы в молоке (33600 нг экв. </w:t>
      </w:r>
      <w:r w:rsidRPr="005D763A">
        <w:rPr>
          <w:vertAlign w:val="superscript"/>
        </w:rPr>
        <w:t>14</w:t>
      </w:r>
      <w:r w:rsidRPr="005D763A">
        <w:rPr>
          <w:lang w:val="en-US"/>
        </w:rPr>
        <w:t>C</w:t>
      </w:r>
      <w:r w:rsidRPr="005D763A">
        <w:t xml:space="preserve">-барицитиниба/г) и через 1 ч после введения дозы в плазме (1900 нг экв. </w:t>
      </w:r>
      <w:r w:rsidRPr="005D763A">
        <w:rPr>
          <w:vertAlign w:val="superscript"/>
        </w:rPr>
        <w:t>14</w:t>
      </w:r>
      <w:r w:rsidRPr="005D763A">
        <w:rPr>
          <w:lang w:val="en-US"/>
        </w:rPr>
        <w:t>C</w:t>
      </w:r>
      <w:r w:rsidRPr="005D763A">
        <w:t xml:space="preserve">-барицитиниба/г), далее концентрация радиоактивности снизилась до низкого уровня через 24 ч после введения дозы. Концентрация радиоактивности была примерно в 39 и 18 раз выше в молоке, чем в плазме, исходя из значений </w:t>
      </w:r>
      <w:r w:rsidRPr="005D763A">
        <w:rPr>
          <w:lang w:val="en-US"/>
        </w:rPr>
        <w:t>AUC</w:t>
      </w:r>
      <w:r w:rsidRPr="005D763A">
        <w:rPr>
          <w:vertAlign w:val="subscript"/>
        </w:rPr>
        <w:t>0-∞</w:t>
      </w:r>
      <w:r w:rsidRPr="005D763A">
        <w:t xml:space="preserve"> и </w:t>
      </w:r>
      <w:r w:rsidRPr="005D763A">
        <w:rPr>
          <w:lang w:val="en-US"/>
        </w:rPr>
        <w:t>C</w:t>
      </w:r>
      <w:r w:rsidRPr="00AB1FF1">
        <w:rPr>
          <w:vertAlign w:val="subscript"/>
          <w:lang w:val="en-US"/>
        </w:rPr>
        <w:t>max</w:t>
      </w:r>
      <w:r w:rsidRPr="005D763A">
        <w:t xml:space="preserve"> соответственно. Средние значения </w:t>
      </w:r>
      <w:r w:rsidR="008F28F6">
        <w:rPr>
          <w:lang w:val="en-US"/>
        </w:rPr>
        <w:t>T</w:t>
      </w:r>
      <w:r w:rsidRPr="00AB1FF1">
        <w:rPr>
          <w:vertAlign w:val="subscript"/>
        </w:rPr>
        <w:t>1/2</w:t>
      </w:r>
      <w:r w:rsidRPr="005D763A">
        <w:t xml:space="preserve"> радиоактивности в плазме и молоке были одинаковыми (2,6 и 2,7 ч соответственно) </w:t>
      </w:r>
      <w:r w:rsidRPr="005D763A">
        <w:fldChar w:fldCharType="begin"/>
      </w:r>
      <w:r>
        <w:instrText xml:space="preserve"> ADDIN ZOTERO_ITEM CSL_CITATION {"citationID":"O5dao3ZL","properties":{"formattedCitation":"[2]","plainCitation":"[2]","noteIndex":0},"citationItems":[{"id":3826,"uris":["http://zotero.org/groups/4514912/items/UB7ESC4C"],"itemData":{"id":3826,"type":"document","title":"Assessment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5D763A">
        <w:fldChar w:fldCharType="separate"/>
      </w:r>
      <w:r w:rsidRPr="004A300A">
        <w:t>[2]</w:t>
      </w:r>
      <w:r w:rsidRPr="005D763A">
        <w:fldChar w:fldCharType="end"/>
      </w:r>
      <w:r w:rsidRPr="005D763A">
        <w:t>.</w:t>
      </w:r>
    </w:p>
    <w:bookmarkEnd w:id="101"/>
    <w:bookmarkEnd w:id="102"/>
    <w:p w14:paraId="781FAB28" w14:textId="77777777" w:rsidR="00970DBB" w:rsidRDefault="00970DBB" w:rsidP="00AB1FF1">
      <w:pPr>
        <w:spacing w:after="0" w:line="240" w:lineRule="auto"/>
        <w:ind w:firstLine="708"/>
        <w:contextualSpacing/>
      </w:pPr>
    </w:p>
    <w:p w14:paraId="6263938B" w14:textId="77777777" w:rsidR="00CF1BE3" w:rsidRPr="001B1959" w:rsidRDefault="00CF1BE3" w:rsidP="00970DBB">
      <w:pPr>
        <w:spacing w:before="240" w:after="240" w:line="240" w:lineRule="auto"/>
        <w:contextualSpacing/>
        <w:outlineLvl w:val="2"/>
        <w:rPr>
          <w:b/>
          <w:color w:val="000000" w:themeColor="text1"/>
        </w:rPr>
      </w:pPr>
      <w:bookmarkStart w:id="104" w:name="_Toc120288140"/>
      <w:r w:rsidRPr="005D763A">
        <w:rPr>
          <w:b/>
          <w:color w:val="000000" w:themeColor="text1"/>
        </w:rPr>
        <w:t xml:space="preserve">3.2.3. </w:t>
      </w:r>
      <w:r w:rsidRPr="005D763A">
        <w:rPr>
          <w:b/>
          <w:bCs/>
          <w:color w:val="000000" w:themeColor="text1"/>
        </w:rPr>
        <w:t>Связывание с белками плазмы</w:t>
      </w:r>
      <w:bookmarkEnd w:id="104"/>
    </w:p>
    <w:p w14:paraId="71F60E12" w14:textId="77777777" w:rsidR="00970DBB" w:rsidRDefault="00970DBB" w:rsidP="00970DBB">
      <w:pPr>
        <w:spacing w:after="0" w:line="240" w:lineRule="auto"/>
        <w:ind w:firstLine="708"/>
        <w:contextualSpacing/>
      </w:pPr>
    </w:p>
    <w:p w14:paraId="15E937CD" w14:textId="4B8DE8F1" w:rsidR="00EB77C9" w:rsidRPr="00D21480" w:rsidRDefault="00CF1BE3" w:rsidP="00970DBB">
      <w:pPr>
        <w:spacing w:after="0" w:line="240" w:lineRule="auto"/>
        <w:ind w:firstLine="708"/>
        <w:contextualSpacing/>
      </w:pPr>
      <w:r>
        <w:t xml:space="preserve">Маловероятно, что барицитиниб участвует в межлекарственных взаимодействиях, связанных с реакциями замещения связывания в белках плазмы. У разных видов барицитиниб связывается с белками </w:t>
      </w:r>
      <w:r w:rsidRPr="00F24A13">
        <w:rPr>
          <w:i/>
          <w:iCs/>
        </w:rPr>
        <w:t>in vitro</w:t>
      </w:r>
      <w:r>
        <w:t xml:space="preserve"> и </w:t>
      </w:r>
      <w:r w:rsidRPr="00F24A13">
        <w:rPr>
          <w:i/>
          <w:iCs/>
        </w:rPr>
        <w:t>ex vivo</w:t>
      </w:r>
      <w:r>
        <w:t xml:space="preserve"> примерно на 50% (в диапазоне от 33 до 60%) </w:t>
      </w:r>
      <w:r>
        <w:fldChar w:fldCharType="begin"/>
      </w:r>
      <w:r>
        <w:instrText xml:space="preserve"> ADDIN ZOTERO_ITEM CSL_CITATION {"citationID":"H6dGK2zb","properties":{"formattedCitation":"[1,3]","plainCitation":"[1,3]","noteIndex":0},"citationItems":[{"id":3825,"uris":["http://zotero.org/groups/4514912/items/7R9UX5LD"],"itemData":{"id":3825,"type":"document","title":"Australian Public Assessment Report for Baricitinib. Proprietary Product Name: Olumiant. Sponsor: Eli Lilly Australia Pty Ltd. 2019"},"label":"page"},{"id":3930,"uris":["http://zotero.org/groups/4514912/items/A66GE4NE"],"itemData":{"id":3930,"type":"document","title":"U.S. Food and Drug Administration. Drug Approval PackagOLUMIANT® (baricitinib)."},"label":"page"}],"schema":"https://github.com/citation-style-language/schema/raw/master/csl-citation.json"} </w:instrText>
      </w:r>
      <w:r>
        <w:fldChar w:fldCharType="separate"/>
      </w:r>
      <w:r w:rsidRPr="004A300A">
        <w:t>[1,3]</w:t>
      </w:r>
      <w:r>
        <w:fldChar w:fldCharType="end"/>
      </w:r>
      <w:r w:rsidRPr="00D21480">
        <w:t>.</w:t>
      </w:r>
    </w:p>
    <w:p w14:paraId="0786C200" w14:textId="77777777" w:rsidR="00970DBB" w:rsidRDefault="00970DBB" w:rsidP="00AB1FF1">
      <w:pPr>
        <w:spacing w:after="0" w:line="240" w:lineRule="auto"/>
        <w:ind w:firstLine="708"/>
        <w:contextualSpacing/>
      </w:pPr>
    </w:p>
    <w:p w14:paraId="6755309C" w14:textId="77777777" w:rsidR="00CF1BE3" w:rsidRDefault="00CF1BE3" w:rsidP="00970DBB">
      <w:pPr>
        <w:spacing w:before="240" w:after="240" w:line="240" w:lineRule="auto"/>
        <w:contextualSpacing/>
        <w:outlineLvl w:val="2"/>
        <w:rPr>
          <w:b/>
          <w:color w:val="000000" w:themeColor="text1"/>
        </w:rPr>
      </w:pPr>
      <w:bookmarkStart w:id="105" w:name="_Toc120288141"/>
      <w:r>
        <w:rPr>
          <w:b/>
          <w:color w:val="000000" w:themeColor="text1"/>
        </w:rPr>
        <w:t xml:space="preserve">3.2.4. </w:t>
      </w:r>
      <w:r>
        <w:rPr>
          <w:b/>
          <w:bCs/>
          <w:color w:val="000000" w:themeColor="text1"/>
        </w:rPr>
        <w:t>Метаболизм</w:t>
      </w:r>
      <w:bookmarkEnd w:id="105"/>
    </w:p>
    <w:p w14:paraId="57CD3E69" w14:textId="77777777" w:rsidR="00970DBB" w:rsidRDefault="00970DBB" w:rsidP="00970DBB">
      <w:pPr>
        <w:spacing w:after="0" w:line="240" w:lineRule="auto"/>
        <w:ind w:firstLine="708"/>
        <w:contextualSpacing/>
      </w:pPr>
    </w:p>
    <w:p w14:paraId="4A36C0EA" w14:textId="77777777" w:rsidR="00CF1BE3" w:rsidRDefault="00CF1BE3" w:rsidP="00970DBB">
      <w:pPr>
        <w:spacing w:after="0" w:line="240" w:lineRule="auto"/>
        <w:ind w:firstLine="708"/>
        <w:contextualSpacing/>
      </w:pPr>
      <w:r>
        <w:t xml:space="preserve">Многочисленные доклинические исследования были проведены на мышах, крысах, кроликах и собаках для оценки метаболизма барицитиниба </w:t>
      </w:r>
      <w:r w:rsidRPr="00117EBC">
        <w:rPr>
          <w:i/>
          <w:iCs/>
        </w:rPr>
        <w:t>in vivo</w:t>
      </w:r>
      <w:r>
        <w:t xml:space="preserve">. Эти исследования показывали, что после однократного внутрижелудочного/перорального введения </w:t>
      </w:r>
      <w:r w:rsidRPr="00117EBC">
        <w:rPr>
          <w:vertAlign w:val="superscript"/>
        </w:rPr>
        <w:t>14</w:t>
      </w:r>
      <w:r>
        <w:t xml:space="preserve">C-барицитиниба, метаболизм </w:t>
      </w:r>
      <w:r w:rsidRPr="00117EBC">
        <w:rPr>
          <w:i/>
          <w:iCs/>
        </w:rPr>
        <w:t>in vivo</w:t>
      </w:r>
      <w:r>
        <w:t xml:space="preserve"> был минимальным и что исходное соединение было основным циркулирующим компонентом в плазме, а также основным компонентом, выделяемым как с мочой, так и с фекалиями у всех видов, включая человека.</w:t>
      </w:r>
    </w:p>
    <w:p w14:paraId="3193AE98" w14:textId="5A9BB86A" w:rsidR="00CF1BE3" w:rsidRPr="005D763A" w:rsidRDefault="00CF1BE3" w:rsidP="00CF1BE3">
      <w:pPr>
        <w:spacing w:after="0" w:line="240" w:lineRule="auto"/>
        <w:ind w:firstLine="708"/>
      </w:pPr>
      <w:r>
        <w:t xml:space="preserve">Биотрансформация барицитиниба у животных (мышь CD1, крыса Sprague-Dawley, новозеландский белый кролик, собака бигль) и человека была представлена моноокислением (М9, М10) и бис-окислением (М22) либо в пиразольном, либо в пиримидиновом кольце, окислительное раскрытие пиррольного кольца (М13, М3, М12) и глюкуронирование (М6). Кроме того, у этих видов также было идентифицировано несколько второстепенных окислительных метаболитов. В плазме животных барицитиниб был основным компонентом у мышей (81–92%), крыс (79–93%), кроликов (95%) и собак (84–96%). Кроме того, в плазме животных было идентифицировано около 9 метаболитов, </w:t>
      </w:r>
      <w:r w:rsidRPr="005D763A">
        <w:t xml:space="preserve">каждый из которых составлял менее 10%. Эти метаболиты были обнаружены у мышей (М3, М6, М9, М10, М22), крыс (М13), кроликов (М7, М17) и собак (М2) </w:t>
      </w:r>
      <w:r w:rsidRPr="005D763A">
        <w:fldChar w:fldCharType="begin"/>
      </w:r>
      <w:r>
        <w:instrText xml:space="preserve"> ADDIN ZOTERO_ITEM CSL_CITATION {"citationID":"0CpyCDdG","properties":{"formattedCitation":"[2]","plainCitation":"[2]","noteIndex":0},"citationItems":[{"id":3826,"uris":["http://zotero.org/groups/4514912/items/UB7ESC4C"],"itemData":{"id":3826,"type":"document","title":"Assessment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5D763A">
        <w:fldChar w:fldCharType="separate"/>
      </w:r>
      <w:r w:rsidRPr="004A300A">
        <w:t>[2]</w:t>
      </w:r>
      <w:r w:rsidRPr="005D763A">
        <w:fldChar w:fldCharType="end"/>
      </w:r>
      <w:r w:rsidRPr="005D763A">
        <w:t>..</w:t>
      </w:r>
    </w:p>
    <w:p w14:paraId="099DD20B" w14:textId="77777777" w:rsidR="00CF1BE3" w:rsidRPr="005D763A" w:rsidRDefault="00CF1BE3" w:rsidP="00CF1BE3">
      <w:pPr>
        <w:spacing w:after="0" w:line="240" w:lineRule="auto"/>
        <w:ind w:firstLine="708"/>
      </w:pPr>
      <w:r w:rsidRPr="005D763A">
        <w:t>После однократного внутрижелудочного введения мышам CD-1 радиоактивность, связанная с препаратом, в основном выводилась в неизмененном виде с мочой (15% дозы) и фекалиями (39%). С мочой выводится около 8% в виде метаболитов, из которых больше всего M10 (3%). С калом ~ 23% выводилось в виде 13 метаболитов, самый высокий из которых (7%) представляет собой неизвестный радиоактивный пик.</w:t>
      </w:r>
    </w:p>
    <w:p w14:paraId="068F94CA" w14:textId="21F521E5" w:rsidR="00CF1BE3" w:rsidRPr="005D763A" w:rsidRDefault="00CF1BE3" w:rsidP="00CF1BE3">
      <w:pPr>
        <w:spacing w:after="0" w:line="240" w:lineRule="auto"/>
        <w:ind w:firstLine="708"/>
      </w:pPr>
      <w:r w:rsidRPr="005D763A">
        <w:t xml:space="preserve">Как у интактных, так и у крыс с канюлированными желчными протоками исходное лекарственное средство и 9 метаболитов количественно определяли в моче, фекалиях и желчи крыс после однократного внутрижелудочного или внутривенного введения </w:t>
      </w:r>
      <w:r w:rsidRPr="005D763A">
        <w:rPr>
          <w:vertAlign w:val="superscript"/>
        </w:rPr>
        <w:t>14</w:t>
      </w:r>
      <w:r w:rsidRPr="005D763A">
        <w:t xml:space="preserve">C-барицитиниба. После внутрижелудочного введения связанная с препаратом </w:t>
      </w:r>
      <w:r w:rsidRPr="005D763A">
        <w:lastRenderedPageBreak/>
        <w:t xml:space="preserve">радиоактивность в основном выводилась с калом (40–65% дозы), из которых 40% приходилось на барицитиниб, 0–16% – метаболиты, и примерно 29% дозы - с мочой (17–65% дозы, при этом 20% в качестве исходного соединения и &lt;10% в виде метаболитов), в то время как с желчью выделялось около 18% от дозы (2% в качестве исходного соединения). При этом при внутривенном введении 49% барицитиниба от дозы выводилось с мочой, в виде неизмененного соединения – 35%. Фекалии крыс с канюлированными желчными протоками содержали только неизмененный барицитиниб (11%) при внутривенном введении. Выведение с желчью составило 21% от дозы и содержало 20 метаболитов, включая 2% в виде неизмененного исходного вещества. Профили метаболитов у крыс с канюлированными желчными протоками показали, что выведение с желчью и метаболизм были второстепенными путями </w:t>
      </w:r>
      <w:r w:rsidR="008F28F6">
        <w:rPr>
          <w:lang w:val="en-US"/>
        </w:rPr>
        <w:t>CL</w:t>
      </w:r>
      <w:r w:rsidR="008F28F6" w:rsidRPr="00AB1FF1">
        <w:t xml:space="preserve"> </w:t>
      </w:r>
      <w:r w:rsidRPr="005D763A">
        <w:t>барицитиниба у крыс.</w:t>
      </w:r>
    </w:p>
    <w:p w14:paraId="4D4BC3FA" w14:textId="77777777" w:rsidR="00CF1BE3" w:rsidRPr="005D763A" w:rsidRDefault="00CF1BE3" w:rsidP="00CF1BE3">
      <w:pPr>
        <w:spacing w:after="0" w:line="240" w:lineRule="auto"/>
        <w:ind w:firstLine="708"/>
      </w:pPr>
      <w:r w:rsidRPr="005D763A">
        <w:t xml:space="preserve">У собак большая часть однократной пероральной дозы </w:t>
      </w:r>
      <w:r w:rsidRPr="005D763A">
        <w:rPr>
          <w:vertAlign w:val="superscript"/>
        </w:rPr>
        <w:t>14</w:t>
      </w:r>
      <w:r w:rsidRPr="005D763A">
        <w:t xml:space="preserve">C-барицитиниба выводилась в неизмененном виде с мочой (24–34 % дозы) и фекалиями (9–20 %) или в виде метаболитов M2, M13, М3, М4 и М10 (все &lt;10% в моче/кале) </w:t>
      </w:r>
      <w:r w:rsidRPr="005D763A">
        <w:fldChar w:fldCharType="begin"/>
      </w:r>
      <w:r>
        <w:instrText xml:space="preserve"> ADDIN ZOTERO_ITEM CSL_CITATION {"citationID":"vlZxs3Om","properties":{"formattedCitation":"[2]","plainCitation":"[2]","noteIndex":0},"citationItems":[{"id":3826,"uris":["http://zotero.org/groups/4514912/items/UB7ESC4C"],"itemData":{"id":3826,"type":"document","title":"Assessment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5D763A">
        <w:fldChar w:fldCharType="separate"/>
      </w:r>
      <w:r w:rsidRPr="004A300A">
        <w:t>[2]</w:t>
      </w:r>
      <w:r w:rsidRPr="005D763A">
        <w:fldChar w:fldCharType="end"/>
      </w:r>
      <w:r w:rsidRPr="005D763A">
        <w:t>.</w:t>
      </w:r>
    </w:p>
    <w:p w14:paraId="6EAA294E" w14:textId="77777777" w:rsidR="00CF1BE3" w:rsidRPr="005D763A" w:rsidRDefault="00CF1BE3" w:rsidP="00CF1BE3">
      <w:pPr>
        <w:spacing w:after="0" w:line="240" w:lineRule="auto"/>
        <w:ind w:firstLine="708"/>
      </w:pPr>
      <w:r w:rsidRPr="005D763A">
        <w:t xml:space="preserve">По данным исследований биоматериалов человека </w:t>
      </w:r>
      <w:r w:rsidRPr="005D763A">
        <w:rPr>
          <w:i/>
          <w:iCs/>
        </w:rPr>
        <w:t>in vitro</w:t>
      </w:r>
      <w:r w:rsidRPr="005D763A">
        <w:t>, барицитиниб подвергается ограниченному (от 10 до 16%) окислению, опосредованному изоферментом CYP3A4 цитохрома Р450 (</w:t>
      </w:r>
      <w:r w:rsidRPr="005D763A">
        <w:rPr>
          <w:lang w:val="en-US"/>
        </w:rPr>
        <w:t>CYP</w:t>
      </w:r>
      <w:r w:rsidRPr="005D763A">
        <w:t>), до 3 основных метаболитов: М3, М4 и М10. Аналогичные результаты наблюдались в моделях биоматериалов, отличных от человека; однако низкие уровни (от 0,1 до 0,6% от исходного) специфического для животных окисленного метаболита (M1) наблюдались в препаратах крыс, собак и обезьян (токсикологические корреляции отсутствуют).</w:t>
      </w:r>
    </w:p>
    <w:p w14:paraId="05221BE1" w14:textId="79072750" w:rsidR="00EB77C9" w:rsidRPr="005D763A" w:rsidRDefault="00CF1BE3" w:rsidP="00970DBB">
      <w:pPr>
        <w:spacing w:after="0" w:line="240" w:lineRule="auto"/>
        <w:ind w:firstLine="708"/>
        <w:contextualSpacing/>
      </w:pPr>
      <w:r w:rsidRPr="005D763A">
        <w:t xml:space="preserve">В целом профиль метаболитов </w:t>
      </w:r>
      <w:r w:rsidRPr="005D763A">
        <w:rPr>
          <w:i/>
          <w:iCs/>
        </w:rPr>
        <w:t>in vivo</w:t>
      </w:r>
      <w:r w:rsidRPr="005D763A">
        <w:t xml:space="preserve"> у животных соответствовал метаболизму человека. Все идентифицированные человеческие метаболиты встречались у животных с фракциями экскреции ≥ уровню человека, за исключением M22. У людей 3,2% от дозы при пероральном приеме выводится с мочой в виде метаболита М22, тогда как у лабораторных животных он присутствует в моче и/или фекалиях в количестве ≤ 0,7% дозы. Ни одно из этих различий не имело явного токсикологического значения </w:t>
      </w:r>
      <w:r w:rsidRPr="005D763A">
        <w:fldChar w:fldCharType="begin"/>
      </w:r>
      <w:r>
        <w:instrText xml:space="preserve"> ADDIN ZOTERO_ITEM CSL_CITATION {"citationID":"Z7U5zEdA","properties":{"formattedCitation":"[1]","plainCitation":"[1]","noteIndex":0},"citationItems":[{"id":3825,"uris":["http://zotero.org/groups/4514912/items/7R9UX5LD"],"itemData":{"id":3825,"type":"document","title":"Australian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5D763A">
        <w:fldChar w:fldCharType="separate"/>
      </w:r>
      <w:r w:rsidRPr="004A300A">
        <w:t>[1]</w:t>
      </w:r>
      <w:r w:rsidRPr="005D763A">
        <w:fldChar w:fldCharType="end"/>
      </w:r>
      <w:r w:rsidRPr="005D763A">
        <w:t xml:space="preserve">. </w:t>
      </w:r>
    </w:p>
    <w:p w14:paraId="0F2E21B3" w14:textId="77777777" w:rsidR="00970DBB" w:rsidRDefault="00970DBB" w:rsidP="00AB1FF1">
      <w:pPr>
        <w:spacing w:after="0" w:line="240" w:lineRule="auto"/>
        <w:ind w:firstLine="708"/>
        <w:contextualSpacing/>
      </w:pPr>
    </w:p>
    <w:p w14:paraId="36D98F29" w14:textId="77777777" w:rsidR="00CF1BE3" w:rsidRPr="005D763A" w:rsidRDefault="00CF1BE3" w:rsidP="00970DBB">
      <w:pPr>
        <w:spacing w:before="240" w:after="240" w:line="240" w:lineRule="auto"/>
        <w:contextualSpacing/>
        <w:outlineLvl w:val="2"/>
        <w:rPr>
          <w:b/>
          <w:color w:val="000000" w:themeColor="text1"/>
        </w:rPr>
      </w:pPr>
      <w:bookmarkStart w:id="106" w:name="_Toc120288142"/>
      <w:r w:rsidRPr="005D763A">
        <w:rPr>
          <w:b/>
          <w:color w:val="000000" w:themeColor="text1"/>
        </w:rPr>
        <w:t xml:space="preserve">3.2.5. </w:t>
      </w:r>
      <w:r w:rsidRPr="005D763A">
        <w:rPr>
          <w:b/>
          <w:bCs/>
          <w:color w:val="000000" w:themeColor="text1"/>
        </w:rPr>
        <w:t>Выведение</w:t>
      </w:r>
      <w:bookmarkEnd w:id="106"/>
    </w:p>
    <w:p w14:paraId="77CF8C44" w14:textId="77777777" w:rsidR="00970DBB" w:rsidRDefault="00970DBB" w:rsidP="00970DBB">
      <w:pPr>
        <w:spacing w:after="0" w:line="240" w:lineRule="auto"/>
        <w:ind w:firstLine="708"/>
        <w:contextualSpacing/>
      </w:pPr>
    </w:p>
    <w:p w14:paraId="5355EE5C" w14:textId="3E85F27A" w:rsidR="00CF1BE3" w:rsidRPr="00CF1BE3" w:rsidRDefault="00CF1BE3" w:rsidP="00970DBB">
      <w:pPr>
        <w:spacing w:after="0" w:line="240" w:lineRule="auto"/>
        <w:ind w:firstLine="708"/>
        <w:contextualSpacing/>
      </w:pPr>
      <w:r w:rsidRPr="005D763A">
        <w:t>У всех видов барицитиниб выводился в основном в неизмененном виде. Присутствовали межвидовые различия в экскреторных путях (основные пути: люди – моча,</w:t>
      </w:r>
      <w:r w:rsidRPr="00CC2CC0">
        <w:t xml:space="preserve"> грызуны </w:t>
      </w:r>
      <w:r>
        <w:t>–</w:t>
      </w:r>
      <w:r w:rsidRPr="00CC2CC0">
        <w:t xml:space="preserve"> фекалии, собаки </w:t>
      </w:r>
      <w:r>
        <w:t>–</w:t>
      </w:r>
      <w:r w:rsidRPr="00CC2CC0">
        <w:t xml:space="preserve"> моча и фекалии). У животных около 50% общей дозы выводится в неизмененном виде, тогда как у </w:t>
      </w:r>
      <w:r w:rsidRPr="00CF1BE3">
        <w:t xml:space="preserve">человека – 83,3% </w:t>
      </w:r>
      <w:r w:rsidRPr="00CF1BE3">
        <w:fldChar w:fldCharType="begin"/>
      </w:r>
      <w:r w:rsidRPr="00CF1BE3">
        <w:instrText xml:space="preserve"> ADDIN ZOTERO_ITEM CSL_CITATION {"citationID":"27VXwNi2","properties":{"formattedCitation":"[1]","plainCitation":"[1]","noteIndex":0},"citationItems":[{"id":3825,"uris":["http://zotero.org/groups/4514912/items/7R9UX5LD"],"itemData":{"id":3825,"type":"document","title":"Australian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449C3215" w14:textId="3E02128D" w:rsidR="00EB77C9" w:rsidRPr="00815CC0" w:rsidRDefault="00CF1BE3" w:rsidP="00970DBB">
      <w:pPr>
        <w:spacing w:after="0" w:line="240" w:lineRule="auto"/>
        <w:ind w:firstLine="708"/>
        <w:contextualSpacing/>
      </w:pPr>
      <w:r w:rsidRPr="00CF1BE3">
        <w:t xml:space="preserve">Путь выведения радиоактивности </w:t>
      </w:r>
      <w:r w:rsidRPr="00CF1BE3">
        <w:rPr>
          <w:vertAlign w:val="superscript"/>
        </w:rPr>
        <w:t>14</w:t>
      </w:r>
      <w:r w:rsidRPr="00CF1BE3">
        <w:rPr>
          <w:lang w:val="en-US"/>
        </w:rPr>
        <w:t>C</w:t>
      </w:r>
      <w:r w:rsidRPr="00CF1BE3">
        <w:t xml:space="preserve">-барицитиниба определяли у мышей, крыс (интактных и с канюлированными желчными протоками) и собак. У всех видов общее восстановление радиоактивности колебалось примерно от 88% до 99%. У мышей при внутрижелудочном введении преобладающим путем выведения был кал (62%), с мочой выводилось 24%. У собак при пероральном введении выведение с мочой (39%) и фекалиями (45%) были одинаковым. У интактных крыс, так и у крыс с канюлированными желчными протоками при внутрижелудочном введении был обнаружен аналогичный профиль экскреции, где 29% экскретировалось с мочой и 53–65% с калом и желчью. После однократного внутривенного введения преобладающим путем выведения была моча (50%), в то время как 21% экскретировалось с желчью и 12% с калом, что свидетельствует о низком уровне кишечной секреции у крыс </w:t>
      </w:r>
      <w:r w:rsidRPr="00CF1BE3">
        <w:fldChar w:fldCharType="begin"/>
      </w:r>
      <w:r w:rsidRPr="00CF1BE3">
        <w:instrText xml:space="preserve"> ADDIN ZOTERO_ITEM CSL_CITATION {"citationID":"IF4DX38K","properties":{"formattedCitation":"[2]","plainCitation":"[2]","noteIndex":0},"citationItems":[{"id":3826,"uris":["http://zotero.org/groups/4514912/items/UB7ESC4C"],"itemData":{"id":3826,"type":"document","title":"Assessment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CF1BE3">
        <w:fldChar w:fldCharType="separate"/>
      </w:r>
      <w:r w:rsidRPr="00CF1BE3">
        <w:t>[2]</w:t>
      </w:r>
      <w:r w:rsidRPr="00CF1BE3">
        <w:fldChar w:fldCharType="end"/>
      </w:r>
      <w:r w:rsidRPr="00CF1BE3">
        <w:t>.</w:t>
      </w:r>
    </w:p>
    <w:p w14:paraId="5808BD94" w14:textId="77777777" w:rsidR="00970DBB" w:rsidRDefault="00970DBB" w:rsidP="00AB1FF1">
      <w:pPr>
        <w:spacing w:after="0" w:line="240" w:lineRule="auto"/>
        <w:ind w:firstLine="708"/>
        <w:contextualSpacing/>
      </w:pPr>
    </w:p>
    <w:p w14:paraId="17F08AA0" w14:textId="77777777" w:rsidR="0029110D" w:rsidRDefault="0029110D" w:rsidP="00970DBB">
      <w:pPr>
        <w:spacing w:before="240" w:after="240" w:line="240" w:lineRule="auto"/>
        <w:contextualSpacing/>
        <w:outlineLvl w:val="2"/>
        <w:rPr>
          <w:b/>
          <w:color w:val="000000" w:themeColor="text1"/>
        </w:rPr>
        <w:sectPr w:rsidR="0029110D" w:rsidSect="00AB01E2">
          <w:pgSz w:w="11906" w:h="16838"/>
          <w:pgMar w:top="1134" w:right="849" w:bottom="1134" w:left="1701" w:header="708" w:footer="709" w:gutter="0"/>
          <w:cols w:space="708"/>
          <w:docGrid w:linePitch="360"/>
        </w:sectPr>
      </w:pPr>
      <w:bookmarkStart w:id="107" w:name="_Toc120288143"/>
    </w:p>
    <w:p w14:paraId="5CAA8867" w14:textId="1D351197" w:rsidR="00CF1BE3" w:rsidRDefault="00CF1BE3" w:rsidP="00970DBB">
      <w:pPr>
        <w:spacing w:before="240" w:after="240" w:line="240" w:lineRule="auto"/>
        <w:contextualSpacing/>
        <w:outlineLvl w:val="2"/>
        <w:rPr>
          <w:b/>
          <w:color w:val="000000" w:themeColor="text1"/>
        </w:rPr>
      </w:pPr>
      <w:r w:rsidRPr="00815CC0">
        <w:rPr>
          <w:b/>
          <w:color w:val="000000" w:themeColor="text1"/>
        </w:rPr>
        <w:lastRenderedPageBreak/>
        <w:t xml:space="preserve">3.2.6. </w:t>
      </w:r>
      <w:r>
        <w:rPr>
          <w:b/>
          <w:bCs/>
          <w:color w:val="000000" w:themeColor="text1"/>
        </w:rPr>
        <w:t>Фармакокинетические лекарственные взаимодействия</w:t>
      </w:r>
      <w:bookmarkEnd w:id="107"/>
    </w:p>
    <w:p w14:paraId="625DA97C" w14:textId="77777777" w:rsidR="00970DBB" w:rsidRDefault="00970DBB" w:rsidP="00970DBB">
      <w:pPr>
        <w:spacing w:after="0" w:line="240" w:lineRule="auto"/>
        <w:ind w:firstLine="709"/>
        <w:contextualSpacing/>
      </w:pPr>
    </w:p>
    <w:p w14:paraId="153FBB27" w14:textId="79075089" w:rsidR="00CF1BE3" w:rsidRDefault="00CF1BE3" w:rsidP="00970DBB">
      <w:pPr>
        <w:spacing w:after="0" w:line="240" w:lineRule="auto"/>
        <w:ind w:firstLine="709"/>
        <w:contextualSpacing/>
      </w:pPr>
      <w:r>
        <w:t xml:space="preserve">В ходе исследований на животных установили, что клинически значимые конкурентные взаимодействия между лекарственными средствами маловероятны в следующих транспортных системах: </w:t>
      </w:r>
      <w:r w:rsidRPr="004B58CB">
        <w:t>OAT1 (транспортер органических анионов 1), транспортер органических катионов (OCT) 1</w:t>
      </w:r>
      <w:r>
        <w:t xml:space="preserve"> и </w:t>
      </w:r>
      <w:r w:rsidRPr="004B58CB">
        <w:t>2, ингибитор</w:t>
      </w:r>
      <w:r>
        <w:t>ы</w:t>
      </w:r>
      <w:r w:rsidRPr="004B58CB">
        <w:t xml:space="preserve"> полипептидов 1B1 и 1B3, переносящих органические анионы</w:t>
      </w:r>
      <w:r>
        <w:t xml:space="preserve"> (</w:t>
      </w:r>
      <w:r w:rsidRPr="004B58CB">
        <w:t>OATP1B1, OATP1B3</w:t>
      </w:r>
      <w:r>
        <w:t>)</w:t>
      </w:r>
      <w:r w:rsidRPr="004B58CB">
        <w:t xml:space="preserve"> и</w:t>
      </w:r>
      <w:r>
        <w:t xml:space="preserve"> </w:t>
      </w:r>
      <w:r w:rsidRPr="004B58CB">
        <w:t>мультирезистентный и токсина экструзии белок (MATE)</w:t>
      </w:r>
      <w:r>
        <w:t xml:space="preserve"> 1. Низкий риск конкурентных взаимодействий возможен в следующих транспортных системах: ОАТ3, Р-гликопротеине и МАТЕ2-К. Установили, что двукратное увеличение AUC происходило при одновременном ингибировании ОАТ3 пробенецидом, что коррелировало со снижением почечного </w:t>
      </w:r>
      <w:r w:rsidR="008F28F6">
        <w:rPr>
          <w:lang w:val="en-US"/>
        </w:rPr>
        <w:t>CL</w:t>
      </w:r>
      <w:r>
        <w:t xml:space="preserve"> барицитиниба на 70%. </w:t>
      </w:r>
    </w:p>
    <w:p w14:paraId="48FB7194" w14:textId="77777777" w:rsidR="00CF1BE3" w:rsidRPr="00CF1BE3" w:rsidRDefault="00CF1BE3" w:rsidP="00970DBB">
      <w:pPr>
        <w:spacing w:after="0" w:line="240" w:lineRule="auto"/>
        <w:ind w:firstLine="709"/>
        <w:contextualSpacing/>
      </w:pPr>
      <w:r>
        <w:t xml:space="preserve">В ходе исследований </w:t>
      </w:r>
      <w:r w:rsidRPr="00013904">
        <w:rPr>
          <w:i/>
          <w:iCs/>
          <w:lang w:val="en-US"/>
        </w:rPr>
        <w:t>in</w:t>
      </w:r>
      <w:r w:rsidRPr="00013904">
        <w:rPr>
          <w:i/>
          <w:iCs/>
        </w:rPr>
        <w:t xml:space="preserve"> </w:t>
      </w:r>
      <w:r w:rsidRPr="00013904">
        <w:rPr>
          <w:i/>
          <w:iCs/>
          <w:lang w:val="en-US"/>
        </w:rPr>
        <w:t>vitro</w:t>
      </w:r>
      <w:r>
        <w:t xml:space="preserve"> установили низкую вероятность лекарственных взаимодействий</w:t>
      </w:r>
      <w:r w:rsidRPr="00013904">
        <w:t xml:space="preserve"> </w:t>
      </w:r>
      <w:r>
        <w:t xml:space="preserve">барицитиниба с препаратами, ингибирующими изоферменты: CYP3A4, CYP2D6, CYP2C19, CYP2C9, CYP2C8, CYP2B6 или CYP1A2. Барицитиниб в </w:t>
      </w:r>
      <w:r w:rsidRPr="00CF1BE3">
        <w:t xml:space="preserve">MHRD, вероятно, не является клинически значимым индуктором CYP1A2, CYP2B6 или CYP3A </w:t>
      </w:r>
      <w:r w:rsidRPr="00CF1BE3">
        <w:fldChar w:fldCharType="begin"/>
      </w:r>
      <w:r w:rsidRPr="00CF1BE3">
        <w:instrText xml:space="preserve"> ADDIN ZOTERO_ITEM CSL_CITATION {"citationID":"k34u6O4u","properties":{"formattedCitation":"[1]","plainCitation":"[1]","noteIndex":0},"citationItems":[{"id":3825,"uris":["http://zotero.org/groups/4514912/items/7R9UX5LD"],"itemData":{"id":3825,"type":"document","title":"Australian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 xml:space="preserve">. </w:t>
      </w:r>
    </w:p>
    <w:p w14:paraId="71410D42" w14:textId="77777777" w:rsidR="00CF1BE3" w:rsidRPr="00CF1BE3" w:rsidRDefault="00CF1BE3" w:rsidP="00970DBB">
      <w:pPr>
        <w:pStyle w:val="2"/>
        <w:spacing w:line="240" w:lineRule="auto"/>
        <w:contextualSpacing/>
        <w:rPr>
          <w:color w:val="000000" w:themeColor="text1"/>
        </w:rPr>
      </w:pPr>
      <w:bookmarkStart w:id="108" w:name="_Toc120288144"/>
      <w:bookmarkEnd w:id="90"/>
      <w:bookmarkEnd w:id="91"/>
      <w:bookmarkEnd w:id="92"/>
      <w:r w:rsidRPr="00CF1BE3">
        <w:rPr>
          <w:color w:val="000000" w:themeColor="text1"/>
        </w:rPr>
        <w:t>3.3. Токсикологические исследования</w:t>
      </w:r>
      <w:bookmarkEnd w:id="93"/>
      <w:bookmarkEnd w:id="108"/>
    </w:p>
    <w:p w14:paraId="67A69CA7" w14:textId="77777777" w:rsidR="00CF1BE3" w:rsidRPr="00CF1BE3" w:rsidRDefault="00CF1BE3" w:rsidP="00970DBB">
      <w:pPr>
        <w:pStyle w:val="3"/>
        <w:spacing w:after="240"/>
        <w:contextualSpacing/>
        <w:rPr>
          <w:color w:val="000000" w:themeColor="text1"/>
          <w:szCs w:val="24"/>
        </w:rPr>
      </w:pPr>
      <w:bookmarkStart w:id="109" w:name="_Toc120288145"/>
      <w:r w:rsidRPr="00CF1BE3">
        <w:rPr>
          <w:color w:val="000000" w:themeColor="text1"/>
        </w:rPr>
        <w:t>3.3.1. Токсичность</w:t>
      </w:r>
      <w:r w:rsidRPr="00CF1BE3">
        <w:rPr>
          <w:color w:val="000000" w:themeColor="text1"/>
          <w:szCs w:val="24"/>
        </w:rPr>
        <w:t xml:space="preserve"> при однократном введении</w:t>
      </w:r>
      <w:bookmarkEnd w:id="109"/>
    </w:p>
    <w:p w14:paraId="7DD4A049" w14:textId="33B3FE39" w:rsidR="00CF1BE3" w:rsidRPr="00CF1BE3" w:rsidRDefault="00CF1BE3" w:rsidP="00970DBB">
      <w:pPr>
        <w:autoSpaceDE w:val="0"/>
        <w:autoSpaceDN w:val="0"/>
        <w:adjustRightInd w:val="0"/>
        <w:spacing w:after="0" w:line="240" w:lineRule="auto"/>
        <w:ind w:firstLine="708"/>
        <w:contextualSpacing/>
      </w:pPr>
      <w:r w:rsidRPr="00CF1BE3">
        <w:t xml:space="preserve">При однократном введении у разных видов (мыши, крысы, собаки) максимальная летальная доза превышала максимально протестированные дозы (≥300 * MHRD, расчет на основании AUC) </w:t>
      </w:r>
      <w:r w:rsidRPr="00CF1BE3">
        <w:fldChar w:fldCharType="begin"/>
      </w:r>
      <w:r w:rsidRPr="00CF1BE3">
        <w:instrText xml:space="preserve"> ADDIN ZOTERO_ITEM CSL_CITATION {"citationID":"EfHEwPbQ","properties":{"formattedCitation":"[1]","plainCitation":"[1]","noteIndex":0},"citationItems":[{"id":3825,"uris":["http://zotero.org/groups/4514912/items/7R9UX5LD"],"itemData":{"id":3825,"type":"document","title":"Australian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611606C1" w14:textId="1B2CAAA0" w:rsidR="00CF1BE3" w:rsidRPr="00CF1BE3" w:rsidRDefault="00CF1BE3" w:rsidP="00CF1BE3">
      <w:pPr>
        <w:autoSpaceDE w:val="0"/>
        <w:autoSpaceDN w:val="0"/>
        <w:adjustRightInd w:val="0"/>
        <w:spacing w:after="0" w:line="240" w:lineRule="auto"/>
        <w:ind w:firstLine="708"/>
      </w:pPr>
      <w:r w:rsidRPr="00CF1BE3">
        <w:t xml:space="preserve">При внутрижелудочном введении барицитиниб был умеренно токсичен для здоровых мышей линии CD-1 (клинические признаки: гипотермия и частично закрытые глаза были отмечены после введения доз 350 * MHRD, расчет на основании AUC). Признаки периферической вазодилатации (эритема ушей, лап и мошонки) возникали у крыс при введении очень высоких доз барицитиниба. Собаки были более чувствительны по сравнению с грызунами с клиническими признаками, возникающими при использовании доз ≥ 15 * MHRD (клинические признаки: слезотечение, рвота, снижение активности, эритема ушей и тремор/атаксия) </w:t>
      </w:r>
      <w:r w:rsidRPr="00CF1BE3">
        <w:fldChar w:fldCharType="begin"/>
      </w:r>
      <w:r w:rsidRPr="00CF1BE3">
        <w:instrText xml:space="preserve"> ADDIN ZOTERO_ITEM CSL_CITATION {"citationID":"JUfl6z1B","properties":{"formattedCitation":"[1]","plainCitation":"[1]","noteIndex":0},"citationItems":[{"id":3825,"uris":["http://zotero.org/groups/4514912/items/7R9UX5LD"],"itemData":{"id":3825,"type":"document","title":"Australian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250E0C3B" w14:textId="1B9A6E68" w:rsidR="00CF1BE3" w:rsidRPr="00D21480" w:rsidRDefault="00CF1BE3" w:rsidP="00CF1BE3">
      <w:pPr>
        <w:autoSpaceDE w:val="0"/>
        <w:autoSpaceDN w:val="0"/>
        <w:adjustRightInd w:val="0"/>
        <w:spacing w:after="0" w:line="240" w:lineRule="auto"/>
        <w:ind w:firstLine="708"/>
      </w:pPr>
      <w:r w:rsidRPr="00CF1BE3">
        <w:t xml:space="preserve">Барицитиниб оказался нетоксичным в исследовании острой кожной токсичности на кроликах (медианная летальная доза [LD50] ≥ 5700 * MHRD) </w:t>
      </w:r>
      <w:r w:rsidRPr="00CF1BE3">
        <w:fldChar w:fldCharType="begin"/>
      </w:r>
      <w:r w:rsidRPr="00CF1BE3">
        <w:instrText xml:space="preserve"> ADDIN ZOTERO_ITEM CSL_CITATION {"citationID":"zFk3RWxA","properties":{"formattedCitation":"[1]","plainCitation":"[1]","noteIndex":0},"citationItems":[{"id":3825,"uris":["http://zotero.org/groups/4514912/items/7R9UX5LD"],"itemData":{"id":3825,"type":"document","title":"Australian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26F7FF6A" w14:textId="7E4AE8B5" w:rsidR="00CF1BE3" w:rsidRDefault="00CF1BE3" w:rsidP="00CF1BE3">
      <w:pPr>
        <w:autoSpaceDE w:val="0"/>
        <w:autoSpaceDN w:val="0"/>
        <w:adjustRightInd w:val="0"/>
        <w:spacing w:after="0" w:line="240" w:lineRule="auto"/>
        <w:ind w:firstLine="708"/>
      </w:pPr>
      <w:r>
        <w:rPr>
          <w:rFonts w:eastAsia="TimesNewRomanPSMT"/>
        </w:rPr>
        <w:t>Перечень</w:t>
      </w:r>
      <w:r w:rsidRPr="00D21480">
        <w:rPr>
          <w:rFonts w:eastAsia="TimesNewRomanPSMT"/>
        </w:rPr>
        <w:t xml:space="preserve"> </w:t>
      </w:r>
      <w:r>
        <w:rPr>
          <w:rFonts w:eastAsia="TimesNewRomanPSMT"/>
        </w:rPr>
        <w:t>исследований</w:t>
      </w:r>
      <w:r w:rsidRPr="00D21480">
        <w:rPr>
          <w:rFonts w:eastAsia="TimesNewRomanPSMT"/>
        </w:rPr>
        <w:t xml:space="preserve"> </w:t>
      </w:r>
      <w:r>
        <w:rPr>
          <w:rFonts w:eastAsia="TimesNewRomanPSMT"/>
        </w:rPr>
        <w:t>токсичности</w:t>
      </w:r>
      <w:r w:rsidRPr="00D21480">
        <w:rPr>
          <w:rFonts w:eastAsia="TimesNewRomanPSMT"/>
        </w:rPr>
        <w:t xml:space="preserve"> </w:t>
      </w:r>
      <w:r>
        <w:rPr>
          <w:rFonts w:eastAsia="TimesNewRomanPSMT"/>
        </w:rPr>
        <w:t>при</w:t>
      </w:r>
      <w:r w:rsidRPr="00D21480">
        <w:rPr>
          <w:rFonts w:eastAsia="TimesNewRomanPSMT"/>
        </w:rPr>
        <w:t xml:space="preserve"> </w:t>
      </w:r>
      <w:r>
        <w:rPr>
          <w:rFonts w:eastAsia="TimesNewRomanPSMT"/>
        </w:rPr>
        <w:t>однократном</w:t>
      </w:r>
      <w:r w:rsidRPr="00D21480">
        <w:rPr>
          <w:rFonts w:eastAsia="TimesNewRomanPSMT"/>
        </w:rPr>
        <w:t xml:space="preserve"> </w:t>
      </w:r>
      <w:r>
        <w:rPr>
          <w:rFonts w:eastAsia="TimesNewRomanPSMT"/>
        </w:rPr>
        <w:t>введении</w:t>
      </w:r>
      <w:r w:rsidRPr="00D21480">
        <w:rPr>
          <w:rFonts w:eastAsia="TimesNewRomanPSMT"/>
        </w:rPr>
        <w:t xml:space="preserve"> </w:t>
      </w:r>
      <w:r>
        <w:rPr>
          <w:rFonts w:eastAsia="TimesNewRomanPSMT"/>
        </w:rPr>
        <w:t>резюмирован</w:t>
      </w:r>
      <w:r w:rsidRPr="00D21480">
        <w:rPr>
          <w:rFonts w:eastAsia="TimesNewRomanPSMT"/>
        </w:rPr>
        <w:t xml:space="preserve"> </w:t>
      </w:r>
      <w:r>
        <w:rPr>
          <w:rFonts w:eastAsia="TimesNewRomanPSMT"/>
        </w:rPr>
        <w:t>в</w:t>
      </w:r>
      <w:r w:rsidRPr="00D21480">
        <w:rPr>
          <w:rFonts w:eastAsia="TimesNewRomanPSMT"/>
        </w:rPr>
        <w:t xml:space="preserve"> </w:t>
      </w:r>
      <w:r w:rsidRPr="00CF1BE3">
        <w:rPr>
          <w:rFonts w:eastAsia="TimesNewRomanPSMT"/>
        </w:rPr>
        <w:t xml:space="preserve">Таблице 3-1 </w:t>
      </w:r>
      <w:r w:rsidRPr="00CF1BE3">
        <w:fldChar w:fldCharType="begin"/>
      </w:r>
      <w:r w:rsidRPr="00CF1BE3">
        <w:instrText xml:space="preserve"> ADDIN ZOTERO_ITEM CSL_CITATION {"citationID":"AZJseGOc","properties":{"formattedCitation":"[2]","plainCitation":"[2]","noteIndex":0},"citationItems":[{"id":3826,"uris":["http://zotero.org/groups/4514912/items/UB7ESC4C"],"itemData":{"id":3826,"type":"document","title":"Assessment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CF1BE3">
        <w:fldChar w:fldCharType="separate"/>
      </w:r>
      <w:r w:rsidRPr="00CF1BE3">
        <w:t>[2]</w:t>
      </w:r>
      <w:r w:rsidRPr="00CF1BE3">
        <w:fldChar w:fldCharType="end"/>
      </w:r>
      <w:r w:rsidR="00970DBB">
        <w:t>.</w:t>
      </w:r>
    </w:p>
    <w:p w14:paraId="1ACE536E" w14:textId="77777777" w:rsidR="00970DBB" w:rsidRPr="00CF1BE3" w:rsidRDefault="00970DBB" w:rsidP="00CF1BE3">
      <w:pPr>
        <w:autoSpaceDE w:val="0"/>
        <w:autoSpaceDN w:val="0"/>
        <w:adjustRightInd w:val="0"/>
        <w:spacing w:after="0" w:line="240" w:lineRule="auto"/>
        <w:ind w:firstLine="708"/>
        <w:rPr>
          <w:rFonts w:eastAsia="TimesNewRomanPSMT"/>
        </w:rPr>
      </w:pPr>
    </w:p>
    <w:p w14:paraId="130E4008" w14:textId="16329A2A" w:rsidR="00CF1BE3" w:rsidRPr="009B20AA" w:rsidRDefault="00CF1BE3" w:rsidP="00CF1BE3">
      <w:pPr>
        <w:autoSpaceDE w:val="0"/>
        <w:autoSpaceDN w:val="0"/>
        <w:adjustRightInd w:val="0"/>
        <w:spacing w:after="0" w:line="240" w:lineRule="auto"/>
      </w:pPr>
      <w:r w:rsidRPr="00CF1BE3">
        <w:rPr>
          <w:rFonts w:eastAsia="TimesNewRomanPSMT"/>
          <w:b/>
          <w:bCs/>
        </w:rPr>
        <w:t>Таблица 3-1</w:t>
      </w:r>
      <w:r w:rsidR="009B20AA">
        <w:rPr>
          <w:rFonts w:eastAsia="TimesNewRomanPSMT"/>
          <w:b/>
          <w:bCs/>
        </w:rPr>
        <w:t xml:space="preserve">. </w:t>
      </w:r>
      <w:r w:rsidRPr="009B20AA">
        <w:rPr>
          <w:rFonts w:eastAsia="TimesNewRomanPSMT"/>
          <w:bCs/>
        </w:rPr>
        <w:t>Исследования токсичности барицитиниба при однократном введении</w:t>
      </w:r>
      <w:r w:rsidR="009B20AA" w:rsidRPr="009B20AA">
        <w:rPr>
          <w:rFonts w:eastAsia="TimesNewRomanPSMT"/>
        </w:rPr>
        <w:t>.</w:t>
      </w:r>
    </w:p>
    <w:tbl>
      <w:tblPr>
        <w:tblStyle w:val="a8"/>
        <w:tblW w:w="4873" w:type="pct"/>
        <w:tblInd w:w="136" w:type="dxa"/>
        <w:tblLook w:val="04A0" w:firstRow="1" w:lastRow="0" w:firstColumn="1" w:lastColumn="0" w:noHBand="0" w:noVBand="1"/>
      </w:tblPr>
      <w:tblGrid>
        <w:gridCol w:w="2393"/>
        <w:gridCol w:w="1942"/>
        <w:gridCol w:w="1874"/>
        <w:gridCol w:w="3120"/>
      </w:tblGrid>
      <w:tr w:rsidR="00CF1BE3" w:rsidRPr="0029110D" w14:paraId="40345782" w14:textId="77777777" w:rsidTr="0029110D">
        <w:trPr>
          <w:trHeight w:val="20"/>
          <w:tblHeader/>
        </w:trPr>
        <w:tc>
          <w:tcPr>
            <w:tcW w:w="2393" w:type="dxa"/>
            <w:shd w:val="clear" w:color="auto" w:fill="D9D9D9" w:themeFill="background1" w:themeFillShade="D9"/>
            <w:vAlign w:val="center"/>
          </w:tcPr>
          <w:p w14:paraId="24BB2110" w14:textId="77777777" w:rsidR="00CF1BE3" w:rsidRPr="0029110D" w:rsidRDefault="00CF1BE3" w:rsidP="00511EB4">
            <w:pPr>
              <w:jc w:val="center"/>
              <w:rPr>
                <w:b/>
                <w:sz w:val="20"/>
                <w:szCs w:val="20"/>
                <w:lang w:eastAsia="ru-RU"/>
              </w:rPr>
            </w:pPr>
            <w:r w:rsidRPr="0029110D">
              <w:rPr>
                <w:b/>
                <w:sz w:val="20"/>
                <w:szCs w:val="20"/>
                <w:lang w:eastAsia="ru-RU"/>
              </w:rPr>
              <w:t>Вид/пол/количество животных на группу</w:t>
            </w:r>
          </w:p>
        </w:tc>
        <w:tc>
          <w:tcPr>
            <w:tcW w:w="1942" w:type="dxa"/>
            <w:shd w:val="clear" w:color="auto" w:fill="D9D9D9" w:themeFill="background1" w:themeFillShade="D9"/>
            <w:vAlign w:val="center"/>
          </w:tcPr>
          <w:p w14:paraId="39F03875" w14:textId="77777777" w:rsidR="00CF1BE3" w:rsidRPr="0029110D" w:rsidRDefault="00CF1BE3" w:rsidP="00511EB4">
            <w:pPr>
              <w:jc w:val="center"/>
              <w:rPr>
                <w:b/>
                <w:sz w:val="20"/>
                <w:szCs w:val="20"/>
                <w:lang w:eastAsia="ru-RU"/>
              </w:rPr>
            </w:pPr>
            <w:r w:rsidRPr="0029110D">
              <w:rPr>
                <w:b/>
                <w:sz w:val="20"/>
                <w:szCs w:val="20"/>
                <w:lang w:eastAsia="ru-RU"/>
              </w:rPr>
              <w:t>Доза, мг/кг/путь введения</w:t>
            </w:r>
          </w:p>
        </w:tc>
        <w:tc>
          <w:tcPr>
            <w:tcW w:w="1874" w:type="dxa"/>
            <w:shd w:val="clear" w:color="auto" w:fill="D9D9D9" w:themeFill="background1" w:themeFillShade="D9"/>
            <w:vAlign w:val="center"/>
          </w:tcPr>
          <w:p w14:paraId="4FB2AB95" w14:textId="77777777" w:rsidR="00CF1BE3" w:rsidRPr="0029110D" w:rsidRDefault="00CF1BE3" w:rsidP="00511EB4">
            <w:pPr>
              <w:jc w:val="center"/>
              <w:rPr>
                <w:b/>
                <w:sz w:val="20"/>
                <w:szCs w:val="20"/>
                <w:lang w:eastAsia="ru-RU"/>
              </w:rPr>
            </w:pPr>
            <w:r w:rsidRPr="0029110D">
              <w:rPr>
                <w:b/>
                <w:sz w:val="20"/>
                <w:szCs w:val="20"/>
                <w:lang w:eastAsia="ru-RU"/>
              </w:rPr>
              <w:t xml:space="preserve">Летальная доза/наблюдаемая максимальная нелетальная доза </w:t>
            </w:r>
          </w:p>
        </w:tc>
        <w:tc>
          <w:tcPr>
            <w:tcW w:w="3120" w:type="dxa"/>
            <w:shd w:val="clear" w:color="auto" w:fill="D9D9D9" w:themeFill="background1" w:themeFillShade="D9"/>
            <w:vAlign w:val="center"/>
          </w:tcPr>
          <w:p w14:paraId="146D4D1F" w14:textId="77777777" w:rsidR="00CF1BE3" w:rsidRPr="0029110D" w:rsidRDefault="00CF1BE3" w:rsidP="00511EB4">
            <w:pPr>
              <w:jc w:val="center"/>
              <w:rPr>
                <w:b/>
                <w:sz w:val="20"/>
                <w:szCs w:val="20"/>
                <w:lang w:eastAsia="ru-RU"/>
              </w:rPr>
            </w:pPr>
            <w:r w:rsidRPr="0029110D">
              <w:rPr>
                <w:b/>
                <w:sz w:val="20"/>
                <w:szCs w:val="20"/>
                <w:lang w:eastAsia="ru-RU"/>
              </w:rPr>
              <w:t xml:space="preserve">Основные находки в исследовании </w:t>
            </w:r>
          </w:p>
        </w:tc>
      </w:tr>
      <w:tr w:rsidR="00CF1BE3" w:rsidRPr="0029110D" w14:paraId="0C0A8CC7" w14:textId="77777777" w:rsidTr="0029110D">
        <w:trPr>
          <w:trHeight w:val="20"/>
        </w:trPr>
        <w:tc>
          <w:tcPr>
            <w:tcW w:w="2393" w:type="dxa"/>
          </w:tcPr>
          <w:p w14:paraId="330DE760"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Мыши/10 каждого пола на группу</w:t>
            </w:r>
          </w:p>
        </w:tc>
        <w:tc>
          <w:tcPr>
            <w:tcW w:w="1942" w:type="dxa"/>
          </w:tcPr>
          <w:p w14:paraId="37721CDA"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0, 100, 300, 600/ внутрижелудочно</w:t>
            </w:r>
          </w:p>
        </w:tc>
        <w:tc>
          <w:tcPr>
            <w:tcW w:w="1874" w:type="dxa"/>
          </w:tcPr>
          <w:p w14:paraId="2FC99BE8"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&gt;600 / 600</w:t>
            </w:r>
          </w:p>
        </w:tc>
        <w:tc>
          <w:tcPr>
            <w:tcW w:w="3120" w:type="dxa"/>
          </w:tcPr>
          <w:p w14:paraId="646EDC69"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600: гипотермия, окрашивание урогенитальной области</w:t>
            </w:r>
          </w:p>
        </w:tc>
      </w:tr>
      <w:tr w:rsidR="00CF1BE3" w:rsidRPr="0029110D" w14:paraId="760E9018" w14:textId="77777777" w:rsidTr="0029110D">
        <w:trPr>
          <w:trHeight w:val="20"/>
        </w:trPr>
        <w:tc>
          <w:tcPr>
            <w:tcW w:w="2393" w:type="dxa"/>
          </w:tcPr>
          <w:p w14:paraId="0BC75F99"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Мыши/10 каждого пола на группу</w:t>
            </w:r>
          </w:p>
        </w:tc>
        <w:tc>
          <w:tcPr>
            <w:tcW w:w="1942" w:type="dxa"/>
          </w:tcPr>
          <w:p w14:paraId="7AAB37FC"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0, 600, 900, 1200/ внутрижелудочно</w:t>
            </w:r>
          </w:p>
        </w:tc>
        <w:tc>
          <w:tcPr>
            <w:tcW w:w="1874" w:type="dxa"/>
          </w:tcPr>
          <w:p w14:paraId="158FC2B9"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&gt;1200 / 1200</w:t>
            </w:r>
          </w:p>
        </w:tc>
        <w:tc>
          <w:tcPr>
            <w:tcW w:w="3120" w:type="dxa"/>
          </w:tcPr>
          <w:p w14:paraId="472DF691"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≥600: розовая окраска мочи</w:t>
            </w:r>
          </w:p>
          <w:p w14:paraId="4958FDD4"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≥900: окрашивание урогенитальной области</w:t>
            </w:r>
          </w:p>
        </w:tc>
      </w:tr>
      <w:tr w:rsidR="00CF1BE3" w:rsidRPr="0029110D" w14:paraId="464A34E9" w14:textId="77777777" w:rsidTr="0029110D">
        <w:trPr>
          <w:trHeight w:val="20"/>
        </w:trPr>
        <w:tc>
          <w:tcPr>
            <w:tcW w:w="2393" w:type="dxa"/>
          </w:tcPr>
          <w:p w14:paraId="27BAE002"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Крысы/4–6 животных каждого пола на группу</w:t>
            </w:r>
          </w:p>
        </w:tc>
        <w:tc>
          <w:tcPr>
            <w:tcW w:w="1942" w:type="dxa"/>
          </w:tcPr>
          <w:p w14:paraId="473066CC"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0, 50, 100, 200, 400/ внутрижелудочно</w:t>
            </w:r>
          </w:p>
        </w:tc>
        <w:tc>
          <w:tcPr>
            <w:tcW w:w="1874" w:type="dxa"/>
          </w:tcPr>
          <w:p w14:paraId="26E4712F"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&gt;400 / 400</w:t>
            </w:r>
          </w:p>
        </w:tc>
        <w:tc>
          <w:tcPr>
            <w:tcW w:w="3120" w:type="dxa"/>
          </w:tcPr>
          <w:p w14:paraId="24D6E015"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≥100: покраснение ушей, лап и семенников</w:t>
            </w:r>
          </w:p>
          <w:p w14:paraId="625F4E75"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≥200: самки: выпадение волос</w:t>
            </w:r>
          </w:p>
          <w:p w14:paraId="7D51CD9F"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lastRenderedPageBreak/>
              <w:t>400: самцы: выпадение волос</w:t>
            </w:r>
          </w:p>
        </w:tc>
      </w:tr>
      <w:tr w:rsidR="00CF1BE3" w:rsidRPr="0029110D" w14:paraId="73B7D099" w14:textId="77777777" w:rsidTr="0029110D">
        <w:trPr>
          <w:trHeight w:val="20"/>
        </w:trPr>
        <w:tc>
          <w:tcPr>
            <w:tcW w:w="2393" w:type="dxa"/>
          </w:tcPr>
          <w:p w14:paraId="27DCBB11"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lastRenderedPageBreak/>
              <w:t>Крысы/6 животных каждого пола на группу</w:t>
            </w:r>
          </w:p>
        </w:tc>
        <w:tc>
          <w:tcPr>
            <w:tcW w:w="1942" w:type="dxa"/>
          </w:tcPr>
          <w:p w14:paraId="5A014EA5"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0, 200, 600/ внутрижелудочно</w:t>
            </w:r>
          </w:p>
        </w:tc>
        <w:tc>
          <w:tcPr>
            <w:tcW w:w="1874" w:type="dxa"/>
          </w:tcPr>
          <w:p w14:paraId="7F32F71D"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&gt;600 / 600</w:t>
            </w:r>
          </w:p>
        </w:tc>
        <w:tc>
          <w:tcPr>
            <w:tcW w:w="3120" w:type="dxa"/>
          </w:tcPr>
          <w:p w14:paraId="613F184E"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≥200: покраснение ушей</w:t>
            </w:r>
          </w:p>
          <w:p w14:paraId="4C946371"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600: окрашивание лица, передних конечностей, урогенитальной области.</w:t>
            </w:r>
          </w:p>
        </w:tc>
      </w:tr>
      <w:tr w:rsidR="00CF1BE3" w:rsidRPr="0029110D" w14:paraId="43030D50" w14:textId="77777777" w:rsidTr="0029110D">
        <w:trPr>
          <w:trHeight w:val="20"/>
        </w:trPr>
        <w:tc>
          <w:tcPr>
            <w:tcW w:w="2393" w:type="dxa"/>
          </w:tcPr>
          <w:p w14:paraId="6DCA62A8"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Собаки/1 животное каждого пола на группу</w:t>
            </w:r>
          </w:p>
        </w:tc>
        <w:tc>
          <w:tcPr>
            <w:tcW w:w="1942" w:type="dxa"/>
          </w:tcPr>
          <w:p w14:paraId="0837C896"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2, 10 /перорально</w:t>
            </w:r>
          </w:p>
        </w:tc>
        <w:tc>
          <w:tcPr>
            <w:tcW w:w="1874" w:type="dxa"/>
          </w:tcPr>
          <w:p w14:paraId="5F16D837"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&gt;10 / 10</w:t>
            </w:r>
          </w:p>
        </w:tc>
        <w:tc>
          <w:tcPr>
            <w:tcW w:w="3120" w:type="dxa"/>
          </w:tcPr>
          <w:p w14:paraId="0A7198E4"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2: самки: выпячивание мигательной перепонки</w:t>
            </w:r>
          </w:p>
        </w:tc>
      </w:tr>
      <w:tr w:rsidR="00CF1BE3" w:rsidRPr="0029110D" w14:paraId="755FE3BD" w14:textId="77777777" w:rsidTr="0029110D">
        <w:trPr>
          <w:trHeight w:val="20"/>
        </w:trPr>
        <w:tc>
          <w:tcPr>
            <w:tcW w:w="2393" w:type="dxa"/>
          </w:tcPr>
          <w:p w14:paraId="67228F86"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Собаки/1 животное каждого пола на группу</w:t>
            </w:r>
          </w:p>
        </w:tc>
        <w:tc>
          <w:tcPr>
            <w:tcW w:w="1942" w:type="dxa"/>
          </w:tcPr>
          <w:p w14:paraId="33E9033D"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5, 10, 20, 40 / перорально</w:t>
            </w:r>
          </w:p>
        </w:tc>
        <w:tc>
          <w:tcPr>
            <w:tcW w:w="1874" w:type="dxa"/>
          </w:tcPr>
          <w:p w14:paraId="0D2E02CC"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&gt;40 / 40</w:t>
            </w:r>
          </w:p>
        </w:tc>
        <w:tc>
          <w:tcPr>
            <w:tcW w:w="3120" w:type="dxa"/>
          </w:tcPr>
          <w:p w14:paraId="392DF219"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≥5: выпячивание мигательной перепонки, снижение двигательной активности, рвота, отек глаз/слезотечение</w:t>
            </w:r>
          </w:p>
          <w:p w14:paraId="32AD8672"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≥10: размягчение кала</w:t>
            </w:r>
          </w:p>
          <w:p w14:paraId="460B8354"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≥20: покраснение ушей</w:t>
            </w:r>
          </w:p>
          <w:p w14:paraId="42BA0508" w14:textId="77777777" w:rsidR="00CF1BE3" w:rsidRPr="0029110D" w:rsidRDefault="00CF1BE3" w:rsidP="00511EB4">
            <w:pPr>
              <w:autoSpaceDE w:val="0"/>
              <w:autoSpaceDN w:val="0"/>
              <w:adjustRightInd w:val="0"/>
              <w:rPr>
                <w:rFonts w:eastAsia="TimesNewRomanPSMT"/>
                <w:sz w:val="20"/>
                <w:szCs w:val="20"/>
              </w:rPr>
            </w:pPr>
            <w:r w:rsidRPr="0029110D">
              <w:rPr>
                <w:rFonts w:eastAsia="TimesNewRomanPSMT"/>
                <w:sz w:val="20"/>
                <w:szCs w:val="20"/>
              </w:rPr>
              <w:t>40: атаксия, тремор</w:t>
            </w:r>
          </w:p>
        </w:tc>
      </w:tr>
    </w:tbl>
    <w:p w14:paraId="7AB0AFB6" w14:textId="77777777" w:rsidR="00CF1BE3" w:rsidRDefault="00CF1BE3" w:rsidP="00CF1BE3">
      <w:pPr>
        <w:autoSpaceDE w:val="0"/>
        <w:autoSpaceDN w:val="0"/>
        <w:adjustRightInd w:val="0"/>
        <w:spacing w:after="0" w:line="240" w:lineRule="auto"/>
        <w:ind w:firstLine="708"/>
        <w:rPr>
          <w:rFonts w:eastAsia="TimesNewRomanPSMT"/>
        </w:rPr>
      </w:pPr>
    </w:p>
    <w:p w14:paraId="6751C23D" w14:textId="469AB972" w:rsidR="00CF1BE3" w:rsidRDefault="00CF1BE3">
      <w:pPr>
        <w:autoSpaceDE w:val="0"/>
        <w:autoSpaceDN w:val="0"/>
        <w:adjustRightInd w:val="0"/>
        <w:spacing w:after="0" w:line="240" w:lineRule="auto"/>
        <w:ind w:firstLine="708"/>
      </w:pPr>
      <w:r w:rsidRPr="003E7567">
        <w:rPr>
          <w:rFonts w:eastAsia="TimesNewRomanPSMT"/>
        </w:rPr>
        <w:t xml:space="preserve">После </w:t>
      </w:r>
      <w:r>
        <w:rPr>
          <w:rFonts w:eastAsia="TimesNewRomanPSMT"/>
        </w:rPr>
        <w:t>внутрижелудочного/</w:t>
      </w:r>
      <w:r w:rsidRPr="003E7567">
        <w:rPr>
          <w:rFonts w:eastAsia="TimesNewRomanPSMT"/>
        </w:rPr>
        <w:t>перорального введения барицитиниба в дозе до 1200 мг/кг мышам, 600 мг/кг крысам и 40 мг/кг собакам летальных исходов не наблюдалось. Барицитиниб хорошо переносился мышами и крысами с в основном неблагоприятными явлениями</w:t>
      </w:r>
      <w:r>
        <w:rPr>
          <w:rFonts w:eastAsia="TimesNewRomanPSMT"/>
        </w:rPr>
        <w:t xml:space="preserve"> были </w:t>
      </w:r>
      <w:r w:rsidRPr="003E7567">
        <w:rPr>
          <w:rFonts w:eastAsia="TimesNewRomanPSMT"/>
        </w:rPr>
        <w:t>розовая окраска мочи и окрашивание урогенитально</w:t>
      </w:r>
      <w:r>
        <w:rPr>
          <w:rFonts w:eastAsia="TimesNewRomanPSMT"/>
        </w:rPr>
        <w:t>й области</w:t>
      </w:r>
      <w:r w:rsidRPr="003E7567">
        <w:rPr>
          <w:rFonts w:eastAsia="TimesNewRomanPSMT"/>
        </w:rPr>
        <w:t xml:space="preserve"> у мышей, покраснение ушей, лап и семенников</w:t>
      </w:r>
      <w:r>
        <w:rPr>
          <w:rFonts w:eastAsia="TimesNewRomanPSMT"/>
        </w:rPr>
        <w:t>,</w:t>
      </w:r>
      <w:r w:rsidRPr="003E7567">
        <w:rPr>
          <w:rFonts w:eastAsia="TimesNewRomanPSMT"/>
        </w:rPr>
        <w:t xml:space="preserve"> и окрашивание </w:t>
      </w:r>
      <w:r>
        <w:rPr>
          <w:rFonts w:eastAsia="TimesNewRomanPSMT"/>
        </w:rPr>
        <w:t>морды</w:t>
      </w:r>
      <w:r w:rsidRPr="003E7567">
        <w:rPr>
          <w:rFonts w:eastAsia="TimesNewRomanPSMT"/>
        </w:rPr>
        <w:t xml:space="preserve">, передних конечностей и урогенитальной области у крыс. У некоторых крыс при дозе ≥200 мг/кг наблюдалось выпадение волос. У собак барицитиниб переносился хуже, с временным выпячиванием мигательной перепонки, отеком и/или слезотечением глаз, снижением активности, рвотой, </w:t>
      </w:r>
      <w:r>
        <w:rPr>
          <w:rFonts w:eastAsia="TimesNewRomanPSMT"/>
        </w:rPr>
        <w:t>размягчением</w:t>
      </w:r>
      <w:r w:rsidRPr="003E7567">
        <w:rPr>
          <w:rFonts w:eastAsia="TimesNewRomanPSMT"/>
        </w:rPr>
        <w:t xml:space="preserve"> кал</w:t>
      </w:r>
      <w:r>
        <w:rPr>
          <w:rFonts w:eastAsia="TimesNewRomanPSMT"/>
        </w:rPr>
        <w:t>а</w:t>
      </w:r>
      <w:r w:rsidRPr="003E7567">
        <w:rPr>
          <w:rFonts w:eastAsia="TimesNewRomanPSMT"/>
        </w:rPr>
        <w:t xml:space="preserve">, а при дозе 40 мг/кг у одного животного </w:t>
      </w:r>
      <w:r>
        <w:rPr>
          <w:rFonts w:eastAsia="TimesNewRomanPSMT"/>
        </w:rPr>
        <w:t xml:space="preserve">регистрировали </w:t>
      </w:r>
      <w:r w:rsidRPr="003E7567">
        <w:rPr>
          <w:rFonts w:eastAsia="TimesNewRomanPSMT"/>
        </w:rPr>
        <w:t>атакси</w:t>
      </w:r>
      <w:r>
        <w:rPr>
          <w:rFonts w:eastAsia="TimesNewRomanPSMT"/>
        </w:rPr>
        <w:t>ю</w:t>
      </w:r>
      <w:r w:rsidRPr="003E7567">
        <w:rPr>
          <w:rFonts w:eastAsia="TimesNewRomanPSMT"/>
        </w:rPr>
        <w:t xml:space="preserve"> и </w:t>
      </w:r>
      <w:r w:rsidRPr="00CF1BE3">
        <w:rPr>
          <w:rFonts w:eastAsia="TimesNewRomanPSMT"/>
        </w:rPr>
        <w:t xml:space="preserve">тремор </w:t>
      </w:r>
      <w:r w:rsidRPr="00CF1BE3">
        <w:fldChar w:fldCharType="begin"/>
      </w:r>
      <w:r w:rsidRPr="00CF1BE3">
        <w:instrText xml:space="preserve"> ADDIN ZOTERO_ITEM CSL_CITATION {"citationID":"q1AmlZeo","properties":{"formattedCitation":"[2]","plainCitation":"[2]","noteIndex":0},"citationItems":[{"id":3826,"uris":["http://zotero.org/groups/4514912/items/UB7ESC4C"],"itemData":{"id":3826,"type":"document","title":"Assessment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CF1BE3">
        <w:fldChar w:fldCharType="separate"/>
      </w:r>
      <w:r w:rsidRPr="00CF1BE3">
        <w:t>[2]</w:t>
      </w:r>
      <w:r w:rsidRPr="00CF1BE3">
        <w:fldChar w:fldCharType="end"/>
      </w:r>
      <w:r w:rsidRPr="00CF1BE3">
        <w:t>.</w:t>
      </w:r>
    </w:p>
    <w:p w14:paraId="38C92959" w14:textId="77777777" w:rsidR="00EB77C9" w:rsidRPr="00CF1BE3" w:rsidRDefault="00EB77C9">
      <w:pPr>
        <w:autoSpaceDE w:val="0"/>
        <w:autoSpaceDN w:val="0"/>
        <w:adjustRightInd w:val="0"/>
        <w:spacing w:after="0" w:line="240" w:lineRule="auto"/>
        <w:ind w:firstLine="708"/>
        <w:rPr>
          <w:rFonts w:eastAsia="TimesNewRomanPSMT"/>
        </w:rPr>
      </w:pPr>
    </w:p>
    <w:p w14:paraId="4695985E" w14:textId="77777777" w:rsidR="00CF1BE3" w:rsidRPr="00CF1BE3" w:rsidRDefault="00CF1BE3" w:rsidP="00AB1FF1">
      <w:pPr>
        <w:pStyle w:val="3"/>
        <w:spacing w:before="0" w:after="240"/>
        <w:contextualSpacing/>
        <w:rPr>
          <w:color w:val="000000" w:themeColor="text1"/>
        </w:rPr>
      </w:pPr>
      <w:bookmarkStart w:id="110" w:name="_Toc120288146"/>
      <w:r w:rsidRPr="00CF1BE3">
        <w:rPr>
          <w:color w:val="000000" w:themeColor="text1"/>
        </w:rPr>
        <w:t>3.3.2. Токсичность при многократном введении</w:t>
      </w:r>
      <w:bookmarkEnd w:id="110"/>
    </w:p>
    <w:p w14:paraId="740331CD" w14:textId="068AB65E" w:rsidR="00CF1BE3" w:rsidRPr="00CF1BE3" w:rsidRDefault="00CF1BE3" w:rsidP="009B20AA">
      <w:pPr>
        <w:spacing w:after="0" w:line="240" w:lineRule="auto"/>
        <w:ind w:firstLine="708"/>
        <w:contextualSpacing/>
      </w:pPr>
      <w:bookmarkStart w:id="111" w:name="_Hlk521884142"/>
      <w:bookmarkEnd w:id="94"/>
      <w:r w:rsidRPr="00CF1BE3">
        <w:t xml:space="preserve">Данные резюмированы в Таблице 3-2 </w:t>
      </w:r>
      <w:r w:rsidRPr="00CF1BE3">
        <w:fldChar w:fldCharType="begin"/>
      </w:r>
      <w:r w:rsidRPr="00CF1BE3">
        <w:instrText xml:space="preserve"> ADDIN ZOTERO_ITEM CSL_CITATION {"citationID":"TMdGA2Dx","properties":{"formattedCitation":"[1]","plainCitation":"[1]","noteIndex":0},"citationItems":[{"id":3825,"uris":["http://zotero.org/groups/4514912/items/7R9UX5LD"],"itemData":{"id":3825,"type":"document","title":"Australian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797658CD" w14:textId="77777777" w:rsidR="009B20AA" w:rsidRDefault="009B20AA" w:rsidP="009B20AA">
      <w:pPr>
        <w:spacing w:after="0" w:line="240" w:lineRule="auto"/>
        <w:contextualSpacing/>
        <w:rPr>
          <w:b/>
          <w:bCs/>
        </w:rPr>
      </w:pPr>
    </w:p>
    <w:p w14:paraId="399A75A4" w14:textId="23A4F7A9" w:rsidR="00CF1BE3" w:rsidRPr="00F8242B" w:rsidRDefault="009B20AA" w:rsidP="009B20AA">
      <w:pPr>
        <w:spacing w:after="0" w:line="240" w:lineRule="auto"/>
        <w:contextualSpacing/>
        <w:rPr>
          <w:b/>
          <w:bCs/>
        </w:rPr>
      </w:pPr>
      <w:r>
        <w:rPr>
          <w:b/>
          <w:bCs/>
        </w:rPr>
        <w:t>Таблица 3-2.</w:t>
      </w:r>
      <w:r w:rsidR="00CF1BE3" w:rsidRPr="00CF1BE3">
        <w:rPr>
          <w:b/>
          <w:bCs/>
        </w:rPr>
        <w:t xml:space="preserve"> </w:t>
      </w:r>
      <w:r w:rsidR="00CF1BE3" w:rsidRPr="009B20AA">
        <w:rPr>
          <w:bCs/>
        </w:rPr>
        <w:t>Исследования токсичности бар</w:t>
      </w:r>
      <w:r w:rsidR="004029E9">
        <w:rPr>
          <w:bCs/>
        </w:rPr>
        <w:t>и</w:t>
      </w:r>
      <w:r w:rsidR="00CF1BE3" w:rsidRPr="009B20AA">
        <w:rPr>
          <w:bCs/>
        </w:rPr>
        <w:t>цитиниба при многократном введении</w:t>
      </w:r>
      <w:r>
        <w:rPr>
          <w:bCs/>
        </w:rPr>
        <w:t>.</w:t>
      </w:r>
    </w:p>
    <w:tbl>
      <w:tblPr>
        <w:tblStyle w:val="a8"/>
        <w:tblW w:w="4873" w:type="pct"/>
        <w:tblInd w:w="136" w:type="dxa"/>
        <w:tblLook w:val="04A0" w:firstRow="1" w:lastRow="0" w:firstColumn="1" w:lastColumn="0" w:noHBand="0" w:noVBand="1"/>
      </w:tblPr>
      <w:tblGrid>
        <w:gridCol w:w="1916"/>
        <w:gridCol w:w="1914"/>
        <w:gridCol w:w="1914"/>
        <w:gridCol w:w="1914"/>
        <w:gridCol w:w="1671"/>
      </w:tblGrid>
      <w:tr w:rsidR="00CF1BE3" w:rsidRPr="0029110D" w14:paraId="0C7547FF" w14:textId="77777777" w:rsidTr="00AB1FF1">
        <w:trPr>
          <w:tblHeader/>
        </w:trPr>
        <w:tc>
          <w:tcPr>
            <w:tcW w:w="1915" w:type="dxa"/>
            <w:shd w:val="clear" w:color="auto" w:fill="D9D9D9" w:themeFill="background1" w:themeFillShade="D9"/>
            <w:vAlign w:val="center"/>
          </w:tcPr>
          <w:p w14:paraId="759FEB44" w14:textId="77777777" w:rsidR="00CF1BE3" w:rsidRPr="0029110D" w:rsidRDefault="00CF1BE3" w:rsidP="009B20AA">
            <w:pPr>
              <w:contextualSpacing/>
              <w:jc w:val="center"/>
              <w:rPr>
                <w:b/>
                <w:bCs/>
                <w:sz w:val="20"/>
                <w:szCs w:val="20"/>
              </w:rPr>
            </w:pPr>
            <w:r w:rsidRPr="0029110D">
              <w:rPr>
                <w:b/>
                <w:bCs/>
                <w:sz w:val="20"/>
                <w:szCs w:val="20"/>
              </w:rPr>
              <w:t>Вид</w:t>
            </w:r>
          </w:p>
        </w:tc>
        <w:tc>
          <w:tcPr>
            <w:tcW w:w="1914" w:type="dxa"/>
            <w:shd w:val="clear" w:color="auto" w:fill="D9D9D9" w:themeFill="background1" w:themeFillShade="D9"/>
            <w:vAlign w:val="center"/>
          </w:tcPr>
          <w:p w14:paraId="131195FA" w14:textId="77777777" w:rsidR="00CF1BE3" w:rsidRPr="0029110D" w:rsidRDefault="00CF1BE3" w:rsidP="009B20AA">
            <w:pPr>
              <w:contextualSpacing/>
              <w:jc w:val="center"/>
              <w:rPr>
                <w:b/>
                <w:bCs/>
                <w:sz w:val="20"/>
                <w:szCs w:val="20"/>
              </w:rPr>
            </w:pPr>
            <w:r w:rsidRPr="0029110D">
              <w:rPr>
                <w:b/>
                <w:bCs/>
                <w:sz w:val="20"/>
                <w:szCs w:val="20"/>
              </w:rPr>
              <w:t>Длительность введения, линия животных</w:t>
            </w:r>
          </w:p>
        </w:tc>
        <w:tc>
          <w:tcPr>
            <w:tcW w:w="1914" w:type="dxa"/>
            <w:shd w:val="clear" w:color="auto" w:fill="D9D9D9" w:themeFill="background1" w:themeFillShade="D9"/>
            <w:vAlign w:val="center"/>
          </w:tcPr>
          <w:p w14:paraId="24B35E7B" w14:textId="77777777" w:rsidR="00CF1BE3" w:rsidRPr="0029110D" w:rsidRDefault="00CF1BE3" w:rsidP="009B20AA">
            <w:pPr>
              <w:contextualSpacing/>
              <w:jc w:val="center"/>
              <w:rPr>
                <w:b/>
                <w:bCs/>
                <w:sz w:val="20"/>
                <w:szCs w:val="20"/>
              </w:rPr>
            </w:pPr>
            <w:r w:rsidRPr="0029110D">
              <w:rPr>
                <w:b/>
                <w:bCs/>
                <w:sz w:val="20"/>
                <w:szCs w:val="20"/>
              </w:rPr>
              <w:t>Доза, мг/кг/сут</w:t>
            </w:r>
          </w:p>
        </w:tc>
        <w:tc>
          <w:tcPr>
            <w:tcW w:w="1914" w:type="dxa"/>
            <w:shd w:val="clear" w:color="auto" w:fill="D9D9D9" w:themeFill="background1" w:themeFillShade="D9"/>
            <w:vAlign w:val="center"/>
          </w:tcPr>
          <w:p w14:paraId="103C532D" w14:textId="77777777" w:rsidR="00CF1BE3" w:rsidRPr="0029110D" w:rsidRDefault="00CF1BE3" w:rsidP="009B20AA">
            <w:pPr>
              <w:contextualSpacing/>
              <w:jc w:val="center"/>
              <w:rPr>
                <w:b/>
                <w:bCs/>
                <w:sz w:val="20"/>
                <w:szCs w:val="20"/>
              </w:rPr>
            </w:pPr>
            <w:r w:rsidRPr="0029110D">
              <w:rPr>
                <w:b/>
                <w:bCs/>
                <w:sz w:val="20"/>
                <w:szCs w:val="20"/>
                <w:lang w:val="en-US"/>
              </w:rPr>
              <w:t>AUC</w:t>
            </w:r>
            <w:r w:rsidRPr="0029110D">
              <w:rPr>
                <w:b/>
                <w:bCs/>
                <w:sz w:val="20"/>
                <w:szCs w:val="20"/>
                <w:vertAlign w:val="subscript"/>
              </w:rPr>
              <w:t>0-24</w:t>
            </w:r>
          </w:p>
        </w:tc>
        <w:tc>
          <w:tcPr>
            <w:tcW w:w="1671" w:type="dxa"/>
            <w:shd w:val="clear" w:color="auto" w:fill="D9D9D9" w:themeFill="background1" w:themeFillShade="D9"/>
            <w:vAlign w:val="center"/>
          </w:tcPr>
          <w:p w14:paraId="754FAB8D" w14:textId="77777777" w:rsidR="00CF1BE3" w:rsidRPr="0029110D" w:rsidRDefault="00CF1BE3" w:rsidP="009B20AA">
            <w:pPr>
              <w:contextualSpacing/>
              <w:jc w:val="center"/>
              <w:rPr>
                <w:b/>
                <w:bCs/>
                <w:sz w:val="20"/>
                <w:szCs w:val="20"/>
              </w:rPr>
            </w:pPr>
            <w:r w:rsidRPr="0029110D">
              <w:rPr>
                <w:b/>
                <w:bCs/>
                <w:sz w:val="20"/>
                <w:szCs w:val="20"/>
              </w:rPr>
              <w:t>Коэффициент экспозиции #</w:t>
            </w:r>
          </w:p>
        </w:tc>
      </w:tr>
      <w:tr w:rsidR="00CF1BE3" w:rsidRPr="0029110D" w14:paraId="0B6FB27E" w14:textId="77777777" w:rsidTr="00AB1FF1">
        <w:tc>
          <w:tcPr>
            <w:tcW w:w="1915" w:type="dxa"/>
            <w:vMerge w:val="restart"/>
            <w:vAlign w:val="center"/>
          </w:tcPr>
          <w:p w14:paraId="0A57BA36" w14:textId="77777777" w:rsidR="00CF1BE3" w:rsidRPr="0029110D" w:rsidRDefault="00CF1BE3" w:rsidP="00511EB4">
            <w:pPr>
              <w:rPr>
                <w:sz w:val="20"/>
                <w:szCs w:val="20"/>
              </w:rPr>
            </w:pPr>
            <w:r w:rsidRPr="0029110D">
              <w:rPr>
                <w:sz w:val="20"/>
                <w:szCs w:val="20"/>
              </w:rPr>
              <w:t>Мыши</w:t>
            </w:r>
          </w:p>
        </w:tc>
        <w:tc>
          <w:tcPr>
            <w:tcW w:w="1914" w:type="dxa"/>
            <w:vMerge w:val="restart"/>
            <w:vAlign w:val="center"/>
          </w:tcPr>
          <w:p w14:paraId="628F6269" w14:textId="77777777" w:rsidR="00CF1BE3" w:rsidRPr="0029110D" w:rsidRDefault="00CF1BE3" w:rsidP="00511EB4">
            <w:pPr>
              <w:rPr>
                <w:sz w:val="20"/>
                <w:szCs w:val="20"/>
              </w:rPr>
            </w:pPr>
            <w:r w:rsidRPr="0029110D">
              <w:rPr>
                <w:sz w:val="20"/>
                <w:szCs w:val="20"/>
              </w:rPr>
              <w:t xml:space="preserve">4 недели, </w:t>
            </w:r>
            <w:r w:rsidRPr="0029110D">
              <w:rPr>
                <w:sz w:val="20"/>
                <w:szCs w:val="20"/>
                <w:lang w:val="en-US"/>
              </w:rPr>
              <w:t>CD</w:t>
            </w:r>
            <w:r w:rsidRPr="0029110D">
              <w:rPr>
                <w:sz w:val="20"/>
                <w:szCs w:val="20"/>
              </w:rPr>
              <w:t xml:space="preserve"> 1</w:t>
            </w:r>
          </w:p>
        </w:tc>
        <w:tc>
          <w:tcPr>
            <w:tcW w:w="1914" w:type="dxa"/>
          </w:tcPr>
          <w:p w14:paraId="31BF4A36" w14:textId="77777777" w:rsidR="00CF1BE3" w:rsidRPr="0029110D" w:rsidRDefault="00CF1BE3" w:rsidP="00511EB4">
            <w:pPr>
              <w:rPr>
                <w:sz w:val="20"/>
                <w:szCs w:val="20"/>
              </w:rPr>
            </w:pPr>
            <w:r w:rsidRPr="0029110D">
              <w:rPr>
                <w:sz w:val="20"/>
                <w:szCs w:val="20"/>
              </w:rPr>
              <w:t>♂ 10</w:t>
            </w:r>
          </w:p>
        </w:tc>
        <w:tc>
          <w:tcPr>
            <w:tcW w:w="1914" w:type="dxa"/>
          </w:tcPr>
          <w:p w14:paraId="128EBAF5" w14:textId="77777777" w:rsidR="00CF1BE3" w:rsidRPr="0029110D" w:rsidRDefault="00CF1BE3" w:rsidP="00511EB4">
            <w:pPr>
              <w:rPr>
                <w:sz w:val="20"/>
                <w:szCs w:val="20"/>
              </w:rPr>
            </w:pPr>
            <w:r w:rsidRPr="0029110D">
              <w:rPr>
                <w:sz w:val="20"/>
                <w:szCs w:val="20"/>
              </w:rPr>
              <w:t>8,53 мкмоль*ч</w:t>
            </w:r>
          </w:p>
        </w:tc>
        <w:tc>
          <w:tcPr>
            <w:tcW w:w="1671" w:type="dxa"/>
          </w:tcPr>
          <w:p w14:paraId="08A70B78" w14:textId="77777777" w:rsidR="00CF1BE3" w:rsidRPr="0029110D" w:rsidRDefault="00CF1BE3" w:rsidP="00511EB4">
            <w:pPr>
              <w:rPr>
                <w:sz w:val="20"/>
                <w:szCs w:val="20"/>
              </w:rPr>
            </w:pPr>
            <w:r w:rsidRPr="0029110D">
              <w:rPr>
                <w:sz w:val="20"/>
                <w:szCs w:val="20"/>
              </w:rPr>
              <w:t>≈ 7</w:t>
            </w:r>
          </w:p>
        </w:tc>
      </w:tr>
      <w:tr w:rsidR="00CF1BE3" w:rsidRPr="0029110D" w14:paraId="2C4BF11E" w14:textId="77777777" w:rsidTr="00AB1FF1">
        <w:tc>
          <w:tcPr>
            <w:tcW w:w="1915" w:type="dxa"/>
            <w:vMerge/>
          </w:tcPr>
          <w:p w14:paraId="571F5294" w14:textId="77777777" w:rsidR="00CF1BE3" w:rsidRPr="0029110D" w:rsidRDefault="00CF1BE3" w:rsidP="00511EB4">
            <w:pPr>
              <w:rPr>
                <w:sz w:val="20"/>
                <w:szCs w:val="20"/>
              </w:rPr>
            </w:pPr>
          </w:p>
        </w:tc>
        <w:tc>
          <w:tcPr>
            <w:tcW w:w="1914" w:type="dxa"/>
            <w:vMerge/>
            <w:vAlign w:val="center"/>
          </w:tcPr>
          <w:p w14:paraId="67AFEA8E" w14:textId="77777777" w:rsidR="00CF1BE3" w:rsidRPr="0029110D" w:rsidRDefault="00CF1BE3" w:rsidP="00511EB4">
            <w:pPr>
              <w:rPr>
                <w:sz w:val="20"/>
                <w:szCs w:val="20"/>
              </w:rPr>
            </w:pPr>
          </w:p>
        </w:tc>
        <w:tc>
          <w:tcPr>
            <w:tcW w:w="1914" w:type="dxa"/>
          </w:tcPr>
          <w:p w14:paraId="62C62DEA" w14:textId="77777777" w:rsidR="00CF1BE3" w:rsidRPr="0029110D" w:rsidRDefault="00CF1BE3" w:rsidP="00511EB4">
            <w:pPr>
              <w:rPr>
                <w:sz w:val="20"/>
                <w:szCs w:val="20"/>
              </w:rPr>
            </w:pPr>
            <w:r w:rsidRPr="0029110D">
              <w:rPr>
                <w:sz w:val="20"/>
                <w:szCs w:val="20"/>
              </w:rPr>
              <w:t>♂ 75</w:t>
            </w:r>
          </w:p>
        </w:tc>
        <w:tc>
          <w:tcPr>
            <w:tcW w:w="1914" w:type="dxa"/>
          </w:tcPr>
          <w:p w14:paraId="67DC4C29" w14:textId="77777777" w:rsidR="00CF1BE3" w:rsidRPr="0029110D" w:rsidRDefault="00CF1BE3" w:rsidP="00511EB4">
            <w:pPr>
              <w:rPr>
                <w:sz w:val="20"/>
                <w:szCs w:val="20"/>
              </w:rPr>
            </w:pPr>
            <w:r w:rsidRPr="0029110D">
              <w:rPr>
                <w:sz w:val="20"/>
                <w:szCs w:val="20"/>
              </w:rPr>
              <w:t>48,5 мкмоль*ч</w:t>
            </w:r>
          </w:p>
        </w:tc>
        <w:tc>
          <w:tcPr>
            <w:tcW w:w="1671" w:type="dxa"/>
          </w:tcPr>
          <w:p w14:paraId="0962BF27" w14:textId="77777777" w:rsidR="00CF1BE3" w:rsidRPr="0029110D" w:rsidRDefault="00CF1BE3" w:rsidP="00511EB4">
            <w:pPr>
              <w:rPr>
                <w:sz w:val="20"/>
                <w:szCs w:val="20"/>
              </w:rPr>
            </w:pPr>
            <w:r w:rsidRPr="0029110D">
              <w:rPr>
                <w:sz w:val="20"/>
                <w:szCs w:val="20"/>
              </w:rPr>
              <w:t>≈37</w:t>
            </w:r>
          </w:p>
        </w:tc>
      </w:tr>
      <w:tr w:rsidR="00CF1BE3" w:rsidRPr="0029110D" w14:paraId="0D21CBDD" w14:textId="77777777" w:rsidTr="00AB1FF1">
        <w:tc>
          <w:tcPr>
            <w:tcW w:w="1915" w:type="dxa"/>
            <w:vMerge/>
          </w:tcPr>
          <w:p w14:paraId="786DDD58" w14:textId="77777777" w:rsidR="00CF1BE3" w:rsidRPr="0029110D" w:rsidRDefault="00CF1BE3" w:rsidP="00511EB4">
            <w:pPr>
              <w:rPr>
                <w:sz w:val="20"/>
                <w:szCs w:val="20"/>
              </w:rPr>
            </w:pPr>
          </w:p>
        </w:tc>
        <w:tc>
          <w:tcPr>
            <w:tcW w:w="1914" w:type="dxa"/>
            <w:vMerge/>
            <w:vAlign w:val="center"/>
          </w:tcPr>
          <w:p w14:paraId="29D163D1" w14:textId="77777777" w:rsidR="00CF1BE3" w:rsidRPr="0029110D" w:rsidRDefault="00CF1BE3" w:rsidP="00511EB4">
            <w:pPr>
              <w:rPr>
                <w:sz w:val="20"/>
                <w:szCs w:val="20"/>
              </w:rPr>
            </w:pPr>
          </w:p>
        </w:tc>
        <w:tc>
          <w:tcPr>
            <w:tcW w:w="1914" w:type="dxa"/>
          </w:tcPr>
          <w:p w14:paraId="60EF23AA" w14:textId="77777777" w:rsidR="00CF1BE3" w:rsidRPr="0029110D" w:rsidRDefault="00CF1BE3" w:rsidP="00511EB4">
            <w:pPr>
              <w:rPr>
                <w:sz w:val="20"/>
                <w:szCs w:val="20"/>
              </w:rPr>
            </w:pPr>
            <w:r w:rsidRPr="0029110D">
              <w:rPr>
                <w:sz w:val="20"/>
                <w:szCs w:val="20"/>
              </w:rPr>
              <w:t>♂250</w:t>
            </w:r>
          </w:p>
        </w:tc>
        <w:tc>
          <w:tcPr>
            <w:tcW w:w="1914" w:type="dxa"/>
          </w:tcPr>
          <w:p w14:paraId="51380953" w14:textId="77777777" w:rsidR="00CF1BE3" w:rsidRPr="0029110D" w:rsidRDefault="00CF1BE3" w:rsidP="00511EB4">
            <w:pPr>
              <w:rPr>
                <w:sz w:val="20"/>
                <w:szCs w:val="20"/>
              </w:rPr>
            </w:pPr>
            <w:r w:rsidRPr="0029110D">
              <w:rPr>
                <w:sz w:val="20"/>
                <w:szCs w:val="20"/>
              </w:rPr>
              <w:t>164 мкмоль*ч</w:t>
            </w:r>
          </w:p>
        </w:tc>
        <w:tc>
          <w:tcPr>
            <w:tcW w:w="1671" w:type="dxa"/>
          </w:tcPr>
          <w:p w14:paraId="6DCA8373" w14:textId="77777777" w:rsidR="00CF1BE3" w:rsidRPr="0029110D" w:rsidRDefault="00CF1BE3" w:rsidP="00511EB4">
            <w:pPr>
              <w:rPr>
                <w:sz w:val="20"/>
                <w:szCs w:val="20"/>
              </w:rPr>
            </w:pPr>
            <w:r w:rsidRPr="0029110D">
              <w:rPr>
                <w:sz w:val="20"/>
                <w:szCs w:val="20"/>
              </w:rPr>
              <w:t>≈126</w:t>
            </w:r>
          </w:p>
        </w:tc>
      </w:tr>
      <w:tr w:rsidR="00CF1BE3" w:rsidRPr="0029110D" w14:paraId="66B59C40" w14:textId="77777777" w:rsidTr="00AB1FF1">
        <w:tc>
          <w:tcPr>
            <w:tcW w:w="1915" w:type="dxa"/>
            <w:vMerge/>
          </w:tcPr>
          <w:p w14:paraId="6496A524" w14:textId="77777777" w:rsidR="00CF1BE3" w:rsidRPr="0029110D" w:rsidRDefault="00CF1BE3" w:rsidP="00511EB4">
            <w:pPr>
              <w:rPr>
                <w:sz w:val="20"/>
                <w:szCs w:val="20"/>
              </w:rPr>
            </w:pPr>
          </w:p>
        </w:tc>
        <w:tc>
          <w:tcPr>
            <w:tcW w:w="1914" w:type="dxa"/>
            <w:vMerge/>
            <w:vAlign w:val="center"/>
          </w:tcPr>
          <w:p w14:paraId="024A3757" w14:textId="77777777" w:rsidR="00CF1BE3" w:rsidRPr="0029110D" w:rsidRDefault="00CF1BE3" w:rsidP="00511EB4">
            <w:pPr>
              <w:rPr>
                <w:sz w:val="20"/>
                <w:szCs w:val="20"/>
              </w:rPr>
            </w:pPr>
          </w:p>
        </w:tc>
        <w:tc>
          <w:tcPr>
            <w:tcW w:w="1914" w:type="dxa"/>
          </w:tcPr>
          <w:p w14:paraId="7439AF3D" w14:textId="77777777" w:rsidR="00CF1BE3" w:rsidRPr="0029110D" w:rsidRDefault="00CF1BE3" w:rsidP="00511EB4">
            <w:pPr>
              <w:rPr>
                <w:sz w:val="20"/>
                <w:szCs w:val="20"/>
              </w:rPr>
            </w:pPr>
            <w:r w:rsidRPr="0029110D">
              <w:rPr>
                <w:sz w:val="20"/>
                <w:szCs w:val="20"/>
              </w:rPr>
              <w:t>♂500</w:t>
            </w:r>
          </w:p>
        </w:tc>
        <w:tc>
          <w:tcPr>
            <w:tcW w:w="1914" w:type="dxa"/>
          </w:tcPr>
          <w:p w14:paraId="64049E90" w14:textId="77777777" w:rsidR="00CF1BE3" w:rsidRPr="0029110D" w:rsidRDefault="00CF1BE3" w:rsidP="00511EB4">
            <w:pPr>
              <w:rPr>
                <w:sz w:val="20"/>
                <w:szCs w:val="20"/>
              </w:rPr>
            </w:pPr>
            <w:r w:rsidRPr="0029110D">
              <w:rPr>
                <w:sz w:val="20"/>
                <w:szCs w:val="20"/>
              </w:rPr>
              <w:t>191 мкмоль*ч</w:t>
            </w:r>
          </w:p>
        </w:tc>
        <w:tc>
          <w:tcPr>
            <w:tcW w:w="1671" w:type="dxa"/>
          </w:tcPr>
          <w:p w14:paraId="2043DE58" w14:textId="77777777" w:rsidR="00CF1BE3" w:rsidRPr="0029110D" w:rsidRDefault="00CF1BE3" w:rsidP="00511EB4">
            <w:pPr>
              <w:rPr>
                <w:sz w:val="20"/>
                <w:szCs w:val="20"/>
              </w:rPr>
            </w:pPr>
            <w:r w:rsidRPr="0029110D">
              <w:rPr>
                <w:sz w:val="20"/>
                <w:szCs w:val="20"/>
              </w:rPr>
              <w:t>≈147</w:t>
            </w:r>
          </w:p>
        </w:tc>
      </w:tr>
      <w:tr w:rsidR="00CF1BE3" w:rsidRPr="0029110D" w14:paraId="20CC7B26" w14:textId="77777777" w:rsidTr="00AB1FF1">
        <w:tc>
          <w:tcPr>
            <w:tcW w:w="1915" w:type="dxa"/>
            <w:vMerge/>
          </w:tcPr>
          <w:p w14:paraId="60382BA0" w14:textId="77777777" w:rsidR="00CF1BE3" w:rsidRPr="0029110D" w:rsidRDefault="00CF1BE3" w:rsidP="00511EB4">
            <w:pPr>
              <w:rPr>
                <w:sz w:val="20"/>
                <w:szCs w:val="20"/>
              </w:rPr>
            </w:pPr>
          </w:p>
        </w:tc>
        <w:tc>
          <w:tcPr>
            <w:tcW w:w="1914" w:type="dxa"/>
            <w:vMerge/>
            <w:vAlign w:val="center"/>
          </w:tcPr>
          <w:p w14:paraId="65EE73F0" w14:textId="77777777" w:rsidR="00CF1BE3" w:rsidRPr="0029110D" w:rsidRDefault="00CF1BE3" w:rsidP="00511EB4">
            <w:pPr>
              <w:rPr>
                <w:sz w:val="20"/>
                <w:szCs w:val="20"/>
              </w:rPr>
            </w:pPr>
          </w:p>
        </w:tc>
        <w:tc>
          <w:tcPr>
            <w:tcW w:w="1914" w:type="dxa"/>
          </w:tcPr>
          <w:p w14:paraId="07E29DBA" w14:textId="77777777" w:rsidR="00CF1BE3" w:rsidRPr="0029110D" w:rsidRDefault="00CF1BE3" w:rsidP="00511EB4">
            <w:pPr>
              <w:rPr>
                <w:sz w:val="20"/>
                <w:szCs w:val="20"/>
              </w:rPr>
            </w:pPr>
            <w:r w:rsidRPr="0029110D">
              <w:rPr>
                <w:sz w:val="20"/>
                <w:szCs w:val="20"/>
              </w:rPr>
              <w:t>♀10</w:t>
            </w:r>
          </w:p>
        </w:tc>
        <w:tc>
          <w:tcPr>
            <w:tcW w:w="1914" w:type="dxa"/>
          </w:tcPr>
          <w:p w14:paraId="1BC98C63" w14:textId="77777777" w:rsidR="00CF1BE3" w:rsidRPr="0029110D" w:rsidRDefault="00CF1BE3" w:rsidP="00511EB4">
            <w:pPr>
              <w:rPr>
                <w:sz w:val="20"/>
                <w:szCs w:val="20"/>
              </w:rPr>
            </w:pPr>
            <w:r w:rsidRPr="0029110D">
              <w:rPr>
                <w:sz w:val="20"/>
                <w:szCs w:val="20"/>
              </w:rPr>
              <w:t>8,22 мкмоль*ч</w:t>
            </w:r>
          </w:p>
        </w:tc>
        <w:tc>
          <w:tcPr>
            <w:tcW w:w="1671" w:type="dxa"/>
          </w:tcPr>
          <w:p w14:paraId="1E1B8510" w14:textId="77777777" w:rsidR="00CF1BE3" w:rsidRPr="0029110D" w:rsidRDefault="00CF1BE3" w:rsidP="00511EB4">
            <w:pPr>
              <w:rPr>
                <w:sz w:val="20"/>
                <w:szCs w:val="20"/>
              </w:rPr>
            </w:pPr>
            <w:r w:rsidRPr="0029110D">
              <w:rPr>
                <w:sz w:val="20"/>
                <w:szCs w:val="20"/>
              </w:rPr>
              <w:t>≈6</w:t>
            </w:r>
          </w:p>
        </w:tc>
      </w:tr>
      <w:tr w:rsidR="00CF1BE3" w:rsidRPr="0029110D" w14:paraId="53D46C39" w14:textId="77777777" w:rsidTr="00AB1FF1">
        <w:tc>
          <w:tcPr>
            <w:tcW w:w="1915" w:type="dxa"/>
            <w:vMerge/>
          </w:tcPr>
          <w:p w14:paraId="5F9D2D74" w14:textId="77777777" w:rsidR="00CF1BE3" w:rsidRPr="0029110D" w:rsidRDefault="00CF1BE3" w:rsidP="00511EB4">
            <w:pPr>
              <w:rPr>
                <w:sz w:val="20"/>
                <w:szCs w:val="20"/>
              </w:rPr>
            </w:pPr>
          </w:p>
        </w:tc>
        <w:tc>
          <w:tcPr>
            <w:tcW w:w="1914" w:type="dxa"/>
            <w:vMerge/>
            <w:vAlign w:val="center"/>
          </w:tcPr>
          <w:p w14:paraId="2BE5B460" w14:textId="77777777" w:rsidR="00CF1BE3" w:rsidRPr="0029110D" w:rsidRDefault="00CF1BE3" w:rsidP="00511EB4">
            <w:pPr>
              <w:rPr>
                <w:sz w:val="20"/>
                <w:szCs w:val="20"/>
              </w:rPr>
            </w:pPr>
          </w:p>
        </w:tc>
        <w:tc>
          <w:tcPr>
            <w:tcW w:w="1914" w:type="dxa"/>
          </w:tcPr>
          <w:p w14:paraId="26459CAB" w14:textId="77777777" w:rsidR="00CF1BE3" w:rsidRPr="0029110D" w:rsidRDefault="00CF1BE3" w:rsidP="00511EB4">
            <w:pPr>
              <w:rPr>
                <w:sz w:val="20"/>
                <w:szCs w:val="20"/>
              </w:rPr>
            </w:pPr>
            <w:r w:rsidRPr="0029110D">
              <w:rPr>
                <w:sz w:val="20"/>
                <w:szCs w:val="20"/>
              </w:rPr>
              <w:t>♀75</w:t>
            </w:r>
          </w:p>
        </w:tc>
        <w:tc>
          <w:tcPr>
            <w:tcW w:w="1914" w:type="dxa"/>
          </w:tcPr>
          <w:p w14:paraId="57982523" w14:textId="77777777" w:rsidR="00CF1BE3" w:rsidRPr="0029110D" w:rsidRDefault="00CF1BE3" w:rsidP="00511EB4">
            <w:pPr>
              <w:rPr>
                <w:sz w:val="20"/>
                <w:szCs w:val="20"/>
              </w:rPr>
            </w:pPr>
            <w:r w:rsidRPr="0029110D">
              <w:rPr>
                <w:sz w:val="20"/>
                <w:szCs w:val="20"/>
              </w:rPr>
              <w:t>48,1 мкмоль*ч</w:t>
            </w:r>
          </w:p>
        </w:tc>
        <w:tc>
          <w:tcPr>
            <w:tcW w:w="1671" w:type="dxa"/>
          </w:tcPr>
          <w:p w14:paraId="02D58177" w14:textId="77777777" w:rsidR="00CF1BE3" w:rsidRPr="0029110D" w:rsidRDefault="00CF1BE3" w:rsidP="00511EB4">
            <w:pPr>
              <w:rPr>
                <w:sz w:val="20"/>
                <w:szCs w:val="20"/>
              </w:rPr>
            </w:pPr>
            <w:r w:rsidRPr="0029110D">
              <w:rPr>
                <w:sz w:val="20"/>
                <w:szCs w:val="20"/>
              </w:rPr>
              <w:t>≈37</w:t>
            </w:r>
          </w:p>
        </w:tc>
      </w:tr>
      <w:tr w:rsidR="00CF1BE3" w:rsidRPr="0029110D" w14:paraId="482C9AA4" w14:textId="77777777" w:rsidTr="00AB1FF1">
        <w:tc>
          <w:tcPr>
            <w:tcW w:w="1915" w:type="dxa"/>
            <w:vMerge/>
          </w:tcPr>
          <w:p w14:paraId="1748B72E" w14:textId="77777777" w:rsidR="00CF1BE3" w:rsidRPr="0029110D" w:rsidRDefault="00CF1BE3" w:rsidP="00511EB4">
            <w:pPr>
              <w:rPr>
                <w:sz w:val="20"/>
                <w:szCs w:val="20"/>
              </w:rPr>
            </w:pPr>
          </w:p>
        </w:tc>
        <w:tc>
          <w:tcPr>
            <w:tcW w:w="1914" w:type="dxa"/>
            <w:vMerge/>
            <w:vAlign w:val="center"/>
          </w:tcPr>
          <w:p w14:paraId="5BA81C7A" w14:textId="77777777" w:rsidR="00CF1BE3" w:rsidRPr="0029110D" w:rsidRDefault="00CF1BE3" w:rsidP="00511EB4">
            <w:pPr>
              <w:rPr>
                <w:sz w:val="20"/>
                <w:szCs w:val="20"/>
              </w:rPr>
            </w:pPr>
          </w:p>
        </w:tc>
        <w:tc>
          <w:tcPr>
            <w:tcW w:w="1914" w:type="dxa"/>
          </w:tcPr>
          <w:p w14:paraId="5B595A12" w14:textId="77777777" w:rsidR="00CF1BE3" w:rsidRPr="0029110D" w:rsidRDefault="00CF1BE3" w:rsidP="00511EB4">
            <w:pPr>
              <w:rPr>
                <w:sz w:val="20"/>
                <w:szCs w:val="20"/>
              </w:rPr>
            </w:pPr>
            <w:r w:rsidRPr="0029110D">
              <w:rPr>
                <w:sz w:val="20"/>
                <w:szCs w:val="20"/>
              </w:rPr>
              <w:t>♀250</w:t>
            </w:r>
          </w:p>
        </w:tc>
        <w:tc>
          <w:tcPr>
            <w:tcW w:w="1914" w:type="dxa"/>
          </w:tcPr>
          <w:p w14:paraId="0DE15802" w14:textId="77777777" w:rsidR="00CF1BE3" w:rsidRPr="0029110D" w:rsidRDefault="00CF1BE3" w:rsidP="00511EB4">
            <w:pPr>
              <w:rPr>
                <w:sz w:val="20"/>
                <w:szCs w:val="20"/>
              </w:rPr>
            </w:pPr>
            <w:r w:rsidRPr="0029110D">
              <w:rPr>
                <w:sz w:val="20"/>
                <w:szCs w:val="20"/>
              </w:rPr>
              <w:t>199 мкмоль*ч</w:t>
            </w:r>
          </w:p>
        </w:tc>
        <w:tc>
          <w:tcPr>
            <w:tcW w:w="1671" w:type="dxa"/>
          </w:tcPr>
          <w:p w14:paraId="18F9F4AF" w14:textId="77777777" w:rsidR="00CF1BE3" w:rsidRPr="0029110D" w:rsidRDefault="00CF1BE3" w:rsidP="00511EB4">
            <w:pPr>
              <w:rPr>
                <w:sz w:val="20"/>
                <w:szCs w:val="20"/>
              </w:rPr>
            </w:pPr>
            <w:r w:rsidRPr="0029110D">
              <w:rPr>
                <w:sz w:val="20"/>
                <w:szCs w:val="20"/>
              </w:rPr>
              <w:t>≈153</w:t>
            </w:r>
          </w:p>
        </w:tc>
      </w:tr>
      <w:tr w:rsidR="00CF1BE3" w:rsidRPr="0029110D" w14:paraId="3375267D" w14:textId="77777777" w:rsidTr="00AB1FF1">
        <w:tc>
          <w:tcPr>
            <w:tcW w:w="1915" w:type="dxa"/>
            <w:vMerge/>
          </w:tcPr>
          <w:p w14:paraId="723560D7" w14:textId="77777777" w:rsidR="00CF1BE3" w:rsidRPr="0029110D" w:rsidRDefault="00CF1BE3" w:rsidP="00511EB4">
            <w:pPr>
              <w:rPr>
                <w:sz w:val="20"/>
                <w:szCs w:val="20"/>
              </w:rPr>
            </w:pPr>
          </w:p>
        </w:tc>
        <w:tc>
          <w:tcPr>
            <w:tcW w:w="1914" w:type="dxa"/>
            <w:vMerge/>
            <w:vAlign w:val="center"/>
          </w:tcPr>
          <w:p w14:paraId="04D0FB17" w14:textId="77777777" w:rsidR="00CF1BE3" w:rsidRPr="0029110D" w:rsidRDefault="00CF1BE3" w:rsidP="00511EB4">
            <w:pPr>
              <w:rPr>
                <w:sz w:val="20"/>
                <w:szCs w:val="20"/>
              </w:rPr>
            </w:pPr>
          </w:p>
        </w:tc>
        <w:tc>
          <w:tcPr>
            <w:tcW w:w="1914" w:type="dxa"/>
          </w:tcPr>
          <w:p w14:paraId="603D52E2" w14:textId="77777777" w:rsidR="00CF1BE3" w:rsidRPr="0029110D" w:rsidRDefault="00CF1BE3" w:rsidP="00511EB4">
            <w:pPr>
              <w:rPr>
                <w:sz w:val="20"/>
                <w:szCs w:val="20"/>
              </w:rPr>
            </w:pPr>
            <w:r w:rsidRPr="0029110D">
              <w:rPr>
                <w:sz w:val="20"/>
                <w:szCs w:val="20"/>
              </w:rPr>
              <w:t>♀500</w:t>
            </w:r>
          </w:p>
        </w:tc>
        <w:tc>
          <w:tcPr>
            <w:tcW w:w="1914" w:type="dxa"/>
          </w:tcPr>
          <w:p w14:paraId="2BA1846A" w14:textId="77777777" w:rsidR="00CF1BE3" w:rsidRPr="0029110D" w:rsidRDefault="00CF1BE3" w:rsidP="00511EB4">
            <w:pPr>
              <w:rPr>
                <w:sz w:val="20"/>
                <w:szCs w:val="20"/>
              </w:rPr>
            </w:pPr>
            <w:r w:rsidRPr="0029110D">
              <w:rPr>
                <w:sz w:val="20"/>
                <w:szCs w:val="20"/>
              </w:rPr>
              <w:t>215 мкмоль*ч</w:t>
            </w:r>
          </w:p>
        </w:tc>
        <w:tc>
          <w:tcPr>
            <w:tcW w:w="1671" w:type="dxa"/>
          </w:tcPr>
          <w:p w14:paraId="6E61A7F4" w14:textId="77777777" w:rsidR="00CF1BE3" w:rsidRPr="0029110D" w:rsidRDefault="00CF1BE3" w:rsidP="00511EB4">
            <w:pPr>
              <w:rPr>
                <w:sz w:val="20"/>
                <w:szCs w:val="20"/>
              </w:rPr>
            </w:pPr>
            <w:r w:rsidRPr="0029110D">
              <w:rPr>
                <w:sz w:val="20"/>
                <w:szCs w:val="20"/>
              </w:rPr>
              <w:t>≈165</w:t>
            </w:r>
          </w:p>
        </w:tc>
      </w:tr>
      <w:tr w:rsidR="00CF1BE3" w:rsidRPr="0029110D" w14:paraId="34CFFA22" w14:textId="77777777" w:rsidTr="00AB1FF1">
        <w:tc>
          <w:tcPr>
            <w:tcW w:w="1915" w:type="dxa"/>
            <w:vMerge/>
          </w:tcPr>
          <w:p w14:paraId="30526426" w14:textId="77777777" w:rsidR="00CF1BE3" w:rsidRPr="0029110D" w:rsidRDefault="00CF1BE3" w:rsidP="00511EB4">
            <w:pPr>
              <w:rPr>
                <w:sz w:val="20"/>
                <w:szCs w:val="20"/>
              </w:rPr>
            </w:pPr>
          </w:p>
        </w:tc>
        <w:tc>
          <w:tcPr>
            <w:tcW w:w="1914" w:type="dxa"/>
            <w:vMerge w:val="restart"/>
            <w:vAlign w:val="center"/>
          </w:tcPr>
          <w:p w14:paraId="63D8DE5E" w14:textId="77777777" w:rsidR="00CF1BE3" w:rsidRPr="0029110D" w:rsidRDefault="00CF1BE3" w:rsidP="00511EB4">
            <w:pPr>
              <w:rPr>
                <w:sz w:val="20"/>
                <w:szCs w:val="20"/>
              </w:rPr>
            </w:pPr>
            <w:r w:rsidRPr="0029110D">
              <w:rPr>
                <w:sz w:val="20"/>
                <w:szCs w:val="20"/>
              </w:rPr>
              <w:t xml:space="preserve">4 недели, дикий тип, </w:t>
            </w:r>
            <w:r w:rsidRPr="0029110D">
              <w:rPr>
                <w:sz w:val="20"/>
                <w:szCs w:val="20"/>
                <w:lang w:val="en-US"/>
              </w:rPr>
              <w:t>CBy</w:t>
            </w:r>
            <w:r w:rsidRPr="0029110D">
              <w:rPr>
                <w:sz w:val="20"/>
                <w:szCs w:val="20"/>
              </w:rPr>
              <w:t>6</w:t>
            </w:r>
            <w:r w:rsidRPr="0029110D">
              <w:rPr>
                <w:sz w:val="20"/>
                <w:szCs w:val="20"/>
                <w:lang w:val="en-US"/>
              </w:rPr>
              <w:t>F</w:t>
            </w:r>
            <w:r w:rsidRPr="0029110D">
              <w:rPr>
                <w:sz w:val="20"/>
                <w:szCs w:val="20"/>
              </w:rPr>
              <w:t>1-</w:t>
            </w:r>
            <w:r w:rsidRPr="0029110D">
              <w:rPr>
                <w:sz w:val="20"/>
                <w:szCs w:val="20"/>
                <w:lang w:val="en-US"/>
              </w:rPr>
              <w:t>Tg</w:t>
            </w:r>
            <w:r w:rsidRPr="0029110D">
              <w:rPr>
                <w:sz w:val="20"/>
                <w:szCs w:val="20"/>
              </w:rPr>
              <w:t xml:space="preserve"> (</w:t>
            </w:r>
            <w:r w:rsidRPr="0029110D">
              <w:rPr>
                <w:sz w:val="20"/>
                <w:szCs w:val="20"/>
                <w:lang w:val="en-US"/>
              </w:rPr>
              <w:t>HRAS</w:t>
            </w:r>
            <w:r w:rsidRPr="0029110D">
              <w:rPr>
                <w:sz w:val="20"/>
                <w:szCs w:val="20"/>
              </w:rPr>
              <w:t>) 2</w:t>
            </w:r>
            <w:r w:rsidRPr="0029110D">
              <w:rPr>
                <w:sz w:val="20"/>
                <w:szCs w:val="20"/>
                <w:lang w:val="en-US"/>
              </w:rPr>
              <w:t>jic</w:t>
            </w:r>
            <w:r w:rsidRPr="0029110D">
              <w:rPr>
                <w:sz w:val="20"/>
                <w:szCs w:val="20"/>
              </w:rPr>
              <w:t xml:space="preserve"> </w:t>
            </w:r>
            <w:r w:rsidRPr="0029110D">
              <w:rPr>
                <w:sz w:val="20"/>
                <w:szCs w:val="20"/>
                <w:lang w:val="en-US"/>
              </w:rPr>
              <w:t>mice</w:t>
            </w:r>
          </w:p>
        </w:tc>
        <w:tc>
          <w:tcPr>
            <w:tcW w:w="1914" w:type="dxa"/>
          </w:tcPr>
          <w:p w14:paraId="11D7B0D1" w14:textId="77777777" w:rsidR="00CF1BE3" w:rsidRPr="0029110D" w:rsidRDefault="00CF1BE3" w:rsidP="00511EB4">
            <w:pPr>
              <w:rPr>
                <w:sz w:val="20"/>
                <w:szCs w:val="20"/>
              </w:rPr>
            </w:pPr>
            <w:r w:rsidRPr="0029110D">
              <w:rPr>
                <w:sz w:val="20"/>
                <w:szCs w:val="20"/>
              </w:rPr>
              <w:t>♂75</w:t>
            </w:r>
          </w:p>
        </w:tc>
        <w:tc>
          <w:tcPr>
            <w:tcW w:w="1914" w:type="dxa"/>
          </w:tcPr>
          <w:p w14:paraId="1AA6EE49" w14:textId="77777777" w:rsidR="00CF1BE3" w:rsidRPr="0029110D" w:rsidRDefault="00CF1BE3" w:rsidP="00511EB4">
            <w:pPr>
              <w:rPr>
                <w:sz w:val="20"/>
                <w:szCs w:val="20"/>
              </w:rPr>
            </w:pPr>
            <w:r w:rsidRPr="0029110D">
              <w:rPr>
                <w:sz w:val="20"/>
                <w:szCs w:val="20"/>
              </w:rPr>
              <w:t>14765 нг*ч/мл</w:t>
            </w:r>
          </w:p>
        </w:tc>
        <w:tc>
          <w:tcPr>
            <w:tcW w:w="1671" w:type="dxa"/>
          </w:tcPr>
          <w:p w14:paraId="11102E61" w14:textId="77777777" w:rsidR="00CF1BE3" w:rsidRPr="0029110D" w:rsidRDefault="00CF1BE3" w:rsidP="00511EB4">
            <w:pPr>
              <w:rPr>
                <w:sz w:val="20"/>
                <w:szCs w:val="20"/>
              </w:rPr>
            </w:pPr>
            <w:r w:rsidRPr="0029110D">
              <w:rPr>
                <w:sz w:val="20"/>
                <w:szCs w:val="20"/>
              </w:rPr>
              <w:t>≈31</w:t>
            </w:r>
          </w:p>
        </w:tc>
      </w:tr>
      <w:tr w:rsidR="00CF1BE3" w:rsidRPr="0029110D" w14:paraId="4F6FBB68" w14:textId="77777777" w:rsidTr="00AB1FF1">
        <w:tc>
          <w:tcPr>
            <w:tcW w:w="1915" w:type="dxa"/>
            <w:vMerge/>
          </w:tcPr>
          <w:p w14:paraId="29BBBB5A" w14:textId="77777777" w:rsidR="00CF1BE3" w:rsidRPr="0029110D" w:rsidRDefault="00CF1BE3" w:rsidP="00511EB4">
            <w:pPr>
              <w:rPr>
                <w:sz w:val="20"/>
                <w:szCs w:val="20"/>
              </w:rPr>
            </w:pPr>
          </w:p>
        </w:tc>
        <w:tc>
          <w:tcPr>
            <w:tcW w:w="1914" w:type="dxa"/>
            <w:vMerge/>
            <w:vAlign w:val="center"/>
          </w:tcPr>
          <w:p w14:paraId="220F2CBC" w14:textId="77777777" w:rsidR="00CF1BE3" w:rsidRPr="0029110D" w:rsidRDefault="00CF1BE3" w:rsidP="00511EB4">
            <w:pPr>
              <w:rPr>
                <w:sz w:val="20"/>
                <w:szCs w:val="20"/>
              </w:rPr>
            </w:pPr>
          </w:p>
        </w:tc>
        <w:tc>
          <w:tcPr>
            <w:tcW w:w="1914" w:type="dxa"/>
          </w:tcPr>
          <w:p w14:paraId="3B33F540" w14:textId="77777777" w:rsidR="00CF1BE3" w:rsidRPr="0029110D" w:rsidRDefault="00CF1BE3" w:rsidP="00511EB4">
            <w:pPr>
              <w:rPr>
                <w:sz w:val="20"/>
                <w:szCs w:val="20"/>
              </w:rPr>
            </w:pPr>
            <w:r w:rsidRPr="0029110D">
              <w:rPr>
                <w:sz w:val="20"/>
                <w:szCs w:val="20"/>
              </w:rPr>
              <w:t>♂150</w:t>
            </w:r>
          </w:p>
        </w:tc>
        <w:tc>
          <w:tcPr>
            <w:tcW w:w="1914" w:type="dxa"/>
          </w:tcPr>
          <w:p w14:paraId="535460A1" w14:textId="77777777" w:rsidR="00CF1BE3" w:rsidRPr="0029110D" w:rsidRDefault="00CF1BE3" w:rsidP="00511EB4">
            <w:pPr>
              <w:rPr>
                <w:sz w:val="20"/>
                <w:szCs w:val="20"/>
              </w:rPr>
            </w:pPr>
            <w:r w:rsidRPr="0029110D">
              <w:rPr>
                <w:sz w:val="20"/>
                <w:szCs w:val="20"/>
              </w:rPr>
              <w:t>21793 нг*ч/мл</w:t>
            </w:r>
          </w:p>
        </w:tc>
        <w:tc>
          <w:tcPr>
            <w:tcW w:w="1671" w:type="dxa"/>
          </w:tcPr>
          <w:p w14:paraId="670BEC28" w14:textId="77777777" w:rsidR="00CF1BE3" w:rsidRPr="0029110D" w:rsidRDefault="00CF1BE3" w:rsidP="00511EB4">
            <w:pPr>
              <w:rPr>
                <w:sz w:val="20"/>
                <w:szCs w:val="20"/>
              </w:rPr>
            </w:pPr>
            <w:r w:rsidRPr="0029110D">
              <w:rPr>
                <w:sz w:val="20"/>
                <w:szCs w:val="20"/>
              </w:rPr>
              <w:t>≈46</w:t>
            </w:r>
          </w:p>
        </w:tc>
      </w:tr>
      <w:tr w:rsidR="00CF1BE3" w:rsidRPr="0029110D" w14:paraId="5CDBC612" w14:textId="77777777" w:rsidTr="00AB1FF1">
        <w:tc>
          <w:tcPr>
            <w:tcW w:w="1915" w:type="dxa"/>
            <w:vMerge/>
          </w:tcPr>
          <w:p w14:paraId="0C756ECF" w14:textId="77777777" w:rsidR="00CF1BE3" w:rsidRPr="0029110D" w:rsidRDefault="00CF1BE3" w:rsidP="00511EB4">
            <w:pPr>
              <w:rPr>
                <w:sz w:val="20"/>
                <w:szCs w:val="20"/>
              </w:rPr>
            </w:pPr>
          </w:p>
        </w:tc>
        <w:tc>
          <w:tcPr>
            <w:tcW w:w="1914" w:type="dxa"/>
            <w:vMerge/>
            <w:vAlign w:val="center"/>
          </w:tcPr>
          <w:p w14:paraId="1028AF81" w14:textId="77777777" w:rsidR="00CF1BE3" w:rsidRPr="0029110D" w:rsidRDefault="00CF1BE3" w:rsidP="00511EB4">
            <w:pPr>
              <w:rPr>
                <w:sz w:val="20"/>
                <w:szCs w:val="20"/>
              </w:rPr>
            </w:pPr>
          </w:p>
        </w:tc>
        <w:tc>
          <w:tcPr>
            <w:tcW w:w="1914" w:type="dxa"/>
          </w:tcPr>
          <w:p w14:paraId="03E1931A" w14:textId="77777777" w:rsidR="00CF1BE3" w:rsidRPr="0029110D" w:rsidRDefault="00CF1BE3" w:rsidP="00511EB4">
            <w:pPr>
              <w:rPr>
                <w:sz w:val="20"/>
                <w:szCs w:val="20"/>
              </w:rPr>
            </w:pPr>
            <w:r w:rsidRPr="0029110D">
              <w:rPr>
                <w:sz w:val="20"/>
                <w:szCs w:val="20"/>
              </w:rPr>
              <w:t>♂300</w:t>
            </w:r>
          </w:p>
        </w:tc>
        <w:tc>
          <w:tcPr>
            <w:tcW w:w="1914" w:type="dxa"/>
          </w:tcPr>
          <w:p w14:paraId="7FD4F880" w14:textId="77777777" w:rsidR="00CF1BE3" w:rsidRPr="0029110D" w:rsidRDefault="00CF1BE3" w:rsidP="00511EB4">
            <w:pPr>
              <w:rPr>
                <w:sz w:val="20"/>
                <w:szCs w:val="20"/>
              </w:rPr>
            </w:pPr>
            <w:r w:rsidRPr="0029110D">
              <w:rPr>
                <w:sz w:val="20"/>
                <w:szCs w:val="20"/>
              </w:rPr>
              <w:t>24030 нг*ч/мл</w:t>
            </w:r>
          </w:p>
        </w:tc>
        <w:tc>
          <w:tcPr>
            <w:tcW w:w="1671" w:type="dxa"/>
          </w:tcPr>
          <w:p w14:paraId="284E3F36" w14:textId="77777777" w:rsidR="00CF1BE3" w:rsidRPr="0029110D" w:rsidRDefault="00CF1BE3" w:rsidP="00511EB4">
            <w:pPr>
              <w:rPr>
                <w:sz w:val="20"/>
                <w:szCs w:val="20"/>
              </w:rPr>
            </w:pPr>
            <w:r w:rsidRPr="0029110D">
              <w:rPr>
                <w:sz w:val="20"/>
                <w:szCs w:val="20"/>
              </w:rPr>
              <w:t>≈50</w:t>
            </w:r>
          </w:p>
        </w:tc>
      </w:tr>
      <w:tr w:rsidR="00CF1BE3" w:rsidRPr="0029110D" w14:paraId="2A6F0A38" w14:textId="77777777" w:rsidTr="00AB1FF1">
        <w:tc>
          <w:tcPr>
            <w:tcW w:w="1915" w:type="dxa"/>
            <w:vMerge/>
          </w:tcPr>
          <w:p w14:paraId="764A7701" w14:textId="77777777" w:rsidR="00CF1BE3" w:rsidRPr="0029110D" w:rsidRDefault="00CF1BE3" w:rsidP="00511EB4">
            <w:pPr>
              <w:rPr>
                <w:sz w:val="20"/>
                <w:szCs w:val="20"/>
              </w:rPr>
            </w:pPr>
          </w:p>
        </w:tc>
        <w:tc>
          <w:tcPr>
            <w:tcW w:w="1914" w:type="dxa"/>
            <w:vMerge/>
            <w:vAlign w:val="center"/>
          </w:tcPr>
          <w:p w14:paraId="21C452BB" w14:textId="77777777" w:rsidR="00CF1BE3" w:rsidRPr="0029110D" w:rsidRDefault="00CF1BE3" w:rsidP="00511EB4">
            <w:pPr>
              <w:rPr>
                <w:sz w:val="20"/>
                <w:szCs w:val="20"/>
              </w:rPr>
            </w:pPr>
          </w:p>
        </w:tc>
        <w:tc>
          <w:tcPr>
            <w:tcW w:w="1914" w:type="dxa"/>
          </w:tcPr>
          <w:p w14:paraId="03A6A308" w14:textId="77777777" w:rsidR="00CF1BE3" w:rsidRPr="0029110D" w:rsidRDefault="00CF1BE3" w:rsidP="00511EB4">
            <w:pPr>
              <w:rPr>
                <w:sz w:val="20"/>
                <w:szCs w:val="20"/>
              </w:rPr>
            </w:pPr>
            <w:r w:rsidRPr="0029110D">
              <w:rPr>
                <w:sz w:val="20"/>
                <w:szCs w:val="20"/>
              </w:rPr>
              <w:t>♀75</w:t>
            </w:r>
          </w:p>
        </w:tc>
        <w:tc>
          <w:tcPr>
            <w:tcW w:w="1914" w:type="dxa"/>
          </w:tcPr>
          <w:p w14:paraId="2AC92E3E" w14:textId="77777777" w:rsidR="00CF1BE3" w:rsidRPr="0029110D" w:rsidRDefault="00CF1BE3" w:rsidP="00511EB4">
            <w:pPr>
              <w:rPr>
                <w:sz w:val="20"/>
                <w:szCs w:val="20"/>
              </w:rPr>
            </w:pPr>
            <w:r w:rsidRPr="0029110D">
              <w:rPr>
                <w:sz w:val="20"/>
                <w:szCs w:val="20"/>
              </w:rPr>
              <w:t>21755 нг*ч/мл</w:t>
            </w:r>
          </w:p>
        </w:tc>
        <w:tc>
          <w:tcPr>
            <w:tcW w:w="1671" w:type="dxa"/>
          </w:tcPr>
          <w:p w14:paraId="02FFCD2E" w14:textId="77777777" w:rsidR="00CF1BE3" w:rsidRPr="0029110D" w:rsidRDefault="00CF1BE3" w:rsidP="00511EB4">
            <w:pPr>
              <w:rPr>
                <w:sz w:val="20"/>
                <w:szCs w:val="20"/>
              </w:rPr>
            </w:pPr>
            <w:r w:rsidRPr="0029110D">
              <w:rPr>
                <w:sz w:val="20"/>
                <w:szCs w:val="20"/>
              </w:rPr>
              <w:t>≈46</w:t>
            </w:r>
          </w:p>
        </w:tc>
      </w:tr>
      <w:tr w:rsidR="00CF1BE3" w:rsidRPr="0029110D" w14:paraId="6100771F" w14:textId="77777777" w:rsidTr="00AB1FF1">
        <w:tc>
          <w:tcPr>
            <w:tcW w:w="1915" w:type="dxa"/>
            <w:vMerge/>
          </w:tcPr>
          <w:p w14:paraId="00E7DC25" w14:textId="77777777" w:rsidR="00CF1BE3" w:rsidRPr="0029110D" w:rsidRDefault="00CF1BE3" w:rsidP="00511EB4">
            <w:pPr>
              <w:rPr>
                <w:sz w:val="20"/>
                <w:szCs w:val="20"/>
              </w:rPr>
            </w:pPr>
          </w:p>
        </w:tc>
        <w:tc>
          <w:tcPr>
            <w:tcW w:w="1914" w:type="dxa"/>
            <w:vMerge/>
            <w:vAlign w:val="center"/>
          </w:tcPr>
          <w:p w14:paraId="59F51ABB" w14:textId="77777777" w:rsidR="00CF1BE3" w:rsidRPr="0029110D" w:rsidRDefault="00CF1BE3" w:rsidP="00511EB4">
            <w:pPr>
              <w:rPr>
                <w:sz w:val="20"/>
                <w:szCs w:val="20"/>
              </w:rPr>
            </w:pPr>
          </w:p>
        </w:tc>
        <w:tc>
          <w:tcPr>
            <w:tcW w:w="1914" w:type="dxa"/>
          </w:tcPr>
          <w:p w14:paraId="2B0F66FB" w14:textId="77777777" w:rsidR="00CF1BE3" w:rsidRPr="0029110D" w:rsidRDefault="00CF1BE3" w:rsidP="00511EB4">
            <w:pPr>
              <w:rPr>
                <w:sz w:val="20"/>
                <w:szCs w:val="20"/>
              </w:rPr>
            </w:pPr>
            <w:r w:rsidRPr="0029110D">
              <w:rPr>
                <w:sz w:val="20"/>
                <w:szCs w:val="20"/>
              </w:rPr>
              <w:t>♀150</w:t>
            </w:r>
          </w:p>
        </w:tc>
        <w:tc>
          <w:tcPr>
            <w:tcW w:w="1914" w:type="dxa"/>
          </w:tcPr>
          <w:p w14:paraId="08EE7178" w14:textId="77777777" w:rsidR="00CF1BE3" w:rsidRPr="0029110D" w:rsidRDefault="00CF1BE3" w:rsidP="00511EB4">
            <w:pPr>
              <w:rPr>
                <w:sz w:val="20"/>
                <w:szCs w:val="20"/>
              </w:rPr>
            </w:pPr>
            <w:r w:rsidRPr="0029110D">
              <w:rPr>
                <w:sz w:val="20"/>
                <w:szCs w:val="20"/>
              </w:rPr>
              <w:t>22664 нг*ч/мл</w:t>
            </w:r>
          </w:p>
        </w:tc>
        <w:tc>
          <w:tcPr>
            <w:tcW w:w="1671" w:type="dxa"/>
          </w:tcPr>
          <w:p w14:paraId="3E83CA9B" w14:textId="77777777" w:rsidR="00CF1BE3" w:rsidRPr="0029110D" w:rsidRDefault="00CF1BE3" w:rsidP="00511EB4">
            <w:pPr>
              <w:rPr>
                <w:sz w:val="20"/>
                <w:szCs w:val="20"/>
              </w:rPr>
            </w:pPr>
            <w:r w:rsidRPr="0029110D">
              <w:rPr>
                <w:sz w:val="20"/>
                <w:szCs w:val="20"/>
              </w:rPr>
              <w:t>≈47</w:t>
            </w:r>
          </w:p>
        </w:tc>
      </w:tr>
      <w:tr w:rsidR="00CF1BE3" w:rsidRPr="0029110D" w14:paraId="6EA933F6" w14:textId="77777777" w:rsidTr="00AB1FF1">
        <w:tc>
          <w:tcPr>
            <w:tcW w:w="1915" w:type="dxa"/>
            <w:vMerge/>
          </w:tcPr>
          <w:p w14:paraId="69E6BFCB" w14:textId="77777777" w:rsidR="00CF1BE3" w:rsidRPr="0029110D" w:rsidRDefault="00CF1BE3" w:rsidP="00511EB4">
            <w:pPr>
              <w:rPr>
                <w:sz w:val="20"/>
                <w:szCs w:val="20"/>
              </w:rPr>
            </w:pPr>
          </w:p>
        </w:tc>
        <w:tc>
          <w:tcPr>
            <w:tcW w:w="1914" w:type="dxa"/>
            <w:vMerge/>
            <w:vAlign w:val="center"/>
          </w:tcPr>
          <w:p w14:paraId="5458BF4A" w14:textId="77777777" w:rsidR="00CF1BE3" w:rsidRPr="0029110D" w:rsidRDefault="00CF1BE3" w:rsidP="00511EB4">
            <w:pPr>
              <w:rPr>
                <w:sz w:val="20"/>
                <w:szCs w:val="20"/>
              </w:rPr>
            </w:pPr>
          </w:p>
        </w:tc>
        <w:tc>
          <w:tcPr>
            <w:tcW w:w="1914" w:type="dxa"/>
          </w:tcPr>
          <w:p w14:paraId="6BAF4CFA" w14:textId="77777777" w:rsidR="00CF1BE3" w:rsidRPr="0029110D" w:rsidRDefault="00CF1BE3" w:rsidP="00511EB4">
            <w:pPr>
              <w:rPr>
                <w:sz w:val="20"/>
                <w:szCs w:val="20"/>
              </w:rPr>
            </w:pPr>
            <w:r w:rsidRPr="0029110D">
              <w:rPr>
                <w:sz w:val="20"/>
                <w:szCs w:val="20"/>
              </w:rPr>
              <w:t>♀300</w:t>
            </w:r>
          </w:p>
        </w:tc>
        <w:tc>
          <w:tcPr>
            <w:tcW w:w="1914" w:type="dxa"/>
          </w:tcPr>
          <w:p w14:paraId="3F28FD85" w14:textId="77777777" w:rsidR="00CF1BE3" w:rsidRPr="0029110D" w:rsidRDefault="00CF1BE3" w:rsidP="00511EB4">
            <w:pPr>
              <w:rPr>
                <w:sz w:val="20"/>
                <w:szCs w:val="20"/>
              </w:rPr>
            </w:pPr>
            <w:r w:rsidRPr="0029110D">
              <w:rPr>
                <w:sz w:val="20"/>
                <w:szCs w:val="20"/>
              </w:rPr>
              <w:t>31271 нг*ч/мл</w:t>
            </w:r>
          </w:p>
        </w:tc>
        <w:tc>
          <w:tcPr>
            <w:tcW w:w="1671" w:type="dxa"/>
          </w:tcPr>
          <w:p w14:paraId="2292A3F8" w14:textId="77777777" w:rsidR="00CF1BE3" w:rsidRPr="0029110D" w:rsidRDefault="00CF1BE3" w:rsidP="00511EB4">
            <w:pPr>
              <w:rPr>
                <w:sz w:val="20"/>
                <w:szCs w:val="20"/>
              </w:rPr>
            </w:pPr>
            <w:r w:rsidRPr="0029110D">
              <w:rPr>
                <w:sz w:val="20"/>
                <w:szCs w:val="20"/>
              </w:rPr>
              <w:t>≈65</w:t>
            </w:r>
          </w:p>
        </w:tc>
      </w:tr>
      <w:tr w:rsidR="00CF1BE3" w:rsidRPr="0029110D" w14:paraId="5FCA52CB" w14:textId="77777777" w:rsidTr="00AB1FF1">
        <w:tc>
          <w:tcPr>
            <w:tcW w:w="1915" w:type="dxa"/>
            <w:vMerge/>
          </w:tcPr>
          <w:p w14:paraId="6C3B6085" w14:textId="77777777" w:rsidR="00CF1BE3" w:rsidRPr="0029110D" w:rsidRDefault="00CF1BE3" w:rsidP="00511EB4">
            <w:pPr>
              <w:rPr>
                <w:sz w:val="20"/>
                <w:szCs w:val="20"/>
              </w:rPr>
            </w:pPr>
          </w:p>
        </w:tc>
        <w:tc>
          <w:tcPr>
            <w:tcW w:w="1914" w:type="dxa"/>
            <w:vMerge w:val="restart"/>
            <w:vAlign w:val="center"/>
          </w:tcPr>
          <w:p w14:paraId="3CF2CDC5" w14:textId="77777777" w:rsidR="00CF1BE3" w:rsidRPr="0029110D" w:rsidRDefault="00CF1BE3" w:rsidP="00511EB4">
            <w:pPr>
              <w:rPr>
                <w:sz w:val="20"/>
                <w:szCs w:val="20"/>
              </w:rPr>
            </w:pPr>
            <w:r w:rsidRPr="0029110D">
              <w:rPr>
                <w:sz w:val="20"/>
                <w:szCs w:val="20"/>
              </w:rPr>
              <w:t xml:space="preserve">4 месяца, </w:t>
            </w:r>
            <w:r w:rsidRPr="0029110D">
              <w:rPr>
                <w:sz w:val="20"/>
                <w:szCs w:val="20"/>
                <w:lang w:val="en-US"/>
              </w:rPr>
              <w:t>CD-1</w:t>
            </w:r>
          </w:p>
        </w:tc>
        <w:tc>
          <w:tcPr>
            <w:tcW w:w="1914" w:type="dxa"/>
          </w:tcPr>
          <w:p w14:paraId="49CCD75B" w14:textId="77777777" w:rsidR="00CF1BE3" w:rsidRPr="0029110D" w:rsidRDefault="00CF1BE3" w:rsidP="00511EB4">
            <w:pPr>
              <w:rPr>
                <w:sz w:val="20"/>
                <w:szCs w:val="20"/>
              </w:rPr>
            </w:pPr>
            <w:r w:rsidRPr="0029110D">
              <w:rPr>
                <w:sz w:val="20"/>
                <w:szCs w:val="20"/>
              </w:rPr>
              <w:t>♂10</w:t>
            </w:r>
          </w:p>
        </w:tc>
        <w:tc>
          <w:tcPr>
            <w:tcW w:w="1914" w:type="dxa"/>
          </w:tcPr>
          <w:p w14:paraId="526EA143" w14:textId="77777777" w:rsidR="00CF1BE3" w:rsidRPr="0029110D" w:rsidRDefault="00CF1BE3" w:rsidP="00511EB4">
            <w:pPr>
              <w:rPr>
                <w:sz w:val="20"/>
                <w:szCs w:val="20"/>
              </w:rPr>
            </w:pPr>
            <w:r w:rsidRPr="0029110D">
              <w:rPr>
                <w:sz w:val="20"/>
                <w:szCs w:val="20"/>
              </w:rPr>
              <w:t>2838 нг*ч/мл</w:t>
            </w:r>
          </w:p>
        </w:tc>
        <w:tc>
          <w:tcPr>
            <w:tcW w:w="1671" w:type="dxa"/>
          </w:tcPr>
          <w:p w14:paraId="792D740F" w14:textId="77777777" w:rsidR="00CF1BE3" w:rsidRPr="0029110D" w:rsidRDefault="00CF1BE3" w:rsidP="00511EB4">
            <w:pPr>
              <w:rPr>
                <w:sz w:val="20"/>
                <w:szCs w:val="20"/>
              </w:rPr>
            </w:pPr>
            <w:r w:rsidRPr="0029110D">
              <w:rPr>
                <w:sz w:val="20"/>
                <w:szCs w:val="20"/>
              </w:rPr>
              <w:t>≈6</w:t>
            </w:r>
          </w:p>
        </w:tc>
      </w:tr>
      <w:tr w:rsidR="00CF1BE3" w:rsidRPr="0029110D" w14:paraId="3B79B705" w14:textId="77777777" w:rsidTr="00AB1FF1">
        <w:tc>
          <w:tcPr>
            <w:tcW w:w="1915" w:type="dxa"/>
            <w:vMerge/>
          </w:tcPr>
          <w:p w14:paraId="6FD70C96" w14:textId="77777777" w:rsidR="00CF1BE3" w:rsidRPr="0029110D" w:rsidRDefault="00CF1BE3" w:rsidP="00511EB4">
            <w:pPr>
              <w:rPr>
                <w:sz w:val="20"/>
                <w:szCs w:val="20"/>
              </w:rPr>
            </w:pPr>
          </w:p>
        </w:tc>
        <w:tc>
          <w:tcPr>
            <w:tcW w:w="1914" w:type="dxa"/>
            <w:vMerge/>
            <w:vAlign w:val="center"/>
          </w:tcPr>
          <w:p w14:paraId="280AC457" w14:textId="77777777" w:rsidR="00CF1BE3" w:rsidRPr="0029110D" w:rsidRDefault="00CF1BE3" w:rsidP="00511EB4">
            <w:pPr>
              <w:rPr>
                <w:sz w:val="20"/>
                <w:szCs w:val="20"/>
              </w:rPr>
            </w:pPr>
          </w:p>
        </w:tc>
        <w:tc>
          <w:tcPr>
            <w:tcW w:w="1914" w:type="dxa"/>
          </w:tcPr>
          <w:p w14:paraId="401AFC2C" w14:textId="77777777" w:rsidR="00CF1BE3" w:rsidRPr="0029110D" w:rsidRDefault="00CF1BE3" w:rsidP="00511EB4">
            <w:pPr>
              <w:rPr>
                <w:sz w:val="20"/>
                <w:szCs w:val="20"/>
              </w:rPr>
            </w:pPr>
            <w:r w:rsidRPr="0029110D">
              <w:rPr>
                <w:sz w:val="20"/>
                <w:szCs w:val="20"/>
              </w:rPr>
              <w:t>♂75</w:t>
            </w:r>
          </w:p>
        </w:tc>
        <w:tc>
          <w:tcPr>
            <w:tcW w:w="1914" w:type="dxa"/>
          </w:tcPr>
          <w:p w14:paraId="6648F129" w14:textId="77777777" w:rsidR="00CF1BE3" w:rsidRPr="0029110D" w:rsidRDefault="00CF1BE3" w:rsidP="00511EB4">
            <w:pPr>
              <w:rPr>
                <w:sz w:val="20"/>
                <w:szCs w:val="20"/>
              </w:rPr>
            </w:pPr>
            <w:r w:rsidRPr="0029110D">
              <w:rPr>
                <w:sz w:val="20"/>
                <w:szCs w:val="20"/>
              </w:rPr>
              <w:t>20057 нг*ч/мл</w:t>
            </w:r>
          </w:p>
        </w:tc>
        <w:tc>
          <w:tcPr>
            <w:tcW w:w="1671" w:type="dxa"/>
          </w:tcPr>
          <w:p w14:paraId="17588F2F" w14:textId="77777777" w:rsidR="00CF1BE3" w:rsidRPr="0029110D" w:rsidRDefault="00CF1BE3" w:rsidP="00511EB4">
            <w:pPr>
              <w:rPr>
                <w:sz w:val="20"/>
                <w:szCs w:val="20"/>
              </w:rPr>
            </w:pPr>
            <w:r w:rsidRPr="0029110D">
              <w:rPr>
                <w:sz w:val="20"/>
                <w:szCs w:val="20"/>
              </w:rPr>
              <w:t>≈42</w:t>
            </w:r>
          </w:p>
        </w:tc>
      </w:tr>
      <w:tr w:rsidR="00CF1BE3" w:rsidRPr="0029110D" w14:paraId="0E23BA4B" w14:textId="77777777" w:rsidTr="00AB1FF1">
        <w:tc>
          <w:tcPr>
            <w:tcW w:w="1915" w:type="dxa"/>
            <w:vMerge/>
          </w:tcPr>
          <w:p w14:paraId="476F1674" w14:textId="77777777" w:rsidR="00CF1BE3" w:rsidRPr="0029110D" w:rsidRDefault="00CF1BE3" w:rsidP="00511EB4">
            <w:pPr>
              <w:rPr>
                <w:sz w:val="20"/>
                <w:szCs w:val="20"/>
              </w:rPr>
            </w:pPr>
          </w:p>
        </w:tc>
        <w:tc>
          <w:tcPr>
            <w:tcW w:w="1914" w:type="dxa"/>
            <w:vMerge/>
            <w:vAlign w:val="center"/>
          </w:tcPr>
          <w:p w14:paraId="0BBD3F9A" w14:textId="77777777" w:rsidR="00CF1BE3" w:rsidRPr="0029110D" w:rsidRDefault="00CF1BE3" w:rsidP="00511EB4">
            <w:pPr>
              <w:rPr>
                <w:sz w:val="20"/>
                <w:szCs w:val="20"/>
              </w:rPr>
            </w:pPr>
          </w:p>
        </w:tc>
        <w:tc>
          <w:tcPr>
            <w:tcW w:w="1914" w:type="dxa"/>
          </w:tcPr>
          <w:p w14:paraId="763DBA27" w14:textId="77777777" w:rsidR="00CF1BE3" w:rsidRPr="0029110D" w:rsidRDefault="00CF1BE3" w:rsidP="00511EB4">
            <w:pPr>
              <w:rPr>
                <w:sz w:val="20"/>
                <w:szCs w:val="20"/>
              </w:rPr>
            </w:pPr>
            <w:r w:rsidRPr="0029110D">
              <w:rPr>
                <w:sz w:val="20"/>
                <w:szCs w:val="20"/>
              </w:rPr>
              <w:t>♂150</w:t>
            </w:r>
          </w:p>
        </w:tc>
        <w:tc>
          <w:tcPr>
            <w:tcW w:w="1914" w:type="dxa"/>
          </w:tcPr>
          <w:p w14:paraId="391B67C0" w14:textId="77777777" w:rsidR="00CF1BE3" w:rsidRPr="0029110D" w:rsidRDefault="00CF1BE3" w:rsidP="00511EB4">
            <w:pPr>
              <w:rPr>
                <w:sz w:val="20"/>
                <w:szCs w:val="20"/>
              </w:rPr>
            </w:pPr>
            <w:r w:rsidRPr="0029110D">
              <w:rPr>
                <w:sz w:val="20"/>
                <w:szCs w:val="20"/>
              </w:rPr>
              <w:t>49399 нг*ч/мл</w:t>
            </w:r>
          </w:p>
        </w:tc>
        <w:tc>
          <w:tcPr>
            <w:tcW w:w="1671" w:type="dxa"/>
          </w:tcPr>
          <w:p w14:paraId="6B67F4B5" w14:textId="77777777" w:rsidR="00CF1BE3" w:rsidRPr="0029110D" w:rsidRDefault="00CF1BE3" w:rsidP="00511EB4">
            <w:pPr>
              <w:rPr>
                <w:sz w:val="20"/>
                <w:szCs w:val="20"/>
              </w:rPr>
            </w:pPr>
            <w:r w:rsidRPr="0029110D">
              <w:rPr>
                <w:sz w:val="20"/>
                <w:szCs w:val="20"/>
              </w:rPr>
              <w:t>≈103</w:t>
            </w:r>
          </w:p>
        </w:tc>
      </w:tr>
      <w:tr w:rsidR="00CF1BE3" w:rsidRPr="0029110D" w14:paraId="3228ED0F" w14:textId="77777777" w:rsidTr="00AB1FF1">
        <w:tc>
          <w:tcPr>
            <w:tcW w:w="1915" w:type="dxa"/>
            <w:vMerge/>
          </w:tcPr>
          <w:p w14:paraId="0BAE9083" w14:textId="77777777" w:rsidR="00CF1BE3" w:rsidRPr="0029110D" w:rsidRDefault="00CF1BE3" w:rsidP="00511EB4">
            <w:pPr>
              <w:rPr>
                <w:sz w:val="20"/>
                <w:szCs w:val="20"/>
              </w:rPr>
            </w:pPr>
          </w:p>
        </w:tc>
        <w:tc>
          <w:tcPr>
            <w:tcW w:w="1914" w:type="dxa"/>
            <w:vMerge/>
            <w:vAlign w:val="center"/>
          </w:tcPr>
          <w:p w14:paraId="42EAAD15" w14:textId="77777777" w:rsidR="00CF1BE3" w:rsidRPr="0029110D" w:rsidRDefault="00CF1BE3" w:rsidP="00511EB4">
            <w:pPr>
              <w:rPr>
                <w:sz w:val="20"/>
                <w:szCs w:val="20"/>
              </w:rPr>
            </w:pPr>
          </w:p>
        </w:tc>
        <w:tc>
          <w:tcPr>
            <w:tcW w:w="1914" w:type="dxa"/>
          </w:tcPr>
          <w:p w14:paraId="3FFEE103" w14:textId="77777777" w:rsidR="00CF1BE3" w:rsidRPr="0029110D" w:rsidRDefault="00CF1BE3" w:rsidP="00511EB4">
            <w:pPr>
              <w:rPr>
                <w:sz w:val="20"/>
                <w:szCs w:val="20"/>
              </w:rPr>
            </w:pPr>
            <w:r w:rsidRPr="0029110D">
              <w:rPr>
                <w:sz w:val="20"/>
                <w:szCs w:val="20"/>
              </w:rPr>
              <w:t>♀10</w:t>
            </w:r>
          </w:p>
        </w:tc>
        <w:tc>
          <w:tcPr>
            <w:tcW w:w="1914" w:type="dxa"/>
          </w:tcPr>
          <w:p w14:paraId="300AF686" w14:textId="77777777" w:rsidR="00CF1BE3" w:rsidRPr="0029110D" w:rsidRDefault="00CF1BE3" w:rsidP="00511EB4">
            <w:pPr>
              <w:rPr>
                <w:sz w:val="20"/>
                <w:szCs w:val="20"/>
              </w:rPr>
            </w:pPr>
            <w:r w:rsidRPr="0029110D">
              <w:rPr>
                <w:sz w:val="20"/>
                <w:szCs w:val="20"/>
              </w:rPr>
              <w:t>2411 нг*ч/мл</w:t>
            </w:r>
          </w:p>
        </w:tc>
        <w:tc>
          <w:tcPr>
            <w:tcW w:w="1671" w:type="dxa"/>
          </w:tcPr>
          <w:p w14:paraId="2FA042A1" w14:textId="77777777" w:rsidR="00CF1BE3" w:rsidRPr="0029110D" w:rsidRDefault="00CF1BE3" w:rsidP="00511EB4">
            <w:pPr>
              <w:rPr>
                <w:sz w:val="20"/>
                <w:szCs w:val="20"/>
              </w:rPr>
            </w:pPr>
            <w:r w:rsidRPr="0029110D">
              <w:rPr>
                <w:sz w:val="20"/>
                <w:szCs w:val="20"/>
              </w:rPr>
              <w:t>≈5</w:t>
            </w:r>
          </w:p>
        </w:tc>
      </w:tr>
      <w:tr w:rsidR="00CF1BE3" w:rsidRPr="0029110D" w14:paraId="151E5578" w14:textId="77777777" w:rsidTr="00AB1FF1">
        <w:tc>
          <w:tcPr>
            <w:tcW w:w="1915" w:type="dxa"/>
            <w:vMerge/>
          </w:tcPr>
          <w:p w14:paraId="671B38BB" w14:textId="77777777" w:rsidR="00CF1BE3" w:rsidRPr="0029110D" w:rsidRDefault="00CF1BE3" w:rsidP="00511EB4">
            <w:pPr>
              <w:rPr>
                <w:sz w:val="20"/>
                <w:szCs w:val="20"/>
              </w:rPr>
            </w:pPr>
          </w:p>
        </w:tc>
        <w:tc>
          <w:tcPr>
            <w:tcW w:w="1914" w:type="dxa"/>
            <w:vMerge/>
            <w:vAlign w:val="center"/>
          </w:tcPr>
          <w:p w14:paraId="1A5C476F" w14:textId="77777777" w:rsidR="00CF1BE3" w:rsidRPr="0029110D" w:rsidRDefault="00CF1BE3" w:rsidP="00511EB4">
            <w:pPr>
              <w:rPr>
                <w:sz w:val="20"/>
                <w:szCs w:val="20"/>
              </w:rPr>
            </w:pPr>
          </w:p>
        </w:tc>
        <w:tc>
          <w:tcPr>
            <w:tcW w:w="1914" w:type="dxa"/>
          </w:tcPr>
          <w:p w14:paraId="612D3D92" w14:textId="77777777" w:rsidR="00CF1BE3" w:rsidRPr="0029110D" w:rsidRDefault="00CF1BE3" w:rsidP="00511EB4">
            <w:pPr>
              <w:rPr>
                <w:sz w:val="20"/>
                <w:szCs w:val="20"/>
              </w:rPr>
            </w:pPr>
            <w:r w:rsidRPr="0029110D">
              <w:rPr>
                <w:sz w:val="20"/>
                <w:szCs w:val="20"/>
              </w:rPr>
              <w:t>♀75</w:t>
            </w:r>
          </w:p>
        </w:tc>
        <w:tc>
          <w:tcPr>
            <w:tcW w:w="1914" w:type="dxa"/>
          </w:tcPr>
          <w:p w14:paraId="1F9FF87C" w14:textId="77777777" w:rsidR="00CF1BE3" w:rsidRPr="0029110D" w:rsidRDefault="00CF1BE3" w:rsidP="00511EB4">
            <w:pPr>
              <w:rPr>
                <w:sz w:val="20"/>
                <w:szCs w:val="20"/>
              </w:rPr>
            </w:pPr>
            <w:r w:rsidRPr="0029110D">
              <w:rPr>
                <w:sz w:val="20"/>
                <w:szCs w:val="20"/>
              </w:rPr>
              <w:t>18497 нг*ч/мл</w:t>
            </w:r>
          </w:p>
        </w:tc>
        <w:tc>
          <w:tcPr>
            <w:tcW w:w="1671" w:type="dxa"/>
          </w:tcPr>
          <w:p w14:paraId="570C7CD8" w14:textId="77777777" w:rsidR="00CF1BE3" w:rsidRPr="0029110D" w:rsidRDefault="00CF1BE3" w:rsidP="00511EB4">
            <w:pPr>
              <w:rPr>
                <w:sz w:val="20"/>
                <w:szCs w:val="20"/>
              </w:rPr>
            </w:pPr>
            <w:r w:rsidRPr="0029110D">
              <w:rPr>
                <w:sz w:val="20"/>
                <w:szCs w:val="20"/>
              </w:rPr>
              <w:t>≈39</w:t>
            </w:r>
          </w:p>
        </w:tc>
      </w:tr>
      <w:tr w:rsidR="00CF1BE3" w:rsidRPr="0029110D" w14:paraId="5DE2C754" w14:textId="77777777" w:rsidTr="00AB1FF1">
        <w:tc>
          <w:tcPr>
            <w:tcW w:w="1915" w:type="dxa"/>
            <w:vMerge/>
          </w:tcPr>
          <w:p w14:paraId="47C19EC1" w14:textId="77777777" w:rsidR="00CF1BE3" w:rsidRPr="0029110D" w:rsidRDefault="00CF1BE3" w:rsidP="00511EB4">
            <w:pPr>
              <w:rPr>
                <w:sz w:val="20"/>
                <w:szCs w:val="20"/>
              </w:rPr>
            </w:pPr>
          </w:p>
        </w:tc>
        <w:tc>
          <w:tcPr>
            <w:tcW w:w="1914" w:type="dxa"/>
            <w:vMerge/>
            <w:vAlign w:val="center"/>
          </w:tcPr>
          <w:p w14:paraId="69F43ADC" w14:textId="77777777" w:rsidR="00CF1BE3" w:rsidRPr="0029110D" w:rsidRDefault="00CF1BE3" w:rsidP="00511EB4">
            <w:pPr>
              <w:rPr>
                <w:sz w:val="20"/>
                <w:szCs w:val="20"/>
              </w:rPr>
            </w:pPr>
          </w:p>
        </w:tc>
        <w:tc>
          <w:tcPr>
            <w:tcW w:w="1914" w:type="dxa"/>
          </w:tcPr>
          <w:p w14:paraId="59830793" w14:textId="77777777" w:rsidR="00CF1BE3" w:rsidRPr="0029110D" w:rsidRDefault="00CF1BE3" w:rsidP="00511EB4">
            <w:pPr>
              <w:rPr>
                <w:sz w:val="20"/>
                <w:szCs w:val="20"/>
              </w:rPr>
            </w:pPr>
            <w:r w:rsidRPr="0029110D">
              <w:rPr>
                <w:sz w:val="20"/>
                <w:szCs w:val="20"/>
              </w:rPr>
              <w:t>♀150</w:t>
            </w:r>
          </w:p>
        </w:tc>
        <w:tc>
          <w:tcPr>
            <w:tcW w:w="1914" w:type="dxa"/>
          </w:tcPr>
          <w:p w14:paraId="12C683B2" w14:textId="77777777" w:rsidR="00CF1BE3" w:rsidRPr="0029110D" w:rsidRDefault="00CF1BE3" w:rsidP="00511EB4">
            <w:pPr>
              <w:rPr>
                <w:sz w:val="20"/>
                <w:szCs w:val="20"/>
              </w:rPr>
            </w:pPr>
            <w:r w:rsidRPr="0029110D">
              <w:rPr>
                <w:sz w:val="20"/>
                <w:szCs w:val="20"/>
              </w:rPr>
              <w:t>35768 нг*ч/мл</w:t>
            </w:r>
          </w:p>
        </w:tc>
        <w:tc>
          <w:tcPr>
            <w:tcW w:w="1671" w:type="dxa"/>
          </w:tcPr>
          <w:p w14:paraId="64B70FB7" w14:textId="77777777" w:rsidR="00CF1BE3" w:rsidRPr="0029110D" w:rsidRDefault="00CF1BE3" w:rsidP="00511EB4">
            <w:pPr>
              <w:rPr>
                <w:sz w:val="20"/>
                <w:szCs w:val="20"/>
              </w:rPr>
            </w:pPr>
            <w:r w:rsidRPr="0029110D">
              <w:rPr>
                <w:sz w:val="20"/>
                <w:szCs w:val="20"/>
              </w:rPr>
              <w:t>≈75</w:t>
            </w:r>
          </w:p>
        </w:tc>
      </w:tr>
      <w:tr w:rsidR="00CF1BE3" w:rsidRPr="0029110D" w14:paraId="154C1E24" w14:textId="77777777" w:rsidTr="00AB1FF1">
        <w:tc>
          <w:tcPr>
            <w:tcW w:w="1915" w:type="dxa"/>
            <w:vMerge/>
          </w:tcPr>
          <w:p w14:paraId="6005D846" w14:textId="77777777" w:rsidR="00CF1BE3" w:rsidRPr="0029110D" w:rsidRDefault="00CF1BE3" w:rsidP="00511EB4">
            <w:pPr>
              <w:rPr>
                <w:sz w:val="20"/>
                <w:szCs w:val="20"/>
              </w:rPr>
            </w:pPr>
          </w:p>
        </w:tc>
        <w:tc>
          <w:tcPr>
            <w:tcW w:w="1914" w:type="dxa"/>
            <w:vMerge w:val="restart"/>
            <w:vAlign w:val="center"/>
          </w:tcPr>
          <w:p w14:paraId="5B46F1CF" w14:textId="77777777" w:rsidR="00CF1BE3" w:rsidRPr="0029110D" w:rsidRDefault="00CF1BE3" w:rsidP="00511EB4">
            <w:pPr>
              <w:rPr>
                <w:sz w:val="20"/>
                <w:szCs w:val="20"/>
              </w:rPr>
            </w:pPr>
            <w:r w:rsidRPr="0029110D">
              <w:rPr>
                <w:sz w:val="20"/>
                <w:szCs w:val="20"/>
              </w:rPr>
              <w:t>26 недель, гемизиготные RasH2-Tg</w:t>
            </w:r>
          </w:p>
        </w:tc>
        <w:tc>
          <w:tcPr>
            <w:tcW w:w="1914" w:type="dxa"/>
          </w:tcPr>
          <w:p w14:paraId="4BB7801E" w14:textId="77777777" w:rsidR="00CF1BE3" w:rsidRPr="0029110D" w:rsidRDefault="00CF1BE3" w:rsidP="00511EB4">
            <w:pPr>
              <w:rPr>
                <w:sz w:val="20"/>
                <w:szCs w:val="20"/>
              </w:rPr>
            </w:pPr>
            <w:r w:rsidRPr="0029110D">
              <w:rPr>
                <w:sz w:val="20"/>
                <w:szCs w:val="20"/>
              </w:rPr>
              <w:t>♂15</w:t>
            </w:r>
          </w:p>
        </w:tc>
        <w:tc>
          <w:tcPr>
            <w:tcW w:w="1914" w:type="dxa"/>
          </w:tcPr>
          <w:p w14:paraId="59BAEAA5" w14:textId="77777777" w:rsidR="00CF1BE3" w:rsidRPr="0029110D" w:rsidRDefault="00CF1BE3" w:rsidP="00511EB4">
            <w:pPr>
              <w:rPr>
                <w:sz w:val="20"/>
                <w:szCs w:val="20"/>
              </w:rPr>
            </w:pPr>
            <w:r w:rsidRPr="0029110D">
              <w:rPr>
                <w:sz w:val="20"/>
                <w:szCs w:val="20"/>
              </w:rPr>
              <w:t>1340 нг*ч/мл</w:t>
            </w:r>
          </w:p>
        </w:tc>
        <w:tc>
          <w:tcPr>
            <w:tcW w:w="1671" w:type="dxa"/>
          </w:tcPr>
          <w:p w14:paraId="72C89D6C" w14:textId="77777777" w:rsidR="00CF1BE3" w:rsidRPr="0029110D" w:rsidRDefault="00CF1BE3" w:rsidP="00511EB4">
            <w:pPr>
              <w:rPr>
                <w:sz w:val="20"/>
                <w:szCs w:val="20"/>
              </w:rPr>
            </w:pPr>
            <w:r w:rsidRPr="0029110D">
              <w:rPr>
                <w:sz w:val="20"/>
                <w:szCs w:val="20"/>
              </w:rPr>
              <w:t>≈3</w:t>
            </w:r>
          </w:p>
        </w:tc>
      </w:tr>
      <w:tr w:rsidR="00CF1BE3" w:rsidRPr="0029110D" w14:paraId="6D227EDB" w14:textId="77777777" w:rsidTr="00AB1FF1">
        <w:tc>
          <w:tcPr>
            <w:tcW w:w="1915" w:type="dxa"/>
            <w:vMerge/>
          </w:tcPr>
          <w:p w14:paraId="242CFFC1" w14:textId="77777777" w:rsidR="00CF1BE3" w:rsidRPr="0029110D" w:rsidRDefault="00CF1BE3" w:rsidP="00511EB4">
            <w:pPr>
              <w:rPr>
                <w:sz w:val="20"/>
                <w:szCs w:val="20"/>
              </w:rPr>
            </w:pPr>
          </w:p>
        </w:tc>
        <w:tc>
          <w:tcPr>
            <w:tcW w:w="1914" w:type="dxa"/>
            <w:vMerge/>
          </w:tcPr>
          <w:p w14:paraId="6D5C5D30" w14:textId="77777777" w:rsidR="00CF1BE3" w:rsidRPr="0029110D" w:rsidRDefault="00CF1BE3" w:rsidP="00511EB4">
            <w:pPr>
              <w:rPr>
                <w:sz w:val="20"/>
                <w:szCs w:val="20"/>
              </w:rPr>
            </w:pPr>
          </w:p>
        </w:tc>
        <w:tc>
          <w:tcPr>
            <w:tcW w:w="1914" w:type="dxa"/>
          </w:tcPr>
          <w:p w14:paraId="0B6FDE9F" w14:textId="77777777" w:rsidR="00CF1BE3" w:rsidRPr="0029110D" w:rsidRDefault="00CF1BE3" w:rsidP="00511EB4">
            <w:pPr>
              <w:rPr>
                <w:sz w:val="20"/>
                <w:szCs w:val="20"/>
              </w:rPr>
            </w:pPr>
            <w:r w:rsidRPr="0029110D">
              <w:rPr>
                <w:sz w:val="20"/>
                <w:szCs w:val="20"/>
              </w:rPr>
              <w:t>♂40</w:t>
            </w:r>
          </w:p>
        </w:tc>
        <w:tc>
          <w:tcPr>
            <w:tcW w:w="1914" w:type="dxa"/>
          </w:tcPr>
          <w:p w14:paraId="5DBC27B1" w14:textId="77777777" w:rsidR="00CF1BE3" w:rsidRPr="0029110D" w:rsidRDefault="00CF1BE3" w:rsidP="00511EB4">
            <w:pPr>
              <w:rPr>
                <w:sz w:val="20"/>
                <w:szCs w:val="20"/>
              </w:rPr>
            </w:pPr>
            <w:r w:rsidRPr="0029110D">
              <w:rPr>
                <w:sz w:val="20"/>
                <w:szCs w:val="20"/>
              </w:rPr>
              <w:t>2030 нг*ч/мл</w:t>
            </w:r>
          </w:p>
        </w:tc>
        <w:tc>
          <w:tcPr>
            <w:tcW w:w="1671" w:type="dxa"/>
          </w:tcPr>
          <w:p w14:paraId="164B9868" w14:textId="77777777" w:rsidR="00CF1BE3" w:rsidRPr="0029110D" w:rsidRDefault="00CF1BE3" w:rsidP="00511EB4">
            <w:pPr>
              <w:rPr>
                <w:sz w:val="20"/>
                <w:szCs w:val="20"/>
              </w:rPr>
            </w:pPr>
            <w:r w:rsidRPr="0029110D">
              <w:rPr>
                <w:sz w:val="20"/>
                <w:szCs w:val="20"/>
              </w:rPr>
              <w:t>≈4</w:t>
            </w:r>
          </w:p>
        </w:tc>
      </w:tr>
      <w:tr w:rsidR="00CF1BE3" w:rsidRPr="0029110D" w14:paraId="23B7C545" w14:textId="77777777" w:rsidTr="00AB1FF1">
        <w:tc>
          <w:tcPr>
            <w:tcW w:w="1915" w:type="dxa"/>
            <w:vMerge/>
          </w:tcPr>
          <w:p w14:paraId="5F6996C9" w14:textId="77777777" w:rsidR="00CF1BE3" w:rsidRPr="0029110D" w:rsidRDefault="00CF1BE3" w:rsidP="00511EB4">
            <w:pPr>
              <w:rPr>
                <w:sz w:val="20"/>
                <w:szCs w:val="20"/>
              </w:rPr>
            </w:pPr>
          </w:p>
        </w:tc>
        <w:tc>
          <w:tcPr>
            <w:tcW w:w="1914" w:type="dxa"/>
            <w:vMerge/>
          </w:tcPr>
          <w:p w14:paraId="70CA8757" w14:textId="77777777" w:rsidR="00CF1BE3" w:rsidRPr="0029110D" w:rsidRDefault="00CF1BE3" w:rsidP="00511EB4">
            <w:pPr>
              <w:rPr>
                <w:sz w:val="20"/>
                <w:szCs w:val="20"/>
              </w:rPr>
            </w:pPr>
          </w:p>
        </w:tc>
        <w:tc>
          <w:tcPr>
            <w:tcW w:w="1914" w:type="dxa"/>
          </w:tcPr>
          <w:p w14:paraId="24B70B25" w14:textId="77777777" w:rsidR="00CF1BE3" w:rsidRPr="0029110D" w:rsidRDefault="00CF1BE3" w:rsidP="00511EB4">
            <w:pPr>
              <w:rPr>
                <w:sz w:val="20"/>
                <w:szCs w:val="20"/>
              </w:rPr>
            </w:pPr>
            <w:r w:rsidRPr="0029110D">
              <w:rPr>
                <w:sz w:val="20"/>
                <w:szCs w:val="20"/>
              </w:rPr>
              <w:t>♂300</w:t>
            </w:r>
          </w:p>
        </w:tc>
        <w:tc>
          <w:tcPr>
            <w:tcW w:w="1914" w:type="dxa"/>
          </w:tcPr>
          <w:p w14:paraId="1D334BB5" w14:textId="77777777" w:rsidR="00CF1BE3" w:rsidRPr="0029110D" w:rsidRDefault="00CF1BE3" w:rsidP="00511EB4">
            <w:pPr>
              <w:rPr>
                <w:sz w:val="20"/>
                <w:szCs w:val="20"/>
              </w:rPr>
            </w:pPr>
            <w:r w:rsidRPr="0029110D">
              <w:rPr>
                <w:sz w:val="20"/>
                <w:szCs w:val="20"/>
              </w:rPr>
              <w:t>26400 нг*ч/мл</w:t>
            </w:r>
          </w:p>
        </w:tc>
        <w:tc>
          <w:tcPr>
            <w:tcW w:w="1671" w:type="dxa"/>
          </w:tcPr>
          <w:p w14:paraId="53EC1A3F" w14:textId="77777777" w:rsidR="00CF1BE3" w:rsidRPr="0029110D" w:rsidRDefault="00CF1BE3" w:rsidP="00511EB4">
            <w:pPr>
              <w:rPr>
                <w:sz w:val="20"/>
                <w:szCs w:val="20"/>
              </w:rPr>
            </w:pPr>
            <w:r w:rsidRPr="0029110D">
              <w:rPr>
                <w:sz w:val="20"/>
                <w:szCs w:val="20"/>
              </w:rPr>
              <w:t>≈55</w:t>
            </w:r>
          </w:p>
        </w:tc>
      </w:tr>
      <w:tr w:rsidR="00CF1BE3" w:rsidRPr="0029110D" w14:paraId="05FB2806" w14:textId="77777777" w:rsidTr="00AB1FF1">
        <w:tc>
          <w:tcPr>
            <w:tcW w:w="1915" w:type="dxa"/>
            <w:vMerge/>
          </w:tcPr>
          <w:p w14:paraId="5C17AE7F" w14:textId="77777777" w:rsidR="00CF1BE3" w:rsidRPr="0029110D" w:rsidRDefault="00CF1BE3" w:rsidP="00511EB4">
            <w:pPr>
              <w:rPr>
                <w:sz w:val="20"/>
                <w:szCs w:val="20"/>
              </w:rPr>
            </w:pPr>
          </w:p>
        </w:tc>
        <w:tc>
          <w:tcPr>
            <w:tcW w:w="1914" w:type="dxa"/>
            <w:vMerge/>
          </w:tcPr>
          <w:p w14:paraId="138E3474" w14:textId="77777777" w:rsidR="00CF1BE3" w:rsidRPr="0029110D" w:rsidRDefault="00CF1BE3" w:rsidP="00511EB4">
            <w:pPr>
              <w:rPr>
                <w:sz w:val="20"/>
                <w:szCs w:val="20"/>
              </w:rPr>
            </w:pPr>
          </w:p>
        </w:tc>
        <w:tc>
          <w:tcPr>
            <w:tcW w:w="1914" w:type="dxa"/>
          </w:tcPr>
          <w:p w14:paraId="517EF259" w14:textId="77777777" w:rsidR="00CF1BE3" w:rsidRPr="0029110D" w:rsidRDefault="00CF1BE3" w:rsidP="00511EB4">
            <w:pPr>
              <w:rPr>
                <w:sz w:val="20"/>
                <w:szCs w:val="20"/>
              </w:rPr>
            </w:pPr>
            <w:r w:rsidRPr="0029110D">
              <w:rPr>
                <w:sz w:val="20"/>
                <w:szCs w:val="20"/>
              </w:rPr>
              <w:t>♀10</w:t>
            </w:r>
          </w:p>
        </w:tc>
        <w:tc>
          <w:tcPr>
            <w:tcW w:w="1914" w:type="dxa"/>
          </w:tcPr>
          <w:p w14:paraId="0E24209E" w14:textId="77777777" w:rsidR="00CF1BE3" w:rsidRPr="0029110D" w:rsidRDefault="00CF1BE3" w:rsidP="00511EB4">
            <w:pPr>
              <w:rPr>
                <w:sz w:val="20"/>
                <w:szCs w:val="20"/>
              </w:rPr>
            </w:pPr>
            <w:r w:rsidRPr="0029110D">
              <w:rPr>
                <w:sz w:val="20"/>
                <w:szCs w:val="20"/>
              </w:rPr>
              <w:t>2470 нг*ч/мл</w:t>
            </w:r>
          </w:p>
        </w:tc>
        <w:tc>
          <w:tcPr>
            <w:tcW w:w="1671" w:type="dxa"/>
          </w:tcPr>
          <w:p w14:paraId="1B041089" w14:textId="77777777" w:rsidR="00CF1BE3" w:rsidRPr="0029110D" w:rsidRDefault="00CF1BE3" w:rsidP="00511EB4">
            <w:pPr>
              <w:rPr>
                <w:sz w:val="20"/>
                <w:szCs w:val="20"/>
              </w:rPr>
            </w:pPr>
            <w:r w:rsidRPr="0029110D">
              <w:rPr>
                <w:sz w:val="20"/>
                <w:szCs w:val="20"/>
              </w:rPr>
              <w:t>≈5</w:t>
            </w:r>
          </w:p>
        </w:tc>
      </w:tr>
      <w:tr w:rsidR="00CF1BE3" w:rsidRPr="0029110D" w14:paraId="65558CB5" w14:textId="77777777" w:rsidTr="00AB1FF1">
        <w:tc>
          <w:tcPr>
            <w:tcW w:w="1915" w:type="dxa"/>
            <w:vMerge/>
          </w:tcPr>
          <w:p w14:paraId="0F3B0FE7" w14:textId="77777777" w:rsidR="00CF1BE3" w:rsidRPr="0029110D" w:rsidRDefault="00CF1BE3" w:rsidP="00511EB4">
            <w:pPr>
              <w:rPr>
                <w:sz w:val="20"/>
                <w:szCs w:val="20"/>
              </w:rPr>
            </w:pPr>
          </w:p>
        </w:tc>
        <w:tc>
          <w:tcPr>
            <w:tcW w:w="1914" w:type="dxa"/>
            <w:vMerge/>
          </w:tcPr>
          <w:p w14:paraId="67DDBA5A" w14:textId="77777777" w:rsidR="00CF1BE3" w:rsidRPr="0029110D" w:rsidRDefault="00CF1BE3" w:rsidP="00511EB4">
            <w:pPr>
              <w:rPr>
                <w:sz w:val="20"/>
                <w:szCs w:val="20"/>
              </w:rPr>
            </w:pPr>
          </w:p>
        </w:tc>
        <w:tc>
          <w:tcPr>
            <w:tcW w:w="1914" w:type="dxa"/>
          </w:tcPr>
          <w:p w14:paraId="4042F9B1" w14:textId="77777777" w:rsidR="00CF1BE3" w:rsidRPr="0029110D" w:rsidRDefault="00CF1BE3" w:rsidP="00511EB4">
            <w:pPr>
              <w:rPr>
                <w:sz w:val="20"/>
                <w:szCs w:val="20"/>
              </w:rPr>
            </w:pPr>
            <w:r w:rsidRPr="0029110D">
              <w:rPr>
                <w:sz w:val="20"/>
                <w:szCs w:val="20"/>
              </w:rPr>
              <w:t>♀30</w:t>
            </w:r>
          </w:p>
        </w:tc>
        <w:tc>
          <w:tcPr>
            <w:tcW w:w="1914" w:type="dxa"/>
          </w:tcPr>
          <w:p w14:paraId="6471E3D3" w14:textId="77777777" w:rsidR="00CF1BE3" w:rsidRPr="0029110D" w:rsidRDefault="00CF1BE3" w:rsidP="00511EB4">
            <w:pPr>
              <w:rPr>
                <w:sz w:val="20"/>
                <w:szCs w:val="20"/>
              </w:rPr>
            </w:pPr>
            <w:r w:rsidRPr="0029110D">
              <w:rPr>
                <w:sz w:val="20"/>
                <w:szCs w:val="20"/>
              </w:rPr>
              <w:t>9160 нг*ч/мл</w:t>
            </w:r>
          </w:p>
        </w:tc>
        <w:tc>
          <w:tcPr>
            <w:tcW w:w="1671" w:type="dxa"/>
          </w:tcPr>
          <w:p w14:paraId="003DFE68" w14:textId="77777777" w:rsidR="00CF1BE3" w:rsidRPr="0029110D" w:rsidRDefault="00CF1BE3" w:rsidP="00511EB4">
            <w:pPr>
              <w:rPr>
                <w:sz w:val="20"/>
                <w:szCs w:val="20"/>
              </w:rPr>
            </w:pPr>
            <w:r w:rsidRPr="0029110D">
              <w:rPr>
                <w:sz w:val="20"/>
                <w:szCs w:val="20"/>
              </w:rPr>
              <w:t>≈19</w:t>
            </w:r>
          </w:p>
        </w:tc>
      </w:tr>
      <w:tr w:rsidR="00CF1BE3" w:rsidRPr="0029110D" w14:paraId="3ABDA74A" w14:textId="77777777" w:rsidTr="00AB1FF1">
        <w:tc>
          <w:tcPr>
            <w:tcW w:w="1915" w:type="dxa"/>
            <w:vMerge/>
          </w:tcPr>
          <w:p w14:paraId="1E03ED0D" w14:textId="77777777" w:rsidR="00CF1BE3" w:rsidRPr="0029110D" w:rsidRDefault="00CF1BE3" w:rsidP="00511EB4">
            <w:pPr>
              <w:rPr>
                <w:sz w:val="20"/>
                <w:szCs w:val="20"/>
              </w:rPr>
            </w:pPr>
          </w:p>
        </w:tc>
        <w:tc>
          <w:tcPr>
            <w:tcW w:w="1914" w:type="dxa"/>
            <w:vMerge/>
          </w:tcPr>
          <w:p w14:paraId="17A9BFCD" w14:textId="77777777" w:rsidR="00CF1BE3" w:rsidRPr="0029110D" w:rsidRDefault="00CF1BE3" w:rsidP="00511EB4">
            <w:pPr>
              <w:rPr>
                <w:sz w:val="20"/>
                <w:szCs w:val="20"/>
              </w:rPr>
            </w:pPr>
          </w:p>
        </w:tc>
        <w:tc>
          <w:tcPr>
            <w:tcW w:w="1914" w:type="dxa"/>
          </w:tcPr>
          <w:p w14:paraId="662FD82A" w14:textId="77777777" w:rsidR="00CF1BE3" w:rsidRPr="0029110D" w:rsidRDefault="00CF1BE3" w:rsidP="00511EB4">
            <w:pPr>
              <w:rPr>
                <w:sz w:val="20"/>
                <w:szCs w:val="20"/>
              </w:rPr>
            </w:pPr>
            <w:r w:rsidRPr="0029110D">
              <w:rPr>
                <w:sz w:val="20"/>
                <w:szCs w:val="20"/>
              </w:rPr>
              <w:t>♀150</w:t>
            </w:r>
          </w:p>
        </w:tc>
        <w:tc>
          <w:tcPr>
            <w:tcW w:w="1914" w:type="dxa"/>
          </w:tcPr>
          <w:p w14:paraId="5484A20B" w14:textId="77777777" w:rsidR="00CF1BE3" w:rsidRPr="0029110D" w:rsidRDefault="00CF1BE3" w:rsidP="00511EB4">
            <w:pPr>
              <w:rPr>
                <w:sz w:val="20"/>
                <w:szCs w:val="20"/>
              </w:rPr>
            </w:pPr>
            <w:r w:rsidRPr="0029110D">
              <w:rPr>
                <w:sz w:val="20"/>
                <w:szCs w:val="20"/>
              </w:rPr>
              <w:t>37200 нг*ч/мл</w:t>
            </w:r>
          </w:p>
        </w:tc>
        <w:tc>
          <w:tcPr>
            <w:tcW w:w="1671" w:type="dxa"/>
          </w:tcPr>
          <w:p w14:paraId="7F495137" w14:textId="77777777" w:rsidR="00CF1BE3" w:rsidRPr="0029110D" w:rsidRDefault="00CF1BE3" w:rsidP="00511EB4">
            <w:pPr>
              <w:rPr>
                <w:sz w:val="20"/>
                <w:szCs w:val="20"/>
              </w:rPr>
            </w:pPr>
            <w:r w:rsidRPr="0029110D">
              <w:rPr>
                <w:sz w:val="20"/>
                <w:szCs w:val="20"/>
              </w:rPr>
              <w:t>≈78</w:t>
            </w:r>
          </w:p>
        </w:tc>
      </w:tr>
      <w:tr w:rsidR="00CF1BE3" w:rsidRPr="0029110D" w14:paraId="2F092AC9" w14:textId="77777777" w:rsidTr="00AB1FF1">
        <w:tc>
          <w:tcPr>
            <w:tcW w:w="1915" w:type="dxa"/>
            <w:vMerge w:val="restart"/>
            <w:vAlign w:val="center"/>
          </w:tcPr>
          <w:p w14:paraId="18C7828C" w14:textId="77777777" w:rsidR="00CF1BE3" w:rsidRPr="0029110D" w:rsidRDefault="00CF1BE3" w:rsidP="00511EB4">
            <w:pPr>
              <w:rPr>
                <w:sz w:val="20"/>
                <w:szCs w:val="20"/>
              </w:rPr>
            </w:pPr>
            <w:r w:rsidRPr="0029110D">
              <w:rPr>
                <w:sz w:val="20"/>
                <w:szCs w:val="20"/>
              </w:rPr>
              <w:t xml:space="preserve">Крысы </w:t>
            </w:r>
          </w:p>
        </w:tc>
        <w:tc>
          <w:tcPr>
            <w:tcW w:w="1914" w:type="dxa"/>
            <w:vMerge w:val="restart"/>
            <w:vAlign w:val="center"/>
          </w:tcPr>
          <w:p w14:paraId="38E80555" w14:textId="77777777" w:rsidR="00CF1BE3" w:rsidRPr="0029110D" w:rsidRDefault="00CF1BE3" w:rsidP="00511EB4">
            <w:pPr>
              <w:rPr>
                <w:sz w:val="20"/>
                <w:szCs w:val="20"/>
              </w:rPr>
            </w:pPr>
            <w:r w:rsidRPr="0029110D">
              <w:rPr>
                <w:sz w:val="20"/>
                <w:szCs w:val="20"/>
              </w:rPr>
              <w:t xml:space="preserve">1 месяц, </w:t>
            </w:r>
            <w:r w:rsidRPr="0029110D">
              <w:rPr>
                <w:sz w:val="20"/>
                <w:szCs w:val="20"/>
                <w:lang w:val="en-US"/>
              </w:rPr>
              <w:t>SD</w:t>
            </w:r>
          </w:p>
        </w:tc>
        <w:tc>
          <w:tcPr>
            <w:tcW w:w="1914" w:type="dxa"/>
          </w:tcPr>
          <w:p w14:paraId="38216ADE" w14:textId="77777777" w:rsidR="00CF1BE3" w:rsidRPr="0029110D" w:rsidRDefault="00CF1BE3" w:rsidP="00511EB4">
            <w:pPr>
              <w:rPr>
                <w:sz w:val="20"/>
                <w:szCs w:val="20"/>
              </w:rPr>
            </w:pPr>
            <w:r w:rsidRPr="0029110D">
              <w:rPr>
                <w:sz w:val="20"/>
                <w:szCs w:val="20"/>
              </w:rPr>
              <w:t>♂2</w:t>
            </w:r>
          </w:p>
        </w:tc>
        <w:tc>
          <w:tcPr>
            <w:tcW w:w="1914" w:type="dxa"/>
          </w:tcPr>
          <w:p w14:paraId="750D8A15" w14:textId="77777777" w:rsidR="00CF1BE3" w:rsidRPr="0029110D" w:rsidRDefault="00CF1BE3" w:rsidP="00511EB4">
            <w:pPr>
              <w:rPr>
                <w:sz w:val="20"/>
                <w:szCs w:val="20"/>
              </w:rPr>
            </w:pPr>
            <w:r w:rsidRPr="0029110D">
              <w:rPr>
                <w:sz w:val="20"/>
                <w:szCs w:val="20"/>
              </w:rPr>
              <w:t>1,24 мкмоль*ч</w:t>
            </w:r>
          </w:p>
        </w:tc>
        <w:tc>
          <w:tcPr>
            <w:tcW w:w="1671" w:type="dxa"/>
          </w:tcPr>
          <w:p w14:paraId="237733C1" w14:textId="77777777" w:rsidR="00CF1BE3" w:rsidRPr="0029110D" w:rsidRDefault="00CF1BE3" w:rsidP="00511EB4">
            <w:pPr>
              <w:rPr>
                <w:sz w:val="20"/>
                <w:szCs w:val="20"/>
              </w:rPr>
            </w:pPr>
            <w:r w:rsidRPr="0029110D">
              <w:rPr>
                <w:sz w:val="20"/>
                <w:szCs w:val="20"/>
              </w:rPr>
              <w:t>≈1</w:t>
            </w:r>
          </w:p>
        </w:tc>
      </w:tr>
      <w:tr w:rsidR="00CF1BE3" w:rsidRPr="0029110D" w14:paraId="000F9CB9" w14:textId="77777777" w:rsidTr="00AB1FF1">
        <w:tc>
          <w:tcPr>
            <w:tcW w:w="1915" w:type="dxa"/>
            <w:vMerge/>
            <w:vAlign w:val="center"/>
          </w:tcPr>
          <w:p w14:paraId="0DBB394A" w14:textId="77777777" w:rsidR="00CF1BE3" w:rsidRPr="0029110D" w:rsidRDefault="00CF1BE3" w:rsidP="00511EB4">
            <w:pPr>
              <w:rPr>
                <w:sz w:val="20"/>
                <w:szCs w:val="20"/>
              </w:rPr>
            </w:pPr>
          </w:p>
        </w:tc>
        <w:tc>
          <w:tcPr>
            <w:tcW w:w="1914" w:type="dxa"/>
            <w:vMerge/>
            <w:vAlign w:val="center"/>
          </w:tcPr>
          <w:p w14:paraId="62917E4F" w14:textId="77777777" w:rsidR="00CF1BE3" w:rsidRPr="0029110D" w:rsidRDefault="00CF1BE3" w:rsidP="00511EB4">
            <w:pPr>
              <w:rPr>
                <w:sz w:val="20"/>
                <w:szCs w:val="20"/>
              </w:rPr>
            </w:pPr>
          </w:p>
        </w:tc>
        <w:tc>
          <w:tcPr>
            <w:tcW w:w="1914" w:type="dxa"/>
          </w:tcPr>
          <w:p w14:paraId="02A77FE9" w14:textId="77777777" w:rsidR="00CF1BE3" w:rsidRPr="0029110D" w:rsidRDefault="00CF1BE3" w:rsidP="00511EB4">
            <w:pPr>
              <w:rPr>
                <w:sz w:val="20"/>
                <w:szCs w:val="20"/>
              </w:rPr>
            </w:pPr>
            <w:r w:rsidRPr="0029110D">
              <w:rPr>
                <w:sz w:val="20"/>
                <w:szCs w:val="20"/>
              </w:rPr>
              <w:t>♂10</w:t>
            </w:r>
          </w:p>
        </w:tc>
        <w:tc>
          <w:tcPr>
            <w:tcW w:w="1914" w:type="dxa"/>
          </w:tcPr>
          <w:p w14:paraId="6EE2ADA3" w14:textId="77777777" w:rsidR="00CF1BE3" w:rsidRPr="0029110D" w:rsidRDefault="00CF1BE3" w:rsidP="00511EB4">
            <w:pPr>
              <w:rPr>
                <w:sz w:val="20"/>
                <w:szCs w:val="20"/>
              </w:rPr>
            </w:pPr>
            <w:r w:rsidRPr="0029110D">
              <w:rPr>
                <w:sz w:val="20"/>
                <w:szCs w:val="20"/>
              </w:rPr>
              <w:t>7,37 мкмоль*ч</w:t>
            </w:r>
          </w:p>
        </w:tc>
        <w:tc>
          <w:tcPr>
            <w:tcW w:w="1671" w:type="dxa"/>
          </w:tcPr>
          <w:p w14:paraId="092C3590" w14:textId="77777777" w:rsidR="00CF1BE3" w:rsidRPr="0029110D" w:rsidRDefault="00CF1BE3" w:rsidP="00511EB4">
            <w:pPr>
              <w:rPr>
                <w:sz w:val="20"/>
                <w:szCs w:val="20"/>
              </w:rPr>
            </w:pPr>
            <w:r w:rsidRPr="0029110D">
              <w:rPr>
                <w:sz w:val="20"/>
                <w:szCs w:val="20"/>
              </w:rPr>
              <w:t>≈6</w:t>
            </w:r>
          </w:p>
        </w:tc>
      </w:tr>
      <w:tr w:rsidR="00CF1BE3" w:rsidRPr="0029110D" w14:paraId="02D0EC0F" w14:textId="77777777" w:rsidTr="00AB1FF1">
        <w:tc>
          <w:tcPr>
            <w:tcW w:w="1915" w:type="dxa"/>
            <w:vMerge/>
            <w:vAlign w:val="center"/>
          </w:tcPr>
          <w:p w14:paraId="71FC1CA7" w14:textId="77777777" w:rsidR="00CF1BE3" w:rsidRPr="0029110D" w:rsidRDefault="00CF1BE3" w:rsidP="00511EB4">
            <w:pPr>
              <w:rPr>
                <w:sz w:val="20"/>
                <w:szCs w:val="20"/>
              </w:rPr>
            </w:pPr>
          </w:p>
        </w:tc>
        <w:tc>
          <w:tcPr>
            <w:tcW w:w="1914" w:type="dxa"/>
            <w:vMerge/>
            <w:vAlign w:val="center"/>
          </w:tcPr>
          <w:p w14:paraId="6FE41C64" w14:textId="77777777" w:rsidR="00CF1BE3" w:rsidRPr="0029110D" w:rsidRDefault="00CF1BE3" w:rsidP="00511EB4">
            <w:pPr>
              <w:rPr>
                <w:sz w:val="20"/>
                <w:szCs w:val="20"/>
              </w:rPr>
            </w:pPr>
          </w:p>
        </w:tc>
        <w:tc>
          <w:tcPr>
            <w:tcW w:w="1914" w:type="dxa"/>
          </w:tcPr>
          <w:p w14:paraId="1D221B32" w14:textId="77777777" w:rsidR="00CF1BE3" w:rsidRPr="0029110D" w:rsidRDefault="00CF1BE3" w:rsidP="00511EB4">
            <w:pPr>
              <w:rPr>
                <w:sz w:val="20"/>
                <w:szCs w:val="20"/>
              </w:rPr>
            </w:pPr>
            <w:r w:rsidRPr="0029110D">
              <w:rPr>
                <w:sz w:val="20"/>
                <w:szCs w:val="20"/>
              </w:rPr>
              <w:t>♂40</w:t>
            </w:r>
          </w:p>
        </w:tc>
        <w:tc>
          <w:tcPr>
            <w:tcW w:w="1914" w:type="dxa"/>
          </w:tcPr>
          <w:p w14:paraId="407A122C" w14:textId="77777777" w:rsidR="00CF1BE3" w:rsidRPr="0029110D" w:rsidRDefault="00CF1BE3" w:rsidP="00511EB4">
            <w:pPr>
              <w:rPr>
                <w:sz w:val="20"/>
                <w:szCs w:val="20"/>
              </w:rPr>
            </w:pPr>
            <w:r w:rsidRPr="0029110D">
              <w:rPr>
                <w:sz w:val="20"/>
                <w:szCs w:val="20"/>
              </w:rPr>
              <w:t>34,5 мкмоль*ч</w:t>
            </w:r>
          </w:p>
        </w:tc>
        <w:tc>
          <w:tcPr>
            <w:tcW w:w="1671" w:type="dxa"/>
          </w:tcPr>
          <w:p w14:paraId="261806FD" w14:textId="77777777" w:rsidR="00CF1BE3" w:rsidRPr="0029110D" w:rsidRDefault="00CF1BE3" w:rsidP="00511EB4">
            <w:pPr>
              <w:rPr>
                <w:sz w:val="20"/>
                <w:szCs w:val="20"/>
              </w:rPr>
            </w:pPr>
            <w:r w:rsidRPr="0029110D">
              <w:rPr>
                <w:sz w:val="20"/>
                <w:szCs w:val="20"/>
              </w:rPr>
              <w:t>≈27</w:t>
            </w:r>
          </w:p>
        </w:tc>
      </w:tr>
      <w:tr w:rsidR="00CF1BE3" w:rsidRPr="0029110D" w14:paraId="39C1C682" w14:textId="77777777" w:rsidTr="00AB1FF1">
        <w:tc>
          <w:tcPr>
            <w:tcW w:w="1915" w:type="dxa"/>
            <w:vMerge/>
            <w:vAlign w:val="center"/>
          </w:tcPr>
          <w:p w14:paraId="23FCAE41" w14:textId="77777777" w:rsidR="00CF1BE3" w:rsidRPr="0029110D" w:rsidRDefault="00CF1BE3" w:rsidP="00511EB4">
            <w:pPr>
              <w:rPr>
                <w:sz w:val="20"/>
                <w:szCs w:val="20"/>
              </w:rPr>
            </w:pPr>
          </w:p>
        </w:tc>
        <w:tc>
          <w:tcPr>
            <w:tcW w:w="1914" w:type="dxa"/>
            <w:vMerge/>
            <w:vAlign w:val="center"/>
          </w:tcPr>
          <w:p w14:paraId="2FB5ACF0" w14:textId="77777777" w:rsidR="00CF1BE3" w:rsidRPr="0029110D" w:rsidRDefault="00CF1BE3" w:rsidP="00511EB4">
            <w:pPr>
              <w:rPr>
                <w:sz w:val="20"/>
                <w:szCs w:val="20"/>
              </w:rPr>
            </w:pPr>
          </w:p>
        </w:tc>
        <w:tc>
          <w:tcPr>
            <w:tcW w:w="1914" w:type="dxa"/>
          </w:tcPr>
          <w:p w14:paraId="67B83BF1" w14:textId="77777777" w:rsidR="00CF1BE3" w:rsidRPr="0029110D" w:rsidRDefault="00CF1BE3" w:rsidP="00511EB4">
            <w:pPr>
              <w:rPr>
                <w:sz w:val="20"/>
                <w:szCs w:val="20"/>
              </w:rPr>
            </w:pPr>
            <w:r w:rsidRPr="0029110D">
              <w:rPr>
                <w:sz w:val="20"/>
                <w:szCs w:val="20"/>
              </w:rPr>
              <w:t>♀2</w:t>
            </w:r>
          </w:p>
        </w:tc>
        <w:tc>
          <w:tcPr>
            <w:tcW w:w="1914" w:type="dxa"/>
          </w:tcPr>
          <w:p w14:paraId="21E074B4" w14:textId="77777777" w:rsidR="00CF1BE3" w:rsidRPr="0029110D" w:rsidRDefault="00CF1BE3" w:rsidP="00511EB4">
            <w:pPr>
              <w:rPr>
                <w:sz w:val="20"/>
                <w:szCs w:val="20"/>
              </w:rPr>
            </w:pPr>
            <w:r w:rsidRPr="0029110D">
              <w:rPr>
                <w:sz w:val="20"/>
                <w:szCs w:val="20"/>
              </w:rPr>
              <w:t>1,34 мкмоль*ч</w:t>
            </w:r>
          </w:p>
        </w:tc>
        <w:tc>
          <w:tcPr>
            <w:tcW w:w="1671" w:type="dxa"/>
          </w:tcPr>
          <w:p w14:paraId="3AE9E34D" w14:textId="77777777" w:rsidR="00CF1BE3" w:rsidRPr="0029110D" w:rsidRDefault="00CF1BE3" w:rsidP="00511EB4">
            <w:pPr>
              <w:rPr>
                <w:sz w:val="20"/>
                <w:szCs w:val="20"/>
              </w:rPr>
            </w:pPr>
            <w:r w:rsidRPr="0029110D">
              <w:rPr>
                <w:sz w:val="20"/>
                <w:szCs w:val="20"/>
              </w:rPr>
              <w:t>≈1</w:t>
            </w:r>
          </w:p>
        </w:tc>
      </w:tr>
      <w:tr w:rsidR="00CF1BE3" w:rsidRPr="0029110D" w14:paraId="74A2FCB3" w14:textId="77777777" w:rsidTr="00AB1FF1">
        <w:tc>
          <w:tcPr>
            <w:tcW w:w="1915" w:type="dxa"/>
            <w:vMerge/>
            <w:vAlign w:val="center"/>
          </w:tcPr>
          <w:p w14:paraId="59E93248" w14:textId="77777777" w:rsidR="00CF1BE3" w:rsidRPr="0029110D" w:rsidRDefault="00CF1BE3" w:rsidP="00511EB4">
            <w:pPr>
              <w:rPr>
                <w:sz w:val="20"/>
                <w:szCs w:val="20"/>
              </w:rPr>
            </w:pPr>
          </w:p>
        </w:tc>
        <w:tc>
          <w:tcPr>
            <w:tcW w:w="1914" w:type="dxa"/>
            <w:vMerge/>
            <w:vAlign w:val="center"/>
          </w:tcPr>
          <w:p w14:paraId="623AD1D1" w14:textId="77777777" w:rsidR="00CF1BE3" w:rsidRPr="0029110D" w:rsidRDefault="00CF1BE3" w:rsidP="00511EB4">
            <w:pPr>
              <w:rPr>
                <w:sz w:val="20"/>
                <w:szCs w:val="20"/>
              </w:rPr>
            </w:pPr>
          </w:p>
        </w:tc>
        <w:tc>
          <w:tcPr>
            <w:tcW w:w="1914" w:type="dxa"/>
          </w:tcPr>
          <w:p w14:paraId="05901AB8" w14:textId="77777777" w:rsidR="00CF1BE3" w:rsidRPr="0029110D" w:rsidRDefault="00CF1BE3" w:rsidP="00511EB4">
            <w:pPr>
              <w:rPr>
                <w:sz w:val="20"/>
                <w:szCs w:val="20"/>
              </w:rPr>
            </w:pPr>
            <w:r w:rsidRPr="0029110D">
              <w:rPr>
                <w:sz w:val="20"/>
                <w:szCs w:val="20"/>
              </w:rPr>
              <w:t>♀10</w:t>
            </w:r>
          </w:p>
        </w:tc>
        <w:tc>
          <w:tcPr>
            <w:tcW w:w="1914" w:type="dxa"/>
          </w:tcPr>
          <w:p w14:paraId="045DA584" w14:textId="77777777" w:rsidR="00CF1BE3" w:rsidRPr="0029110D" w:rsidRDefault="00CF1BE3" w:rsidP="00511EB4">
            <w:pPr>
              <w:rPr>
                <w:sz w:val="20"/>
                <w:szCs w:val="20"/>
              </w:rPr>
            </w:pPr>
            <w:r w:rsidRPr="0029110D">
              <w:rPr>
                <w:sz w:val="20"/>
                <w:szCs w:val="20"/>
              </w:rPr>
              <w:t>7,72 мкмоль*ч</w:t>
            </w:r>
          </w:p>
        </w:tc>
        <w:tc>
          <w:tcPr>
            <w:tcW w:w="1671" w:type="dxa"/>
          </w:tcPr>
          <w:p w14:paraId="17A373ED" w14:textId="77777777" w:rsidR="00CF1BE3" w:rsidRPr="0029110D" w:rsidRDefault="00CF1BE3" w:rsidP="00511EB4">
            <w:pPr>
              <w:rPr>
                <w:sz w:val="20"/>
                <w:szCs w:val="20"/>
              </w:rPr>
            </w:pPr>
            <w:r w:rsidRPr="0029110D">
              <w:rPr>
                <w:sz w:val="20"/>
                <w:szCs w:val="20"/>
              </w:rPr>
              <w:t>≈6</w:t>
            </w:r>
          </w:p>
        </w:tc>
      </w:tr>
      <w:tr w:rsidR="00CF1BE3" w:rsidRPr="0029110D" w14:paraId="668E681B" w14:textId="77777777" w:rsidTr="00AB1FF1">
        <w:tc>
          <w:tcPr>
            <w:tcW w:w="1915" w:type="dxa"/>
            <w:vMerge/>
            <w:vAlign w:val="center"/>
          </w:tcPr>
          <w:p w14:paraId="2BC5424F" w14:textId="77777777" w:rsidR="00CF1BE3" w:rsidRPr="0029110D" w:rsidRDefault="00CF1BE3" w:rsidP="00511EB4">
            <w:pPr>
              <w:rPr>
                <w:sz w:val="20"/>
                <w:szCs w:val="20"/>
              </w:rPr>
            </w:pPr>
          </w:p>
        </w:tc>
        <w:tc>
          <w:tcPr>
            <w:tcW w:w="1914" w:type="dxa"/>
            <w:vMerge/>
            <w:vAlign w:val="center"/>
          </w:tcPr>
          <w:p w14:paraId="498D9E1A" w14:textId="77777777" w:rsidR="00CF1BE3" w:rsidRPr="0029110D" w:rsidRDefault="00CF1BE3" w:rsidP="00511EB4">
            <w:pPr>
              <w:rPr>
                <w:sz w:val="20"/>
                <w:szCs w:val="20"/>
              </w:rPr>
            </w:pPr>
          </w:p>
        </w:tc>
        <w:tc>
          <w:tcPr>
            <w:tcW w:w="1914" w:type="dxa"/>
          </w:tcPr>
          <w:p w14:paraId="58F71746" w14:textId="77777777" w:rsidR="00CF1BE3" w:rsidRPr="0029110D" w:rsidRDefault="00CF1BE3" w:rsidP="00511EB4">
            <w:pPr>
              <w:rPr>
                <w:sz w:val="20"/>
                <w:szCs w:val="20"/>
              </w:rPr>
            </w:pPr>
            <w:r w:rsidRPr="0029110D">
              <w:rPr>
                <w:sz w:val="20"/>
                <w:szCs w:val="20"/>
              </w:rPr>
              <w:t>♀40</w:t>
            </w:r>
          </w:p>
        </w:tc>
        <w:tc>
          <w:tcPr>
            <w:tcW w:w="1914" w:type="dxa"/>
          </w:tcPr>
          <w:p w14:paraId="1A44AB61" w14:textId="77777777" w:rsidR="00CF1BE3" w:rsidRPr="0029110D" w:rsidRDefault="00CF1BE3" w:rsidP="00511EB4">
            <w:pPr>
              <w:rPr>
                <w:sz w:val="20"/>
                <w:szCs w:val="20"/>
              </w:rPr>
            </w:pPr>
            <w:r w:rsidRPr="0029110D">
              <w:rPr>
                <w:sz w:val="20"/>
                <w:szCs w:val="20"/>
              </w:rPr>
              <w:t>47,8 мкмоль*ч</w:t>
            </w:r>
          </w:p>
        </w:tc>
        <w:tc>
          <w:tcPr>
            <w:tcW w:w="1671" w:type="dxa"/>
          </w:tcPr>
          <w:p w14:paraId="576F5EA3" w14:textId="77777777" w:rsidR="00CF1BE3" w:rsidRPr="0029110D" w:rsidRDefault="00CF1BE3" w:rsidP="00511EB4">
            <w:pPr>
              <w:rPr>
                <w:sz w:val="20"/>
                <w:szCs w:val="20"/>
              </w:rPr>
            </w:pPr>
            <w:r w:rsidRPr="0029110D">
              <w:rPr>
                <w:sz w:val="20"/>
                <w:szCs w:val="20"/>
              </w:rPr>
              <w:t>≈37</w:t>
            </w:r>
          </w:p>
        </w:tc>
      </w:tr>
      <w:tr w:rsidR="00CF1BE3" w:rsidRPr="0029110D" w14:paraId="3212EF6D" w14:textId="77777777" w:rsidTr="00AB1FF1">
        <w:tc>
          <w:tcPr>
            <w:tcW w:w="1915" w:type="dxa"/>
            <w:vMerge/>
            <w:vAlign w:val="center"/>
          </w:tcPr>
          <w:p w14:paraId="003CCC4C" w14:textId="77777777" w:rsidR="00CF1BE3" w:rsidRPr="0029110D" w:rsidRDefault="00CF1BE3" w:rsidP="00511EB4">
            <w:pPr>
              <w:rPr>
                <w:sz w:val="20"/>
                <w:szCs w:val="20"/>
              </w:rPr>
            </w:pPr>
          </w:p>
        </w:tc>
        <w:tc>
          <w:tcPr>
            <w:tcW w:w="1914" w:type="dxa"/>
            <w:vMerge w:val="restart"/>
            <w:vAlign w:val="center"/>
          </w:tcPr>
          <w:p w14:paraId="37763615" w14:textId="77777777" w:rsidR="00CF1BE3" w:rsidRPr="0029110D" w:rsidRDefault="00CF1BE3" w:rsidP="00511EB4">
            <w:pPr>
              <w:rPr>
                <w:sz w:val="20"/>
                <w:szCs w:val="20"/>
              </w:rPr>
            </w:pPr>
            <w:r w:rsidRPr="0029110D">
              <w:rPr>
                <w:sz w:val="20"/>
                <w:szCs w:val="20"/>
              </w:rPr>
              <w:t xml:space="preserve">6 месяцев, </w:t>
            </w:r>
            <w:r w:rsidRPr="0029110D">
              <w:rPr>
                <w:sz w:val="20"/>
                <w:szCs w:val="20"/>
                <w:lang w:val="en-US"/>
              </w:rPr>
              <w:t>SD</w:t>
            </w:r>
          </w:p>
        </w:tc>
        <w:tc>
          <w:tcPr>
            <w:tcW w:w="1914" w:type="dxa"/>
          </w:tcPr>
          <w:p w14:paraId="4D059F7E" w14:textId="77777777" w:rsidR="00CF1BE3" w:rsidRPr="0029110D" w:rsidRDefault="00CF1BE3" w:rsidP="00511EB4">
            <w:pPr>
              <w:rPr>
                <w:sz w:val="20"/>
                <w:szCs w:val="20"/>
              </w:rPr>
            </w:pPr>
            <w:r w:rsidRPr="0029110D">
              <w:rPr>
                <w:sz w:val="20"/>
                <w:szCs w:val="20"/>
              </w:rPr>
              <w:t>♂0,5</w:t>
            </w:r>
          </w:p>
        </w:tc>
        <w:tc>
          <w:tcPr>
            <w:tcW w:w="1914" w:type="dxa"/>
          </w:tcPr>
          <w:p w14:paraId="6BC48128" w14:textId="77777777" w:rsidR="00CF1BE3" w:rsidRPr="0029110D" w:rsidRDefault="00CF1BE3" w:rsidP="00511EB4">
            <w:pPr>
              <w:rPr>
                <w:sz w:val="20"/>
                <w:szCs w:val="20"/>
              </w:rPr>
            </w:pPr>
            <w:r w:rsidRPr="0029110D">
              <w:rPr>
                <w:sz w:val="20"/>
                <w:szCs w:val="20"/>
              </w:rPr>
              <w:t>0,478 мкмоль*ч</w:t>
            </w:r>
          </w:p>
        </w:tc>
        <w:tc>
          <w:tcPr>
            <w:tcW w:w="1671" w:type="dxa"/>
          </w:tcPr>
          <w:p w14:paraId="6C9BDA4F" w14:textId="77777777" w:rsidR="00CF1BE3" w:rsidRPr="0029110D" w:rsidRDefault="00CF1BE3" w:rsidP="00511EB4">
            <w:pPr>
              <w:rPr>
                <w:sz w:val="20"/>
                <w:szCs w:val="20"/>
              </w:rPr>
            </w:pPr>
            <w:r w:rsidRPr="0029110D">
              <w:rPr>
                <w:sz w:val="20"/>
                <w:szCs w:val="20"/>
              </w:rPr>
              <w:t>≈0,4</w:t>
            </w:r>
          </w:p>
        </w:tc>
      </w:tr>
      <w:tr w:rsidR="00CF1BE3" w:rsidRPr="0029110D" w14:paraId="0BC4A533" w14:textId="77777777" w:rsidTr="00AB1FF1">
        <w:tc>
          <w:tcPr>
            <w:tcW w:w="1915" w:type="dxa"/>
            <w:vMerge/>
            <w:vAlign w:val="center"/>
          </w:tcPr>
          <w:p w14:paraId="1B7803A3" w14:textId="77777777" w:rsidR="00CF1BE3" w:rsidRPr="0029110D" w:rsidRDefault="00CF1BE3" w:rsidP="00511EB4">
            <w:pPr>
              <w:rPr>
                <w:sz w:val="20"/>
                <w:szCs w:val="20"/>
              </w:rPr>
            </w:pPr>
          </w:p>
        </w:tc>
        <w:tc>
          <w:tcPr>
            <w:tcW w:w="1914" w:type="dxa"/>
            <w:vMerge/>
            <w:vAlign w:val="center"/>
          </w:tcPr>
          <w:p w14:paraId="6630524A" w14:textId="77777777" w:rsidR="00CF1BE3" w:rsidRPr="0029110D" w:rsidRDefault="00CF1BE3" w:rsidP="00511EB4">
            <w:pPr>
              <w:rPr>
                <w:sz w:val="20"/>
                <w:szCs w:val="20"/>
              </w:rPr>
            </w:pPr>
          </w:p>
        </w:tc>
        <w:tc>
          <w:tcPr>
            <w:tcW w:w="1914" w:type="dxa"/>
          </w:tcPr>
          <w:p w14:paraId="66D1C50F" w14:textId="77777777" w:rsidR="00CF1BE3" w:rsidRPr="0029110D" w:rsidRDefault="00CF1BE3" w:rsidP="00511EB4">
            <w:pPr>
              <w:rPr>
                <w:sz w:val="20"/>
                <w:szCs w:val="20"/>
              </w:rPr>
            </w:pPr>
            <w:r w:rsidRPr="0029110D">
              <w:rPr>
                <w:sz w:val="20"/>
                <w:szCs w:val="20"/>
              </w:rPr>
              <w:t>♂5</w:t>
            </w:r>
          </w:p>
        </w:tc>
        <w:tc>
          <w:tcPr>
            <w:tcW w:w="1914" w:type="dxa"/>
          </w:tcPr>
          <w:p w14:paraId="1881CB09" w14:textId="77777777" w:rsidR="00CF1BE3" w:rsidRPr="0029110D" w:rsidRDefault="00CF1BE3" w:rsidP="00511EB4">
            <w:pPr>
              <w:rPr>
                <w:sz w:val="20"/>
                <w:szCs w:val="20"/>
              </w:rPr>
            </w:pPr>
            <w:r w:rsidRPr="0029110D">
              <w:rPr>
                <w:sz w:val="20"/>
                <w:szCs w:val="20"/>
              </w:rPr>
              <w:t>3,68 мкмоль*ч</w:t>
            </w:r>
          </w:p>
        </w:tc>
        <w:tc>
          <w:tcPr>
            <w:tcW w:w="1671" w:type="dxa"/>
          </w:tcPr>
          <w:p w14:paraId="4656D20A" w14:textId="77777777" w:rsidR="00CF1BE3" w:rsidRPr="0029110D" w:rsidRDefault="00CF1BE3" w:rsidP="00511EB4">
            <w:pPr>
              <w:rPr>
                <w:sz w:val="20"/>
                <w:szCs w:val="20"/>
              </w:rPr>
            </w:pPr>
            <w:r w:rsidRPr="0029110D">
              <w:rPr>
                <w:sz w:val="20"/>
                <w:szCs w:val="20"/>
              </w:rPr>
              <w:t>≈3</w:t>
            </w:r>
          </w:p>
        </w:tc>
      </w:tr>
      <w:tr w:rsidR="00CF1BE3" w:rsidRPr="0029110D" w14:paraId="6DD9FCA7" w14:textId="77777777" w:rsidTr="00AB1FF1">
        <w:tc>
          <w:tcPr>
            <w:tcW w:w="1915" w:type="dxa"/>
            <w:vMerge/>
            <w:vAlign w:val="center"/>
          </w:tcPr>
          <w:p w14:paraId="120247A8" w14:textId="77777777" w:rsidR="00CF1BE3" w:rsidRPr="0029110D" w:rsidRDefault="00CF1BE3" w:rsidP="00511EB4">
            <w:pPr>
              <w:rPr>
                <w:sz w:val="20"/>
                <w:szCs w:val="20"/>
              </w:rPr>
            </w:pPr>
          </w:p>
        </w:tc>
        <w:tc>
          <w:tcPr>
            <w:tcW w:w="1914" w:type="dxa"/>
            <w:vMerge/>
            <w:vAlign w:val="center"/>
          </w:tcPr>
          <w:p w14:paraId="7C83BF5C" w14:textId="77777777" w:rsidR="00CF1BE3" w:rsidRPr="0029110D" w:rsidRDefault="00CF1BE3" w:rsidP="00511EB4">
            <w:pPr>
              <w:rPr>
                <w:sz w:val="20"/>
                <w:szCs w:val="20"/>
              </w:rPr>
            </w:pPr>
          </w:p>
        </w:tc>
        <w:tc>
          <w:tcPr>
            <w:tcW w:w="1914" w:type="dxa"/>
          </w:tcPr>
          <w:p w14:paraId="655129A0" w14:textId="77777777" w:rsidR="00CF1BE3" w:rsidRPr="0029110D" w:rsidRDefault="00CF1BE3" w:rsidP="00511EB4">
            <w:pPr>
              <w:rPr>
                <w:sz w:val="20"/>
                <w:szCs w:val="20"/>
              </w:rPr>
            </w:pPr>
            <w:r w:rsidRPr="0029110D">
              <w:rPr>
                <w:sz w:val="20"/>
                <w:szCs w:val="20"/>
              </w:rPr>
              <w:t>♂25</w:t>
            </w:r>
          </w:p>
        </w:tc>
        <w:tc>
          <w:tcPr>
            <w:tcW w:w="1914" w:type="dxa"/>
          </w:tcPr>
          <w:p w14:paraId="75B6CD0B" w14:textId="77777777" w:rsidR="00CF1BE3" w:rsidRPr="0029110D" w:rsidRDefault="00CF1BE3" w:rsidP="00511EB4">
            <w:pPr>
              <w:rPr>
                <w:sz w:val="20"/>
                <w:szCs w:val="20"/>
              </w:rPr>
            </w:pPr>
            <w:r w:rsidRPr="0029110D">
              <w:rPr>
                <w:sz w:val="20"/>
                <w:szCs w:val="20"/>
              </w:rPr>
              <w:t>27,9 мкмоль*ч</w:t>
            </w:r>
          </w:p>
        </w:tc>
        <w:tc>
          <w:tcPr>
            <w:tcW w:w="1671" w:type="dxa"/>
          </w:tcPr>
          <w:p w14:paraId="00E50ABF" w14:textId="77777777" w:rsidR="00CF1BE3" w:rsidRPr="0029110D" w:rsidRDefault="00CF1BE3" w:rsidP="00511EB4">
            <w:pPr>
              <w:rPr>
                <w:sz w:val="20"/>
                <w:szCs w:val="20"/>
              </w:rPr>
            </w:pPr>
            <w:r w:rsidRPr="0029110D">
              <w:rPr>
                <w:sz w:val="20"/>
                <w:szCs w:val="20"/>
              </w:rPr>
              <w:t>≈21</w:t>
            </w:r>
          </w:p>
        </w:tc>
      </w:tr>
      <w:tr w:rsidR="00CF1BE3" w:rsidRPr="0029110D" w14:paraId="4D1020B7" w14:textId="77777777" w:rsidTr="00AB1FF1">
        <w:tc>
          <w:tcPr>
            <w:tcW w:w="1915" w:type="dxa"/>
            <w:vMerge/>
            <w:vAlign w:val="center"/>
          </w:tcPr>
          <w:p w14:paraId="5EBE8682" w14:textId="77777777" w:rsidR="00CF1BE3" w:rsidRPr="0029110D" w:rsidRDefault="00CF1BE3" w:rsidP="00511EB4">
            <w:pPr>
              <w:rPr>
                <w:sz w:val="20"/>
                <w:szCs w:val="20"/>
              </w:rPr>
            </w:pPr>
          </w:p>
        </w:tc>
        <w:tc>
          <w:tcPr>
            <w:tcW w:w="1914" w:type="dxa"/>
            <w:vMerge/>
            <w:vAlign w:val="center"/>
          </w:tcPr>
          <w:p w14:paraId="4E3B0790" w14:textId="77777777" w:rsidR="00CF1BE3" w:rsidRPr="0029110D" w:rsidRDefault="00CF1BE3" w:rsidP="00511EB4">
            <w:pPr>
              <w:rPr>
                <w:sz w:val="20"/>
                <w:szCs w:val="20"/>
              </w:rPr>
            </w:pPr>
          </w:p>
        </w:tc>
        <w:tc>
          <w:tcPr>
            <w:tcW w:w="1914" w:type="dxa"/>
          </w:tcPr>
          <w:p w14:paraId="499DED16" w14:textId="77777777" w:rsidR="00CF1BE3" w:rsidRPr="0029110D" w:rsidRDefault="00CF1BE3" w:rsidP="00511EB4">
            <w:pPr>
              <w:rPr>
                <w:sz w:val="20"/>
                <w:szCs w:val="20"/>
              </w:rPr>
            </w:pPr>
            <w:r w:rsidRPr="0029110D">
              <w:rPr>
                <w:sz w:val="20"/>
                <w:szCs w:val="20"/>
              </w:rPr>
              <w:t>♂100/60</w:t>
            </w:r>
          </w:p>
        </w:tc>
        <w:tc>
          <w:tcPr>
            <w:tcW w:w="1914" w:type="dxa"/>
          </w:tcPr>
          <w:p w14:paraId="4A9D53A9" w14:textId="77777777" w:rsidR="00CF1BE3" w:rsidRPr="0029110D" w:rsidRDefault="00CF1BE3" w:rsidP="00511EB4">
            <w:pPr>
              <w:rPr>
                <w:sz w:val="20"/>
                <w:szCs w:val="20"/>
              </w:rPr>
            </w:pPr>
            <w:r w:rsidRPr="0029110D">
              <w:rPr>
                <w:sz w:val="20"/>
                <w:szCs w:val="20"/>
              </w:rPr>
              <w:t>114 мкмоль*ч</w:t>
            </w:r>
          </w:p>
        </w:tc>
        <w:tc>
          <w:tcPr>
            <w:tcW w:w="1671" w:type="dxa"/>
          </w:tcPr>
          <w:p w14:paraId="109F5F1A" w14:textId="77777777" w:rsidR="00CF1BE3" w:rsidRPr="0029110D" w:rsidRDefault="00CF1BE3" w:rsidP="00511EB4">
            <w:pPr>
              <w:rPr>
                <w:sz w:val="20"/>
                <w:szCs w:val="20"/>
              </w:rPr>
            </w:pPr>
            <w:r w:rsidRPr="0029110D">
              <w:rPr>
                <w:sz w:val="20"/>
                <w:szCs w:val="20"/>
              </w:rPr>
              <w:t>≈88</w:t>
            </w:r>
          </w:p>
        </w:tc>
      </w:tr>
      <w:tr w:rsidR="00CF1BE3" w:rsidRPr="0029110D" w14:paraId="232DDC62" w14:textId="77777777" w:rsidTr="00AB1FF1">
        <w:tc>
          <w:tcPr>
            <w:tcW w:w="1915" w:type="dxa"/>
            <w:vMerge/>
            <w:vAlign w:val="center"/>
          </w:tcPr>
          <w:p w14:paraId="7EC3F620" w14:textId="77777777" w:rsidR="00CF1BE3" w:rsidRPr="0029110D" w:rsidRDefault="00CF1BE3" w:rsidP="00511EB4">
            <w:pPr>
              <w:rPr>
                <w:sz w:val="20"/>
                <w:szCs w:val="20"/>
              </w:rPr>
            </w:pPr>
          </w:p>
        </w:tc>
        <w:tc>
          <w:tcPr>
            <w:tcW w:w="1914" w:type="dxa"/>
            <w:vMerge/>
            <w:vAlign w:val="center"/>
          </w:tcPr>
          <w:p w14:paraId="3EC62E2C" w14:textId="77777777" w:rsidR="00CF1BE3" w:rsidRPr="0029110D" w:rsidRDefault="00CF1BE3" w:rsidP="00511EB4">
            <w:pPr>
              <w:rPr>
                <w:sz w:val="20"/>
                <w:szCs w:val="20"/>
              </w:rPr>
            </w:pPr>
          </w:p>
        </w:tc>
        <w:tc>
          <w:tcPr>
            <w:tcW w:w="1914" w:type="dxa"/>
          </w:tcPr>
          <w:p w14:paraId="53E63443" w14:textId="77777777" w:rsidR="00CF1BE3" w:rsidRPr="0029110D" w:rsidRDefault="00CF1BE3" w:rsidP="00511EB4">
            <w:pPr>
              <w:rPr>
                <w:sz w:val="20"/>
                <w:szCs w:val="20"/>
              </w:rPr>
            </w:pPr>
            <w:r w:rsidRPr="0029110D">
              <w:rPr>
                <w:sz w:val="20"/>
                <w:szCs w:val="20"/>
              </w:rPr>
              <w:t>♀0,5</w:t>
            </w:r>
          </w:p>
        </w:tc>
        <w:tc>
          <w:tcPr>
            <w:tcW w:w="1914" w:type="dxa"/>
          </w:tcPr>
          <w:p w14:paraId="416FC5DB" w14:textId="77777777" w:rsidR="00CF1BE3" w:rsidRPr="0029110D" w:rsidRDefault="00CF1BE3" w:rsidP="00511EB4">
            <w:pPr>
              <w:rPr>
                <w:sz w:val="20"/>
                <w:szCs w:val="20"/>
              </w:rPr>
            </w:pPr>
            <w:r w:rsidRPr="0029110D">
              <w:rPr>
                <w:sz w:val="20"/>
                <w:szCs w:val="20"/>
              </w:rPr>
              <w:t>0,712 мкмоль*ч</w:t>
            </w:r>
          </w:p>
        </w:tc>
        <w:tc>
          <w:tcPr>
            <w:tcW w:w="1671" w:type="dxa"/>
          </w:tcPr>
          <w:p w14:paraId="78064264" w14:textId="77777777" w:rsidR="00CF1BE3" w:rsidRPr="0029110D" w:rsidRDefault="00CF1BE3" w:rsidP="00511EB4">
            <w:pPr>
              <w:rPr>
                <w:sz w:val="20"/>
                <w:szCs w:val="20"/>
              </w:rPr>
            </w:pPr>
            <w:r w:rsidRPr="0029110D">
              <w:rPr>
                <w:sz w:val="20"/>
                <w:szCs w:val="20"/>
              </w:rPr>
              <w:t>≈0,5</w:t>
            </w:r>
          </w:p>
        </w:tc>
      </w:tr>
      <w:tr w:rsidR="00CF1BE3" w:rsidRPr="0029110D" w14:paraId="2DC92B70" w14:textId="77777777" w:rsidTr="00AB1FF1">
        <w:tc>
          <w:tcPr>
            <w:tcW w:w="1915" w:type="dxa"/>
            <w:vMerge/>
            <w:vAlign w:val="center"/>
          </w:tcPr>
          <w:p w14:paraId="316C5E5D" w14:textId="77777777" w:rsidR="00CF1BE3" w:rsidRPr="0029110D" w:rsidRDefault="00CF1BE3" w:rsidP="00511EB4">
            <w:pPr>
              <w:rPr>
                <w:sz w:val="20"/>
                <w:szCs w:val="20"/>
              </w:rPr>
            </w:pPr>
          </w:p>
        </w:tc>
        <w:tc>
          <w:tcPr>
            <w:tcW w:w="1914" w:type="dxa"/>
            <w:vMerge/>
            <w:vAlign w:val="center"/>
          </w:tcPr>
          <w:p w14:paraId="256CE98F" w14:textId="77777777" w:rsidR="00CF1BE3" w:rsidRPr="0029110D" w:rsidRDefault="00CF1BE3" w:rsidP="00511EB4">
            <w:pPr>
              <w:rPr>
                <w:sz w:val="20"/>
                <w:szCs w:val="20"/>
              </w:rPr>
            </w:pPr>
          </w:p>
        </w:tc>
        <w:tc>
          <w:tcPr>
            <w:tcW w:w="1914" w:type="dxa"/>
          </w:tcPr>
          <w:p w14:paraId="5E48C945" w14:textId="77777777" w:rsidR="00CF1BE3" w:rsidRPr="0029110D" w:rsidRDefault="00CF1BE3" w:rsidP="00511EB4">
            <w:pPr>
              <w:rPr>
                <w:sz w:val="20"/>
                <w:szCs w:val="20"/>
              </w:rPr>
            </w:pPr>
            <w:r w:rsidRPr="0029110D">
              <w:rPr>
                <w:sz w:val="20"/>
                <w:szCs w:val="20"/>
              </w:rPr>
              <w:t>♀5</w:t>
            </w:r>
          </w:p>
        </w:tc>
        <w:tc>
          <w:tcPr>
            <w:tcW w:w="1914" w:type="dxa"/>
          </w:tcPr>
          <w:p w14:paraId="295E505B" w14:textId="77777777" w:rsidR="00CF1BE3" w:rsidRPr="0029110D" w:rsidRDefault="00CF1BE3" w:rsidP="00511EB4">
            <w:pPr>
              <w:rPr>
                <w:sz w:val="20"/>
                <w:szCs w:val="20"/>
              </w:rPr>
            </w:pPr>
            <w:r w:rsidRPr="0029110D">
              <w:rPr>
                <w:sz w:val="20"/>
                <w:szCs w:val="20"/>
              </w:rPr>
              <w:t>5,02 мкмоль*ч</w:t>
            </w:r>
          </w:p>
        </w:tc>
        <w:tc>
          <w:tcPr>
            <w:tcW w:w="1671" w:type="dxa"/>
          </w:tcPr>
          <w:p w14:paraId="223D894E" w14:textId="77777777" w:rsidR="00CF1BE3" w:rsidRPr="0029110D" w:rsidRDefault="00CF1BE3" w:rsidP="00511EB4">
            <w:pPr>
              <w:rPr>
                <w:sz w:val="20"/>
                <w:szCs w:val="20"/>
              </w:rPr>
            </w:pPr>
            <w:r w:rsidRPr="0029110D">
              <w:rPr>
                <w:sz w:val="20"/>
                <w:szCs w:val="20"/>
              </w:rPr>
              <w:t>≈4</w:t>
            </w:r>
          </w:p>
        </w:tc>
      </w:tr>
      <w:tr w:rsidR="00CF1BE3" w:rsidRPr="0029110D" w14:paraId="5D8749F6" w14:textId="77777777" w:rsidTr="00AB1FF1">
        <w:tc>
          <w:tcPr>
            <w:tcW w:w="1915" w:type="dxa"/>
            <w:vMerge/>
            <w:vAlign w:val="center"/>
          </w:tcPr>
          <w:p w14:paraId="199420B6" w14:textId="77777777" w:rsidR="00CF1BE3" w:rsidRPr="0029110D" w:rsidRDefault="00CF1BE3" w:rsidP="00511EB4">
            <w:pPr>
              <w:rPr>
                <w:sz w:val="20"/>
                <w:szCs w:val="20"/>
              </w:rPr>
            </w:pPr>
          </w:p>
        </w:tc>
        <w:tc>
          <w:tcPr>
            <w:tcW w:w="1914" w:type="dxa"/>
            <w:vMerge/>
            <w:vAlign w:val="center"/>
          </w:tcPr>
          <w:p w14:paraId="62B7A25C" w14:textId="77777777" w:rsidR="00CF1BE3" w:rsidRPr="0029110D" w:rsidRDefault="00CF1BE3" w:rsidP="00511EB4">
            <w:pPr>
              <w:rPr>
                <w:sz w:val="20"/>
                <w:szCs w:val="20"/>
              </w:rPr>
            </w:pPr>
          </w:p>
        </w:tc>
        <w:tc>
          <w:tcPr>
            <w:tcW w:w="1914" w:type="dxa"/>
          </w:tcPr>
          <w:p w14:paraId="39DC7EC3" w14:textId="77777777" w:rsidR="00CF1BE3" w:rsidRPr="0029110D" w:rsidRDefault="00CF1BE3" w:rsidP="00511EB4">
            <w:pPr>
              <w:rPr>
                <w:sz w:val="20"/>
                <w:szCs w:val="20"/>
              </w:rPr>
            </w:pPr>
            <w:r w:rsidRPr="0029110D">
              <w:rPr>
                <w:sz w:val="20"/>
                <w:szCs w:val="20"/>
              </w:rPr>
              <w:t>♀25</w:t>
            </w:r>
          </w:p>
        </w:tc>
        <w:tc>
          <w:tcPr>
            <w:tcW w:w="1914" w:type="dxa"/>
          </w:tcPr>
          <w:p w14:paraId="5AF7C26D" w14:textId="77777777" w:rsidR="00CF1BE3" w:rsidRPr="0029110D" w:rsidRDefault="00CF1BE3" w:rsidP="00511EB4">
            <w:pPr>
              <w:rPr>
                <w:sz w:val="20"/>
                <w:szCs w:val="20"/>
              </w:rPr>
            </w:pPr>
            <w:r w:rsidRPr="0029110D">
              <w:rPr>
                <w:sz w:val="20"/>
                <w:szCs w:val="20"/>
              </w:rPr>
              <w:t>38,1 мкмоль*ч</w:t>
            </w:r>
          </w:p>
        </w:tc>
        <w:tc>
          <w:tcPr>
            <w:tcW w:w="1671" w:type="dxa"/>
          </w:tcPr>
          <w:p w14:paraId="6DEAA34A" w14:textId="77777777" w:rsidR="00CF1BE3" w:rsidRPr="0029110D" w:rsidRDefault="00CF1BE3" w:rsidP="00511EB4">
            <w:pPr>
              <w:rPr>
                <w:sz w:val="20"/>
                <w:szCs w:val="20"/>
              </w:rPr>
            </w:pPr>
            <w:r w:rsidRPr="0029110D">
              <w:rPr>
                <w:sz w:val="20"/>
                <w:szCs w:val="20"/>
              </w:rPr>
              <w:t>≈29</w:t>
            </w:r>
          </w:p>
        </w:tc>
      </w:tr>
      <w:tr w:rsidR="00CF1BE3" w:rsidRPr="0029110D" w14:paraId="65743FE6" w14:textId="77777777" w:rsidTr="00AB1FF1">
        <w:tc>
          <w:tcPr>
            <w:tcW w:w="1915" w:type="dxa"/>
            <w:vMerge/>
            <w:vAlign w:val="center"/>
          </w:tcPr>
          <w:p w14:paraId="2A2D5AC7" w14:textId="77777777" w:rsidR="00CF1BE3" w:rsidRPr="0029110D" w:rsidRDefault="00CF1BE3" w:rsidP="00511EB4">
            <w:pPr>
              <w:rPr>
                <w:sz w:val="20"/>
                <w:szCs w:val="20"/>
              </w:rPr>
            </w:pPr>
          </w:p>
        </w:tc>
        <w:tc>
          <w:tcPr>
            <w:tcW w:w="1914" w:type="dxa"/>
            <w:vMerge/>
            <w:vAlign w:val="center"/>
          </w:tcPr>
          <w:p w14:paraId="29005A2A" w14:textId="77777777" w:rsidR="00CF1BE3" w:rsidRPr="0029110D" w:rsidRDefault="00CF1BE3" w:rsidP="00511EB4">
            <w:pPr>
              <w:rPr>
                <w:sz w:val="20"/>
                <w:szCs w:val="20"/>
              </w:rPr>
            </w:pPr>
          </w:p>
        </w:tc>
        <w:tc>
          <w:tcPr>
            <w:tcW w:w="1914" w:type="dxa"/>
          </w:tcPr>
          <w:p w14:paraId="0D8FB6E2" w14:textId="77777777" w:rsidR="00CF1BE3" w:rsidRPr="0029110D" w:rsidRDefault="00CF1BE3" w:rsidP="00511EB4">
            <w:pPr>
              <w:rPr>
                <w:sz w:val="20"/>
                <w:szCs w:val="20"/>
              </w:rPr>
            </w:pPr>
            <w:r w:rsidRPr="0029110D">
              <w:rPr>
                <w:sz w:val="20"/>
                <w:szCs w:val="20"/>
              </w:rPr>
              <w:t>♀100/60</w:t>
            </w:r>
          </w:p>
        </w:tc>
        <w:tc>
          <w:tcPr>
            <w:tcW w:w="1914" w:type="dxa"/>
          </w:tcPr>
          <w:p w14:paraId="5D67A35D" w14:textId="77777777" w:rsidR="00CF1BE3" w:rsidRPr="0029110D" w:rsidRDefault="00CF1BE3" w:rsidP="00511EB4">
            <w:pPr>
              <w:rPr>
                <w:sz w:val="20"/>
                <w:szCs w:val="20"/>
              </w:rPr>
            </w:pPr>
            <w:r w:rsidRPr="0029110D">
              <w:rPr>
                <w:sz w:val="20"/>
                <w:szCs w:val="20"/>
              </w:rPr>
              <w:t>95,3 мкмоль*ч</w:t>
            </w:r>
          </w:p>
        </w:tc>
        <w:tc>
          <w:tcPr>
            <w:tcW w:w="1671" w:type="dxa"/>
          </w:tcPr>
          <w:p w14:paraId="6BF30784" w14:textId="77777777" w:rsidR="00CF1BE3" w:rsidRPr="0029110D" w:rsidRDefault="00CF1BE3" w:rsidP="00511EB4">
            <w:pPr>
              <w:rPr>
                <w:sz w:val="20"/>
                <w:szCs w:val="20"/>
              </w:rPr>
            </w:pPr>
            <w:r w:rsidRPr="0029110D">
              <w:rPr>
                <w:sz w:val="20"/>
                <w:szCs w:val="20"/>
              </w:rPr>
              <w:t>≈73</w:t>
            </w:r>
          </w:p>
        </w:tc>
      </w:tr>
      <w:tr w:rsidR="00CF1BE3" w:rsidRPr="0029110D" w14:paraId="1AC5AF2A" w14:textId="77777777" w:rsidTr="00AB1FF1">
        <w:tc>
          <w:tcPr>
            <w:tcW w:w="1915" w:type="dxa"/>
            <w:vMerge/>
            <w:vAlign w:val="center"/>
          </w:tcPr>
          <w:p w14:paraId="37C43897" w14:textId="77777777" w:rsidR="00CF1BE3" w:rsidRPr="0029110D" w:rsidRDefault="00CF1BE3" w:rsidP="00511EB4">
            <w:pPr>
              <w:rPr>
                <w:sz w:val="20"/>
                <w:szCs w:val="20"/>
              </w:rPr>
            </w:pPr>
          </w:p>
        </w:tc>
        <w:tc>
          <w:tcPr>
            <w:tcW w:w="1914" w:type="dxa"/>
            <w:vMerge w:val="restart"/>
            <w:vAlign w:val="center"/>
          </w:tcPr>
          <w:p w14:paraId="7DBBD11E" w14:textId="77777777" w:rsidR="00CF1BE3" w:rsidRPr="0029110D" w:rsidRDefault="00CF1BE3" w:rsidP="00511EB4">
            <w:pPr>
              <w:rPr>
                <w:sz w:val="20"/>
                <w:szCs w:val="20"/>
              </w:rPr>
            </w:pPr>
            <w:r w:rsidRPr="0029110D">
              <w:rPr>
                <w:sz w:val="20"/>
                <w:szCs w:val="20"/>
              </w:rPr>
              <w:t xml:space="preserve">Минимум 90 недель, </w:t>
            </w:r>
            <w:r w:rsidRPr="0029110D">
              <w:rPr>
                <w:sz w:val="20"/>
                <w:szCs w:val="20"/>
                <w:lang w:val="en-US"/>
              </w:rPr>
              <w:t>F</w:t>
            </w:r>
            <w:r w:rsidRPr="0029110D">
              <w:rPr>
                <w:sz w:val="20"/>
                <w:szCs w:val="20"/>
              </w:rPr>
              <w:t>344</w:t>
            </w:r>
          </w:p>
        </w:tc>
        <w:tc>
          <w:tcPr>
            <w:tcW w:w="1914" w:type="dxa"/>
          </w:tcPr>
          <w:p w14:paraId="29526B0E" w14:textId="77777777" w:rsidR="00CF1BE3" w:rsidRPr="0029110D" w:rsidRDefault="00CF1BE3" w:rsidP="00511EB4">
            <w:pPr>
              <w:rPr>
                <w:sz w:val="20"/>
                <w:szCs w:val="20"/>
              </w:rPr>
            </w:pPr>
            <w:r w:rsidRPr="0029110D">
              <w:rPr>
                <w:sz w:val="20"/>
                <w:szCs w:val="20"/>
              </w:rPr>
              <w:t>♂1</w:t>
            </w:r>
          </w:p>
        </w:tc>
        <w:tc>
          <w:tcPr>
            <w:tcW w:w="1914" w:type="dxa"/>
          </w:tcPr>
          <w:p w14:paraId="59E1B500" w14:textId="77777777" w:rsidR="00CF1BE3" w:rsidRPr="0029110D" w:rsidRDefault="00CF1BE3" w:rsidP="00511EB4">
            <w:pPr>
              <w:rPr>
                <w:sz w:val="20"/>
                <w:szCs w:val="20"/>
              </w:rPr>
            </w:pPr>
            <w:r w:rsidRPr="0029110D">
              <w:rPr>
                <w:sz w:val="20"/>
                <w:szCs w:val="20"/>
              </w:rPr>
              <w:t>410 нг*ч/мл</w:t>
            </w:r>
          </w:p>
        </w:tc>
        <w:tc>
          <w:tcPr>
            <w:tcW w:w="1671" w:type="dxa"/>
          </w:tcPr>
          <w:p w14:paraId="42E9B4B0" w14:textId="77777777" w:rsidR="00CF1BE3" w:rsidRPr="0029110D" w:rsidRDefault="00CF1BE3" w:rsidP="00511EB4">
            <w:pPr>
              <w:rPr>
                <w:sz w:val="20"/>
                <w:szCs w:val="20"/>
              </w:rPr>
            </w:pPr>
            <w:r w:rsidRPr="0029110D">
              <w:rPr>
                <w:sz w:val="20"/>
                <w:szCs w:val="20"/>
              </w:rPr>
              <w:t>≈1</w:t>
            </w:r>
          </w:p>
        </w:tc>
      </w:tr>
      <w:tr w:rsidR="00CF1BE3" w:rsidRPr="0029110D" w14:paraId="70824483" w14:textId="77777777" w:rsidTr="00AB1FF1">
        <w:tc>
          <w:tcPr>
            <w:tcW w:w="1915" w:type="dxa"/>
            <w:vMerge/>
            <w:vAlign w:val="center"/>
          </w:tcPr>
          <w:p w14:paraId="2CDD8EF6" w14:textId="77777777" w:rsidR="00CF1BE3" w:rsidRPr="0029110D" w:rsidRDefault="00CF1BE3" w:rsidP="00511EB4">
            <w:pPr>
              <w:rPr>
                <w:sz w:val="20"/>
                <w:szCs w:val="20"/>
              </w:rPr>
            </w:pPr>
          </w:p>
        </w:tc>
        <w:tc>
          <w:tcPr>
            <w:tcW w:w="1914" w:type="dxa"/>
            <w:vMerge/>
          </w:tcPr>
          <w:p w14:paraId="4AC24FC1" w14:textId="77777777" w:rsidR="00CF1BE3" w:rsidRPr="0029110D" w:rsidRDefault="00CF1BE3" w:rsidP="00511EB4">
            <w:pPr>
              <w:rPr>
                <w:sz w:val="20"/>
                <w:szCs w:val="20"/>
              </w:rPr>
            </w:pPr>
          </w:p>
        </w:tc>
        <w:tc>
          <w:tcPr>
            <w:tcW w:w="1914" w:type="dxa"/>
          </w:tcPr>
          <w:p w14:paraId="1B7A7788" w14:textId="77777777" w:rsidR="00CF1BE3" w:rsidRPr="0029110D" w:rsidRDefault="00CF1BE3" w:rsidP="00511EB4">
            <w:pPr>
              <w:rPr>
                <w:sz w:val="20"/>
                <w:szCs w:val="20"/>
              </w:rPr>
            </w:pPr>
            <w:r w:rsidRPr="0029110D">
              <w:rPr>
                <w:sz w:val="20"/>
                <w:szCs w:val="20"/>
              </w:rPr>
              <w:t>♂3</w:t>
            </w:r>
          </w:p>
        </w:tc>
        <w:tc>
          <w:tcPr>
            <w:tcW w:w="1914" w:type="dxa"/>
          </w:tcPr>
          <w:p w14:paraId="44485CC5" w14:textId="77777777" w:rsidR="00CF1BE3" w:rsidRPr="0029110D" w:rsidRDefault="00CF1BE3" w:rsidP="00511EB4">
            <w:pPr>
              <w:rPr>
                <w:sz w:val="20"/>
                <w:szCs w:val="20"/>
              </w:rPr>
            </w:pPr>
            <w:r w:rsidRPr="0029110D">
              <w:rPr>
                <w:sz w:val="20"/>
                <w:szCs w:val="20"/>
              </w:rPr>
              <w:t>1161 нг*ч/мл</w:t>
            </w:r>
          </w:p>
        </w:tc>
        <w:tc>
          <w:tcPr>
            <w:tcW w:w="1671" w:type="dxa"/>
          </w:tcPr>
          <w:p w14:paraId="271BCC88" w14:textId="77777777" w:rsidR="00CF1BE3" w:rsidRPr="0029110D" w:rsidRDefault="00CF1BE3" w:rsidP="00511EB4">
            <w:pPr>
              <w:rPr>
                <w:sz w:val="20"/>
                <w:szCs w:val="20"/>
              </w:rPr>
            </w:pPr>
            <w:r w:rsidRPr="0029110D">
              <w:rPr>
                <w:sz w:val="20"/>
                <w:szCs w:val="20"/>
              </w:rPr>
              <w:t>≈2</w:t>
            </w:r>
          </w:p>
        </w:tc>
      </w:tr>
      <w:tr w:rsidR="00CF1BE3" w:rsidRPr="0029110D" w14:paraId="64E8223F" w14:textId="77777777" w:rsidTr="00AB1FF1">
        <w:tc>
          <w:tcPr>
            <w:tcW w:w="1915" w:type="dxa"/>
            <w:vMerge/>
            <w:vAlign w:val="center"/>
          </w:tcPr>
          <w:p w14:paraId="508B3DE4" w14:textId="77777777" w:rsidR="00CF1BE3" w:rsidRPr="0029110D" w:rsidRDefault="00CF1BE3" w:rsidP="00511EB4">
            <w:pPr>
              <w:rPr>
                <w:sz w:val="20"/>
                <w:szCs w:val="20"/>
              </w:rPr>
            </w:pPr>
          </w:p>
        </w:tc>
        <w:tc>
          <w:tcPr>
            <w:tcW w:w="1914" w:type="dxa"/>
            <w:vMerge/>
          </w:tcPr>
          <w:p w14:paraId="08D227AD" w14:textId="77777777" w:rsidR="00CF1BE3" w:rsidRPr="0029110D" w:rsidRDefault="00CF1BE3" w:rsidP="00511EB4">
            <w:pPr>
              <w:rPr>
                <w:sz w:val="20"/>
                <w:szCs w:val="20"/>
              </w:rPr>
            </w:pPr>
          </w:p>
        </w:tc>
        <w:tc>
          <w:tcPr>
            <w:tcW w:w="1914" w:type="dxa"/>
          </w:tcPr>
          <w:p w14:paraId="0148D525" w14:textId="77777777" w:rsidR="00CF1BE3" w:rsidRPr="0029110D" w:rsidRDefault="00CF1BE3" w:rsidP="00511EB4">
            <w:pPr>
              <w:rPr>
                <w:sz w:val="20"/>
                <w:szCs w:val="20"/>
              </w:rPr>
            </w:pPr>
            <w:r w:rsidRPr="0029110D">
              <w:rPr>
                <w:sz w:val="20"/>
                <w:szCs w:val="20"/>
              </w:rPr>
              <w:t>♂8</w:t>
            </w:r>
          </w:p>
        </w:tc>
        <w:tc>
          <w:tcPr>
            <w:tcW w:w="1914" w:type="dxa"/>
          </w:tcPr>
          <w:p w14:paraId="62258FE1" w14:textId="77777777" w:rsidR="00CF1BE3" w:rsidRPr="0029110D" w:rsidRDefault="00CF1BE3" w:rsidP="00511EB4">
            <w:pPr>
              <w:rPr>
                <w:sz w:val="20"/>
                <w:szCs w:val="20"/>
              </w:rPr>
            </w:pPr>
            <w:r w:rsidRPr="0029110D">
              <w:rPr>
                <w:sz w:val="20"/>
                <w:szCs w:val="20"/>
              </w:rPr>
              <w:t>2874 нг*ч/мл</w:t>
            </w:r>
          </w:p>
        </w:tc>
        <w:tc>
          <w:tcPr>
            <w:tcW w:w="1671" w:type="dxa"/>
          </w:tcPr>
          <w:p w14:paraId="560DA7B8" w14:textId="77777777" w:rsidR="00CF1BE3" w:rsidRPr="0029110D" w:rsidRDefault="00CF1BE3" w:rsidP="00511EB4">
            <w:pPr>
              <w:rPr>
                <w:sz w:val="20"/>
                <w:szCs w:val="20"/>
              </w:rPr>
            </w:pPr>
            <w:r w:rsidRPr="0029110D">
              <w:rPr>
                <w:sz w:val="20"/>
                <w:szCs w:val="20"/>
              </w:rPr>
              <w:t>≈6</w:t>
            </w:r>
          </w:p>
        </w:tc>
      </w:tr>
      <w:tr w:rsidR="00CF1BE3" w:rsidRPr="0029110D" w14:paraId="26145E1E" w14:textId="77777777" w:rsidTr="00AB1FF1">
        <w:tc>
          <w:tcPr>
            <w:tcW w:w="1915" w:type="dxa"/>
            <w:vMerge/>
            <w:vAlign w:val="center"/>
          </w:tcPr>
          <w:p w14:paraId="3876B403" w14:textId="77777777" w:rsidR="00CF1BE3" w:rsidRPr="0029110D" w:rsidRDefault="00CF1BE3" w:rsidP="00511EB4">
            <w:pPr>
              <w:rPr>
                <w:sz w:val="20"/>
                <w:szCs w:val="20"/>
              </w:rPr>
            </w:pPr>
          </w:p>
        </w:tc>
        <w:tc>
          <w:tcPr>
            <w:tcW w:w="1914" w:type="dxa"/>
            <w:vMerge/>
          </w:tcPr>
          <w:p w14:paraId="3CE4AADC" w14:textId="77777777" w:rsidR="00CF1BE3" w:rsidRPr="0029110D" w:rsidRDefault="00CF1BE3" w:rsidP="00511EB4">
            <w:pPr>
              <w:rPr>
                <w:sz w:val="20"/>
                <w:szCs w:val="20"/>
              </w:rPr>
            </w:pPr>
          </w:p>
        </w:tc>
        <w:tc>
          <w:tcPr>
            <w:tcW w:w="1914" w:type="dxa"/>
          </w:tcPr>
          <w:p w14:paraId="2B7B969C" w14:textId="77777777" w:rsidR="00CF1BE3" w:rsidRPr="0029110D" w:rsidRDefault="00CF1BE3" w:rsidP="00511EB4">
            <w:pPr>
              <w:rPr>
                <w:sz w:val="20"/>
                <w:szCs w:val="20"/>
              </w:rPr>
            </w:pPr>
            <w:r w:rsidRPr="0029110D">
              <w:rPr>
                <w:sz w:val="20"/>
                <w:szCs w:val="20"/>
              </w:rPr>
              <w:t>♀3</w:t>
            </w:r>
          </w:p>
        </w:tc>
        <w:tc>
          <w:tcPr>
            <w:tcW w:w="1914" w:type="dxa"/>
          </w:tcPr>
          <w:p w14:paraId="3F4DAC99" w14:textId="77777777" w:rsidR="00CF1BE3" w:rsidRPr="0029110D" w:rsidRDefault="00CF1BE3" w:rsidP="00511EB4">
            <w:pPr>
              <w:rPr>
                <w:sz w:val="20"/>
                <w:szCs w:val="20"/>
              </w:rPr>
            </w:pPr>
            <w:r w:rsidRPr="0029110D">
              <w:rPr>
                <w:sz w:val="20"/>
                <w:szCs w:val="20"/>
              </w:rPr>
              <w:t>1188 нг*ч/мл</w:t>
            </w:r>
          </w:p>
        </w:tc>
        <w:tc>
          <w:tcPr>
            <w:tcW w:w="1671" w:type="dxa"/>
          </w:tcPr>
          <w:p w14:paraId="21E33FD4" w14:textId="77777777" w:rsidR="00CF1BE3" w:rsidRPr="0029110D" w:rsidRDefault="00CF1BE3" w:rsidP="00511EB4">
            <w:pPr>
              <w:rPr>
                <w:sz w:val="20"/>
                <w:szCs w:val="20"/>
              </w:rPr>
            </w:pPr>
            <w:r w:rsidRPr="0029110D">
              <w:rPr>
                <w:sz w:val="20"/>
                <w:szCs w:val="20"/>
              </w:rPr>
              <w:t>≈2</w:t>
            </w:r>
          </w:p>
        </w:tc>
      </w:tr>
      <w:tr w:rsidR="00CF1BE3" w:rsidRPr="0029110D" w14:paraId="32729CF5" w14:textId="77777777" w:rsidTr="00AB1FF1">
        <w:tc>
          <w:tcPr>
            <w:tcW w:w="1915" w:type="dxa"/>
            <w:vMerge/>
            <w:vAlign w:val="center"/>
          </w:tcPr>
          <w:p w14:paraId="766B5DEA" w14:textId="77777777" w:rsidR="00CF1BE3" w:rsidRPr="0029110D" w:rsidRDefault="00CF1BE3" w:rsidP="00511EB4">
            <w:pPr>
              <w:rPr>
                <w:sz w:val="20"/>
                <w:szCs w:val="20"/>
              </w:rPr>
            </w:pPr>
          </w:p>
        </w:tc>
        <w:tc>
          <w:tcPr>
            <w:tcW w:w="1914" w:type="dxa"/>
            <w:vMerge/>
          </w:tcPr>
          <w:p w14:paraId="0FFEE2FB" w14:textId="77777777" w:rsidR="00CF1BE3" w:rsidRPr="0029110D" w:rsidRDefault="00CF1BE3" w:rsidP="00511EB4">
            <w:pPr>
              <w:rPr>
                <w:sz w:val="20"/>
                <w:szCs w:val="20"/>
              </w:rPr>
            </w:pPr>
          </w:p>
        </w:tc>
        <w:tc>
          <w:tcPr>
            <w:tcW w:w="1914" w:type="dxa"/>
          </w:tcPr>
          <w:p w14:paraId="40566C29" w14:textId="77777777" w:rsidR="00CF1BE3" w:rsidRPr="0029110D" w:rsidRDefault="00CF1BE3" w:rsidP="00511EB4">
            <w:pPr>
              <w:rPr>
                <w:sz w:val="20"/>
                <w:szCs w:val="20"/>
              </w:rPr>
            </w:pPr>
            <w:r w:rsidRPr="0029110D">
              <w:rPr>
                <w:sz w:val="20"/>
                <w:szCs w:val="20"/>
              </w:rPr>
              <w:t>♀8</w:t>
            </w:r>
          </w:p>
        </w:tc>
        <w:tc>
          <w:tcPr>
            <w:tcW w:w="1914" w:type="dxa"/>
          </w:tcPr>
          <w:p w14:paraId="4E80247B" w14:textId="77777777" w:rsidR="00CF1BE3" w:rsidRPr="0029110D" w:rsidRDefault="00CF1BE3" w:rsidP="00511EB4">
            <w:pPr>
              <w:rPr>
                <w:sz w:val="20"/>
                <w:szCs w:val="20"/>
              </w:rPr>
            </w:pPr>
            <w:r w:rsidRPr="0029110D">
              <w:rPr>
                <w:sz w:val="20"/>
                <w:szCs w:val="20"/>
              </w:rPr>
              <w:t>3801 нг*ч/мл</w:t>
            </w:r>
          </w:p>
        </w:tc>
        <w:tc>
          <w:tcPr>
            <w:tcW w:w="1671" w:type="dxa"/>
          </w:tcPr>
          <w:p w14:paraId="25045661" w14:textId="77777777" w:rsidR="00CF1BE3" w:rsidRPr="0029110D" w:rsidRDefault="00CF1BE3" w:rsidP="00511EB4">
            <w:pPr>
              <w:rPr>
                <w:sz w:val="20"/>
                <w:szCs w:val="20"/>
              </w:rPr>
            </w:pPr>
            <w:r w:rsidRPr="0029110D">
              <w:rPr>
                <w:sz w:val="20"/>
                <w:szCs w:val="20"/>
              </w:rPr>
              <w:t>≈8</w:t>
            </w:r>
          </w:p>
        </w:tc>
      </w:tr>
      <w:tr w:rsidR="00CF1BE3" w:rsidRPr="0029110D" w14:paraId="5EB2C500" w14:textId="77777777" w:rsidTr="00AB1FF1">
        <w:tc>
          <w:tcPr>
            <w:tcW w:w="1915" w:type="dxa"/>
            <w:vMerge/>
            <w:vAlign w:val="center"/>
          </w:tcPr>
          <w:p w14:paraId="71FC350C" w14:textId="77777777" w:rsidR="00CF1BE3" w:rsidRPr="0029110D" w:rsidRDefault="00CF1BE3" w:rsidP="00511EB4">
            <w:pPr>
              <w:rPr>
                <w:sz w:val="20"/>
                <w:szCs w:val="20"/>
              </w:rPr>
            </w:pPr>
          </w:p>
        </w:tc>
        <w:tc>
          <w:tcPr>
            <w:tcW w:w="1914" w:type="dxa"/>
            <w:vMerge/>
          </w:tcPr>
          <w:p w14:paraId="738C0996" w14:textId="77777777" w:rsidR="00CF1BE3" w:rsidRPr="0029110D" w:rsidRDefault="00CF1BE3" w:rsidP="00511EB4">
            <w:pPr>
              <w:rPr>
                <w:sz w:val="20"/>
                <w:szCs w:val="20"/>
              </w:rPr>
            </w:pPr>
          </w:p>
        </w:tc>
        <w:tc>
          <w:tcPr>
            <w:tcW w:w="1914" w:type="dxa"/>
          </w:tcPr>
          <w:p w14:paraId="5E58C5FD" w14:textId="77777777" w:rsidR="00CF1BE3" w:rsidRPr="0029110D" w:rsidRDefault="00CF1BE3" w:rsidP="00511EB4">
            <w:pPr>
              <w:rPr>
                <w:sz w:val="20"/>
                <w:szCs w:val="20"/>
              </w:rPr>
            </w:pPr>
            <w:r w:rsidRPr="0029110D">
              <w:rPr>
                <w:sz w:val="20"/>
                <w:szCs w:val="20"/>
              </w:rPr>
              <w:t>♀25</w:t>
            </w:r>
          </w:p>
        </w:tc>
        <w:tc>
          <w:tcPr>
            <w:tcW w:w="1914" w:type="dxa"/>
          </w:tcPr>
          <w:p w14:paraId="0EB0568D" w14:textId="77777777" w:rsidR="00CF1BE3" w:rsidRPr="0029110D" w:rsidRDefault="00CF1BE3" w:rsidP="00511EB4">
            <w:pPr>
              <w:rPr>
                <w:sz w:val="20"/>
                <w:szCs w:val="20"/>
              </w:rPr>
            </w:pPr>
            <w:r w:rsidRPr="0029110D">
              <w:rPr>
                <w:sz w:val="20"/>
                <w:szCs w:val="20"/>
              </w:rPr>
              <w:t>12964 нг*ч/мл</w:t>
            </w:r>
          </w:p>
        </w:tc>
        <w:tc>
          <w:tcPr>
            <w:tcW w:w="1671" w:type="dxa"/>
          </w:tcPr>
          <w:p w14:paraId="1DF51852" w14:textId="77777777" w:rsidR="00CF1BE3" w:rsidRPr="0029110D" w:rsidRDefault="00CF1BE3" w:rsidP="00511EB4">
            <w:pPr>
              <w:rPr>
                <w:sz w:val="20"/>
                <w:szCs w:val="20"/>
              </w:rPr>
            </w:pPr>
            <w:r w:rsidRPr="0029110D">
              <w:rPr>
                <w:sz w:val="20"/>
                <w:szCs w:val="20"/>
              </w:rPr>
              <w:t>≈27</w:t>
            </w:r>
          </w:p>
        </w:tc>
      </w:tr>
      <w:tr w:rsidR="00CF1BE3" w:rsidRPr="0029110D" w14:paraId="71E79C52" w14:textId="77777777" w:rsidTr="00AB1FF1">
        <w:tc>
          <w:tcPr>
            <w:tcW w:w="1915" w:type="dxa"/>
            <w:vMerge w:val="restart"/>
          </w:tcPr>
          <w:p w14:paraId="0B3C6838" w14:textId="77777777" w:rsidR="00CF1BE3" w:rsidRPr="0029110D" w:rsidRDefault="00CF1BE3" w:rsidP="00511EB4">
            <w:pPr>
              <w:rPr>
                <w:sz w:val="20"/>
                <w:szCs w:val="20"/>
              </w:rPr>
            </w:pPr>
            <w:r w:rsidRPr="0029110D">
              <w:rPr>
                <w:sz w:val="20"/>
                <w:szCs w:val="20"/>
              </w:rPr>
              <w:t>Собаки, бигль</w:t>
            </w:r>
          </w:p>
        </w:tc>
        <w:tc>
          <w:tcPr>
            <w:tcW w:w="1914" w:type="dxa"/>
            <w:vMerge w:val="restart"/>
            <w:vAlign w:val="center"/>
          </w:tcPr>
          <w:p w14:paraId="2776F04E" w14:textId="77777777" w:rsidR="00CF1BE3" w:rsidRPr="0029110D" w:rsidRDefault="00CF1BE3" w:rsidP="00511EB4">
            <w:pPr>
              <w:rPr>
                <w:sz w:val="20"/>
                <w:szCs w:val="20"/>
              </w:rPr>
            </w:pPr>
            <w:r w:rsidRPr="0029110D">
              <w:rPr>
                <w:sz w:val="20"/>
                <w:szCs w:val="20"/>
              </w:rPr>
              <w:t>1 месяц</w:t>
            </w:r>
          </w:p>
        </w:tc>
        <w:tc>
          <w:tcPr>
            <w:tcW w:w="1914" w:type="dxa"/>
          </w:tcPr>
          <w:p w14:paraId="18EDB083" w14:textId="77777777" w:rsidR="00CF1BE3" w:rsidRPr="0029110D" w:rsidRDefault="00CF1BE3" w:rsidP="00511EB4">
            <w:pPr>
              <w:rPr>
                <w:sz w:val="20"/>
                <w:szCs w:val="20"/>
              </w:rPr>
            </w:pPr>
            <w:r w:rsidRPr="0029110D">
              <w:rPr>
                <w:sz w:val="20"/>
                <w:szCs w:val="20"/>
              </w:rPr>
              <w:t>♂0,15</w:t>
            </w:r>
          </w:p>
        </w:tc>
        <w:tc>
          <w:tcPr>
            <w:tcW w:w="1914" w:type="dxa"/>
          </w:tcPr>
          <w:p w14:paraId="719952B3" w14:textId="77777777" w:rsidR="00CF1BE3" w:rsidRPr="0029110D" w:rsidRDefault="00CF1BE3" w:rsidP="00511EB4">
            <w:pPr>
              <w:rPr>
                <w:sz w:val="20"/>
                <w:szCs w:val="20"/>
              </w:rPr>
            </w:pPr>
            <w:r w:rsidRPr="0029110D">
              <w:rPr>
                <w:sz w:val="20"/>
                <w:szCs w:val="20"/>
              </w:rPr>
              <w:t>0,411 мкмоль*ч</w:t>
            </w:r>
          </w:p>
        </w:tc>
        <w:tc>
          <w:tcPr>
            <w:tcW w:w="1671" w:type="dxa"/>
          </w:tcPr>
          <w:p w14:paraId="22069750" w14:textId="77777777" w:rsidR="00CF1BE3" w:rsidRPr="0029110D" w:rsidRDefault="00CF1BE3" w:rsidP="00511EB4">
            <w:pPr>
              <w:rPr>
                <w:sz w:val="20"/>
                <w:szCs w:val="20"/>
              </w:rPr>
            </w:pPr>
            <w:r w:rsidRPr="0029110D">
              <w:rPr>
                <w:sz w:val="20"/>
                <w:szCs w:val="20"/>
              </w:rPr>
              <w:t>≈0,3</w:t>
            </w:r>
          </w:p>
        </w:tc>
      </w:tr>
      <w:tr w:rsidR="00CF1BE3" w:rsidRPr="0029110D" w14:paraId="265E125B" w14:textId="77777777" w:rsidTr="00AB1FF1">
        <w:tc>
          <w:tcPr>
            <w:tcW w:w="1915" w:type="dxa"/>
            <w:vMerge/>
          </w:tcPr>
          <w:p w14:paraId="5D64E1D6" w14:textId="77777777" w:rsidR="00CF1BE3" w:rsidRPr="0029110D" w:rsidRDefault="00CF1BE3" w:rsidP="00511EB4">
            <w:pPr>
              <w:rPr>
                <w:sz w:val="20"/>
                <w:szCs w:val="20"/>
              </w:rPr>
            </w:pPr>
          </w:p>
        </w:tc>
        <w:tc>
          <w:tcPr>
            <w:tcW w:w="1914" w:type="dxa"/>
            <w:vMerge/>
          </w:tcPr>
          <w:p w14:paraId="0238A5E3" w14:textId="77777777" w:rsidR="00CF1BE3" w:rsidRPr="0029110D" w:rsidRDefault="00CF1BE3" w:rsidP="00511EB4">
            <w:pPr>
              <w:rPr>
                <w:sz w:val="20"/>
                <w:szCs w:val="20"/>
              </w:rPr>
            </w:pPr>
          </w:p>
        </w:tc>
        <w:tc>
          <w:tcPr>
            <w:tcW w:w="1914" w:type="dxa"/>
          </w:tcPr>
          <w:p w14:paraId="5240B275" w14:textId="77777777" w:rsidR="00CF1BE3" w:rsidRPr="0029110D" w:rsidRDefault="00CF1BE3" w:rsidP="00511EB4">
            <w:pPr>
              <w:rPr>
                <w:sz w:val="20"/>
                <w:szCs w:val="20"/>
              </w:rPr>
            </w:pPr>
            <w:r w:rsidRPr="0029110D">
              <w:rPr>
                <w:sz w:val="20"/>
                <w:szCs w:val="20"/>
              </w:rPr>
              <w:t>♂0,45</w:t>
            </w:r>
          </w:p>
        </w:tc>
        <w:tc>
          <w:tcPr>
            <w:tcW w:w="1914" w:type="dxa"/>
          </w:tcPr>
          <w:p w14:paraId="170B06CE" w14:textId="77777777" w:rsidR="00CF1BE3" w:rsidRPr="0029110D" w:rsidRDefault="00CF1BE3" w:rsidP="00511EB4">
            <w:pPr>
              <w:rPr>
                <w:sz w:val="20"/>
                <w:szCs w:val="20"/>
              </w:rPr>
            </w:pPr>
            <w:r w:rsidRPr="0029110D">
              <w:rPr>
                <w:sz w:val="20"/>
                <w:szCs w:val="20"/>
              </w:rPr>
              <w:t>1,46 мкмоль*ч</w:t>
            </w:r>
          </w:p>
        </w:tc>
        <w:tc>
          <w:tcPr>
            <w:tcW w:w="1671" w:type="dxa"/>
          </w:tcPr>
          <w:p w14:paraId="1D10BE37" w14:textId="77777777" w:rsidR="00CF1BE3" w:rsidRPr="0029110D" w:rsidRDefault="00CF1BE3" w:rsidP="00511EB4">
            <w:pPr>
              <w:rPr>
                <w:sz w:val="20"/>
                <w:szCs w:val="20"/>
              </w:rPr>
            </w:pPr>
            <w:r w:rsidRPr="0029110D">
              <w:rPr>
                <w:sz w:val="20"/>
                <w:szCs w:val="20"/>
              </w:rPr>
              <w:t>≈1</w:t>
            </w:r>
          </w:p>
        </w:tc>
      </w:tr>
      <w:tr w:rsidR="00CF1BE3" w:rsidRPr="0029110D" w14:paraId="6862B68E" w14:textId="77777777" w:rsidTr="00AB1FF1">
        <w:tc>
          <w:tcPr>
            <w:tcW w:w="1915" w:type="dxa"/>
            <w:vMerge/>
          </w:tcPr>
          <w:p w14:paraId="01F306C0" w14:textId="77777777" w:rsidR="00CF1BE3" w:rsidRPr="0029110D" w:rsidRDefault="00CF1BE3" w:rsidP="00511EB4">
            <w:pPr>
              <w:rPr>
                <w:sz w:val="20"/>
                <w:szCs w:val="20"/>
              </w:rPr>
            </w:pPr>
          </w:p>
        </w:tc>
        <w:tc>
          <w:tcPr>
            <w:tcW w:w="1914" w:type="dxa"/>
            <w:vMerge/>
          </w:tcPr>
          <w:p w14:paraId="6356B77C" w14:textId="77777777" w:rsidR="00CF1BE3" w:rsidRPr="0029110D" w:rsidRDefault="00CF1BE3" w:rsidP="00511EB4">
            <w:pPr>
              <w:rPr>
                <w:sz w:val="20"/>
                <w:szCs w:val="20"/>
              </w:rPr>
            </w:pPr>
          </w:p>
        </w:tc>
        <w:tc>
          <w:tcPr>
            <w:tcW w:w="1914" w:type="dxa"/>
          </w:tcPr>
          <w:p w14:paraId="10C9F1AF" w14:textId="77777777" w:rsidR="00CF1BE3" w:rsidRPr="0029110D" w:rsidRDefault="00CF1BE3" w:rsidP="00511EB4">
            <w:pPr>
              <w:rPr>
                <w:sz w:val="20"/>
                <w:szCs w:val="20"/>
              </w:rPr>
            </w:pPr>
            <w:r w:rsidRPr="0029110D">
              <w:rPr>
                <w:sz w:val="20"/>
                <w:szCs w:val="20"/>
              </w:rPr>
              <w:t>♂3</w:t>
            </w:r>
          </w:p>
        </w:tc>
        <w:tc>
          <w:tcPr>
            <w:tcW w:w="1914" w:type="dxa"/>
          </w:tcPr>
          <w:p w14:paraId="2E4984B1" w14:textId="77777777" w:rsidR="00CF1BE3" w:rsidRPr="0029110D" w:rsidRDefault="00CF1BE3" w:rsidP="00511EB4">
            <w:pPr>
              <w:rPr>
                <w:sz w:val="20"/>
                <w:szCs w:val="20"/>
              </w:rPr>
            </w:pPr>
            <w:r w:rsidRPr="0029110D">
              <w:rPr>
                <w:sz w:val="20"/>
                <w:szCs w:val="20"/>
              </w:rPr>
              <w:t>10,7 мкмоль*ч</w:t>
            </w:r>
          </w:p>
        </w:tc>
        <w:tc>
          <w:tcPr>
            <w:tcW w:w="1671" w:type="dxa"/>
          </w:tcPr>
          <w:p w14:paraId="55744407" w14:textId="77777777" w:rsidR="00CF1BE3" w:rsidRPr="0029110D" w:rsidRDefault="00CF1BE3" w:rsidP="00511EB4">
            <w:pPr>
              <w:rPr>
                <w:sz w:val="20"/>
                <w:szCs w:val="20"/>
              </w:rPr>
            </w:pPr>
            <w:r w:rsidRPr="0029110D">
              <w:rPr>
                <w:sz w:val="20"/>
                <w:szCs w:val="20"/>
              </w:rPr>
              <w:t>≈8</w:t>
            </w:r>
          </w:p>
        </w:tc>
      </w:tr>
      <w:tr w:rsidR="00CF1BE3" w:rsidRPr="0029110D" w14:paraId="0E47F60C" w14:textId="77777777" w:rsidTr="00AB1FF1">
        <w:tc>
          <w:tcPr>
            <w:tcW w:w="1915" w:type="dxa"/>
            <w:vMerge/>
          </w:tcPr>
          <w:p w14:paraId="2E0242A6" w14:textId="77777777" w:rsidR="00CF1BE3" w:rsidRPr="0029110D" w:rsidRDefault="00CF1BE3" w:rsidP="00511EB4">
            <w:pPr>
              <w:rPr>
                <w:sz w:val="20"/>
                <w:szCs w:val="20"/>
              </w:rPr>
            </w:pPr>
          </w:p>
        </w:tc>
        <w:tc>
          <w:tcPr>
            <w:tcW w:w="1914" w:type="dxa"/>
            <w:vMerge/>
          </w:tcPr>
          <w:p w14:paraId="27C3A4B6" w14:textId="77777777" w:rsidR="00CF1BE3" w:rsidRPr="0029110D" w:rsidRDefault="00CF1BE3" w:rsidP="00511EB4">
            <w:pPr>
              <w:rPr>
                <w:sz w:val="20"/>
                <w:szCs w:val="20"/>
              </w:rPr>
            </w:pPr>
          </w:p>
        </w:tc>
        <w:tc>
          <w:tcPr>
            <w:tcW w:w="1914" w:type="dxa"/>
          </w:tcPr>
          <w:p w14:paraId="17929BC2" w14:textId="77777777" w:rsidR="00CF1BE3" w:rsidRPr="0029110D" w:rsidRDefault="00CF1BE3" w:rsidP="00511EB4">
            <w:pPr>
              <w:rPr>
                <w:sz w:val="20"/>
                <w:szCs w:val="20"/>
              </w:rPr>
            </w:pPr>
            <w:r w:rsidRPr="0029110D">
              <w:rPr>
                <w:sz w:val="20"/>
                <w:szCs w:val="20"/>
              </w:rPr>
              <w:t>♀0,15</w:t>
            </w:r>
          </w:p>
        </w:tc>
        <w:tc>
          <w:tcPr>
            <w:tcW w:w="1914" w:type="dxa"/>
          </w:tcPr>
          <w:p w14:paraId="6E6E1972" w14:textId="77777777" w:rsidR="00CF1BE3" w:rsidRPr="0029110D" w:rsidRDefault="00CF1BE3" w:rsidP="00511EB4">
            <w:pPr>
              <w:rPr>
                <w:sz w:val="20"/>
                <w:szCs w:val="20"/>
              </w:rPr>
            </w:pPr>
            <w:r w:rsidRPr="0029110D">
              <w:rPr>
                <w:sz w:val="20"/>
                <w:szCs w:val="20"/>
              </w:rPr>
              <w:t>0,395 мкмоль*ч</w:t>
            </w:r>
          </w:p>
        </w:tc>
        <w:tc>
          <w:tcPr>
            <w:tcW w:w="1671" w:type="dxa"/>
          </w:tcPr>
          <w:p w14:paraId="10D31E8E" w14:textId="77777777" w:rsidR="00CF1BE3" w:rsidRPr="0029110D" w:rsidRDefault="00CF1BE3" w:rsidP="00511EB4">
            <w:pPr>
              <w:rPr>
                <w:sz w:val="20"/>
                <w:szCs w:val="20"/>
              </w:rPr>
            </w:pPr>
            <w:r w:rsidRPr="0029110D">
              <w:rPr>
                <w:sz w:val="20"/>
                <w:szCs w:val="20"/>
              </w:rPr>
              <w:t>≈0,3</w:t>
            </w:r>
          </w:p>
        </w:tc>
      </w:tr>
      <w:tr w:rsidR="00CF1BE3" w:rsidRPr="0029110D" w14:paraId="3549E827" w14:textId="77777777" w:rsidTr="00AB1FF1">
        <w:tc>
          <w:tcPr>
            <w:tcW w:w="1915" w:type="dxa"/>
            <w:vMerge/>
          </w:tcPr>
          <w:p w14:paraId="79B6D045" w14:textId="77777777" w:rsidR="00CF1BE3" w:rsidRPr="0029110D" w:rsidRDefault="00CF1BE3" w:rsidP="00511EB4">
            <w:pPr>
              <w:rPr>
                <w:sz w:val="20"/>
                <w:szCs w:val="20"/>
              </w:rPr>
            </w:pPr>
          </w:p>
        </w:tc>
        <w:tc>
          <w:tcPr>
            <w:tcW w:w="1914" w:type="dxa"/>
            <w:vMerge/>
          </w:tcPr>
          <w:p w14:paraId="7560E3D2" w14:textId="77777777" w:rsidR="00CF1BE3" w:rsidRPr="0029110D" w:rsidRDefault="00CF1BE3" w:rsidP="00511EB4">
            <w:pPr>
              <w:rPr>
                <w:sz w:val="20"/>
                <w:szCs w:val="20"/>
              </w:rPr>
            </w:pPr>
          </w:p>
        </w:tc>
        <w:tc>
          <w:tcPr>
            <w:tcW w:w="1914" w:type="dxa"/>
          </w:tcPr>
          <w:p w14:paraId="2110D9C4" w14:textId="77777777" w:rsidR="00CF1BE3" w:rsidRPr="0029110D" w:rsidRDefault="00CF1BE3" w:rsidP="00511EB4">
            <w:pPr>
              <w:rPr>
                <w:sz w:val="20"/>
                <w:szCs w:val="20"/>
              </w:rPr>
            </w:pPr>
            <w:r w:rsidRPr="0029110D">
              <w:rPr>
                <w:sz w:val="20"/>
                <w:szCs w:val="20"/>
              </w:rPr>
              <w:t>♀0,45</w:t>
            </w:r>
          </w:p>
        </w:tc>
        <w:tc>
          <w:tcPr>
            <w:tcW w:w="1914" w:type="dxa"/>
          </w:tcPr>
          <w:p w14:paraId="1E7EEC07" w14:textId="77777777" w:rsidR="00CF1BE3" w:rsidRPr="0029110D" w:rsidRDefault="00CF1BE3" w:rsidP="00511EB4">
            <w:pPr>
              <w:rPr>
                <w:sz w:val="20"/>
                <w:szCs w:val="20"/>
              </w:rPr>
            </w:pPr>
            <w:r w:rsidRPr="0029110D">
              <w:rPr>
                <w:sz w:val="20"/>
                <w:szCs w:val="20"/>
              </w:rPr>
              <w:t>1,49 мкмоль*ч</w:t>
            </w:r>
          </w:p>
        </w:tc>
        <w:tc>
          <w:tcPr>
            <w:tcW w:w="1671" w:type="dxa"/>
          </w:tcPr>
          <w:p w14:paraId="06318863" w14:textId="77777777" w:rsidR="00CF1BE3" w:rsidRPr="0029110D" w:rsidRDefault="00CF1BE3" w:rsidP="00511EB4">
            <w:pPr>
              <w:rPr>
                <w:sz w:val="20"/>
                <w:szCs w:val="20"/>
              </w:rPr>
            </w:pPr>
            <w:r w:rsidRPr="0029110D">
              <w:rPr>
                <w:sz w:val="20"/>
                <w:szCs w:val="20"/>
              </w:rPr>
              <w:t>≈1</w:t>
            </w:r>
          </w:p>
        </w:tc>
      </w:tr>
      <w:tr w:rsidR="00CF1BE3" w:rsidRPr="0029110D" w14:paraId="552BA954" w14:textId="77777777" w:rsidTr="00AB1FF1">
        <w:tc>
          <w:tcPr>
            <w:tcW w:w="1915" w:type="dxa"/>
            <w:vMerge/>
          </w:tcPr>
          <w:p w14:paraId="6F5BDDC2" w14:textId="77777777" w:rsidR="00CF1BE3" w:rsidRPr="0029110D" w:rsidRDefault="00CF1BE3" w:rsidP="00511EB4">
            <w:pPr>
              <w:rPr>
                <w:sz w:val="20"/>
                <w:szCs w:val="20"/>
              </w:rPr>
            </w:pPr>
          </w:p>
        </w:tc>
        <w:tc>
          <w:tcPr>
            <w:tcW w:w="1914" w:type="dxa"/>
            <w:vMerge/>
          </w:tcPr>
          <w:p w14:paraId="32574128" w14:textId="77777777" w:rsidR="00CF1BE3" w:rsidRPr="0029110D" w:rsidRDefault="00CF1BE3" w:rsidP="00511EB4">
            <w:pPr>
              <w:rPr>
                <w:sz w:val="20"/>
                <w:szCs w:val="20"/>
              </w:rPr>
            </w:pPr>
          </w:p>
        </w:tc>
        <w:tc>
          <w:tcPr>
            <w:tcW w:w="1914" w:type="dxa"/>
          </w:tcPr>
          <w:p w14:paraId="586B61BD" w14:textId="77777777" w:rsidR="00CF1BE3" w:rsidRPr="0029110D" w:rsidRDefault="00CF1BE3" w:rsidP="00511EB4">
            <w:pPr>
              <w:rPr>
                <w:sz w:val="20"/>
                <w:szCs w:val="20"/>
              </w:rPr>
            </w:pPr>
            <w:r w:rsidRPr="0029110D">
              <w:rPr>
                <w:sz w:val="20"/>
                <w:szCs w:val="20"/>
              </w:rPr>
              <w:t>♀3</w:t>
            </w:r>
          </w:p>
        </w:tc>
        <w:tc>
          <w:tcPr>
            <w:tcW w:w="1914" w:type="dxa"/>
          </w:tcPr>
          <w:p w14:paraId="2A917112" w14:textId="77777777" w:rsidR="00CF1BE3" w:rsidRPr="0029110D" w:rsidRDefault="00CF1BE3" w:rsidP="00511EB4">
            <w:pPr>
              <w:rPr>
                <w:sz w:val="20"/>
                <w:szCs w:val="20"/>
              </w:rPr>
            </w:pPr>
            <w:r w:rsidRPr="0029110D">
              <w:rPr>
                <w:sz w:val="20"/>
                <w:szCs w:val="20"/>
              </w:rPr>
              <w:t>12,8 мкмоль*ч</w:t>
            </w:r>
          </w:p>
        </w:tc>
        <w:tc>
          <w:tcPr>
            <w:tcW w:w="1671" w:type="dxa"/>
          </w:tcPr>
          <w:p w14:paraId="28AB781D" w14:textId="77777777" w:rsidR="00CF1BE3" w:rsidRPr="0029110D" w:rsidRDefault="00CF1BE3" w:rsidP="00511EB4">
            <w:pPr>
              <w:rPr>
                <w:sz w:val="20"/>
                <w:szCs w:val="20"/>
              </w:rPr>
            </w:pPr>
            <w:r w:rsidRPr="0029110D">
              <w:rPr>
                <w:sz w:val="20"/>
                <w:szCs w:val="20"/>
              </w:rPr>
              <w:t>≈10</w:t>
            </w:r>
          </w:p>
        </w:tc>
      </w:tr>
      <w:tr w:rsidR="00CF1BE3" w:rsidRPr="0029110D" w14:paraId="1CEF3166" w14:textId="77777777" w:rsidTr="00AB1FF1">
        <w:tc>
          <w:tcPr>
            <w:tcW w:w="1915" w:type="dxa"/>
            <w:vMerge/>
          </w:tcPr>
          <w:p w14:paraId="070BEF95" w14:textId="77777777" w:rsidR="00CF1BE3" w:rsidRPr="0029110D" w:rsidRDefault="00CF1BE3" w:rsidP="00511EB4">
            <w:pPr>
              <w:rPr>
                <w:sz w:val="20"/>
                <w:szCs w:val="20"/>
              </w:rPr>
            </w:pPr>
          </w:p>
        </w:tc>
        <w:tc>
          <w:tcPr>
            <w:tcW w:w="1914" w:type="dxa"/>
            <w:vMerge w:val="restart"/>
            <w:vAlign w:val="center"/>
          </w:tcPr>
          <w:p w14:paraId="6FF2E877" w14:textId="77777777" w:rsidR="00CF1BE3" w:rsidRPr="0029110D" w:rsidRDefault="00CF1BE3" w:rsidP="00511EB4">
            <w:pPr>
              <w:rPr>
                <w:sz w:val="20"/>
                <w:szCs w:val="20"/>
              </w:rPr>
            </w:pPr>
            <w:r w:rsidRPr="0029110D">
              <w:rPr>
                <w:sz w:val="20"/>
                <w:szCs w:val="20"/>
              </w:rPr>
              <w:t>6 месяцев*</w:t>
            </w:r>
          </w:p>
        </w:tc>
        <w:tc>
          <w:tcPr>
            <w:tcW w:w="1914" w:type="dxa"/>
          </w:tcPr>
          <w:p w14:paraId="54CD060E" w14:textId="77777777" w:rsidR="00CF1BE3" w:rsidRPr="0029110D" w:rsidRDefault="00CF1BE3" w:rsidP="00511EB4">
            <w:pPr>
              <w:rPr>
                <w:sz w:val="20"/>
                <w:szCs w:val="20"/>
              </w:rPr>
            </w:pPr>
            <w:r w:rsidRPr="0029110D">
              <w:rPr>
                <w:sz w:val="20"/>
                <w:szCs w:val="20"/>
              </w:rPr>
              <w:t>♂0,25</w:t>
            </w:r>
          </w:p>
        </w:tc>
        <w:tc>
          <w:tcPr>
            <w:tcW w:w="1914" w:type="dxa"/>
          </w:tcPr>
          <w:p w14:paraId="586E256B" w14:textId="77777777" w:rsidR="00CF1BE3" w:rsidRPr="0029110D" w:rsidRDefault="00CF1BE3" w:rsidP="00511EB4">
            <w:pPr>
              <w:rPr>
                <w:sz w:val="20"/>
                <w:szCs w:val="20"/>
              </w:rPr>
            </w:pPr>
            <w:r w:rsidRPr="0029110D">
              <w:rPr>
                <w:sz w:val="20"/>
                <w:szCs w:val="20"/>
              </w:rPr>
              <w:t>363 нг*ч/мл</w:t>
            </w:r>
          </w:p>
        </w:tc>
        <w:tc>
          <w:tcPr>
            <w:tcW w:w="1671" w:type="dxa"/>
          </w:tcPr>
          <w:p w14:paraId="149E6E03" w14:textId="77777777" w:rsidR="00CF1BE3" w:rsidRPr="0029110D" w:rsidRDefault="00CF1BE3" w:rsidP="00511EB4">
            <w:pPr>
              <w:rPr>
                <w:sz w:val="20"/>
                <w:szCs w:val="20"/>
              </w:rPr>
            </w:pPr>
            <w:r w:rsidRPr="0029110D">
              <w:rPr>
                <w:sz w:val="20"/>
                <w:szCs w:val="20"/>
              </w:rPr>
              <w:t>≈0,8</w:t>
            </w:r>
          </w:p>
        </w:tc>
      </w:tr>
      <w:tr w:rsidR="00CF1BE3" w:rsidRPr="0029110D" w14:paraId="2ECD2121" w14:textId="77777777" w:rsidTr="00AB1FF1">
        <w:tc>
          <w:tcPr>
            <w:tcW w:w="1915" w:type="dxa"/>
            <w:vMerge/>
          </w:tcPr>
          <w:p w14:paraId="1F46D466" w14:textId="77777777" w:rsidR="00CF1BE3" w:rsidRPr="0029110D" w:rsidRDefault="00CF1BE3" w:rsidP="00511EB4">
            <w:pPr>
              <w:rPr>
                <w:sz w:val="20"/>
                <w:szCs w:val="20"/>
              </w:rPr>
            </w:pPr>
          </w:p>
        </w:tc>
        <w:tc>
          <w:tcPr>
            <w:tcW w:w="1914" w:type="dxa"/>
            <w:vMerge/>
          </w:tcPr>
          <w:p w14:paraId="7B4F0553" w14:textId="77777777" w:rsidR="00CF1BE3" w:rsidRPr="0029110D" w:rsidRDefault="00CF1BE3" w:rsidP="00511EB4">
            <w:pPr>
              <w:rPr>
                <w:sz w:val="20"/>
                <w:szCs w:val="20"/>
              </w:rPr>
            </w:pPr>
          </w:p>
        </w:tc>
        <w:tc>
          <w:tcPr>
            <w:tcW w:w="1914" w:type="dxa"/>
          </w:tcPr>
          <w:p w14:paraId="218C2ACE" w14:textId="77777777" w:rsidR="00CF1BE3" w:rsidRPr="0029110D" w:rsidRDefault="00CF1BE3" w:rsidP="00511EB4">
            <w:pPr>
              <w:rPr>
                <w:sz w:val="20"/>
                <w:szCs w:val="20"/>
              </w:rPr>
            </w:pPr>
            <w:r w:rsidRPr="0029110D">
              <w:rPr>
                <w:sz w:val="20"/>
                <w:szCs w:val="20"/>
              </w:rPr>
              <w:t>♂1/0,75†</w:t>
            </w:r>
          </w:p>
        </w:tc>
        <w:tc>
          <w:tcPr>
            <w:tcW w:w="1914" w:type="dxa"/>
          </w:tcPr>
          <w:p w14:paraId="1952D8CF" w14:textId="77777777" w:rsidR="00CF1BE3" w:rsidRPr="0029110D" w:rsidRDefault="00CF1BE3" w:rsidP="00511EB4">
            <w:pPr>
              <w:rPr>
                <w:sz w:val="20"/>
                <w:szCs w:val="20"/>
              </w:rPr>
            </w:pPr>
            <w:r w:rsidRPr="0029110D">
              <w:rPr>
                <w:sz w:val="20"/>
                <w:szCs w:val="20"/>
              </w:rPr>
              <w:t>1374 нг*ч/мл</w:t>
            </w:r>
          </w:p>
        </w:tc>
        <w:tc>
          <w:tcPr>
            <w:tcW w:w="1671" w:type="dxa"/>
          </w:tcPr>
          <w:p w14:paraId="1A544AFA" w14:textId="77777777" w:rsidR="00CF1BE3" w:rsidRPr="0029110D" w:rsidRDefault="00CF1BE3" w:rsidP="00511EB4">
            <w:pPr>
              <w:rPr>
                <w:sz w:val="20"/>
                <w:szCs w:val="20"/>
              </w:rPr>
            </w:pPr>
            <w:r w:rsidRPr="0029110D">
              <w:rPr>
                <w:sz w:val="20"/>
                <w:szCs w:val="20"/>
              </w:rPr>
              <w:t>≈3</w:t>
            </w:r>
          </w:p>
        </w:tc>
      </w:tr>
      <w:tr w:rsidR="00CF1BE3" w:rsidRPr="0029110D" w14:paraId="73DBA69B" w14:textId="77777777" w:rsidTr="00AB1FF1">
        <w:tc>
          <w:tcPr>
            <w:tcW w:w="1915" w:type="dxa"/>
            <w:vMerge/>
          </w:tcPr>
          <w:p w14:paraId="0E7CAD55" w14:textId="77777777" w:rsidR="00CF1BE3" w:rsidRPr="0029110D" w:rsidRDefault="00CF1BE3" w:rsidP="00511EB4">
            <w:pPr>
              <w:rPr>
                <w:sz w:val="20"/>
                <w:szCs w:val="20"/>
              </w:rPr>
            </w:pPr>
          </w:p>
        </w:tc>
        <w:tc>
          <w:tcPr>
            <w:tcW w:w="1914" w:type="dxa"/>
            <w:vMerge/>
          </w:tcPr>
          <w:p w14:paraId="60124E26" w14:textId="77777777" w:rsidR="00CF1BE3" w:rsidRPr="0029110D" w:rsidRDefault="00CF1BE3" w:rsidP="00511EB4">
            <w:pPr>
              <w:rPr>
                <w:sz w:val="20"/>
                <w:szCs w:val="20"/>
              </w:rPr>
            </w:pPr>
          </w:p>
        </w:tc>
        <w:tc>
          <w:tcPr>
            <w:tcW w:w="1914" w:type="dxa"/>
          </w:tcPr>
          <w:p w14:paraId="394CF174" w14:textId="77777777" w:rsidR="00CF1BE3" w:rsidRPr="0029110D" w:rsidRDefault="00CF1BE3" w:rsidP="00511EB4">
            <w:pPr>
              <w:rPr>
                <w:sz w:val="20"/>
                <w:szCs w:val="20"/>
              </w:rPr>
            </w:pPr>
            <w:r w:rsidRPr="0029110D">
              <w:rPr>
                <w:sz w:val="20"/>
                <w:szCs w:val="20"/>
              </w:rPr>
              <w:t>♂5/2,5●∆</w:t>
            </w:r>
          </w:p>
        </w:tc>
        <w:tc>
          <w:tcPr>
            <w:tcW w:w="1914" w:type="dxa"/>
          </w:tcPr>
          <w:p w14:paraId="57D7CD53" w14:textId="77777777" w:rsidR="00CF1BE3" w:rsidRPr="0029110D" w:rsidRDefault="00CF1BE3" w:rsidP="00511EB4">
            <w:pPr>
              <w:rPr>
                <w:sz w:val="20"/>
                <w:szCs w:val="20"/>
              </w:rPr>
            </w:pPr>
            <w:r w:rsidRPr="0029110D">
              <w:rPr>
                <w:sz w:val="20"/>
                <w:szCs w:val="20"/>
              </w:rPr>
              <w:t>5608 нг*ч/мл</w:t>
            </w:r>
          </w:p>
        </w:tc>
        <w:tc>
          <w:tcPr>
            <w:tcW w:w="1671" w:type="dxa"/>
          </w:tcPr>
          <w:p w14:paraId="0CECCF5C" w14:textId="77777777" w:rsidR="00CF1BE3" w:rsidRPr="0029110D" w:rsidRDefault="00CF1BE3" w:rsidP="00511EB4">
            <w:pPr>
              <w:rPr>
                <w:sz w:val="20"/>
                <w:szCs w:val="20"/>
              </w:rPr>
            </w:pPr>
            <w:r w:rsidRPr="0029110D">
              <w:rPr>
                <w:sz w:val="20"/>
                <w:szCs w:val="20"/>
              </w:rPr>
              <w:t>≈12</w:t>
            </w:r>
          </w:p>
        </w:tc>
      </w:tr>
      <w:tr w:rsidR="00CF1BE3" w:rsidRPr="0029110D" w14:paraId="14E4B14B" w14:textId="77777777" w:rsidTr="00AB1FF1">
        <w:tc>
          <w:tcPr>
            <w:tcW w:w="1915" w:type="dxa"/>
            <w:vMerge/>
          </w:tcPr>
          <w:p w14:paraId="4C936C43" w14:textId="77777777" w:rsidR="00CF1BE3" w:rsidRPr="0029110D" w:rsidRDefault="00CF1BE3" w:rsidP="00511EB4">
            <w:pPr>
              <w:rPr>
                <w:sz w:val="20"/>
                <w:szCs w:val="20"/>
              </w:rPr>
            </w:pPr>
          </w:p>
        </w:tc>
        <w:tc>
          <w:tcPr>
            <w:tcW w:w="1914" w:type="dxa"/>
            <w:vMerge/>
          </w:tcPr>
          <w:p w14:paraId="4EAD2C2B" w14:textId="77777777" w:rsidR="00CF1BE3" w:rsidRPr="0029110D" w:rsidRDefault="00CF1BE3" w:rsidP="00511EB4">
            <w:pPr>
              <w:rPr>
                <w:sz w:val="20"/>
                <w:szCs w:val="20"/>
              </w:rPr>
            </w:pPr>
          </w:p>
        </w:tc>
        <w:tc>
          <w:tcPr>
            <w:tcW w:w="1914" w:type="dxa"/>
          </w:tcPr>
          <w:p w14:paraId="648441B0" w14:textId="77777777" w:rsidR="00CF1BE3" w:rsidRPr="0029110D" w:rsidRDefault="00CF1BE3" w:rsidP="00511EB4">
            <w:pPr>
              <w:rPr>
                <w:sz w:val="20"/>
                <w:szCs w:val="20"/>
              </w:rPr>
            </w:pPr>
            <w:r w:rsidRPr="0029110D">
              <w:rPr>
                <w:sz w:val="20"/>
                <w:szCs w:val="20"/>
              </w:rPr>
              <w:t>♂20/15/5∆</w:t>
            </w:r>
          </w:p>
        </w:tc>
        <w:tc>
          <w:tcPr>
            <w:tcW w:w="1914" w:type="dxa"/>
          </w:tcPr>
          <w:p w14:paraId="40D8F57F" w14:textId="77777777" w:rsidR="00CF1BE3" w:rsidRPr="0029110D" w:rsidRDefault="00CF1BE3" w:rsidP="00511EB4">
            <w:pPr>
              <w:rPr>
                <w:sz w:val="20"/>
                <w:szCs w:val="20"/>
              </w:rPr>
            </w:pPr>
            <w:r w:rsidRPr="0029110D">
              <w:rPr>
                <w:sz w:val="20"/>
                <w:szCs w:val="20"/>
              </w:rPr>
              <w:t>12851 нг*ч/мл</w:t>
            </w:r>
          </w:p>
        </w:tc>
        <w:tc>
          <w:tcPr>
            <w:tcW w:w="1671" w:type="dxa"/>
          </w:tcPr>
          <w:p w14:paraId="5E4EECF1" w14:textId="77777777" w:rsidR="00CF1BE3" w:rsidRPr="0029110D" w:rsidRDefault="00CF1BE3" w:rsidP="00511EB4">
            <w:pPr>
              <w:rPr>
                <w:sz w:val="20"/>
                <w:szCs w:val="20"/>
              </w:rPr>
            </w:pPr>
            <w:r w:rsidRPr="0029110D">
              <w:rPr>
                <w:sz w:val="20"/>
                <w:szCs w:val="20"/>
              </w:rPr>
              <w:t>≈27</w:t>
            </w:r>
          </w:p>
        </w:tc>
      </w:tr>
      <w:tr w:rsidR="00CF1BE3" w:rsidRPr="0029110D" w14:paraId="7498C8D5" w14:textId="77777777" w:rsidTr="00AB1FF1">
        <w:tc>
          <w:tcPr>
            <w:tcW w:w="1915" w:type="dxa"/>
            <w:vMerge/>
          </w:tcPr>
          <w:p w14:paraId="247258A0" w14:textId="77777777" w:rsidR="00CF1BE3" w:rsidRPr="0029110D" w:rsidRDefault="00CF1BE3" w:rsidP="00511EB4">
            <w:pPr>
              <w:rPr>
                <w:sz w:val="20"/>
                <w:szCs w:val="20"/>
              </w:rPr>
            </w:pPr>
          </w:p>
        </w:tc>
        <w:tc>
          <w:tcPr>
            <w:tcW w:w="1914" w:type="dxa"/>
            <w:vMerge/>
          </w:tcPr>
          <w:p w14:paraId="51BEA573" w14:textId="77777777" w:rsidR="00CF1BE3" w:rsidRPr="0029110D" w:rsidRDefault="00CF1BE3" w:rsidP="00511EB4">
            <w:pPr>
              <w:rPr>
                <w:sz w:val="20"/>
                <w:szCs w:val="20"/>
              </w:rPr>
            </w:pPr>
          </w:p>
        </w:tc>
        <w:tc>
          <w:tcPr>
            <w:tcW w:w="1914" w:type="dxa"/>
          </w:tcPr>
          <w:p w14:paraId="19DE16E1" w14:textId="77777777" w:rsidR="00CF1BE3" w:rsidRPr="0029110D" w:rsidRDefault="00CF1BE3" w:rsidP="00511EB4">
            <w:pPr>
              <w:rPr>
                <w:sz w:val="20"/>
                <w:szCs w:val="20"/>
              </w:rPr>
            </w:pPr>
            <w:r w:rsidRPr="0029110D">
              <w:rPr>
                <w:sz w:val="20"/>
                <w:szCs w:val="20"/>
              </w:rPr>
              <w:t>♀0,25</w:t>
            </w:r>
          </w:p>
        </w:tc>
        <w:tc>
          <w:tcPr>
            <w:tcW w:w="1914" w:type="dxa"/>
          </w:tcPr>
          <w:p w14:paraId="78207101" w14:textId="77777777" w:rsidR="00CF1BE3" w:rsidRPr="0029110D" w:rsidRDefault="00CF1BE3" w:rsidP="00511EB4">
            <w:pPr>
              <w:rPr>
                <w:sz w:val="20"/>
                <w:szCs w:val="20"/>
              </w:rPr>
            </w:pPr>
            <w:r w:rsidRPr="0029110D">
              <w:rPr>
                <w:sz w:val="20"/>
                <w:szCs w:val="20"/>
              </w:rPr>
              <w:t>401 нг*ч/мл</w:t>
            </w:r>
          </w:p>
        </w:tc>
        <w:tc>
          <w:tcPr>
            <w:tcW w:w="1671" w:type="dxa"/>
          </w:tcPr>
          <w:p w14:paraId="0F9C2735" w14:textId="77777777" w:rsidR="00CF1BE3" w:rsidRPr="0029110D" w:rsidRDefault="00CF1BE3" w:rsidP="00511EB4">
            <w:pPr>
              <w:rPr>
                <w:sz w:val="20"/>
                <w:szCs w:val="20"/>
              </w:rPr>
            </w:pPr>
            <w:r w:rsidRPr="0029110D">
              <w:rPr>
                <w:sz w:val="20"/>
                <w:szCs w:val="20"/>
              </w:rPr>
              <w:t>≈0,8</w:t>
            </w:r>
          </w:p>
        </w:tc>
      </w:tr>
      <w:tr w:rsidR="00CF1BE3" w:rsidRPr="0029110D" w14:paraId="797AE208" w14:textId="77777777" w:rsidTr="00AB1FF1">
        <w:tc>
          <w:tcPr>
            <w:tcW w:w="1915" w:type="dxa"/>
            <w:vMerge/>
          </w:tcPr>
          <w:p w14:paraId="245D9681" w14:textId="77777777" w:rsidR="00CF1BE3" w:rsidRPr="0029110D" w:rsidRDefault="00CF1BE3" w:rsidP="00511EB4">
            <w:pPr>
              <w:rPr>
                <w:sz w:val="20"/>
                <w:szCs w:val="20"/>
              </w:rPr>
            </w:pPr>
          </w:p>
        </w:tc>
        <w:tc>
          <w:tcPr>
            <w:tcW w:w="1914" w:type="dxa"/>
            <w:vMerge/>
          </w:tcPr>
          <w:p w14:paraId="3563A7E8" w14:textId="77777777" w:rsidR="00CF1BE3" w:rsidRPr="0029110D" w:rsidRDefault="00CF1BE3" w:rsidP="00511EB4">
            <w:pPr>
              <w:rPr>
                <w:sz w:val="20"/>
                <w:szCs w:val="20"/>
              </w:rPr>
            </w:pPr>
          </w:p>
        </w:tc>
        <w:tc>
          <w:tcPr>
            <w:tcW w:w="1914" w:type="dxa"/>
          </w:tcPr>
          <w:p w14:paraId="4B2D4F57" w14:textId="77777777" w:rsidR="00CF1BE3" w:rsidRPr="0029110D" w:rsidRDefault="00CF1BE3" w:rsidP="00511EB4">
            <w:pPr>
              <w:rPr>
                <w:sz w:val="20"/>
                <w:szCs w:val="20"/>
              </w:rPr>
            </w:pPr>
            <w:r w:rsidRPr="0029110D">
              <w:rPr>
                <w:sz w:val="20"/>
                <w:szCs w:val="20"/>
              </w:rPr>
              <w:t>♀1/0,75†</w:t>
            </w:r>
          </w:p>
        </w:tc>
        <w:tc>
          <w:tcPr>
            <w:tcW w:w="1914" w:type="dxa"/>
          </w:tcPr>
          <w:p w14:paraId="24499134" w14:textId="77777777" w:rsidR="00CF1BE3" w:rsidRPr="0029110D" w:rsidRDefault="00CF1BE3" w:rsidP="00511EB4">
            <w:pPr>
              <w:rPr>
                <w:sz w:val="20"/>
                <w:szCs w:val="20"/>
              </w:rPr>
            </w:pPr>
            <w:r w:rsidRPr="0029110D">
              <w:rPr>
                <w:sz w:val="20"/>
                <w:szCs w:val="20"/>
              </w:rPr>
              <w:t>1259 нг*ч/мл</w:t>
            </w:r>
          </w:p>
        </w:tc>
        <w:tc>
          <w:tcPr>
            <w:tcW w:w="1671" w:type="dxa"/>
          </w:tcPr>
          <w:p w14:paraId="35542E24" w14:textId="77777777" w:rsidR="00CF1BE3" w:rsidRPr="0029110D" w:rsidRDefault="00CF1BE3" w:rsidP="00511EB4">
            <w:pPr>
              <w:rPr>
                <w:sz w:val="20"/>
                <w:szCs w:val="20"/>
              </w:rPr>
            </w:pPr>
            <w:r w:rsidRPr="0029110D">
              <w:rPr>
                <w:sz w:val="20"/>
                <w:szCs w:val="20"/>
              </w:rPr>
              <w:t>≈3</w:t>
            </w:r>
          </w:p>
        </w:tc>
      </w:tr>
      <w:tr w:rsidR="00CF1BE3" w:rsidRPr="0029110D" w14:paraId="5A0BBB36" w14:textId="77777777" w:rsidTr="00AB1FF1">
        <w:tc>
          <w:tcPr>
            <w:tcW w:w="1915" w:type="dxa"/>
            <w:vMerge/>
          </w:tcPr>
          <w:p w14:paraId="7A3E4DA1" w14:textId="77777777" w:rsidR="00CF1BE3" w:rsidRPr="0029110D" w:rsidRDefault="00CF1BE3" w:rsidP="00511EB4">
            <w:pPr>
              <w:rPr>
                <w:sz w:val="20"/>
                <w:szCs w:val="20"/>
              </w:rPr>
            </w:pPr>
          </w:p>
        </w:tc>
        <w:tc>
          <w:tcPr>
            <w:tcW w:w="1914" w:type="dxa"/>
            <w:vMerge/>
          </w:tcPr>
          <w:p w14:paraId="43351C17" w14:textId="77777777" w:rsidR="00CF1BE3" w:rsidRPr="0029110D" w:rsidRDefault="00CF1BE3" w:rsidP="00511EB4">
            <w:pPr>
              <w:rPr>
                <w:sz w:val="20"/>
                <w:szCs w:val="20"/>
              </w:rPr>
            </w:pPr>
          </w:p>
        </w:tc>
        <w:tc>
          <w:tcPr>
            <w:tcW w:w="1914" w:type="dxa"/>
          </w:tcPr>
          <w:p w14:paraId="678368E8" w14:textId="77777777" w:rsidR="00CF1BE3" w:rsidRPr="0029110D" w:rsidRDefault="00CF1BE3" w:rsidP="00511EB4">
            <w:pPr>
              <w:rPr>
                <w:sz w:val="20"/>
                <w:szCs w:val="20"/>
              </w:rPr>
            </w:pPr>
            <w:r w:rsidRPr="0029110D">
              <w:rPr>
                <w:sz w:val="20"/>
                <w:szCs w:val="20"/>
              </w:rPr>
              <w:t>♀5/2,5●∆</w:t>
            </w:r>
          </w:p>
        </w:tc>
        <w:tc>
          <w:tcPr>
            <w:tcW w:w="1914" w:type="dxa"/>
          </w:tcPr>
          <w:p w14:paraId="375C8238" w14:textId="77777777" w:rsidR="00CF1BE3" w:rsidRPr="0029110D" w:rsidRDefault="00CF1BE3" w:rsidP="00511EB4">
            <w:pPr>
              <w:rPr>
                <w:sz w:val="20"/>
                <w:szCs w:val="20"/>
              </w:rPr>
            </w:pPr>
            <w:r w:rsidRPr="0029110D">
              <w:rPr>
                <w:sz w:val="20"/>
                <w:szCs w:val="20"/>
              </w:rPr>
              <w:t>7168 нг*ч/мл</w:t>
            </w:r>
          </w:p>
        </w:tc>
        <w:tc>
          <w:tcPr>
            <w:tcW w:w="1671" w:type="dxa"/>
          </w:tcPr>
          <w:p w14:paraId="72FC746F" w14:textId="77777777" w:rsidR="00CF1BE3" w:rsidRPr="0029110D" w:rsidRDefault="00CF1BE3" w:rsidP="00511EB4">
            <w:pPr>
              <w:rPr>
                <w:sz w:val="20"/>
                <w:szCs w:val="20"/>
              </w:rPr>
            </w:pPr>
            <w:r w:rsidRPr="0029110D">
              <w:rPr>
                <w:sz w:val="20"/>
                <w:szCs w:val="20"/>
              </w:rPr>
              <w:t>≈15</w:t>
            </w:r>
          </w:p>
        </w:tc>
      </w:tr>
      <w:tr w:rsidR="00CF1BE3" w:rsidRPr="0029110D" w14:paraId="15732E00" w14:textId="77777777" w:rsidTr="00AB1FF1">
        <w:tc>
          <w:tcPr>
            <w:tcW w:w="1915" w:type="dxa"/>
            <w:vMerge/>
          </w:tcPr>
          <w:p w14:paraId="0F19EE3F" w14:textId="77777777" w:rsidR="00CF1BE3" w:rsidRPr="0029110D" w:rsidRDefault="00CF1BE3" w:rsidP="00511EB4">
            <w:pPr>
              <w:rPr>
                <w:sz w:val="20"/>
                <w:szCs w:val="20"/>
              </w:rPr>
            </w:pPr>
          </w:p>
        </w:tc>
        <w:tc>
          <w:tcPr>
            <w:tcW w:w="1914" w:type="dxa"/>
            <w:vMerge/>
          </w:tcPr>
          <w:p w14:paraId="70D5A261" w14:textId="77777777" w:rsidR="00CF1BE3" w:rsidRPr="0029110D" w:rsidRDefault="00CF1BE3" w:rsidP="00511EB4">
            <w:pPr>
              <w:rPr>
                <w:sz w:val="20"/>
                <w:szCs w:val="20"/>
              </w:rPr>
            </w:pPr>
          </w:p>
        </w:tc>
        <w:tc>
          <w:tcPr>
            <w:tcW w:w="1914" w:type="dxa"/>
          </w:tcPr>
          <w:p w14:paraId="4EC3459E" w14:textId="77777777" w:rsidR="00CF1BE3" w:rsidRPr="0029110D" w:rsidRDefault="00CF1BE3" w:rsidP="00511EB4">
            <w:pPr>
              <w:rPr>
                <w:sz w:val="20"/>
                <w:szCs w:val="20"/>
              </w:rPr>
            </w:pPr>
            <w:r w:rsidRPr="0029110D">
              <w:rPr>
                <w:sz w:val="20"/>
                <w:szCs w:val="20"/>
              </w:rPr>
              <w:t>♀20/15/5∆</w:t>
            </w:r>
          </w:p>
        </w:tc>
        <w:tc>
          <w:tcPr>
            <w:tcW w:w="1914" w:type="dxa"/>
          </w:tcPr>
          <w:p w14:paraId="3452AB45" w14:textId="77777777" w:rsidR="00CF1BE3" w:rsidRPr="0029110D" w:rsidRDefault="00CF1BE3" w:rsidP="00511EB4">
            <w:pPr>
              <w:rPr>
                <w:sz w:val="20"/>
                <w:szCs w:val="20"/>
              </w:rPr>
            </w:pPr>
            <w:r w:rsidRPr="0029110D">
              <w:rPr>
                <w:sz w:val="20"/>
                <w:szCs w:val="20"/>
              </w:rPr>
              <w:t>11477 нг*ч/мл</w:t>
            </w:r>
          </w:p>
        </w:tc>
        <w:tc>
          <w:tcPr>
            <w:tcW w:w="1671" w:type="dxa"/>
          </w:tcPr>
          <w:p w14:paraId="62814CFB" w14:textId="77777777" w:rsidR="00CF1BE3" w:rsidRPr="0029110D" w:rsidRDefault="00CF1BE3" w:rsidP="00511EB4">
            <w:pPr>
              <w:rPr>
                <w:sz w:val="20"/>
                <w:szCs w:val="20"/>
              </w:rPr>
            </w:pPr>
            <w:r w:rsidRPr="0029110D">
              <w:rPr>
                <w:sz w:val="20"/>
                <w:szCs w:val="20"/>
              </w:rPr>
              <w:t>≈24</w:t>
            </w:r>
          </w:p>
        </w:tc>
      </w:tr>
      <w:tr w:rsidR="00CF1BE3" w:rsidRPr="0029110D" w14:paraId="061D4BA5" w14:textId="77777777" w:rsidTr="00AB1FF1">
        <w:tc>
          <w:tcPr>
            <w:tcW w:w="1915" w:type="dxa"/>
            <w:vMerge/>
          </w:tcPr>
          <w:p w14:paraId="7EB8704A" w14:textId="77777777" w:rsidR="00CF1BE3" w:rsidRPr="0029110D" w:rsidRDefault="00CF1BE3" w:rsidP="00511EB4">
            <w:pPr>
              <w:rPr>
                <w:sz w:val="20"/>
                <w:szCs w:val="20"/>
              </w:rPr>
            </w:pPr>
          </w:p>
        </w:tc>
        <w:tc>
          <w:tcPr>
            <w:tcW w:w="1914" w:type="dxa"/>
            <w:vMerge w:val="restart"/>
            <w:vAlign w:val="center"/>
          </w:tcPr>
          <w:p w14:paraId="04B8D33A" w14:textId="77777777" w:rsidR="00CF1BE3" w:rsidRPr="0029110D" w:rsidRDefault="00CF1BE3" w:rsidP="00511EB4">
            <w:pPr>
              <w:rPr>
                <w:sz w:val="20"/>
                <w:szCs w:val="20"/>
              </w:rPr>
            </w:pPr>
            <w:r w:rsidRPr="0029110D">
              <w:rPr>
                <w:sz w:val="20"/>
                <w:szCs w:val="20"/>
              </w:rPr>
              <w:t>39 недель</w:t>
            </w:r>
          </w:p>
        </w:tc>
        <w:tc>
          <w:tcPr>
            <w:tcW w:w="1914" w:type="dxa"/>
          </w:tcPr>
          <w:p w14:paraId="418C13CA" w14:textId="77777777" w:rsidR="00CF1BE3" w:rsidRPr="0029110D" w:rsidRDefault="00CF1BE3" w:rsidP="00511EB4">
            <w:pPr>
              <w:rPr>
                <w:sz w:val="20"/>
                <w:szCs w:val="20"/>
              </w:rPr>
            </w:pPr>
            <w:r w:rsidRPr="0029110D">
              <w:rPr>
                <w:sz w:val="20"/>
                <w:szCs w:val="20"/>
              </w:rPr>
              <w:t>♂0,25</w:t>
            </w:r>
          </w:p>
        </w:tc>
        <w:tc>
          <w:tcPr>
            <w:tcW w:w="1914" w:type="dxa"/>
          </w:tcPr>
          <w:p w14:paraId="35DFFD4E" w14:textId="77777777" w:rsidR="00CF1BE3" w:rsidRPr="0029110D" w:rsidRDefault="00CF1BE3" w:rsidP="00511EB4">
            <w:pPr>
              <w:rPr>
                <w:sz w:val="20"/>
                <w:szCs w:val="20"/>
              </w:rPr>
            </w:pPr>
            <w:r w:rsidRPr="0029110D">
              <w:rPr>
                <w:sz w:val="20"/>
                <w:szCs w:val="20"/>
              </w:rPr>
              <w:t>285,3 нг*ч/мл</w:t>
            </w:r>
          </w:p>
        </w:tc>
        <w:tc>
          <w:tcPr>
            <w:tcW w:w="1671" w:type="dxa"/>
          </w:tcPr>
          <w:p w14:paraId="6D0579C4" w14:textId="77777777" w:rsidR="00CF1BE3" w:rsidRPr="0029110D" w:rsidRDefault="00CF1BE3" w:rsidP="00511EB4">
            <w:pPr>
              <w:rPr>
                <w:sz w:val="20"/>
                <w:szCs w:val="20"/>
              </w:rPr>
            </w:pPr>
            <w:r w:rsidRPr="0029110D">
              <w:rPr>
                <w:sz w:val="20"/>
                <w:szCs w:val="20"/>
              </w:rPr>
              <w:t>≈0,6</w:t>
            </w:r>
          </w:p>
        </w:tc>
      </w:tr>
      <w:tr w:rsidR="00CF1BE3" w:rsidRPr="0029110D" w14:paraId="239D7A38" w14:textId="77777777" w:rsidTr="00AB1FF1">
        <w:tc>
          <w:tcPr>
            <w:tcW w:w="1915" w:type="dxa"/>
            <w:vMerge/>
          </w:tcPr>
          <w:p w14:paraId="2CEB9ABC" w14:textId="77777777" w:rsidR="00CF1BE3" w:rsidRPr="0029110D" w:rsidRDefault="00CF1BE3" w:rsidP="00511EB4">
            <w:pPr>
              <w:rPr>
                <w:sz w:val="20"/>
                <w:szCs w:val="20"/>
              </w:rPr>
            </w:pPr>
          </w:p>
        </w:tc>
        <w:tc>
          <w:tcPr>
            <w:tcW w:w="1914" w:type="dxa"/>
            <w:vMerge/>
          </w:tcPr>
          <w:p w14:paraId="659BF510" w14:textId="77777777" w:rsidR="00CF1BE3" w:rsidRPr="0029110D" w:rsidRDefault="00CF1BE3" w:rsidP="00511EB4">
            <w:pPr>
              <w:rPr>
                <w:sz w:val="20"/>
                <w:szCs w:val="20"/>
              </w:rPr>
            </w:pPr>
          </w:p>
        </w:tc>
        <w:tc>
          <w:tcPr>
            <w:tcW w:w="1914" w:type="dxa"/>
          </w:tcPr>
          <w:p w14:paraId="2B154DB1" w14:textId="77777777" w:rsidR="00CF1BE3" w:rsidRPr="0029110D" w:rsidRDefault="00CF1BE3" w:rsidP="00511EB4">
            <w:pPr>
              <w:rPr>
                <w:sz w:val="20"/>
                <w:szCs w:val="20"/>
              </w:rPr>
            </w:pPr>
            <w:r w:rsidRPr="0029110D">
              <w:rPr>
                <w:sz w:val="20"/>
                <w:szCs w:val="20"/>
              </w:rPr>
              <w:t>♂0,5</w:t>
            </w:r>
          </w:p>
        </w:tc>
        <w:tc>
          <w:tcPr>
            <w:tcW w:w="1914" w:type="dxa"/>
          </w:tcPr>
          <w:p w14:paraId="6B5241D6" w14:textId="77777777" w:rsidR="00CF1BE3" w:rsidRPr="0029110D" w:rsidRDefault="00CF1BE3" w:rsidP="00511EB4">
            <w:pPr>
              <w:rPr>
                <w:sz w:val="20"/>
                <w:szCs w:val="20"/>
              </w:rPr>
            </w:pPr>
            <w:r w:rsidRPr="0029110D">
              <w:rPr>
                <w:sz w:val="20"/>
                <w:szCs w:val="20"/>
              </w:rPr>
              <w:t>446 нг*ч/мл</w:t>
            </w:r>
          </w:p>
        </w:tc>
        <w:tc>
          <w:tcPr>
            <w:tcW w:w="1671" w:type="dxa"/>
          </w:tcPr>
          <w:p w14:paraId="4DB493F8" w14:textId="77777777" w:rsidR="00CF1BE3" w:rsidRPr="0029110D" w:rsidRDefault="00CF1BE3" w:rsidP="00511EB4">
            <w:pPr>
              <w:rPr>
                <w:sz w:val="20"/>
                <w:szCs w:val="20"/>
              </w:rPr>
            </w:pPr>
            <w:r w:rsidRPr="0029110D">
              <w:rPr>
                <w:sz w:val="20"/>
                <w:szCs w:val="20"/>
              </w:rPr>
              <w:t>≈1</w:t>
            </w:r>
          </w:p>
        </w:tc>
      </w:tr>
      <w:tr w:rsidR="00CF1BE3" w:rsidRPr="0029110D" w14:paraId="2715194D" w14:textId="77777777" w:rsidTr="00AB1FF1">
        <w:tc>
          <w:tcPr>
            <w:tcW w:w="1915" w:type="dxa"/>
            <w:vMerge/>
          </w:tcPr>
          <w:p w14:paraId="6B668A1C" w14:textId="77777777" w:rsidR="00CF1BE3" w:rsidRPr="0029110D" w:rsidRDefault="00CF1BE3" w:rsidP="00511EB4">
            <w:pPr>
              <w:rPr>
                <w:sz w:val="20"/>
                <w:szCs w:val="20"/>
              </w:rPr>
            </w:pPr>
          </w:p>
        </w:tc>
        <w:tc>
          <w:tcPr>
            <w:tcW w:w="1914" w:type="dxa"/>
            <w:vMerge/>
          </w:tcPr>
          <w:p w14:paraId="57CD5738" w14:textId="77777777" w:rsidR="00CF1BE3" w:rsidRPr="0029110D" w:rsidRDefault="00CF1BE3" w:rsidP="00511EB4">
            <w:pPr>
              <w:rPr>
                <w:sz w:val="20"/>
                <w:szCs w:val="20"/>
              </w:rPr>
            </w:pPr>
          </w:p>
        </w:tc>
        <w:tc>
          <w:tcPr>
            <w:tcW w:w="1914" w:type="dxa"/>
          </w:tcPr>
          <w:p w14:paraId="7B97F3B4" w14:textId="77777777" w:rsidR="00CF1BE3" w:rsidRPr="0029110D" w:rsidRDefault="00CF1BE3" w:rsidP="00511EB4">
            <w:pPr>
              <w:rPr>
                <w:sz w:val="20"/>
                <w:szCs w:val="20"/>
              </w:rPr>
            </w:pPr>
            <w:r w:rsidRPr="0029110D">
              <w:rPr>
                <w:sz w:val="20"/>
                <w:szCs w:val="20"/>
              </w:rPr>
              <w:t>♂3</w:t>
            </w:r>
          </w:p>
        </w:tc>
        <w:tc>
          <w:tcPr>
            <w:tcW w:w="1914" w:type="dxa"/>
          </w:tcPr>
          <w:p w14:paraId="0F6D43F8" w14:textId="77777777" w:rsidR="00CF1BE3" w:rsidRPr="0029110D" w:rsidRDefault="00CF1BE3" w:rsidP="00511EB4">
            <w:pPr>
              <w:rPr>
                <w:sz w:val="20"/>
                <w:szCs w:val="20"/>
              </w:rPr>
            </w:pPr>
            <w:r w:rsidRPr="0029110D">
              <w:rPr>
                <w:sz w:val="20"/>
                <w:szCs w:val="20"/>
              </w:rPr>
              <w:t>3246 нг*ч/мл</w:t>
            </w:r>
          </w:p>
        </w:tc>
        <w:tc>
          <w:tcPr>
            <w:tcW w:w="1671" w:type="dxa"/>
          </w:tcPr>
          <w:p w14:paraId="6DD53312" w14:textId="77777777" w:rsidR="00CF1BE3" w:rsidRPr="0029110D" w:rsidRDefault="00CF1BE3" w:rsidP="00511EB4">
            <w:pPr>
              <w:rPr>
                <w:sz w:val="20"/>
                <w:szCs w:val="20"/>
              </w:rPr>
            </w:pPr>
            <w:r w:rsidRPr="0029110D">
              <w:rPr>
                <w:sz w:val="20"/>
                <w:szCs w:val="20"/>
              </w:rPr>
              <w:t>≈7</w:t>
            </w:r>
          </w:p>
        </w:tc>
      </w:tr>
      <w:tr w:rsidR="00CF1BE3" w:rsidRPr="0029110D" w14:paraId="7B1B78E6" w14:textId="77777777" w:rsidTr="00AB1FF1">
        <w:tc>
          <w:tcPr>
            <w:tcW w:w="1915" w:type="dxa"/>
            <w:vMerge/>
          </w:tcPr>
          <w:p w14:paraId="6F7857D7" w14:textId="77777777" w:rsidR="00CF1BE3" w:rsidRPr="0029110D" w:rsidRDefault="00CF1BE3" w:rsidP="00511EB4">
            <w:pPr>
              <w:rPr>
                <w:sz w:val="20"/>
                <w:szCs w:val="20"/>
              </w:rPr>
            </w:pPr>
          </w:p>
        </w:tc>
        <w:tc>
          <w:tcPr>
            <w:tcW w:w="1914" w:type="dxa"/>
            <w:vMerge/>
          </w:tcPr>
          <w:p w14:paraId="76CECE22" w14:textId="77777777" w:rsidR="00CF1BE3" w:rsidRPr="0029110D" w:rsidRDefault="00CF1BE3" w:rsidP="00511EB4">
            <w:pPr>
              <w:rPr>
                <w:sz w:val="20"/>
                <w:szCs w:val="20"/>
              </w:rPr>
            </w:pPr>
          </w:p>
        </w:tc>
        <w:tc>
          <w:tcPr>
            <w:tcW w:w="1914" w:type="dxa"/>
          </w:tcPr>
          <w:p w14:paraId="76C6F871" w14:textId="77777777" w:rsidR="00CF1BE3" w:rsidRPr="0029110D" w:rsidRDefault="00CF1BE3" w:rsidP="00511EB4">
            <w:pPr>
              <w:rPr>
                <w:sz w:val="20"/>
                <w:szCs w:val="20"/>
              </w:rPr>
            </w:pPr>
            <w:r w:rsidRPr="0029110D">
              <w:rPr>
                <w:sz w:val="20"/>
                <w:szCs w:val="20"/>
              </w:rPr>
              <w:t>♂9/6</w:t>
            </w:r>
          </w:p>
        </w:tc>
        <w:tc>
          <w:tcPr>
            <w:tcW w:w="1914" w:type="dxa"/>
          </w:tcPr>
          <w:p w14:paraId="4A35FE43" w14:textId="77777777" w:rsidR="00CF1BE3" w:rsidRPr="0029110D" w:rsidRDefault="00CF1BE3" w:rsidP="00511EB4">
            <w:pPr>
              <w:rPr>
                <w:sz w:val="20"/>
                <w:szCs w:val="20"/>
              </w:rPr>
            </w:pPr>
            <w:r w:rsidRPr="0029110D">
              <w:rPr>
                <w:sz w:val="20"/>
                <w:szCs w:val="20"/>
              </w:rPr>
              <w:t>9211 нг*ч/мл</w:t>
            </w:r>
          </w:p>
        </w:tc>
        <w:tc>
          <w:tcPr>
            <w:tcW w:w="1671" w:type="dxa"/>
          </w:tcPr>
          <w:p w14:paraId="146829E2" w14:textId="77777777" w:rsidR="00CF1BE3" w:rsidRPr="0029110D" w:rsidRDefault="00CF1BE3" w:rsidP="00511EB4">
            <w:pPr>
              <w:rPr>
                <w:sz w:val="20"/>
                <w:szCs w:val="20"/>
              </w:rPr>
            </w:pPr>
            <w:r w:rsidRPr="0029110D">
              <w:rPr>
                <w:sz w:val="20"/>
                <w:szCs w:val="20"/>
              </w:rPr>
              <w:t>≈19</w:t>
            </w:r>
          </w:p>
        </w:tc>
      </w:tr>
      <w:tr w:rsidR="00CF1BE3" w:rsidRPr="0029110D" w14:paraId="7AE1F8DA" w14:textId="77777777" w:rsidTr="00AB1FF1">
        <w:tc>
          <w:tcPr>
            <w:tcW w:w="1915" w:type="dxa"/>
            <w:vMerge/>
          </w:tcPr>
          <w:p w14:paraId="67F9F96D" w14:textId="77777777" w:rsidR="00CF1BE3" w:rsidRPr="0029110D" w:rsidRDefault="00CF1BE3" w:rsidP="00511EB4">
            <w:pPr>
              <w:rPr>
                <w:sz w:val="20"/>
                <w:szCs w:val="20"/>
              </w:rPr>
            </w:pPr>
          </w:p>
        </w:tc>
        <w:tc>
          <w:tcPr>
            <w:tcW w:w="1914" w:type="dxa"/>
            <w:vMerge/>
          </w:tcPr>
          <w:p w14:paraId="7BE2BDC2" w14:textId="77777777" w:rsidR="00CF1BE3" w:rsidRPr="0029110D" w:rsidRDefault="00CF1BE3" w:rsidP="00511EB4">
            <w:pPr>
              <w:rPr>
                <w:sz w:val="20"/>
                <w:szCs w:val="20"/>
              </w:rPr>
            </w:pPr>
          </w:p>
        </w:tc>
        <w:tc>
          <w:tcPr>
            <w:tcW w:w="1914" w:type="dxa"/>
          </w:tcPr>
          <w:p w14:paraId="4496C2A6" w14:textId="77777777" w:rsidR="00CF1BE3" w:rsidRPr="0029110D" w:rsidRDefault="00CF1BE3" w:rsidP="00511EB4">
            <w:pPr>
              <w:rPr>
                <w:sz w:val="20"/>
                <w:szCs w:val="20"/>
              </w:rPr>
            </w:pPr>
            <w:r w:rsidRPr="0029110D">
              <w:rPr>
                <w:sz w:val="20"/>
                <w:szCs w:val="20"/>
              </w:rPr>
              <w:t>♀0,25</w:t>
            </w:r>
          </w:p>
        </w:tc>
        <w:tc>
          <w:tcPr>
            <w:tcW w:w="1914" w:type="dxa"/>
          </w:tcPr>
          <w:p w14:paraId="66B627DA" w14:textId="77777777" w:rsidR="00CF1BE3" w:rsidRPr="0029110D" w:rsidRDefault="00CF1BE3" w:rsidP="00511EB4">
            <w:pPr>
              <w:rPr>
                <w:sz w:val="20"/>
                <w:szCs w:val="20"/>
              </w:rPr>
            </w:pPr>
            <w:r w:rsidRPr="0029110D">
              <w:rPr>
                <w:sz w:val="20"/>
                <w:szCs w:val="20"/>
              </w:rPr>
              <w:t>261 нг*ч/мл</w:t>
            </w:r>
          </w:p>
        </w:tc>
        <w:tc>
          <w:tcPr>
            <w:tcW w:w="1671" w:type="dxa"/>
          </w:tcPr>
          <w:p w14:paraId="7523D652" w14:textId="77777777" w:rsidR="00CF1BE3" w:rsidRPr="0029110D" w:rsidRDefault="00CF1BE3" w:rsidP="00511EB4">
            <w:pPr>
              <w:rPr>
                <w:sz w:val="20"/>
                <w:szCs w:val="20"/>
              </w:rPr>
            </w:pPr>
            <w:r w:rsidRPr="0029110D">
              <w:rPr>
                <w:sz w:val="20"/>
                <w:szCs w:val="20"/>
              </w:rPr>
              <w:t>≈0,5</w:t>
            </w:r>
          </w:p>
        </w:tc>
      </w:tr>
      <w:tr w:rsidR="00CF1BE3" w:rsidRPr="0029110D" w14:paraId="1201AB21" w14:textId="77777777" w:rsidTr="00AB1FF1">
        <w:tc>
          <w:tcPr>
            <w:tcW w:w="1915" w:type="dxa"/>
            <w:vMerge/>
          </w:tcPr>
          <w:p w14:paraId="4A14C725" w14:textId="77777777" w:rsidR="00CF1BE3" w:rsidRPr="0029110D" w:rsidRDefault="00CF1BE3" w:rsidP="00511EB4">
            <w:pPr>
              <w:rPr>
                <w:sz w:val="20"/>
                <w:szCs w:val="20"/>
              </w:rPr>
            </w:pPr>
          </w:p>
        </w:tc>
        <w:tc>
          <w:tcPr>
            <w:tcW w:w="1914" w:type="dxa"/>
            <w:vMerge/>
          </w:tcPr>
          <w:p w14:paraId="1A28AB56" w14:textId="77777777" w:rsidR="00CF1BE3" w:rsidRPr="0029110D" w:rsidRDefault="00CF1BE3" w:rsidP="00511EB4">
            <w:pPr>
              <w:rPr>
                <w:sz w:val="20"/>
                <w:szCs w:val="20"/>
              </w:rPr>
            </w:pPr>
          </w:p>
        </w:tc>
        <w:tc>
          <w:tcPr>
            <w:tcW w:w="1914" w:type="dxa"/>
          </w:tcPr>
          <w:p w14:paraId="2541D45E" w14:textId="77777777" w:rsidR="00CF1BE3" w:rsidRPr="0029110D" w:rsidRDefault="00CF1BE3" w:rsidP="00511EB4">
            <w:pPr>
              <w:rPr>
                <w:sz w:val="20"/>
                <w:szCs w:val="20"/>
              </w:rPr>
            </w:pPr>
            <w:r w:rsidRPr="0029110D">
              <w:rPr>
                <w:sz w:val="20"/>
                <w:szCs w:val="20"/>
              </w:rPr>
              <w:t>♀0,5</w:t>
            </w:r>
          </w:p>
        </w:tc>
        <w:tc>
          <w:tcPr>
            <w:tcW w:w="1914" w:type="dxa"/>
          </w:tcPr>
          <w:p w14:paraId="697CD09E" w14:textId="77777777" w:rsidR="00CF1BE3" w:rsidRPr="0029110D" w:rsidRDefault="00CF1BE3" w:rsidP="00511EB4">
            <w:pPr>
              <w:rPr>
                <w:sz w:val="20"/>
                <w:szCs w:val="20"/>
              </w:rPr>
            </w:pPr>
            <w:r w:rsidRPr="0029110D">
              <w:rPr>
                <w:sz w:val="20"/>
                <w:szCs w:val="20"/>
              </w:rPr>
              <w:t>449 нг*ч/мл</w:t>
            </w:r>
          </w:p>
        </w:tc>
        <w:tc>
          <w:tcPr>
            <w:tcW w:w="1671" w:type="dxa"/>
          </w:tcPr>
          <w:p w14:paraId="745C3F9F" w14:textId="77777777" w:rsidR="00CF1BE3" w:rsidRPr="0029110D" w:rsidRDefault="00CF1BE3" w:rsidP="00511EB4">
            <w:pPr>
              <w:rPr>
                <w:sz w:val="20"/>
                <w:szCs w:val="20"/>
              </w:rPr>
            </w:pPr>
            <w:r w:rsidRPr="0029110D">
              <w:rPr>
                <w:sz w:val="20"/>
                <w:szCs w:val="20"/>
              </w:rPr>
              <w:t>≈1</w:t>
            </w:r>
          </w:p>
        </w:tc>
      </w:tr>
      <w:tr w:rsidR="00CF1BE3" w:rsidRPr="0029110D" w14:paraId="0A03B92B" w14:textId="77777777" w:rsidTr="00AB1FF1">
        <w:tc>
          <w:tcPr>
            <w:tcW w:w="1915" w:type="dxa"/>
            <w:vMerge/>
          </w:tcPr>
          <w:p w14:paraId="650EC7E9" w14:textId="77777777" w:rsidR="00CF1BE3" w:rsidRPr="0029110D" w:rsidRDefault="00CF1BE3" w:rsidP="00511EB4">
            <w:pPr>
              <w:rPr>
                <w:sz w:val="20"/>
                <w:szCs w:val="20"/>
              </w:rPr>
            </w:pPr>
          </w:p>
        </w:tc>
        <w:tc>
          <w:tcPr>
            <w:tcW w:w="1914" w:type="dxa"/>
            <w:vMerge/>
          </w:tcPr>
          <w:p w14:paraId="031814F5" w14:textId="77777777" w:rsidR="00CF1BE3" w:rsidRPr="0029110D" w:rsidRDefault="00CF1BE3" w:rsidP="00511EB4">
            <w:pPr>
              <w:rPr>
                <w:sz w:val="20"/>
                <w:szCs w:val="20"/>
              </w:rPr>
            </w:pPr>
          </w:p>
        </w:tc>
        <w:tc>
          <w:tcPr>
            <w:tcW w:w="1914" w:type="dxa"/>
          </w:tcPr>
          <w:p w14:paraId="4DE8B047" w14:textId="77777777" w:rsidR="00CF1BE3" w:rsidRPr="0029110D" w:rsidRDefault="00CF1BE3" w:rsidP="00511EB4">
            <w:pPr>
              <w:rPr>
                <w:sz w:val="20"/>
                <w:szCs w:val="20"/>
              </w:rPr>
            </w:pPr>
            <w:r w:rsidRPr="0029110D">
              <w:rPr>
                <w:sz w:val="20"/>
                <w:szCs w:val="20"/>
              </w:rPr>
              <w:t>♀3</w:t>
            </w:r>
          </w:p>
        </w:tc>
        <w:tc>
          <w:tcPr>
            <w:tcW w:w="1914" w:type="dxa"/>
          </w:tcPr>
          <w:p w14:paraId="72BF7340" w14:textId="77777777" w:rsidR="00CF1BE3" w:rsidRPr="0029110D" w:rsidRDefault="00CF1BE3" w:rsidP="00511EB4">
            <w:pPr>
              <w:rPr>
                <w:sz w:val="20"/>
                <w:szCs w:val="20"/>
              </w:rPr>
            </w:pPr>
            <w:r w:rsidRPr="0029110D">
              <w:rPr>
                <w:sz w:val="20"/>
                <w:szCs w:val="20"/>
              </w:rPr>
              <w:t>4085 нг*ч/мл</w:t>
            </w:r>
          </w:p>
        </w:tc>
        <w:tc>
          <w:tcPr>
            <w:tcW w:w="1671" w:type="dxa"/>
          </w:tcPr>
          <w:p w14:paraId="35B55ED4" w14:textId="77777777" w:rsidR="00CF1BE3" w:rsidRPr="0029110D" w:rsidRDefault="00CF1BE3" w:rsidP="00511EB4">
            <w:pPr>
              <w:rPr>
                <w:sz w:val="20"/>
                <w:szCs w:val="20"/>
              </w:rPr>
            </w:pPr>
            <w:r w:rsidRPr="0029110D">
              <w:rPr>
                <w:sz w:val="20"/>
                <w:szCs w:val="20"/>
              </w:rPr>
              <w:t>≈9</w:t>
            </w:r>
          </w:p>
        </w:tc>
      </w:tr>
      <w:tr w:rsidR="00CF1BE3" w:rsidRPr="0029110D" w14:paraId="7F47F967" w14:textId="77777777" w:rsidTr="00AB1FF1">
        <w:tc>
          <w:tcPr>
            <w:tcW w:w="1915" w:type="dxa"/>
            <w:vMerge/>
          </w:tcPr>
          <w:p w14:paraId="4BE36B68" w14:textId="77777777" w:rsidR="00CF1BE3" w:rsidRPr="0029110D" w:rsidRDefault="00CF1BE3" w:rsidP="00511EB4">
            <w:pPr>
              <w:rPr>
                <w:sz w:val="20"/>
                <w:szCs w:val="20"/>
              </w:rPr>
            </w:pPr>
          </w:p>
        </w:tc>
        <w:tc>
          <w:tcPr>
            <w:tcW w:w="1914" w:type="dxa"/>
            <w:vMerge/>
          </w:tcPr>
          <w:p w14:paraId="6E9C44E1" w14:textId="77777777" w:rsidR="00CF1BE3" w:rsidRPr="0029110D" w:rsidRDefault="00CF1BE3" w:rsidP="00511EB4">
            <w:pPr>
              <w:rPr>
                <w:sz w:val="20"/>
                <w:szCs w:val="20"/>
              </w:rPr>
            </w:pPr>
          </w:p>
        </w:tc>
        <w:tc>
          <w:tcPr>
            <w:tcW w:w="1914" w:type="dxa"/>
          </w:tcPr>
          <w:p w14:paraId="7C0B4C3E" w14:textId="77777777" w:rsidR="00CF1BE3" w:rsidRPr="0029110D" w:rsidRDefault="00CF1BE3" w:rsidP="00511EB4">
            <w:pPr>
              <w:rPr>
                <w:sz w:val="20"/>
                <w:szCs w:val="20"/>
              </w:rPr>
            </w:pPr>
            <w:r w:rsidRPr="0029110D">
              <w:rPr>
                <w:sz w:val="20"/>
                <w:szCs w:val="20"/>
              </w:rPr>
              <w:t>♀9/6</w:t>
            </w:r>
          </w:p>
        </w:tc>
        <w:tc>
          <w:tcPr>
            <w:tcW w:w="1914" w:type="dxa"/>
          </w:tcPr>
          <w:p w14:paraId="5878E4ED" w14:textId="77777777" w:rsidR="00CF1BE3" w:rsidRPr="0029110D" w:rsidRDefault="00CF1BE3" w:rsidP="00511EB4">
            <w:pPr>
              <w:rPr>
                <w:sz w:val="20"/>
                <w:szCs w:val="20"/>
              </w:rPr>
            </w:pPr>
            <w:r w:rsidRPr="0029110D">
              <w:rPr>
                <w:sz w:val="20"/>
                <w:szCs w:val="20"/>
              </w:rPr>
              <w:t>8238 нг*ч/мл</w:t>
            </w:r>
          </w:p>
        </w:tc>
        <w:tc>
          <w:tcPr>
            <w:tcW w:w="1671" w:type="dxa"/>
          </w:tcPr>
          <w:p w14:paraId="30F3426C" w14:textId="77777777" w:rsidR="00CF1BE3" w:rsidRPr="0029110D" w:rsidRDefault="00CF1BE3" w:rsidP="00511EB4">
            <w:pPr>
              <w:rPr>
                <w:sz w:val="20"/>
                <w:szCs w:val="20"/>
              </w:rPr>
            </w:pPr>
            <w:r w:rsidRPr="0029110D">
              <w:rPr>
                <w:sz w:val="20"/>
                <w:szCs w:val="20"/>
              </w:rPr>
              <w:t>≈17</w:t>
            </w:r>
          </w:p>
        </w:tc>
      </w:tr>
      <w:tr w:rsidR="00CF1BE3" w:rsidRPr="0029110D" w14:paraId="0855A1FA" w14:textId="77777777" w:rsidTr="00AB1FF1">
        <w:tc>
          <w:tcPr>
            <w:tcW w:w="9328" w:type="dxa"/>
            <w:gridSpan w:val="5"/>
          </w:tcPr>
          <w:p w14:paraId="0737F243" w14:textId="1CF9690D" w:rsidR="00CF1BE3" w:rsidRPr="0029110D" w:rsidRDefault="007F72CA" w:rsidP="00511EB4">
            <w:pPr>
              <w:rPr>
                <w:sz w:val="20"/>
                <w:szCs w:val="20"/>
              </w:rPr>
            </w:pPr>
            <w:r w:rsidRPr="0029110D">
              <w:rPr>
                <w:b/>
                <w:sz w:val="20"/>
                <w:szCs w:val="20"/>
              </w:rPr>
              <w:t>Примечание:</w:t>
            </w:r>
            <w:r w:rsidRPr="0029110D">
              <w:rPr>
                <w:sz w:val="20"/>
                <w:szCs w:val="20"/>
              </w:rPr>
              <w:br/>
              <w:t xml:space="preserve"># – коэффициент экспозиции </w:t>
            </w:r>
            <w:r w:rsidRPr="0029110D">
              <w:rPr>
                <w:sz w:val="20"/>
                <w:szCs w:val="20"/>
                <w:lang w:val="en-US"/>
              </w:rPr>
              <w:t>AUC</w:t>
            </w:r>
            <w:r w:rsidRPr="0029110D">
              <w:rPr>
                <w:sz w:val="20"/>
                <w:szCs w:val="20"/>
                <w:vertAlign w:val="subscript"/>
              </w:rPr>
              <w:t xml:space="preserve">0-24 </w:t>
            </w:r>
            <w:r w:rsidRPr="0029110D">
              <w:rPr>
                <w:sz w:val="20"/>
                <w:szCs w:val="20"/>
              </w:rPr>
              <w:t>животные:</w:t>
            </w:r>
            <w:r w:rsidRPr="0029110D">
              <w:rPr>
                <w:sz w:val="20"/>
                <w:szCs w:val="20"/>
              </w:rPr>
              <w:t xml:space="preserve"> </w:t>
            </w:r>
            <w:r w:rsidRPr="0029110D">
              <w:rPr>
                <w:sz w:val="20"/>
                <w:szCs w:val="20"/>
              </w:rPr>
              <w:t xml:space="preserve">человек; * – лечение многих животных от демодекоза и связанных с ним оппортунистических вторичных инфекций было потенциальным искажающим фактором в данных токсикокинетических исследований; † – доза была снижена до 0,75 мг/кг/день до конца исследования; ● – доза была снижена до 2,5 мг/кг/день до конца исследования; ∆ – </w:t>
            </w:r>
            <w:r w:rsidR="00CF1BE3" w:rsidRPr="0029110D">
              <w:rPr>
                <w:sz w:val="20"/>
                <w:szCs w:val="20"/>
              </w:rPr>
              <w:t>для групп с дозами 5/2,4 мг/кг/день и 20/15/5 мг/кг/день прогрессирующие клинические проявления требовали ранней эвтаназии.</w:t>
            </w:r>
          </w:p>
        </w:tc>
      </w:tr>
    </w:tbl>
    <w:p w14:paraId="583398AF" w14:textId="77777777" w:rsidR="00CF1BE3" w:rsidRDefault="00CF1BE3" w:rsidP="00CF1BE3">
      <w:pPr>
        <w:spacing w:after="0" w:line="240" w:lineRule="auto"/>
        <w:ind w:firstLine="708"/>
      </w:pPr>
    </w:p>
    <w:p w14:paraId="4E755980" w14:textId="5D3625BC" w:rsidR="00CF1BE3" w:rsidRPr="00CF1BE3" w:rsidRDefault="00CF1BE3" w:rsidP="00CF1BE3">
      <w:pPr>
        <w:spacing w:after="0" w:line="240" w:lineRule="auto"/>
        <w:ind w:firstLine="708"/>
      </w:pPr>
      <w:r>
        <w:t xml:space="preserve">У разных видов основные токсикологические эффекты были первично фармакологически опосредованными, так регистрировали негативное воздействие на лейкоциты и органы лимфоидной системы, а также увеличение восприимчивости к </w:t>
      </w:r>
      <w:r w:rsidRPr="00CF1BE3">
        <w:t xml:space="preserve">инфекциям </w:t>
      </w:r>
      <w:r w:rsidRPr="00CF1BE3">
        <w:fldChar w:fldCharType="begin"/>
      </w:r>
      <w:r w:rsidRPr="00CF1BE3">
        <w:instrText xml:space="preserve"> ADDIN ZOTERO_ITEM CSL_CITATION {"citationID":"SjEoTicX","properties":{"formattedCitation":"[1]","plainCitation":"[1]","noteIndex":0},"citationItems":[{"id":3825,"uris":["http://zotero.org/groups/4514912/items/7R9UX5LD"],"itemData":{"id":3825,"type":"document","title":"Australian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06F75ADF" w14:textId="6538C855" w:rsidR="00CF1BE3" w:rsidRPr="00CF1BE3" w:rsidRDefault="00CF1BE3" w:rsidP="00CF1BE3">
      <w:pPr>
        <w:spacing w:after="0" w:line="240" w:lineRule="auto"/>
        <w:ind w:firstLine="708"/>
      </w:pPr>
      <w:r w:rsidRPr="00CF1BE3">
        <w:t xml:space="preserve">Собаки были более восприимчивы к тяжелой оппортунистической инфекции, связанной с введением барицитиниба (преимущественно пиодемодекоз; коррелирует с данными первичной фармакологии </w:t>
      </w:r>
      <w:r w:rsidRPr="00CF1BE3">
        <w:rPr>
          <w:i/>
          <w:iCs/>
        </w:rPr>
        <w:t>in vitro</w:t>
      </w:r>
      <w:r w:rsidRPr="00CF1BE3">
        <w:t>, подразумевающими повышенную чувствительность собак к воздействию на путь JAK1/STAT3/IL6, а также более низкий % связывания бар</w:t>
      </w:r>
      <w:r w:rsidR="004029E9">
        <w:t>и</w:t>
      </w:r>
      <w:r w:rsidRPr="00CF1BE3">
        <w:t xml:space="preserve">цитиниба с белками плазмы) </w:t>
      </w:r>
      <w:r w:rsidRPr="00CF1BE3">
        <w:fldChar w:fldCharType="begin"/>
      </w:r>
      <w:r w:rsidRPr="00CF1BE3">
        <w:instrText xml:space="preserve"> ADDIN ZOTERO_ITEM CSL_CITATION {"citationID":"YuBhrNJk","properties":{"formattedCitation":"[1]","plainCitation":"[1]","noteIndex":0},"citationItems":[{"id":3825,"uris":["http://zotero.org/groups/4514912/items/7R9UX5LD"],"itemData":{"id":3825,"type":"document","title":"Australian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5A65C88B" w14:textId="47AD1B7D" w:rsidR="00CF1BE3" w:rsidRPr="00CF1BE3" w:rsidRDefault="00CF1BE3" w:rsidP="00CF1BE3">
      <w:pPr>
        <w:spacing w:after="0" w:line="240" w:lineRule="auto"/>
        <w:ind w:firstLine="708"/>
      </w:pPr>
      <w:r w:rsidRPr="00CF1BE3">
        <w:t>Негативные эффекты в отношении иммунной системы (различные комбинации неблагоприятной лимфоцитопенической лейкопении и/или истощения лимфоидной ткани и/или гипоцеллюлярности костного мозга) у разных видов наблюдались после подострого или хронического дозирования в дозах в 3–5 раз бол</w:t>
      </w:r>
      <w:r w:rsidR="009B20AA">
        <w:t>ьше MHRD у мышей; от 21 до 25*MHRD у крыс; и от 8 до 10*</w:t>
      </w:r>
      <w:r w:rsidRPr="00CF1BE3">
        <w:t xml:space="preserve">MHRD у собак. </w:t>
      </w:r>
      <w:r w:rsidRPr="00CF1BE3">
        <w:fldChar w:fldCharType="begin"/>
      </w:r>
      <w:r w:rsidRPr="00CF1BE3">
        <w:instrText xml:space="preserve"> ADDIN ZOTERO_ITEM CSL_CITATION {"citationID":"NCZ9vjaH","properties":{"formattedCitation":"[1]","plainCitation":"[1]","noteIndex":0},"citationItems":[{"id":3825,"uris":["http://zotero.org/groups/4514912/items/7R9UX5LD"],"itemData":{"id":3825,"type":"document","title":"Australian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0DCB6ACB" w14:textId="15341950" w:rsidR="00CF1BE3" w:rsidRPr="00CF1BE3" w:rsidRDefault="00CF1BE3" w:rsidP="00CF1BE3">
      <w:pPr>
        <w:spacing w:after="0" w:line="240" w:lineRule="auto"/>
        <w:ind w:firstLine="708"/>
      </w:pPr>
      <w:r w:rsidRPr="00CF1BE3">
        <w:t>Панлейкопения (включая нейтропению) была обнаружена только у самок крыс в 1-месячном исслед</w:t>
      </w:r>
      <w:r w:rsidR="009B20AA">
        <w:t>овании после введения дозы 37*</w:t>
      </w:r>
      <w:r w:rsidRPr="00CF1BE3">
        <w:t xml:space="preserve">MHRD. Эти результаты согласуются с редкой встречаемостью неблагоприятной нейтропении в клинических исследованиях </w:t>
      </w:r>
      <w:r w:rsidRPr="00CF1BE3">
        <w:fldChar w:fldCharType="begin"/>
      </w:r>
      <w:r w:rsidRPr="00CF1BE3">
        <w:instrText xml:space="preserve"> ADDIN ZOTERO_ITEM CSL_CITATION {"citationID":"Zsm55M8V","properties":{"formattedCitation":"[1]","plainCitation":"[1]","noteIndex":0},"citationItems":[{"id":3825,"uris":["http://zotero.org/groups/4514912/items/7R9UX5LD"],"itemData":{"id":3825,"type":"document","title":"Australian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4FCCAF9C" w14:textId="489C5D43" w:rsidR="00CF1BE3" w:rsidRPr="00CF1BE3" w:rsidRDefault="00CF1BE3" w:rsidP="00CF1BE3">
      <w:pPr>
        <w:spacing w:after="0" w:line="240" w:lineRule="auto"/>
        <w:ind w:firstLine="708"/>
      </w:pPr>
      <w:r w:rsidRPr="00CF1BE3">
        <w:t>Признаки оппортунистических инфекций, связанных с введением барицитиниба,</w:t>
      </w:r>
      <w:r>
        <w:t xml:space="preserve"> проявлялись при введении крысам и мышам в течение ≥ 3 месяцев (мыши от 39 д</w:t>
      </w:r>
      <w:r w:rsidR="009B20AA">
        <w:t>о 42*MHRD; крысы от 4 до 21*</w:t>
      </w:r>
      <w:r>
        <w:t>MHRD). В 6-месячном исследовании на собаках введение барицитиниба в дозах ≥</w:t>
      </w:r>
      <w:r w:rsidR="009B20AA">
        <w:t>0,8*</w:t>
      </w:r>
      <w:r>
        <w:t xml:space="preserve">MHRD ассоциировалось с возникновением тяжелого, трудноизлечимого/неизлечимого, прогрессирующего, диссеминированного пиодемодекоза и связанных с ним оппортунистических грибковых и бактериальных инфекций, а также с увеличением заболеваемости (по сравнению с контрольной группой) межпальцевой пиогранулемой. Демодекоз сопровождался обширным воспалением (головной мозг, легкие, почки и желчный пузырь; по мнению </w:t>
      </w:r>
      <w:r w:rsidR="00EB77C9">
        <w:t>исследователей,</w:t>
      </w:r>
      <w:r>
        <w:t xml:space="preserve"> вторичным). Примечательно, что воспаление легких, связанное с </w:t>
      </w:r>
      <w:r w:rsidRPr="005E0BBC">
        <w:rPr>
          <w:i/>
          <w:iCs/>
        </w:rPr>
        <w:t>Pneumocystis carinii</w:t>
      </w:r>
      <w:r>
        <w:t xml:space="preserve">, было обнаружено у 1 из 4 самок собак, </w:t>
      </w:r>
      <w:r w:rsidR="009B20AA">
        <w:t>получивших дозу 9*</w:t>
      </w:r>
      <w:r w:rsidRPr="00CF1BE3">
        <w:t xml:space="preserve">MHRD </w:t>
      </w:r>
      <w:r w:rsidRPr="00CF1BE3">
        <w:fldChar w:fldCharType="begin"/>
      </w:r>
      <w:r w:rsidRPr="00CF1BE3">
        <w:instrText xml:space="preserve"> ADDIN ZOTERO_ITEM CSL_CITATION {"citationID":"Fp9u6ZcN","properties":{"formattedCitation":"[1]","plainCitation":"[1]","noteIndex":0},"citationItems":[{"id":3825,"uris":["http://zotero.org/groups/4514912/items/7R9UX5LD"],"itemData":{"id":3825,"type":"document","title":"Australian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7A79C08C" w14:textId="563C5268" w:rsidR="00CF1BE3" w:rsidRPr="00CF1BE3" w:rsidRDefault="00CF1BE3" w:rsidP="00CF1BE3">
      <w:pPr>
        <w:spacing w:after="0" w:line="240" w:lineRule="auto"/>
        <w:ind w:firstLine="708"/>
      </w:pPr>
      <w:r w:rsidRPr="00CF1BE3">
        <w:t>Тяжелый, диссеминированный, трудноизлечимый пиодемодекоз также был ключевым результатом посл</w:t>
      </w:r>
      <w:r w:rsidR="009B20AA">
        <w:t>е введения собакам дозы ≥ 0,6*</w:t>
      </w:r>
      <w:r w:rsidRPr="00CF1BE3">
        <w:t xml:space="preserve">MHRD в течение 9 месяцев и также был связан с повышенной частотой возникновения межпальцевых пиогранулем и пролежней на стопах. </w:t>
      </w:r>
      <w:r w:rsidRPr="00CF1BE3">
        <w:fldChar w:fldCharType="begin"/>
      </w:r>
      <w:r w:rsidRPr="00CF1BE3">
        <w:instrText xml:space="preserve"> ADDIN ZOTERO_ITEM CSL_CITATION {"citationID":"WEpjEuC5","properties":{"formattedCitation":"[1]","plainCitation":"[1]","noteIndex":0},"citationItems":[{"id":3825,"uris":["http://zotero.org/groups/4514912/items/7R9UX5LD"],"itemData":{"id":3825,"type":"document","title":"Australian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2BDCA2A3" w14:textId="7F429874" w:rsidR="00CF1BE3" w:rsidRPr="00CF1BE3" w:rsidRDefault="009B20AA" w:rsidP="00CF1BE3">
      <w:pPr>
        <w:spacing w:after="0" w:line="240" w:lineRule="auto"/>
        <w:ind w:firstLine="708"/>
      </w:pPr>
      <w:r>
        <w:t>Дозировка барицитиниба 7–9*</w:t>
      </w:r>
      <w:r w:rsidR="00CF1BE3" w:rsidRPr="00CF1BE3">
        <w:rPr>
          <w:lang w:val="en-US"/>
        </w:rPr>
        <w:t>MHRD</w:t>
      </w:r>
      <w:r w:rsidR="00CF1BE3" w:rsidRPr="00CF1BE3">
        <w:t xml:space="preserve"> плохо переносилась собаками, несмотря на перерывы в дозировании, из-за клинических признаков, связанных с оппортунистическими вторичными инфекциями </w:t>
      </w:r>
      <w:r w:rsidR="00CF1BE3" w:rsidRPr="00CF1BE3">
        <w:fldChar w:fldCharType="begin"/>
      </w:r>
      <w:r w:rsidR="00CF1BE3" w:rsidRPr="00CF1BE3">
        <w:instrText xml:space="preserve"> ADDIN ZOTERO_ITEM CSL_CITATION {"citationID":"PcnXN9Uv","properties":{"formattedCitation":"[1]","plainCitation":"[1]","noteIndex":0},"citationItems":[{"id":3825,"uris":["http://zotero.org/groups/4514912/items/7R9UX5LD"],"itemData":{"id":3825,"type":"document","title":"Australian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00CF1BE3" w:rsidRPr="00CF1BE3">
        <w:fldChar w:fldCharType="separate"/>
      </w:r>
      <w:r w:rsidR="00CF1BE3" w:rsidRPr="00CF1BE3">
        <w:t>[1]</w:t>
      </w:r>
      <w:r w:rsidR="00CF1BE3" w:rsidRPr="00CF1BE3">
        <w:fldChar w:fldCharType="end"/>
      </w:r>
      <w:r>
        <w:t>.</w:t>
      </w:r>
    </w:p>
    <w:p w14:paraId="4A5810B8" w14:textId="77777777" w:rsidR="00CF1BE3" w:rsidRPr="00CF1BE3" w:rsidRDefault="00CF1BE3" w:rsidP="00CF1BE3">
      <w:pPr>
        <w:spacing w:after="0" w:line="240" w:lineRule="auto"/>
        <w:ind w:firstLine="708"/>
      </w:pPr>
      <w:r w:rsidRPr="00CF1BE3">
        <w:t xml:space="preserve">В целом, эти результаты указывают на повышенный риск развития оппортунистических инфекций у лиц с длительным лечением </w:t>
      </w:r>
      <w:r w:rsidRPr="00CF1BE3">
        <w:fldChar w:fldCharType="begin"/>
      </w:r>
      <w:r w:rsidRPr="00CF1BE3">
        <w:instrText xml:space="preserve"> ADDIN ZOTERO_ITEM CSL_CITATION {"citationID":"scctpS1X","properties":{"formattedCitation":"[1]","plainCitation":"[1]","noteIndex":0},"citationItems":[{"id":3825,"uris":["http://zotero.org/groups/4514912/items/7R9UX5LD"],"itemData":{"id":3825,"type":"document","title":"Australian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2F8643F4" w14:textId="77777777" w:rsidR="00CF1BE3" w:rsidRPr="00CF1BE3" w:rsidRDefault="00CF1BE3" w:rsidP="00CF1BE3">
      <w:pPr>
        <w:spacing w:after="0" w:line="240" w:lineRule="auto"/>
        <w:ind w:firstLine="708"/>
      </w:pPr>
      <w:r w:rsidRPr="00CF1BE3">
        <w:lastRenderedPageBreak/>
        <w:t xml:space="preserve">Повышенная частота возникновения кардиального фиброза наблюдалась у крыс CD-1, получавших барицитиниб в течение 6 месяцев при AUC в 80 раз превышающую </w:t>
      </w:r>
      <w:r w:rsidRPr="00CF1BE3">
        <w:rPr>
          <w:lang w:val="en-US"/>
        </w:rPr>
        <w:t>AUC</w:t>
      </w:r>
      <w:r w:rsidRPr="00CF1BE3">
        <w:t xml:space="preserve"> пациентов (не имеет клинического значения) </w:t>
      </w:r>
      <w:r w:rsidRPr="00CF1BE3">
        <w:fldChar w:fldCharType="begin"/>
      </w:r>
      <w:r w:rsidRPr="00CF1BE3">
        <w:instrText xml:space="preserve"> ADDIN ZOTERO_ITEM CSL_CITATION {"citationID":"xpcCGZKh","properties":{"formattedCitation":"[1]","plainCitation":"[1]","noteIndex":0},"citationItems":[{"id":3825,"uris":["http://zotero.org/groups/4514912/items/7R9UX5LD"],"itemData":{"id":3825,"type":"document","title":"Australian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4CE9AAB3" w14:textId="7463DBDB" w:rsidR="00CF1BE3" w:rsidRPr="00CF1BE3" w:rsidRDefault="007F72CA" w:rsidP="009B20AA">
      <w:pPr>
        <w:spacing w:after="0" w:line="240" w:lineRule="auto"/>
        <w:ind w:firstLine="708"/>
        <w:contextualSpacing/>
      </w:pPr>
      <w:r w:rsidRPr="00CF1BE3">
        <w:t>Неблагоприятное повышение уровня ферментов печени в сыворотке, наблюдаемое в 9-месячном исследовании на собаках (увеличение аспартатаминотрансферазы [АСТ], аланин</w:t>
      </w:r>
      <w:r>
        <w:t>амино</w:t>
      </w:r>
      <w:r w:rsidRPr="00CF1BE3">
        <w:t>транс</w:t>
      </w:r>
      <w:r>
        <w:t>феразы</w:t>
      </w:r>
      <w:r w:rsidRPr="00CF1BE3">
        <w:t xml:space="preserve"> [АЛТ] и гамма-</w:t>
      </w:r>
      <w:r w:rsidRPr="00CF1BE3">
        <w:t>глутамилтранс</w:t>
      </w:r>
      <w:r>
        <w:t>пептидазы</w:t>
      </w:r>
      <w:r w:rsidRPr="00CF1BE3">
        <w:t xml:space="preserve"> </w:t>
      </w:r>
      <w:r w:rsidRPr="00CF1BE3">
        <w:t>[ГГТ], в 2–3 раза по сравнению с контрольной г</w:t>
      </w:r>
      <w:r>
        <w:t>руппой при дозах 7–17*</w:t>
      </w:r>
      <w:r w:rsidRPr="00CF1BE3">
        <w:t xml:space="preserve">MHRD) коррелирует с портальным гепатитом и гиперплазией желчных протоков. </w:t>
      </w:r>
      <w:r w:rsidR="00CF1BE3" w:rsidRPr="00CF1BE3">
        <w:t xml:space="preserve">Взаимосвязь между воздействием испытуемого препарата и этими эффектами неясна, учитывая наличие смешанной полипрагмазии для лечения демодекоза, включая использование НПВП, которые, как известно, являются гепатотоксичными для собак. Учитывая, что аналогичные результаты не наблюдались у крыс, маловероятно, что гепатотоксичность имеет клиническое значение </w:t>
      </w:r>
      <w:r w:rsidR="00CF1BE3" w:rsidRPr="00CF1BE3">
        <w:fldChar w:fldCharType="begin"/>
      </w:r>
      <w:r w:rsidR="00CF1BE3" w:rsidRPr="00CF1BE3">
        <w:instrText xml:space="preserve"> ADDIN ZOTERO_ITEM CSL_CITATION {"citationID":"Ne8tb41E","properties":{"formattedCitation":"[1]","plainCitation":"[1]","noteIndex":0},"citationItems":[{"id":3825,"uris":["http://zotero.org/groups/4514912/items/7R9UX5LD"],"itemData":{"id":3825,"type":"document","title":"Australian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00CF1BE3" w:rsidRPr="00CF1BE3">
        <w:fldChar w:fldCharType="separate"/>
      </w:r>
      <w:r w:rsidR="00CF1BE3" w:rsidRPr="00CF1BE3">
        <w:t>[1]</w:t>
      </w:r>
      <w:r w:rsidR="00CF1BE3" w:rsidRPr="00CF1BE3">
        <w:fldChar w:fldCharType="end"/>
      </w:r>
      <w:r w:rsidR="00CF1BE3" w:rsidRPr="00CF1BE3">
        <w:t>.</w:t>
      </w:r>
    </w:p>
    <w:p w14:paraId="3B4684AC" w14:textId="0E72BB54" w:rsidR="00CF1BE3" w:rsidRDefault="00CF1BE3">
      <w:pPr>
        <w:spacing w:after="0" w:line="240" w:lineRule="auto"/>
        <w:ind w:firstLine="708"/>
        <w:contextualSpacing/>
      </w:pPr>
      <w:r w:rsidRPr="00CF1BE3">
        <w:t xml:space="preserve">Почечная канальцевая кристаллическая нефропатия наблюдалась у мышей, получавших в течение ≥ </w:t>
      </w:r>
      <w:r w:rsidR="009B20AA">
        <w:t>1 месяца дозы бар</w:t>
      </w:r>
      <w:r w:rsidR="004029E9">
        <w:t>и</w:t>
      </w:r>
      <w:r w:rsidR="009B20AA">
        <w:t>цитиниба 65*</w:t>
      </w:r>
      <w:r w:rsidRPr="00CF1BE3">
        <w:t>MHRD. Неблагоприятные</w:t>
      </w:r>
      <w:r>
        <w:t xml:space="preserve"> почечные явления не были обнаружены в клинических исследованиях. Эффект, вероятно, специфичен для мышей и вторичен по отношению к их более высокому удельному весу </w:t>
      </w:r>
      <w:r w:rsidRPr="00CF1BE3">
        <w:t xml:space="preserve">мочи </w:t>
      </w:r>
      <w:r w:rsidRPr="00CF1BE3">
        <w:fldChar w:fldCharType="begin"/>
      </w:r>
      <w:r w:rsidRPr="00CF1BE3">
        <w:instrText xml:space="preserve"> ADDIN ZOTERO_ITEM CSL_CITATION {"citationID":"Nr8FdKrG","properties":{"formattedCitation":"[1]","plainCitation":"[1]","noteIndex":0},"citationItems":[{"id":3825,"uris":["http://zotero.org/groups/4514912/items/7R9UX5LD"],"itemData":{"id":3825,"type":"document","title":"Australian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5B0DE10C" w14:textId="77777777" w:rsidR="00EB77C9" w:rsidRPr="00D21480" w:rsidRDefault="00EB77C9">
      <w:pPr>
        <w:spacing w:after="0" w:line="240" w:lineRule="auto"/>
        <w:ind w:firstLine="708"/>
        <w:contextualSpacing/>
      </w:pPr>
    </w:p>
    <w:p w14:paraId="1B5C86B0" w14:textId="77777777" w:rsidR="00CF1BE3" w:rsidRDefault="00CF1BE3" w:rsidP="00AB1FF1">
      <w:pPr>
        <w:pStyle w:val="3"/>
        <w:spacing w:before="0" w:after="240"/>
        <w:contextualSpacing/>
        <w:rPr>
          <w:rStyle w:val="apple-converted-space"/>
          <w:rFonts w:eastAsia="Calibri"/>
          <w:b w:val="0"/>
          <w:bCs w:val="0"/>
          <w:color w:val="000000" w:themeColor="text1"/>
          <w:szCs w:val="24"/>
          <w:shd w:val="clear" w:color="auto" w:fill="FFFFFF"/>
        </w:rPr>
      </w:pPr>
      <w:bookmarkStart w:id="112" w:name="_Toc120288147"/>
      <w:bookmarkEnd w:id="111"/>
      <w:r w:rsidRPr="005E6358">
        <w:rPr>
          <w:color w:val="000000" w:themeColor="text1"/>
          <w:szCs w:val="24"/>
        </w:rPr>
        <w:t>3.3.3.</w:t>
      </w:r>
      <w:bookmarkStart w:id="113" w:name="_Toc477355751"/>
      <w:r>
        <w:rPr>
          <w:color w:val="000000" w:themeColor="text1"/>
          <w:szCs w:val="24"/>
        </w:rPr>
        <w:t xml:space="preserve"> </w:t>
      </w:r>
      <w:r w:rsidRPr="005E6358">
        <w:rPr>
          <w:rStyle w:val="apple-converted-space"/>
          <w:rFonts w:eastAsia="Calibri"/>
          <w:bCs w:val="0"/>
          <w:color w:val="000000" w:themeColor="text1"/>
          <w:shd w:val="clear" w:color="auto" w:fill="FFFFFF"/>
        </w:rPr>
        <w:t>Генотоксичность</w:t>
      </w:r>
      <w:bookmarkEnd w:id="112"/>
      <w:bookmarkEnd w:id="113"/>
    </w:p>
    <w:p w14:paraId="47A7DD5D" w14:textId="669C659A" w:rsidR="00CF1BE3" w:rsidRDefault="00CF1BE3">
      <w:pPr>
        <w:spacing w:after="0" w:line="240" w:lineRule="auto"/>
        <w:contextualSpacing/>
      </w:pPr>
      <w:r>
        <w:rPr>
          <w:i/>
        </w:rPr>
        <w:tab/>
      </w:r>
      <w:r w:rsidRPr="005E0BBC">
        <w:rPr>
          <w:iCs/>
        </w:rPr>
        <w:t>Ба</w:t>
      </w:r>
      <w:r w:rsidRPr="002F6A11">
        <w:rPr>
          <w:iCs/>
        </w:rPr>
        <w:t>рицитиниб не проявля</w:t>
      </w:r>
      <w:r>
        <w:rPr>
          <w:iCs/>
        </w:rPr>
        <w:t>л</w:t>
      </w:r>
      <w:r w:rsidRPr="002F6A11">
        <w:rPr>
          <w:iCs/>
        </w:rPr>
        <w:t xml:space="preserve"> генотоксического потенциала </w:t>
      </w:r>
      <w:r>
        <w:rPr>
          <w:iCs/>
        </w:rPr>
        <w:t>при тестировании</w:t>
      </w:r>
      <w:r w:rsidRPr="002F6A11">
        <w:rPr>
          <w:iCs/>
        </w:rPr>
        <w:t xml:space="preserve"> </w:t>
      </w:r>
      <w:r>
        <w:rPr>
          <w:iCs/>
        </w:rPr>
        <w:t>на</w:t>
      </w:r>
      <w:r w:rsidRPr="002F6A11">
        <w:rPr>
          <w:iCs/>
        </w:rPr>
        <w:t xml:space="preserve"> стандартной батарее </w:t>
      </w:r>
      <w:r>
        <w:rPr>
          <w:iCs/>
        </w:rPr>
        <w:t xml:space="preserve">тестов </w:t>
      </w:r>
      <w:r w:rsidRPr="002F6A11">
        <w:rPr>
          <w:iCs/>
        </w:rPr>
        <w:t>ICH S2 (R1) (</w:t>
      </w:r>
      <w:r>
        <w:rPr>
          <w:iCs/>
        </w:rPr>
        <w:t>тест Эймса</w:t>
      </w:r>
      <w:r w:rsidRPr="002F6A11">
        <w:rPr>
          <w:iCs/>
        </w:rPr>
        <w:t xml:space="preserve">, тест на хромосомные аберрации клеток млекопитающих </w:t>
      </w:r>
      <w:r w:rsidRPr="005E0BBC">
        <w:rPr>
          <w:i/>
        </w:rPr>
        <w:t>in vitro</w:t>
      </w:r>
      <w:r w:rsidRPr="002F6A11">
        <w:rPr>
          <w:iCs/>
        </w:rPr>
        <w:t xml:space="preserve"> и микроядерный тест </w:t>
      </w:r>
      <w:r w:rsidRPr="005E0BBC">
        <w:rPr>
          <w:i/>
        </w:rPr>
        <w:t>in vivo</w:t>
      </w:r>
      <w:r w:rsidRPr="00CF1BE3">
        <w:rPr>
          <w:iCs/>
        </w:rPr>
        <w:t xml:space="preserve">) </w:t>
      </w:r>
      <w:r w:rsidRPr="00CF1BE3">
        <w:fldChar w:fldCharType="begin"/>
      </w:r>
      <w:r w:rsidRPr="00CF1BE3">
        <w:instrText xml:space="preserve"> ADDIN ZOTERO_ITEM CSL_CITATION {"citationID":"W5ZIW1Qm","properties":{"formattedCitation":"[1]","plainCitation":"[1]","noteIndex":0},"citationItems":[{"id":3825,"uris":["http://zotero.org/groups/4514912/items/7R9UX5LD"],"itemData":{"id":3825,"type":"document","title":"Australian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18F2BBDC" w14:textId="77777777" w:rsidR="00EB77C9" w:rsidRPr="00CF1BE3" w:rsidRDefault="00EB77C9">
      <w:pPr>
        <w:spacing w:after="0" w:line="240" w:lineRule="auto"/>
        <w:contextualSpacing/>
        <w:rPr>
          <w:bCs/>
          <w:iCs/>
          <w:lang w:eastAsia="en-US"/>
        </w:rPr>
      </w:pPr>
    </w:p>
    <w:p w14:paraId="0DE400F2" w14:textId="77777777" w:rsidR="00CF1BE3" w:rsidRPr="005E6358" w:rsidRDefault="00CF1BE3" w:rsidP="00AB1FF1">
      <w:pPr>
        <w:pStyle w:val="3"/>
        <w:spacing w:before="0" w:after="240"/>
        <w:contextualSpacing/>
        <w:rPr>
          <w:color w:val="000000" w:themeColor="text1"/>
          <w:szCs w:val="24"/>
        </w:rPr>
      </w:pPr>
      <w:bookmarkStart w:id="114" w:name="_Toc477355752"/>
      <w:bookmarkStart w:id="115" w:name="_Toc120288148"/>
      <w:r w:rsidRPr="00CF1BE3">
        <w:rPr>
          <w:color w:val="000000" w:themeColor="text1"/>
          <w:szCs w:val="24"/>
        </w:rPr>
        <w:t>3.3.4. Канцерогенность</w:t>
      </w:r>
      <w:bookmarkEnd w:id="114"/>
      <w:bookmarkEnd w:id="115"/>
    </w:p>
    <w:p w14:paraId="7F04F450" w14:textId="77777777" w:rsidR="00CF1BE3" w:rsidRPr="00D21480" w:rsidRDefault="00CF1BE3">
      <w:pPr>
        <w:spacing w:after="0" w:line="240" w:lineRule="auto"/>
        <w:ind w:firstLine="709"/>
        <w:contextualSpacing/>
      </w:pPr>
      <w:bookmarkStart w:id="116" w:name="_Toc477355753"/>
      <w:r w:rsidRPr="00082879">
        <w:t>В соответствии с требованиями ICH к препаратам, вводимым длительно, исследования канцерогенеза проводились на крысах и мышах (</w:t>
      </w:r>
      <w:r>
        <w:t>внутрижелудочное</w:t>
      </w:r>
      <w:r w:rsidRPr="00082879">
        <w:t xml:space="preserve"> введение барицитиниба до </w:t>
      </w:r>
      <w:r>
        <w:t xml:space="preserve">достижения максимально переносимой дозы </w:t>
      </w:r>
      <w:r w:rsidRPr="00F8242B">
        <w:t>[</w:t>
      </w:r>
      <w:r w:rsidRPr="00082879">
        <w:t>МПД</w:t>
      </w:r>
      <w:r w:rsidRPr="00F8242B">
        <w:t>]</w:t>
      </w:r>
      <w:r w:rsidRPr="00082879">
        <w:t xml:space="preserve"> в течение 2 лет у крыс и 6 месяцев у трансгенных мышей HRAS). Исследование трансгенных мышей HRAS было подтверждено включением контроля N-метил-N-нитрозомочевины.</w:t>
      </w:r>
      <w:r>
        <w:t xml:space="preserve"> В ходе исследование установили, что б</w:t>
      </w:r>
      <w:r w:rsidRPr="00082879">
        <w:t xml:space="preserve">арицитиниб не </w:t>
      </w:r>
      <w:r>
        <w:t>вызывал увеличения частоты развития неопластических образова</w:t>
      </w:r>
      <w:r w:rsidRPr="00CF1BE3">
        <w:t xml:space="preserve">ний </w:t>
      </w:r>
      <w:r w:rsidRPr="00CF1BE3">
        <w:fldChar w:fldCharType="begin"/>
      </w:r>
      <w:r w:rsidRPr="00CF1BE3">
        <w:instrText xml:space="preserve"> ADDIN ZOTERO_ITEM CSL_CITATION {"citationID":"hhgQOzKq","properties":{"formattedCitation":"[1]","plainCitation":"[1]","noteIndex":0},"citationItems":[{"id":3825,"uris":["http://zotero.org/groups/4514912/items/7R9UX5LD"],"itemData":{"id":3825,"type":"document","title":"Australian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7C1DAE4D" w14:textId="77777777" w:rsidR="00CF1BE3" w:rsidRPr="001C2408" w:rsidRDefault="00CF1BE3" w:rsidP="00CF1BE3">
      <w:pPr>
        <w:spacing w:after="0" w:line="240" w:lineRule="auto"/>
        <w:ind w:firstLine="709"/>
        <w:rPr>
          <w:i/>
          <w:iCs/>
        </w:rPr>
      </w:pPr>
      <w:r w:rsidRPr="001C2408">
        <w:rPr>
          <w:i/>
          <w:iCs/>
        </w:rPr>
        <w:t>Мыши</w:t>
      </w:r>
    </w:p>
    <w:p w14:paraId="19B4A8F3" w14:textId="77777777" w:rsidR="00CF1BE3" w:rsidRPr="001C2408" w:rsidRDefault="00CF1BE3" w:rsidP="00CF1BE3">
      <w:pPr>
        <w:spacing w:after="0" w:line="240" w:lineRule="auto"/>
        <w:ind w:firstLine="709"/>
      </w:pPr>
      <w:r w:rsidRPr="001C2408">
        <w:t xml:space="preserve">Максимальная доза </w:t>
      </w:r>
      <w:r>
        <w:t>барицитиниба в исследовании составила</w:t>
      </w:r>
      <w:r w:rsidRPr="001C2408">
        <w:t xml:space="preserve"> 300 мг/кг/день для самцов на основании &gt;50% подавления количества лимфоцитов в 1-месячном исследовании на мышах </w:t>
      </w:r>
      <w:r w:rsidRPr="001C2408">
        <w:rPr>
          <w:lang w:val="en-US"/>
        </w:rPr>
        <w:t>RasH</w:t>
      </w:r>
      <w:r w:rsidRPr="001C2408">
        <w:t>2. Максимальная доза для самок составляла 150 мг/кг/день на основании побочных эффектов со стороны почек при дозе 300 мг/кг/день.</w:t>
      </w:r>
    </w:p>
    <w:p w14:paraId="42C23830" w14:textId="43923012" w:rsidR="00CF1BE3" w:rsidRPr="001C2408" w:rsidRDefault="00CF1BE3" w:rsidP="00CF1BE3">
      <w:pPr>
        <w:spacing w:after="0" w:line="240" w:lineRule="auto"/>
        <w:ind w:firstLine="709"/>
      </w:pPr>
      <w:r>
        <w:t>Не регистрировали увеличение частоты встречаемости о</w:t>
      </w:r>
      <w:r w:rsidRPr="001C2408">
        <w:t>пухоле</w:t>
      </w:r>
      <w:r>
        <w:t xml:space="preserve">й при введении </w:t>
      </w:r>
      <w:r w:rsidRPr="001C2408">
        <w:t>барицитиниб</w:t>
      </w:r>
      <w:r>
        <w:t>а</w:t>
      </w:r>
      <w:r w:rsidRPr="001C2408">
        <w:t>. В группе положительного контроля наблюдалась выраженная канцерогенная реакция с высокой частотой новообразований, чаще всего гемопоэтических (лимфосаркома), сосудистых (гемангиосаркома), нежелезистых органов желудка (плоскоклеточные) и новообразований кожи/подкожной клетчатки (плоскоклеточные</w:t>
      </w:r>
      <w:r w:rsidRPr="00CF1BE3">
        <w:t xml:space="preserve">) </w:t>
      </w:r>
      <w:r w:rsidRPr="00CF1BE3">
        <w:fldChar w:fldCharType="begin"/>
      </w:r>
      <w:r w:rsidRPr="00CF1BE3">
        <w:instrText xml:space="preserve"> ADDIN ZOTERO_ITEM CSL_CITATION {"citationID":"N721PSxi","properties":{"formattedCitation":"[2]","plainCitation":"[2]","noteIndex":0},"citationItems":[{"id":3826,"uris":["http://zotero.org/groups/4514912/items/UB7ESC4C"],"itemData":{"id":3826,"type":"document","title":"Assessment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CF1BE3">
        <w:fldChar w:fldCharType="separate"/>
      </w:r>
      <w:r w:rsidRPr="00CF1BE3">
        <w:t>[2]</w:t>
      </w:r>
      <w:r w:rsidRPr="00CF1BE3">
        <w:fldChar w:fldCharType="end"/>
      </w:r>
      <w:r w:rsidRPr="00CF1BE3">
        <w:t>.</w:t>
      </w:r>
    </w:p>
    <w:p w14:paraId="2FF24EF9" w14:textId="77777777" w:rsidR="00CF1BE3" w:rsidRPr="001C2408" w:rsidRDefault="00CF1BE3" w:rsidP="00CF1BE3">
      <w:pPr>
        <w:spacing w:after="0" w:line="240" w:lineRule="auto"/>
        <w:ind w:firstLine="709"/>
        <w:rPr>
          <w:i/>
          <w:iCs/>
        </w:rPr>
      </w:pPr>
      <w:r w:rsidRPr="001C2408">
        <w:rPr>
          <w:i/>
          <w:iCs/>
        </w:rPr>
        <w:t>Крысы</w:t>
      </w:r>
    </w:p>
    <w:p w14:paraId="7DCC6F82" w14:textId="77777777" w:rsidR="00CF1BE3" w:rsidRPr="001C2408" w:rsidRDefault="00CF1BE3" w:rsidP="00CF1BE3">
      <w:pPr>
        <w:spacing w:after="0" w:line="240" w:lineRule="auto"/>
        <w:ind w:firstLine="709"/>
      </w:pPr>
      <w:r w:rsidRPr="001C2408">
        <w:t xml:space="preserve">Максимальная доза </w:t>
      </w:r>
      <w:r>
        <w:t xml:space="preserve">барицитиниба </w:t>
      </w:r>
      <w:r w:rsidRPr="001C2408">
        <w:t xml:space="preserve">для </w:t>
      </w:r>
      <w:r>
        <w:t>самцов составила</w:t>
      </w:r>
      <w:r w:rsidRPr="001C2408">
        <w:t xml:space="preserve"> 8 мг/кг/день </w:t>
      </w:r>
      <w:r>
        <w:t xml:space="preserve">и </w:t>
      </w:r>
      <w:r w:rsidRPr="001C2408">
        <w:t xml:space="preserve">была основана на существенном снижении прибавки массы тела в 6-месячном исследовании. </w:t>
      </w:r>
      <w:r w:rsidRPr="001C2408">
        <w:lastRenderedPageBreak/>
        <w:t>Максимальная доза для самок составляла 25 мг/кг</w:t>
      </w:r>
      <w:r>
        <w:t xml:space="preserve"> выбрана на основании имм</w:t>
      </w:r>
      <w:r w:rsidRPr="001C2408">
        <w:t xml:space="preserve">уносупрессии, наблюдаемой </w:t>
      </w:r>
      <w:r>
        <w:t>в 6-месячном исследовании</w:t>
      </w:r>
      <w:r w:rsidRPr="001C2408">
        <w:t>.</w:t>
      </w:r>
    </w:p>
    <w:p w14:paraId="26DED241" w14:textId="618DA3A7" w:rsidR="00CF1BE3" w:rsidRDefault="00CF1BE3">
      <w:pPr>
        <w:spacing w:after="0" w:line="240" w:lineRule="auto"/>
        <w:ind w:firstLine="709"/>
        <w:contextualSpacing/>
      </w:pPr>
      <w:r w:rsidRPr="001C2408">
        <w:t>Наблюдалось дозозависимое увеличение выживаемости, которое связывали с более низкой массой тела у животных</w:t>
      </w:r>
      <w:r>
        <w:t>, получавших барицитиниб</w:t>
      </w:r>
      <w:r w:rsidRPr="001C2408">
        <w:t>. Из-за низкой выживаемости контрольных животных исследование было прекращено после 94-й недели для самцов и в течение 91-й недели для самок.</w:t>
      </w:r>
      <w:r>
        <w:t xml:space="preserve"> </w:t>
      </w:r>
      <w:r w:rsidRPr="001C2408">
        <w:t xml:space="preserve">Не наблюдалось увеличения частоты возникновения опухолей, связанного с </w:t>
      </w:r>
      <w:r w:rsidRPr="00CF1BE3">
        <w:t xml:space="preserve">барицитинибом </w:t>
      </w:r>
      <w:r w:rsidRPr="00CF1BE3">
        <w:fldChar w:fldCharType="begin"/>
      </w:r>
      <w:r w:rsidRPr="00CF1BE3">
        <w:instrText xml:space="preserve"> ADDIN ZOTERO_ITEM CSL_CITATION {"citationID":"45JusSEH","properties":{"formattedCitation":"[2]","plainCitation":"[2]","noteIndex":0},"citationItems":[{"id":3826,"uris":["http://zotero.org/groups/4514912/items/UB7ESC4C"],"itemData":{"id":3826,"type":"document","title":"Assessment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CF1BE3">
        <w:fldChar w:fldCharType="separate"/>
      </w:r>
      <w:r w:rsidRPr="00CF1BE3">
        <w:t>[2]</w:t>
      </w:r>
      <w:r w:rsidRPr="00CF1BE3">
        <w:fldChar w:fldCharType="end"/>
      </w:r>
      <w:r w:rsidRPr="00CF1BE3">
        <w:t>.</w:t>
      </w:r>
    </w:p>
    <w:p w14:paraId="11CC1EDA" w14:textId="77777777" w:rsidR="00EB77C9" w:rsidRPr="00CF1BE3" w:rsidRDefault="00EB77C9">
      <w:pPr>
        <w:spacing w:after="0" w:line="240" w:lineRule="auto"/>
        <w:ind w:firstLine="709"/>
        <w:contextualSpacing/>
      </w:pPr>
    </w:p>
    <w:p w14:paraId="4D34BD30" w14:textId="77777777" w:rsidR="00CF1BE3" w:rsidRPr="00F03D93" w:rsidRDefault="00CF1BE3" w:rsidP="00AB1FF1">
      <w:pPr>
        <w:pStyle w:val="3"/>
        <w:spacing w:before="0" w:after="240"/>
        <w:contextualSpacing/>
        <w:rPr>
          <w:color w:val="000000" w:themeColor="text1"/>
          <w:szCs w:val="24"/>
        </w:rPr>
      </w:pPr>
      <w:bookmarkStart w:id="117" w:name="_Toc120288149"/>
      <w:r w:rsidRPr="00CF1BE3">
        <w:rPr>
          <w:color w:val="000000" w:themeColor="text1"/>
          <w:szCs w:val="24"/>
        </w:rPr>
        <w:t>3.3.5. Репродуктивная и онтогенетическая токсичность</w:t>
      </w:r>
      <w:bookmarkEnd w:id="116"/>
      <w:bookmarkEnd w:id="117"/>
    </w:p>
    <w:p w14:paraId="7B4AAF67" w14:textId="77777777" w:rsidR="00CF1BE3" w:rsidRDefault="00CF1BE3">
      <w:pPr>
        <w:spacing w:line="240" w:lineRule="auto"/>
        <w:ind w:firstLine="708"/>
        <w:contextualSpacing/>
      </w:pPr>
      <w:r>
        <w:t>В ходе исследований репродуктивной и онтогенетической токсичности показали</w:t>
      </w:r>
      <w:r w:rsidRPr="00082879">
        <w:t xml:space="preserve">, что путь JAK/STAT участвует в клеточной адгезии, что может влиять на раннее эмбриональное развитие. </w:t>
      </w:r>
    </w:p>
    <w:p w14:paraId="7B3801DE" w14:textId="5A4B0BD0" w:rsidR="00CF1BE3" w:rsidRPr="00CF1BE3" w:rsidRDefault="00CF1BE3" w:rsidP="009B20AA">
      <w:pPr>
        <w:spacing w:line="240" w:lineRule="auto"/>
        <w:contextualSpacing/>
      </w:pPr>
      <w:r>
        <w:t xml:space="preserve">В Таблице 3-3 резюмированы данные по проведенным </w:t>
      </w:r>
      <w:r w:rsidRPr="00CF1BE3">
        <w:t xml:space="preserve">исследованиям </w:t>
      </w:r>
      <w:r w:rsidRPr="00CF1BE3">
        <w:fldChar w:fldCharType="begin"/>
      </w:r>
      <w:r w:rsidRPr="00CF1BE3">
        <w:instrText xml:space="preserve"> ADDIN ZOTERO_ITEM CSL_CITATION {"citationID":"h924YilK","properties":{"formattedCitation":"[1]","plainCitation":"[1]","noteIndex":0},"citationItems":[{"id":3825,"uris":["http://zotero.org/groups/4514912/items/7R9UX5LD"],"itemData":{"id":3825,"type":"document","title":"Australian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6B74AC29" w14:textId="77777777" w:rsidR="009B20AA" w:rsidRDefault="009B20AA" w:rsidP="009B20AA">
      <w:pPr>
        <w:spacing w:after="0" w:line="240" w:lineRule="auto"/>
        <w:contextualSpacing/>
        <w:rPr>
          <w:b/>
          <w:bCs/>
        </w:rPr>
      </w:pPr>
    </w:p>
    <w:p w14:paraId="2EACA0CE" w14:textId="386B7E1C" w:rsidR="00CF1BE3" w:rsidRPr="00D21480" w:rsidRDefault="009B20AA" w:rsidP="009B20AA">
      <w:pPr>
        <w:spacing w:after="0" w:line="240" w:lineRule="auto"/>
        <w:contextualSpacing/>
      </w:pPr>
      <w:r>
        <w:rPr>
          <w:b/>
          <w:bCs/>
        </w:rPr>
        <w:t>Таблица 3-3.</w:t>
      </w:r>
      <w:r w:rsidR="00CF1BE3" w:rsidRPr="00CF1BE3">
        <w:rPr>
          <w:b/>
          <w:bCs/>
        </w:rPr>
        <w:t xml:space="preserve"> </w:t>
      </w:r>
      <w:r w:rsidR="00CF1BE3" w:rsidRPr="009B20AA">
        <w:rPr>
          <w:bCs/>
        </w:rPr>
        <w:t>Исследования репродуктивной и онтогенетической токсичности барицитиниба</w:t>
      </w:r>
      <w:r w:rsidRPr="009B20AA">
        <w:t>.</w:t>
      </w:r>
    </w:p>
    <w:tbl>
      <w:tblPr>
        <w:tblStyle w:val="a8"/>
        <w:tblW w:w="4873" w:type="pct"/>
        <w:tblInd w:w="136" w:type="dxa"/>
        <w:tblLook w:val="04A0" w:firstRow="1" w:lastRow="0" w:firstColumn="1" w:lastColumn="0" w:noHBand="0" w:noVBand="1"/>
      </w:tblPr>
      <w:tblGrid>
        <w:gridCol w:w="1110"/>
        <w:gridCol w:w="2075"/>
        <w:gridCol w:w="3166"/>
        <w:gridCol w:w="1254"/>
        <w:gridCol w:w="1724"/>
      </w:tblGrid>
      <w:tr w:rsidR="00CF1BE3" w:rsidRPr="0029110D" w14:paraId="59BB7718" w14:textId="77777777" w:rsidTr="0029110D">
        <w:trPr>
          <w:trHeight w:val="20"/>
          <w:tblHeader/>
        </w:trPr>
        <w:tc>
          <w:tcPr>
            <w:tcW w:w="1110" w:type="dxa"/>
            <w:shd w:val="clear" w:color="auto" w:fill="D9D9D9" w:themeFill="background1" w:themeFillShade="D9"/>
            <w:vAlign w:val="center"/>
          </w:tcPr>
          <w:p w14:paraId="2FA1BBC1" w14:textId="77777777" w:rsidR="00CF1BE3" w:rsidRPr="0029110D" w:rsidRDefault="00CF1BE3" w:rsidP="009B20AA">
            <w:pPr>
              <w:contextualSpacing/>
              <w:rPr>
                <w:b/>
                <w:bCs/>
              </w:rPr>
            </w:pPr>
            <w:r w:rsidRPr="0029110D">
              <w:rPr>
                <w:b/>
                <w:bCs/>
              </w:rPr>
              <w:t xml:space="preserve">Вид </w:t>
            </w:r>
          </w:p>
        </w:tc>
        <w:tc>
          <w:tcPr>
            <w:tcW w:w="2075" w:type="dxa"/>
            <w:shd w:val="clear" w:color="auto" w:fill="D9D9D9" w:themeFill="background1" w:themeFillShade="D9"/>
            <w:vAlign w:val="center"/>
          </w:tcPr>
          <w:p w14:paraId="6AACA870" w14:textId="77777777" w:rsidR="00CF1BE3" w:rsidRPr="0029110D" w:rsidRDefault="00CF1BE3" w:rsidP="009B20AA">
            <w:pPr>
              <w:contextualSpacing/>
              <w:rPr>
                <w:b/>
                <w:bCs/>
              </w:rPr>
            </w:pPr>
            <w:r w:rsidRPr="0029110D">
              <w:rPr>
                <w:b/>
                <w:bCs/>
              </w:rPr>
              <w:t>Тип исследования</w:t>
            </w:r>
          </w:p>
        </w:tc>
        <w:tc>
          <w:tcPr>
            <w:tcW w:w="3166" w:type="dxa"/>
            <w:shd w:val="clear" w:color="auto" w:fill="D9D9D9" w:themeFill="background1" w:themeFillShade="D9"/>
            <w:vAlign w:val="center"/>
          </w:tcPr>
          <w:p w14:paraId="7CC6BBE8" w14:textId="77777777" w:rsidR="00CF1BE3" w:rsidRPr="0029110D" w:rsidRDefault="00CF1BE3" w:rsidP="009B20AA">
            <w:pPr>
              <w:contextualSpacing/>
              <w:rPr>
                <w:b/>
                <w:bCs/>
              </w:rPr>
            </w:pPr>
            <w:r w:rsidRPr="0029110D">
              <w:rPr>
                <w:b/>
                <w:bCs/>
              </w:rPr>
              <w:t>Доза, мг/кг/сут</w:t>
            </w:r>
          </w:p>
        </w:tc>
        <w:tc>
          <w:tcPr>
            <w:tcW w:w="1254" w:type="dxa"/>
            <w:shd w:val="clear" w:color="auto" w:fill="D9D9D9" w:themeFill="background1" w:themeFillShade="D9"/>
            <w:vAlign w:val="center"/>
          </w:tcPr>
          <w:p w14:paraId="6F23B0B5" w14:textId="77777777" w:rsidR="00CF1BE3" w:rsidRPr="0029110D" w:rsidRDefault="00CF1BE3" w:rsidP="009B20AA">
            <w:pPr>
              <w:contextualSpacing/>
              <w:rPr>
                <w:b/>
                <w:bCs/>
              </w:rPr>
            </w:pPr>
            <w:r w:rsidRPr="0029110D">
              <w:rPr>
                <w:b/>
                <w:bCs/>
                <w:lang w:val="en-US"/>
              </w:rPr>
              <w:t>AUC</w:t>
            </w:r>
            <w:r w:rsidRPr="0029110D">
              <w:rPr>
                <w:b/>
                <w:bCs/>
                <w:vertAlign w:val="subscript"/>
              </w:rPr>
              <w:t>0-24</w:t>
            </w:r>
            <w:r w:rsidRPr="0029110D">
              <w:rPr>
                <w:b/>
                <w:bCs/>
              </w:rPr>
              <w:t>, нг*ч/мл</w:t>
            </w:r>
          </w:p>
        </w:tc>
        <w:tc>
          <w:tcPr>
            <w:tcW w:w="1724" w:type="dxa"/>
            <w:shd w:val="clear" w:color="auto" w:fill="D9D9D9" w:themeFill="background1" w:themeFillShade="D9"/>
            <w:vAlign w:val="center"/>
          </w:tcPr>
          <w:p w14:paraId="473F12A7" w14:textId="77777777" w:rsidR="00CF1BE3" w:rsidRPr="0029110D" w:rsidRDefault="00CF1BE3" w:rsidP="009B20AA">
            <w:pPr>
              <w:contextualSpacing/>
              <w:rPr>
                <w:b/>
                <w:bCs/>
              </w:rPr>
            </w:pPr>
            <w:r w:rsidRPr="0029110D">
              <w:rPr>
                <w:b/>
                <w:bCs/>
              </w:rPr>
              <w:t>Коэффициент экспозиции #</w:t>
            </w:r>
          </w:p>
        </w:tc>
      </w:tr>
      <w:tr w:rsidR="00CF1BE3" w:rsidRPr="0029110D" w14:paraId="68D228E3" w14:textId="77777777" w:rsidTr="0029110D">
        <w:trPr>
          <w:trHeight w:val="20"/>
        </w:trPr>
        <w:tc>
          <w:tcPr>
            <w:tcW w:w="1110" w:type="dxa"/>
            <w:vMerge w:val="restart"/>
            <w:vAlign w:val="center"/>
          </w:tcPr>
          <w:p w14:paraId="07D4B92D" w14:textId="77777777" w:rsidR="00CF1BE3" w:rsidRPr="0029110D" w:rsidRDefault="00CF1BE3" w:rsidP="00511EB4">
            <w:r w:rsidRPr="0029110D">
              <w:t xml:space="preserve">Крысы </w:t>
            </w:r>
          </w:p>
        </w:tc>
        <w:tc>
          <w:tcPr>
            <w:tcW w:w="2075" w:type="dxa"/>
            <w:vMerge w:val="restart"/>
            <w:vAlign w:val="center"/>
          </w:tcPr>
          <w:p w14:paraId="06D0A494" w14:textId="77777777" w:rsidR="00CF1BE3" w:rsidRPr="0029110D" w:rsidRDefault="00CF1BE3" w:rsidP="00511EB4">
            <w:r w:rsidRPr="0029110D">
              <w:t>Фертильность</w:t>
            </w:r>
          </w:p>
        </w:tc>
        <w:tc>
          <w:tcPr>
            <w:tcW w:w="3166" w:type="dxa"/>
            <w:vMerge w:val="restart"/>
          </w:tcPr>
          <w:p w14:paraId="0D468235" w14:textId="77777777" w:rsidR="00CF1BE3" w:rsidRPr="0029110D" w:rsidRDefault="00CF1BE3" w:rsidP="00511EB4">
            <w:r w:rsidRPr="0029110D">
              <w:t>5 (</w:t>
            </w:r>
            <w:r w:rsidRPr="0029110D">
              <w:rPr>
                <w:lang w:val="en-US"/>
              </w:rPr>
              <w:t>NOAEL</w:t>
            </w:r>
            <w:r w:rsidRPr="0029110D">
              <w:t xml:space="preserve"> в отношении фертильности самцов и в отношении раннего эмбрионального развития, </w:t>
            </w:r>
            <w:r w:rsidRPr="0029110D">
              <w:rPr>
                <w:lang w:val="en-US"/>
              </w:rPr>
              <w:t>NOAEL</w:t>
            </w:r>
            <w:r w:rsidRPr="0029110D">
              <w:t xml:space="preserve"> для самок)</w:t>
            </w:r>
          </w:p>
        </w:tc>
        <w:tc>
          <w:tcPr>
            <w:tcW w:w="1254" w:type="dxa"/>
          </w:tcPr>
          <w:p w14:paraId="64FDE6D2" w14:textId="77777777" w:rsidR="00CF1BE3" w:rsidRPr="0029110D" w:rsidRDefault="00CF1BE3" w:rsidP="00511EB4">
            <w:r w:rsidRPr="0029110D">
              <w:t>♂1875</w:t>
            </w:r>
          </w:p>
        </w:tc>
        <w:tc>
          <w:tcPr>
            <w:tcW w:w="1724" w:type="dxa"/>
          </w:tcPr>
          <w:p w14:paraId="7B8CEFA3" w14:textId="77777777" w:rsidR="00CF1BE3" w:rsidRPr="0029110D" w:rsidRDefault="00CF1BE3" w:rsidP="00511EB4">
            <w:r w:rsidRPr="0029110D">
              <w:t>4</w:t>
            </w:r>
          </w:p>
        </w:tc>
      </w:tr>
      <w:tr w:rsidR="00CF1BE3" w:rsidRPr="0029110D" w14:paraId="493BD52D" w14:textId="77777777" w:rsidTr="0029110D">
        <w:trPr>
          <w:trHeight w:val="20"/>
        </w:trPr>
        <w:tc>
          <w:tcPr>
            <w:tcW w:w="1110" w:type="dxa"/>
            <w:vMerge/>
          </w:tcPr>
          <w:p w14:paraId="61778339" w14:textId="77777777" w:rsidR="00CF1BE3" w:rsidRPr="0029110D" w:rsidRDefault="00CF1BE3" w:rsidP="00511EB4"/>
        </w:tc>
        <w:tc>
          <w:tcPr>
            <w:tcW w:w="2075" w:type="dxa"/>
            <w:vMerge/>
          </w:tcPr>
          <w:p w14:paraId="40F21E17" w14:textId="77777777" w:rsidR="00CF1BE3" w:rsidRPr="0029110D" w:rsidRDefault="00CF1BE3" w:rsidP="00511EB4"/>
        </w:tc>
        <w:tc>
          <w:tcPr>
            <w:tcW w:w="3166" w:type="dxa"/>
            <w:vMerge/>
          </w:tcPr>
          <w:p w14:paraId="23791FEA" w14:textId="77777777" w:rsidR="00CF1BE3" w:rsidRPr="0029110D" w:rsidRDefault="00CF1BE3" w:rsidP="00511EB4"/>
        </w:tc>
        <w:tc>
          <w:tcPr>
            <w:tcW w:w="1254" w:type="dxa"/>
          </w:tcPr>
          <w:p w14:paraId="78CA1963" w14:textId="77777777" w:rsidR="00CF1BE3" w:rsidRPr="0029110D" w:rsidRDefault="00CF1BE3" w:rsidP="00511EB4">
            <w:r w:rsidRPr="0029110D">
              <w:t>♀1972</w:t>
            </w:r>
          </w:p>
        </w:tc>
        <w:tc>
          <w:tcPr>
            <w:tcW w:w="1724" w:type="dxa"/>
          </w:tcPr>
          <w:p w14:paraId="7C3CF2CE" w14:textId="77777777" w:rsidR="00CF1BE3" w:rsidRPr="0029110D" w:rsidRDefault="00CF1BE3" w:rsidP="00511EB4">
            <w:r w:rsidRPr="0029110D">
              <w:t>4</w:t>
            </w:r>
          </w:p>
        </w:tc>
      </w:tr>
      <w:tr w:rsidR="00CF1BE3" w:rsidRPr="0029110D" w14:paraId="6A02100A" w14:textId="77777777" w:rsidTr="0029110D">
        <w:trPr>
          <w:trHeight w:val="20"/>
        </w:trPr>
        <w:tc>
          <w:tcPr>
            <w:tcW w:w="1110" w:type="dxa"/>
            <w:vMerge/>
          </w:tcPr>
          <w:p w14:paraId="176E016E" w14:textId="77777777" w:rsidR="00CF1BE3" w:rsidRPr="0029110D" w:rsidRDefault="00CF1BE3" w:rsidP="00511EB4"/>
        </w:tc>
        <w:tc>
          <w:tcPr>
            <w:tcW w:w="2075" w:type="dxa"/>
            <w:vMerge/>
          </w:tcPr>
          <w:p w14:paraId="7239A9E1" w14:textId="77777777" w:rsidR="00CF1BE3" w:rsidRPr="0029110D" w:rsidRDefault="00CF1BE3" w:rsidP="00511EB4"/>
        </w:tc>
        <w:tc>
          <w:tcPr>
            <w:tcW w:w="3166" w:type="dxa"/>
          </w:tcPr>
          <w:p w14:paraId="29372389" w14:textId="77777777" w:rsidR="00CF1BE3" w:rsidRPr="0029110D" w:rsidRDefault="00CF1BE3" w:rsidP="00511EB4">
            <w:r w:rsidRPr="0029110D">
              <w:t>15 (</w:t>
            </w:r>
            <w:r w:rsidRPr="0029110D">
              <w:rPr>
                <w:lang w:val="en-US"/>
              </w:rPr>
              <w:t>NOAEL</w:t>
            </w:r>
            <w:r w:rsidRPr="0029110D">
              <w:t xml:space="preserve"> в отношении фертильности самцов)</w:t>
            </w:r>
          </w:p>
        </w:tc>
        <w:tc>
          <w:tcPr>
            <w:tcW w:w="1254" w:type="dxa"/>
          </w:tcPr>
          <w:p w14:paraId="435B0FEB" w14:textId="77777777" w:rsidR="00CF1BE3" w:rsidRPr="0029110D" w:rsidRDefault="00CF1BE3" w:rsidP="00511EB4">
            <w:r w:rsidRPr="0029110D">
              <w:t>♂5859</w:t>
            </w:r>
          </w:p>
        </w:tc>
        <w:tc>
          <w:tcPr>
            <w:tcW w:w="1724" w:type="dxa"/>
          </w:tcPr>
          <w:p w14:paraId="177E7959" w14:textId="77777777" w:rsidR="00CF1BE3" w:rsidRPr="0029110D" w:rsidRDefault="00CF1BE3" w:rsidP="00511EB4">
            <w:r w:rsidRPr="0029110D">
              <w:t>12</w:t>
            </w:r>
          </w:p>
        </w:tc>
      </w:tr>
      <w:tr w:rsidR="00CF1BE3" w:rsidRPr="0029110D" w14:paraId="12890E31" w14:textId="77777777" w:rsidTr="0029110D">
        <w:trPr>
          <w:trHeight w:val="20"/>
        </w:trPr>
        <w:tc>
          <w:tcPr>
            <w:tcW w:w="1110" w:type="dxa"/>
            <w:vMerge/>
          </w:tcPr>
          <w:p w14:paraId="6C2E3F20" w14:textId="77777777" w:rsidR="00CF1BE3" w:rsidRPr="0029110D" w:rsidRDefault="00CF1BE3" w:rsidP="00511EB4"/>
        </w:tc>
        <w:tc>
          <w:tcPr>
            <w:tcW w:w="2075" w:type="dxa"/>
            <w:vMerge/>
          </w:tcPr>
          <w:p w14:paraId="45389341" w14:textId="77777777" w:rsidR="00CF1BE3" w:rsidRPr="0029110D" w:rsidRDefault="00CF1BE3" w:rsidP="00511EB4"/>
        </w:tc>
        <w:tc>
          <w:tcPr>
            <w:tcW w:w="3166" w:type="dxa"/>
          </w:tcPr>
          <w:p w14:paraId="2675FC5B" w14:textId="77777777" w:rsidR="00CF1BE3" w:rsidRPr="0029110D" w:rsidRDefault="00CF1BE3" w:rsidP="00511EB4">
            <w:r w:rsidRPr="0029110D">
              <w:t>25 (</w:t>
            </w:r>
            <w:r w:rsidRPr="0029110D">
              <w:rPr>
                <w:lang w:val="en-US"/>
              </w:rPr>
              <w:t>NOAEL</w:t>
            </w:r>
            <w:r w:rsidRPr="0029110D">
              <w:t xml:space="preserve"> в отношении беременных самок)</w:t>
            </w:r>
          </w:p>
        </w:tc>
        <w:tc>
          <w:tcPr>
            <w:tcW w:w="1254" w:type="dxa"/>
          </w:tcPr>
          <w:p w14:paraId="175EFD70" w14:textId="77777777" w:rsidR="00CF1BE3" w:rsidRPr="0029110D" w:rsidRDefault="00CF1BE3" w:rsidP="00511EB4">
            <w:r w:rsidRPr="0029110D">
              <w:t>♀11332</w:t>
            </w:r>
          </w:p>
        </w:tc>
        <w:tc>
          <w:tcPr>
            <w:tcW w:w="1724" w:type="dxa"/>
          </w:tcPr>
          <w:p w14:paraId="322D6504" w14:textId="77777777" w:rsidR="00CF1BE3" w:rsidRPr="0029110D" w:rsidRDefault="00CF1BE3" w:rsidP="00511EB4">
            <w:r w:rsidRPr="0029110D">
              <w:t>24</w:t>
            </w:r>
          </w:p>
        </w:tc>
      </w:tr>
      <w:tr w:rsidR="00CF1BE3" w:rsidRPr="0029110D" w14:paraId="32C21602" w14:textId="77777777" w:rsidTr="0029110D">
        <w:trPr>
          <w:trHeight w:val="20"/>
        </w:trPr>
        <w:tc>
          <w:tcPr>
            <w:tcW w:w="1110" w:type="dxa"/>
            <w:vMerge/>
          </w:tcPr>
          <w:p w14:paraId="2EF22912" w14:textId="77777777" w:rsidR="00CF1BE3" w:rsidRPr="0029110D" w:rsidRDefault="00CF1BE3" w:rsidP="00511EB4"/>
        </w:tc>
        <w:tc>
          <w:tcPr>
            <w:tcW w:w="2075" w:type="dxa"/>
            <w:vMerge/>
          </w:tcPr>
          <w:p w14:paraId="1B1E6504" w14:textId="77777777" w:rsidR="00CF1BE3" w:rsidRPr="0029110D" w:rsidRDefault="00CF1BE3" w:rsidP="00511EB4"/>
        </w:tc>
        <w:tc>
          <w:tcPr>
            <w:tcW w:w="3166" w:type="dxa"/>
          </w:tcPr>
          <w:p w14:paraId="78161D3F" w14:textId="77777777" w:rsidR="00CF1BE3" w:rsidRPr="0029110D" w:rsidRDefault="00CF1BE3" w:rsidP="00511EB4">
            <w:r w:rsidRPr="0029110D">
              <w:t>50</w:t>
            </w:r>
          </w:p>
        </w:tc>
        <w:tc>
          <w:tcPr>
            <w:tcW w:w="1254" w:type="dxa"/>
          </w:tcPr>
          <w:p w14:paraId="036CEF14" w14:textId="77777777" w:rsidR="00CF1BE3" w:rsidRPr="0029110D" w:rsidRDefault="00CF1BE3" w:rsidP="00511EB4">
            <w:r w:rsidRPr="0029110D">
              <w:t>♂26870</w:t>
            </w:r>
          </w:p>
        </w:tc>
        <w:tc>
          <w:tcPr>
            <w:tcW w:w="1724" w:type="dxa"/>
          </w:tcPr>
          <w:p w14:paraId="051C890B" w14:textId="77777777" w:rsidR="00CF1BE3" w:rsidRPr="0029110D" w:rsidRDefault="00CF1BE3" w:rsidP="00511EB4">
            <w:r w:rsidRPr="0029110D">
              <w:t>56</w:t>
            </w:r>
          </w:p>
        </w:tc>
      </w:tr>
      <w:tr w:rsidR="00CF1BE3" w:rsidRPr="0029110D" w14:paraId="3484EA80" w14:textId="77777777" w:rsidTr="0029110D">
        <w:trPr>
          <w:trHeight w:val="20"/>
        </w:trPr>
        <w:tc>
          <w:tcPr>
            <w:tcW w:w="1110" w:type="dxa"/>
            <w:vMerge/>
          </w:tcPr>
          <w:p w14:paraId="5AD3083E" w14:textId="77777777" w:rsidR="00CF1BE3" w:rsidRPr="0029110D" w:rsidRDefault="00CF1BE3" w:rsidP="00511EB4"/>
        </w:tc>
        <w:tc>
          <w:tcPr>
            <w:tcW w:w="2075" w:type="dxa"/>
            <w:vMerge/>
          </w:tcPr>
          <w:p w14:paraId="6CF0113B" w14:textId="77777777" w:rsidR="00CF1BE3" w:rsidRPr="0029110D" w:rsidRDefault="00CF1BE3" w:rsidP="00511EB4"/>
        </w:tc>
        <w:tc>
          <w:tcPr>
            <w:tcW w:w="3166" w:type="dxa"/>
          </w:tcPr>
          <w:p w14:paraId="50D1F50D" w14:textId="77777777" w:rsidR="00CF1BE3" w:rsidRPr="0029110D" w:rsidRDefault="00CF1BE3" w:rsidP="00511EB4">
            <w:r w:rsidRPr="0029110D">
              <w:t>100</w:t>
            </w:r>
          </w:p>
        </w:tc>
        <w:tc>
          <w:tcPr>
            <w:tcW w:w="1254" w:type="dxa"/>
          </w:tcPr>
          <w:p w14:paraId="21B2CDDD" w14:textId="77777777" w:rsidR="00CF1BE3" w:rsidRPr="0029110D" w:rsidRDefault="00CF1BE3" w:rsidP="00511EB4">
            <w:r w:rsidRPr="0029110D">
              <w:t>♀40444</w:t>
            </w:r>
          </w:p>
        </w:tc>
        <w:tc>
          <w:tcPr>
            <w:tcW w:w="1724" w:type="dxa"/>
          </w:tcPr>
          <w:p w14:paraId="63905E77" w14:textId="77777777" w:rsidR="00CF1BE3" w:rsidRPr="0029110D" w:rsidRDefault="00CF1BE3" w:rsidP="00511EB4">
            <w:r w:rsidRPr="0029110D">
              <w:t>85</w:t>
            </w:r>
          </w:p>
        </w:tc>
      </w:tr>
      <w:tr w:rsidR="00CF1BE3" w:rsidRPr="0029110D" w14:paraId="4573232E" w14:textId="77777777" w:rsidTr="0029110D">
        <w:trPr>
          <w:trHeight w:val="20"/>
        </w:trPr>
        <w:tc>
          <w:tcPr>
            <w:tcW w:w="1110" w:type="dxa"/>
            <w:vMerge/>
          </w:tcPr>
          <w:p w14:paraId="6A250039" w14:textId="77777777" w:rsidR="00CF1BE3" w:rsidRPr="0029110D" w:rsidRDefault="00CF1BE3" w:rsidP="00511EB4"/>
        </w:tc>
        <w:tc>
          <w:tcPr>
            <w:tcW w:w="2075" w:type="dxa"/>
            <w:vMerge w:val="restart"/>
          </w:tcPr>
          <w:p w14:paraId="28866EBD" w14:textId="77777777" w:rsidR="00CF1BE3" w:rsidRPr="0029110D" w:rsidRDefault="00CF1BE3" w:rsidP="00511EB4">
            <w:r w:rsidRPr="0029110D">
              <w:t>Эмбриофетальное развитие</w:t>
            </w:r>
          </w:p>
        </w:tc>
        <w:tc>
          <w:tcPr>
            <w:tcW w:w="3166" w:type="dxa"/>
          </w:tcPr>
          <w:p w14:paraId="48530EF1" w14:textId="77777777" w:rsidR="00CF1BE3" w:rsidRPr="0029110D" w:rsidRDefault="00CF1BE3" w:rsidP="00511EB4">
            <w:r w:rsidRPr="0029110D">
              <w:t>2 (</w:t>
            </w:r>
            <w:r w:rsidRPr="0029110D">
              <w:rPr>
                <w:lang w:val="en-US"/>
              </w:rPr>
              <w:t>NOAEL</w:t>
            </w:r>
            <w:r w:rsidRPr="0029110D">
              <w:t xml:space="preserve"> в отношении беременных самок и эмбриофетального развития)</w:t>
            </w:r>
          </w:p>
        </w:tc>
        <w:tc>
          <w:tcPr>
            <w:tcW w:w="1254" w:type="dxa"/>
          </w:tcPr>
          <w:p w14:paraId="35711BED" w14:textId="77777777" w:rsidR="00CF1BE3" w:rsidRPr="0029110D" w:rsidRDefault="00CF1BE3" w:rsidP="00511EB4">
            <w:r w:rsidRPr="0029110D">
              <w:t>1092</w:t>
            </w:r>
          </w:p>
        </w:tc>
        <w:tc>
          <w:tcPr>
            <w:tcW w:w="1724" w:type="dxa"/>
          </w:tcPr>
          <w:p w14:paraId="4F492DE9" w14:textId="77777777" w:rsidR="00CF1BE3" w:rsidRPr="0029110D" w:rsidRDefault="00CF1BE3" w:rsidP="00511EB4">
            <w:r w:rsidRPr="0029110D">
              <w:t>2</w:t>
            </w:r>
          </w:p>
        </w:tc>
      </w:tr>
      <w:tr w:rsidR="00CF1BE3" w:rsidRPr="0029110D" w14:paraId="2E597D98" w14:textId="77777777" w:rsidTr="0029110D">
        <w:trPr>
          <w:trHeight w:val="20"/>
        </w:trPr>
        <w:tc>
          <w:tcPr>
            <w:tcW w:w="1110" w:type="dxa"/>
            <w:vMerge/>
          </w:tcPr>
          <w:p w14:paraId="6D1965E3" w14:textId="77777777" w:rsidR="00CF1BE3" w:rsidRPr="0029110D" w:rsidRDefault="00CF1BE3" w:rsidP="00511EB4"/>
        </w:tc>
        <w:tc>
          <w:tcPr>
            <w:tcW w:w="2075" w:type="dxa"/>
            <w:vMerge/>
          </w:tcPr>
          <w:p w14:paraId="0266AEED" w14:textId="77777777" w:rsidR="00CF1BE3" w:rsidRPr="0029110D" w:rsidRDefault="00CF1BE3" w:rsidP="00511EB4"/>
        </w:tc>
        <w:tc>
          <w:tcPr>
            <w:tcW w:w="3166" w:type="dxa"/>
          </w:tcPr>
          <w:p w14:paraId="38517E82" w14:textId="77777777" w:rsidR="00CF1BE3" w:rsidRPr="0029110D" w:rsidRDefault="00CF1BE3" w:rsidP="00511EB4">
            <w:r w:rsidRPr="0029110D">
              <w:t>10</w:t>
            </w:r>
          </w:p>
        </w:tc>
        <w:tc>
          <w:tcPr>
            <w:tcW w:w="1254" w:type="dxa"/>
          </w:tcPr>
          <w:p w14:paraId="296F14DA" w14:textId="77777777" w:rsidR="00CF1BE3" w:rsidRPr="0029110D" w:rsidRDefault="00CF1BE3" w:rsidP="00511EB4">
            <w:r w:rsidRPr="0029110D">
              <w:t>4866</w:t>
            </w:r>
          </w:p>
        </w:tc>
        <w:tc>
          <w:tcPr>
            <w:tcW w:w="1724" w:type="dxa"/>
          </w:tcPr>
          <w:p w14:paraId="257FAE96" w14:textId="77777777" w:rsidR="00CF1BE3" w:rsidRPr="0029110D" w:rsidRDefault="00CF1BE3" w:rsidP="00511EB4">
            <w:r w:rsidRPr="0029110D">
              <w:t>10</w:t>
            </w:r>
          </w:p>
        </w:tc>
      </w:tr>
      <w:tr w:rsidR="00CF1BE3" w:rsidRPr="0029110D" w14:paraId="2DE4DF91" w14:textId="77777777" w:rsidTr="0029110D">
        <w:trPr>
          <w:trHeight w:val="20"/>
        </w:trPr>
        <w:tc>
          <w:tcPr>
            <w:tcW w:w="1110" w:type="dxa"/>
            <w:vMerge/>
          </w:tcPr>
          <w:p w14:paraId="3A340689" w14:textId="77777777" w:rsidR="00CF1BE3" w:rsidRPr="0029110D" w:rsidRDefault="00CF1BE3" w:rsidP="00511EB4"/>
        </w:tc>
        <w:tc>
          <w:tcPr>
            <w:tcW w:w="2075" w:type="dxa"/>
            <w:vMerge/>
          </w:tcPr>
          <w:p w14:paraId="78EB9932" w14:textId="77777777" w:rsidR="00CF1BE3" w:rsidRPr="0029110D" w:rsidRDefault="00CF1BE3" w:rsidP="00511EB4"/>
        </w:tc>
        <w:tc>
          <w:tcPr>
            <w:tcW w:w="3166" w:type="dxa"/>
          </w:tcPr>
          <w:p w14:paraId="016114CB" w14:textId="77777777" w:rsidR="00CF1BE3" w:rsidRPr="0029110D" w:rsidRDefault="00CF1BE3" w:rsidP="00511EB4">
            <w:r w:rsidRPr="0029110D">
              <w:t>40</w:t>
            </w:r>
          </w:p>
        </w:tc>
        <w:tc>
          <w:tcPr>
            <w:tcW w:w="1254" w:type="dxa"/>
          </w:tcPr>
          <w:p w14:paraId="04676C84" w14:textId="77777777" w:rsidR="00CF1BE3" w:rsidRPr="0029110D" w:rsidRDefault="00CF1BE3" w:rsidP="00511EB4">
            <w:r w:rsidRPr="0029110D">
              <w:t>26259</w:t>
            </w:r>
          </w:p>
        </w:tc>
        <w:tc>
          <w:tcPr>
            <w:tcW w:w="1724" w:type="dxa"/>
          </w:tcPr>
          <w:p w14:paraId="0EBAC359" w14:textId="77777777" w:rsidR="00CF1BE3" w:rsidRPr="0029110D" w:rsidRDefault="00CF1BE3" w:rsidP="00511EB4">
            <w:r w:rsidRPr="0029110D">
              <w:t>55</w:t>
            </w:r>
          </w:p>
        </w:tc>
      </w:tr>
      <w:tr w:rsidR="00CF1BE3" w:rsidRPr="0029110D" w14:paraId="4B4D81D1" w14:textId="77777777" w:rsidTr="0029110D">
        <w:trPr>
          <w:trHeight w:val="20"/>
        </w:trPr>
        <w:tc>
          <w:tcPr>
            <w:tcW w:w="1110" w:type="dxa"/>
            <w:vMerge/>
          </w:tcPr>
          <w:p w14:paraId="40619B05" w14:textId="77777777" w:rsidR="00CF1BE3" w:rsidRPr="0029110D" w:rsidRDefault="00CF1BE3" w:rsidP="00511EB4"/>
        </w:tc>
        <w:tc>
          <w:tcPr>
            <w:tcW w:w="2075" w:type="dxa"/>
            <w:vMerge w:val="restart"/>
          </w:tcPr>
          <w:p w14:paraId="7B84D698" w14:textId="77777777" w:rsidR="00CF1BE3" w:rsidRPr="0029110D" w:rsidRDefault="00CF1BE3" w:rsidP="00511EB4">
            <w:r w:rsidRPr="0029110D">
              <w:t xml:space="preserve">Пренатальное и постнатальное развитие </w:t>
            </w:r>
            <w:r w:rsidRPr="0029110D">
              <w:rPr>
                <w:lang w:val="en-US"/>
              </w:rPr>
              <w:t>F</w:t>
            </w:r>
            <w:r w:rsidRPr="0029110D">
              <w:rPr>
                <w:vertAlign w:val="subscript"/>
              </w:rPr>
              <w:t xml:space="preserve">0 </w:t>
            </w:r>
            <w:r w:rsidRPr="0029110D">
              <w:rPr>
                <w:lang w:val="en-US"/>
              </w:rPr>
              <w:t>LD</w:t>
            </w:r>
            <w:r w:rsidRPr="0029110D">
              <w:t>4</w:t>
            </w:r>
          </w:p>
        </w:tc>
        <w:tc>
          <w:tcPr>
            <w:tcW w:w="3166" w:type="dxa"/>
          </w:tcPr>
          <w:p w14:paraId="322985DF" w14:textId="77777777" w:rsidR="00CF1BE3" w:rsidRPr="0029110D" w:rsidRDefault="00CF1BE3" w:rsidP="00511EB4">
            <w:r w:rsidRPr="0029110D">
              <w:t>2 (</w:t>
            </w:r>
            <w:r w:rsidRPr="0029110D">
              <w:rPr>
                <w:lang w:val="en-US"/>
              </w:rPr>
              <w:t>NOAEL</w:t>
            </w:r>
            <w:r w:rsidRPr="0029110D">
              <w:t xml:space="preserve"> в отношении развития </w:t>
            </w:r>
            <w:r w:rsidRPr="0029110D">
              <w:rPr>
                <w:lang w:val="en-US"/>
              </w:rPr>
              <w:t>F</w:t>
            </w:r>
            <w:r w:rsidRPr="0029110D">
              <w:rPr>
                <w:vertAlign w:val="subscript"/>
              </w:rPr>
              <w:t>1</w:t>
            </w:r>
            <w:r w:rsidRPr="0029110D">
              <w:t>)</w:t>
            </w:r>
          </w:p>
        </w:tc>
        <w:tc>
          <w:tcPr>
            <w:tcW w:w="1254" w:type="dxa"/>
          </w:tcPr>
          <w:p w14:paraId="7E019134" w14:textId="77777777" w:rsidR="00CF1BE3" w:rsidRPr="0029110D" w:rsidRDefault="00CF1BE3" w:rsidP="00511EB4">
            <w:r w:rsidRPr="0029110D">
              <w:t>840</w:t>
            </w:r>
          </w:p>
        </w:tc>
        <w:tc>
          <w:tcPr>
            <w:tcW w:w="1724" w:type="dxa"/>
          </w:tcPr>
          <w:p w14:paraId="1D2C65E3" w14:textId="77777777" w:rsidR="00CF1BE3" w:rsidRPr="0029110D" w:rsidRDefault="00CF1BE3" w:rsidP="00511EB4">
            <w:r w:rsidRPr="0029110D">
              <w:t>2</w:t>
            </w:r>
          </w:p>
        </w:tc>
      </w:tr>
      <w:tr w:rsidR="00CF1BE3" w:rsidRPr="0029110D" w14:paraId="1F109B44" w14:textId="77777777" w:rsidTr="0029110D">
        <w:trPr>
          <w:trHeight w:val="20"/>
        </w:trPr>
        <w:tc>
          <w:tcPr>
            <w:tcW w:w="1110" w:type="dxa"/>
            <w:vMerge/>
          </w:tcPr>
          <w:p w14:paraId="777A0C49" w14:textId="77777777" w:rsidR="00CF1BE3" w:rsidRPr="0029110D" w:rsidRDefault="00CF1BE3" w:rsidP="00511EB4"/>
        </w:tc>
        <w:tc>
          <w:tcPr>
            <w:tcW w:w="2075" w:type="dxa"/>
            <w:vMerge/>
          </w:tcPr>
          <w:p w14:paraId="203632CD" w14:textId="77777777" w:rsidR="00CF1BE3" w:rsidRPr="0029110D" w:rsidRDefault="00CF1BE3" w:rsidP="00511EB4"/>
        </w:tc>
        <w:tc>
          <w:tcPr>
            <w:tcW w:w="3166" w:type="dxa"/>
          </w:tcPr>
          <w:p w14:paraId="5A4793B3" w14:textId="77777777" w:rsidR="00CF1BE3" w:rsidRPr="0029110D" w:rsidRDefault="00CF1BE3" w:rsidP="00511EB4">
            <w:r w:rsidRPr="0029110D">
              <w:t>5</w:t>
            </w:r>
          </w:p>
        </w:tc>
        <w:tc>
          <w:tcPr>
            <w:tcW w:w="1254" w:type="dxa"/>
          </w:tcPr>
          <w:p w14:paraId="06FA20D5" w14:textId="77777777" w:rsidR="00CF1BE3" w:rsidRPr="0029110D" w:rsidRDefault="00CF1BE3" w:rsidP="00511EB4">
            <w:r w:rsidRPr="0029110D">
              <w:t>2110</w:t>
            </w:r>
          </w:p>
        </w:tc>
        <w:tc>
          <w:tcPr>
            <w:tcW w:w="1724" w:type="dxa"/>
          </w:tcPr>
          <w:p w14:paraId="44CA46F2" w14:textId="77777777" w:rsidR="00CF1BE3" w:rsidRPr="0029110D" w:rsidRDefault="00CF1BE3" w:rsidP="00511EB4">
            <w:pPr>
              <w:rPr>
                <w:lang w:val="en-US"/>
              </w:rPr>
            </w:pPr>
            <w:r w:rsidRPr="0029110D">
              <w:rPr>
                <w:lang w:val="en-US"/>
              </w:rPr>
              <w:t>4</w:t>
            </w:r>
          </w:p>
        </w:tc>
      </w:tr>
      <w:tr w:rsidR="00CF1BE3" w:rsidRPr="0029110D" w14:paraId="1309DE25" w14:textId="77777777" w:rsidTr="0029110D">
        <w:trPr>
          <w:trHeight w:val="20"/>
        </w:trPr>
        <w:tc>
          <w:tcPr>
            <w:tcW w:w="1110" w:type="dxa"/>
            <w:vMerge/>
          </w:tcPr>
          <w:p w14:paraId="5B214203" w14:textId="77777777" w:rsidR="00CF1BE3" w:rsidRPr="0029110D" w:rsidRDefault="00CF1BE3" w:rsidP="00511EB4"/>
        </w:tc>
        <w:tc>
          <w:tcPr>
            <w:tcW w:w="2075" w:type="dxa"/>
            <w:vMerge/>
          </w:tcPr>
          <w:p w14:paraId="25EE63C7" w14:textId="77777777" w:rsidR="00CF1BE3" w:rsidRPr="0029110D" w:rsidRDefault="00CF1BE3" w:rsidP="00511EB4"/>
        </w:tc>
        <w:tc>
          <w:tcPr>
            <w:tcW w:w="3166" w:type="dxa"/>
          </w:tcPr>
          <w:p w14:paraId="45769858" w14:textId="77777777" w:rsidR="00CF1BE3" w:rsidRPr="0029110D" w:rsidRDefault="00CF1BE3" w:rsidP="00511EB4">
            <w:r w:rsidRPr="0029110D">
              <w:t>25 (</w:t>
            </w:r>
            <w:r w:rsidRPr="0029110D">
              <w:rPr>
                <w:lang w:val="en-US"/>
              </w:rPr>
              <w:t>NOAEL</w:t>
            </w:r>
            <w:r w:rsidRPr="0029110D">
              <w:t xml:space="preserve"> </w:t>
            </w:r>
            <w:r w:rsidRPr="0029110D">
              <w:rPr>
                <w:lang w:val="en-US"/>
              </w:rPr>
              <w:t>F</w:t>
            </w:r>
            <w:r w:rsidRPr="0029110D">
              <w:rPr>
                <w:vertAlign w:val="subscript"/>
                <w:lang w:val="en-US"/>
              </w:rPr>
              <w:t>0</w:t>
            </w:r>
            <w:r w:rsidRPr="0029110D">
              <w:rPr>
                <w:lang w:val="en-US"/>
              </w:rPr>
              <w:t xml:space="preserve"> </w:t>
            </w:r>
            <w:r w:rsidRPr="0029110D">
              <w:t>♀)</w:t>
            </w:r>
          </w:p>
        </w:tc>
        <w:tc>
          <w:tcPr>
            <w:tcW w:w="1254" w:type="dxa"/>
          </w:tcPr>
          <w:p w14:paraId="71BF33A5" w14:textId="77777777" w:rsidR="00CF1BE3" w:rsidRPr="0029110D" w:rsidRDefault="00CF1BE3" w:rsidP="00511EB4">
            <w:r w:rsidRPr="0029110D">
              <w:t>10300</w:t>
            </w:r>
          </w:p>
        </w:tc>
        <w:tc>
          <w:tcPr>
            <w:tcW w:w="1724" w:type="dxa"/>
          </w:tcPr>
          <w:p w14:paraId="4F2D2C50" w14:textId="77777777" w:rsidR="00CF1BE3" w:rsidRPr="0029110D" w:rsidRDefault="00CF1BE3" w:rsidP="00511EB4">
            <w:pPr>
              <w:rPr>
                <w:lang w:val="en-US"/>
              </w:rPr>
            </w:pPr>
            <w:r w:rsidRPr="0029110D">
              <w:rPr>
                <w:lang w:val="en-US"/>
              </w:rPr>
              <w:t>22</w:t>
            </w:r>
          </w:p>
        </w:tc>
      </w:tr>
      <w:tr w:rsidR="00CF1BE3" w:rsidRPr="0029110D" w14:paraId="4AA1F7FE" w14:textId="77777777" w:rsidTr="0029110D">
        <w:trPr>
          <w:trHeight w:val="20"/>
        </w:trPr>
        <w:tc>
          <w:tcPr>
            <w:tcW w:w="1110" w:type="dxa"/>
            <w:vMerge w:val="restart"/>
            <w:vAlign w:val="center"/>
          </w:tcPr>
          <w:p w14:paraId="7C9BE630" w14:textId="77777777" w:rsidR="00CF1BE3" w:rsidRPr="0029110D" w:rsidRDefault="00CF1BE3" w:rsidP="00511EB4">
            <w:r w:rsidRPr="0029110D">
              <w:t xml:space="preserve">Кролики </w:t>
            </w:r>
          </w:p>
        </w:tc>
        <w:tc>
          <w:tcPr>
            <w:tcW w:w="2075" w:type="dxa"/>
            <w:vMerge w:val="restart"/>
            <w:vAlign w:val="center"/>
          </w:tcPr>
          <w:p w14:paraId="03DABAD9" w14:textId="77777777" w:rsidR="00CF1BE3" w:rsidRPr="0029110D" w:rsidRDefault="00CF1BE3" w:rsidP="00511EB4">
            <w:r w:rsidRPr="0029110D">
              <w:t>Эмбриофетальное развитие (20 день беременности)</w:t>
            </w:r>
          </w:p>
        </w:tc>
        <w:tc>
          <w:tcPr>
            <w:tcW w:w="3166" w:type="dxa"/>
          </w:tcPr>
          <w:p w14:paraId="793ED099" w14:textId="77777777" w:rsidR="00CF1BE3" w:rsidRPr="0029110D" w:rsidRDefault="00CF1BE3" w:rsidP="00511EB4">
            <w:r w:rsidRPr="0029110D">
              <w:t xml:space="preserve">3 </w:t>
            </w:r>
          </w:p>
        </w:tc>
        <w:tc>
          <w:tcPr>
            <w:tcW w:w="1254" w:type="dxa"/>
          </w:tcPr>
          <w:p w14:paraId="79D57F81" w14:textId="77777777" w:rsidR="00CF1BE3" w:rsidRPr="0029110D" w:rsidRDefault="00CF1BE3" w:rsidP="00511EB4">
            <w:r w:rsidRPr="0029110D">
              <w:t>1096</w:t>
            </w:r>
          </w:p>
        </w:tc>
        <w:tc>
          <w:tcPr>
            <w:tcW w:w="1724" w:type="dxa"/>
          </w:tcPr>
          <w:p w14:paraId="0E8976DF" w14:textId="77777777" w:rsidR="00CF1BE3" w:rsidRPr="0029110D" w:rsidRDefault="00CF1BE3" w:rsidP="00511EB4">
            <w:r w:rsidRPr="0029110D">
              <w:t>2</w:t>
            </w:r>
          </w:p>
        </w:tc>
      </w:tr>
      <w:tr w:rsidR="00CF1BE3" w:rsidRPr="0029110D" w14:paraId="0505C262" w14:textId="77777777" w:rsidTr="0029110D">
        <w:trPr>
          <w:trHeight w:val="20"/>
        </w:trPr>
        <w:tc>
          <w:tcPr>
            <w:tcW w:w="1110" w:type="dxa"/>
            <w:vMerge/>
          </w:tcPr>
          <w:p w14:paraId="42B3A0D7" w14:textId="77777777" w:rsidR="00CF1BE3" w:rsidRPr="0029110D" w:rsidRDefault="00CF1BE3" w:rsidP="00511EB4"/>
        </w:tc>
        <w:tc>
          <w:tcPr>
            <w:tcW w:w="2075" w:type="dxa"/>
            <w:vMerge/>
          </w:tcPr>
          <w:p w14:paraId="002E4295" w14:textId="77777777" w:rsidR="00CF1BE3" w:rsidRPr="0029110D" w:rsidRDefault="00CF1BE3" w:rsidP="00511EB4"/>
        </w:tc>
        <w:tc>
          <w:tcPr>
            <w:tcW w:w="3166" w:type="dxa"/>
          </w:tcPr>
          <w:p w14:paraId="09BD05E1" w14:textId="77777777" w:rsidR="00CF1BE3" w:rsidRPr="0029110D" w:rsidRDefault="00CF1BE3" w:rsidP="00511EB4">
            <w:r w:rsidRPr="0029110D">
              <w:t>10 (</w:t>
            </w:r>
            <w:r w:rsidRPr="0029110D">
              <w:rPr>
                <w:lang w:val="en-US"/>
              </w:rPr>
              <w:t>NOAEL</w:t>
            </w:r>
            <w:r w:rsidRPr="0029110D">
              <w:t xml:space="preserve"> в отношении беременных самок и эмбриофетального развития)</w:t>
            </w:r>
          </w:p>
        </w:tc>
        <w:tc>
          <w:tcPr>
            <w:tcW w:w="1254" w:type="dxa"/>
          </w:tcPr>
          <w:p w14:paraId="3397419D" w14:textId="77777777" w:rsidR="00CF1BE3" w:rsidRPr="0029110D" w:rsidRDefault="00CF1BE3" w:rsidP="00511EB4">
            <w:r w:rsidRPr="0029110D">
              <w:t>3027</w:t>
            </w:r>
          </w:p>
        </w:tc>
        <w:tc>
          <w:tcPr>
            <w:tcW w:w="1724" w:type="dxa"/>
          </w:tcPr>
          <w:p w14:paraId="4CBCE0B8" w14:textId="77777777" w:rsidR="00CF1BE3" w:rsidRPr="0029110D" w:rsidRDefault="00CF1BE3" w:rsidP="00511EB4">
            <w:r w:rsidRPr="0029110D">
              <w:t>6</w:t>
            </w:r>
          </w:p>
        </w:tc>
      </w:tr>
      <w:tr w:rsidR="00CF1BE3" w:rsidRPr="0029110D" w14:paraId="6AC4DEA4" w14:textId="77777777" w:rsidTr="0029110D">
        <w:trPr>
          <w:trHeight w:val="20"/>
        </w:trPr>
        <w:tc>
          <w:tcPr>
            <w:tcW w:w="1110" w:type="dxa"/>
            <w:vMerge/>
          </w:tcPr>
          <w:p w14:paraId="48FEE8FE" w14:textId="77777777" w:rsidR="00CF1BE3" w:rsidRPr="0029110D" w:rsidRDefault="00CF1BE3" w:rsidP="00511EB4"/>
        </w:tc>
        <w:tc>
          <w:tcPr>
            <w:tcW w:w="2075" w:type="dxa"/>
            <w:vMerge/>
          </w:tcPr>
          <w:p w14:paraId="763D255F" w14:textId="77777777" w:rsidR="00CF1BE3" w:rsidRPr="0029110D" w:rsidRDefault="00CF1BE3" w:rsidP="00511EB4"/>
        </w:tc>
        <w:tc>
          <w:tcPr>
            <w:tcW w:w="3166" w:type="dxa"/>
          </w:tcPr>
          <w:p w14:paraId="22CFAA32" w14:textId="77777777" w:rsidR="00CF1BE3" w:rsidRPr="0029110D" w:rsidRDefault="00CF1BE3" w:rsidP="00511EB4">
            <w:r w:rsidRPr="0029110D">
              <w:t xml:space="preserve">30 </w:t>
            </w:r>
          </w:p>
        </w:tc>
        <w:tc>
          <w:tcPr>
            <w:tcW w:w="1254" w:type="dxa"/>
          </w:tcPr>
          <w:p w14:paraId="13C0FD3C" w14:textId="77777777" w:rsidR="00CF1BE3" w:rsidRPr="0029110D" w:rsidRDefault="00CF1BE3" w:rsidP="00511EB4">
            <w:r w:rsidRPr="0029110D">
              <w:t>20094</w:t>
            </w:r>
          </w:p>
        </w:tc>
        <w:tc>
          <w:tcPr>
            <w:tcW w:w="1724" w:type="dxa"/>
          </w:tcPr>
          <w:p w14:paraId="6DBF9BB2" w14:textId="77777777" w:rsidR="00CF1BE3" w:rsidRPr="0029110D" w:rsidRDefault="00CF1BE3" w:rsidP="00511EB4">
            <w:r w:rsidRPr="0029110D">
              <w:t>42</w:t>
            </w:r>
          </w:p>
        </w:tc>
      </w:tr>
      <w:tr w:rsidR="00CF1BE3" w:rsidRPr="0029110D" w14:paraId="59D0C2C4" w14:textId="77777777" w:rsidTr="0029110D">
        <w:trPr>
          <w:trHeight w:val="20"/>
        </w:trPr>
        <w:tc>
          <w:tcPr>
            <w:tcW w:w="9329" w:type="dxa"/>
            <w:gridSpan w:val="5"/>
          </w:tcPr>
          <w:p w14:paraId="1D9E37D6" w14:textId="0741A432" w:rsidR="00CF1BE3" w:rsidRPr="0029110D" w:rsidRDefault="009B20AA" w:rsidP="009B20AA">
            <w:pPr>
              <w:contextualSpacing/>
              <w:rPr>
                <w:sz w:val="20"/>
                <w:szCs w:val="20"/>
              </w:rPr>
            </w:pPr>
            <w:r w:rsidRPr="0029110D">
              <w:rPr>
                <w:b/>
                <w:sz w:val="20"/>
                <w:szCs w:val="20"/>
              </w:rPr>
              <w:t>Примечание:</w:t>
            </w:r>
            <w:r w:rsidRPr="0029110D">
              <w:rPr>
                <w:sz w:val="20"/>
                <w:szCs w:val="20"/>
              </w:rPr>
              <w:br/>
            </w:r>
            <w:r w:rsidR="007F72CA" w:rsidRPr="0029110D">
              <w:rPr>
                <w:sz w:val="20"/>
                <w:szCs w:val="20"/>
                <w:lang w:val="en-US"/>
              </w:rPr>
              <w:t>NOAEL</w:t>
            </w:r>
            <w:r w:rsidR="007F72CA" w:rsidRPr="0029110D">
              <w:rPr>
                <w:sz w:val="20"/>
                <w:szCs w:val="20"/>
              </w:rPr>
              <w:t xml:space="preserve"> – доза, не оказывающая наблюдаемого нежелательного эффекта; </w:t>
            </w:r>
            <w:r w:rsidR="007F72CA" w:rsidRPr="0029110D">
              <w:rPr>
                <w:sz w:val="20"/>
                <w:szCs w:val="20"/>
                <w:lang w:val="en-US"/>
              </w:rPr>
              <w:t>F</w:t>
            </w:r>
            <w:r w:rsidR="007F72CA" w:rsidRPr="0029110D">
              <w:rPr>
                <w:sz w:val="20"/>
                <w:szCs w:val="20"/>
                <w:vertAlign w:val="subscript"/>
              </w:rPr>
              <w:t>0</w:t>
            </w:r>
            <w:r w:rsidR="007F72CA" w:rsidRPr="0029110D">
              <w:rPr>
                <w:sz w:val="20"/>
                <w:szCs w:val="20"/>
              </w:rPr>
              <w:t xml:space="preserve"> – поколение животных, </w:t>
            </w:r>
            <w:r w:rsidR="007F72CA" w:rsidRPr="0029110D">
              <w:rPr>
                <w:sz w:val="20"/>
                <w:szCs w:val="20"/>
              </w:rPr>
              <w:lastRenderedPageBreak/>
              <w:t xml:space="preserve">которым осуществлялось введение; </w:t>
            </w:r>
            <w:r w:rsidR="007F72CA" w:rsidRPr="0029110D">
              <w:rPr>
                <w:sz w:val="20"/>
                <w:szCs w:val="20"/>
                <w:lang w:val="en-US"/>
              </w:rPr>
              <w:t>AUC</w:t>
            </w:r>
            <w:r w:rsidR="007F72CA" w:rsidRPr="0029110D">
              <w:rPr>
                <w:sz w:val="20"/>
                <w:szCs w:val="20"/>
                <w:vertAlign w:val="subscript"/>
              </w:rPr>
              <w:t>0-24</w:t>
            </w:r>
            <w:r w:rsidR="007F72CA" w:rsidRPr="0029110D">
              <w:rPr>
                <w:sz w:val="20"/>
                <w:szCs w:val="20"/>
              </w:rPr>
              <w:t xml:space="preserve"> – площадь под фармакокинетической кривой «плазменная концентрация–время» от ноля до 24 ч; # – коэффициент экспозиции </w:t>
            </w:r>
            <w:r w:rsidR="007F72CA" w:rsidRPr="0029110D">
              <w:rPr>
                <w:sz w:val="20"/>
                <w:szCs w:val="20"/>
                <w:lang w:val="en-US"/>
              </w:rPr>
              <w:t>AUC</w:t>
            </w:r>
            <w:r w:rsidR="007F72CA" w:rsidRPr="0029110D">
              <w:rPr>
                <w:sz w:val="20"/>
                <w:szCs w:val="20"/>
                <w:vertAlign w:val="subscript"/>
              </w:rPr>
              <w:t xml:space="preserve">0-24 </w:t>
            </w:r>
            <w:r w:rsidR="007F72CA" w:rsidRPr="0029110D">
              <w:rPr>
                <w:sz w:val="20"/>
                <w:szCs w:val="20"/>
              </w:rPr>
              <w:t>животные:</w:t>
            </w:r>
            <w:r w:rsidR="007F72CA" w:rsidRPr="0029110D">
              <w:rPr>
                <w:sz w:val="20"/>
                <w:szCs w:val="20"/>
              </w:rPr>
              <w:t xml:space="preserve"> </w:t>
            </w:r>
            <w:r w:rsidR="007F72CA" w:rsidRPr="0029110D">
              <w:rPr>
                <w:sz w:val="20"/>
                <w:szCs w:val="20"/>
              </w:rPr>
              <w:t xml:space="preserve">человек; ♀ – самки; ♂ – самцы. </w:t>
            </w:r>
          </w:p>
        </w:tc>
      </w:tr>
    </w:tbl>
    <w:p w14:paraId="38CCB19F" w14:textId="77777777" w:rsidR="00CF1BE3" w:rsidRPr="004634EA" w:rsidRDefault="00CF1BE3" w:rsidP="0029110D">
      <w:pPr>
        <w:pStyle w:val="4"/>
        <w:spacing w:before="240" w:after="240"/>
        <w:rPr>
          <w:color w:val="000000" w:themeColor="text1"/>
        </w:rPr>
      </w:pPr>
      <w:bookmarkStart w:id="118" w:name="_Toc120288150"/>
      <w:r>
        <w:rPr>
          <w:color w:val="000000" w:themeColor="text1"/>
          <w:szCs w:val="24"/>
        </w:rPr>
        <w:lastRenderedPageBreak/>
        <w:t>3.3.5.1. Влияние на фертильность и ранняя эмбриональная токсичность</w:t>
      </w:r>
      <w:bookmarkEnd w:id="118"/>
    </w:p>
    <w:p w14:paraId="1FC6E121" w14:textId="1D2F9587" w:rsidR="00CF1BE3" w:rsidRDefault="00CF1BE3">
      <w:pPr>
        <w:spacing w:after="0" w:line="240" w:lineRule="auto"/>
        <w:ind w:firstLine="708"/>
        <w:contextualSpacing/>
      </w:pPr>
      <w:r>
        <w:t>Результаты комбинированного исследования фертильности самцов/самок и раннего эмбрионального развития крыс включали снижение общей способности к спариванию, снижение индекса копуляции самцов (на 30%), дозозависимую тенденцию к снижению индекса фертильности самцов (н</w:t>
      </w:r>
      <w:r w:rsidR="009B20AA">
        <w:t>а 30%) после введения дозы 56*</w:t>
      </w:r>
      <w:r>
        <w:t>MHRD. Введение барицитиниба также значительно снижало индекс зачатия у самок (на 30%) и индуцировало дозозависимую тенденцию к снижению индекса зачатия (на 30</w:t>
      </w:r>
      <w:r w:rsidR="009B20AA">
        <w:t>%) после применения в дозе 85*</w:t>
      </w:r>
      <w:r>
        <w:t>MHRD. У самок крыс наблюдалось уменьшение количества желтых тел (на 30%) и мест имплантации (на 50%), увеличение предимплантационных потерь (в 4 раза), увеличение числа ранних внутриутробных смертей (в 15 раз) и увеличение комбинированной ранней и поздней внутриутробной смертности после вв</w:t>
      </w:r>
      <w:r w:rsidR="009B20AA">
        <w:t>едения барицитиниба в дозе 85*</w:t>
      </w:r>
      <w:r>
        <w:t xml:space="preserve">MHRD. </w:t>
      </w:r>
      <w:r w:rsidRPr="002D0576">
        <w:t>Уровень отсутствия наблюдаемого воздействия (NOEL)</w:t>
      </w:r>
      <w:r>
        <w:t xml:space="preserve"> в отношении фертильности и раннего эмбри</w:t>
      </w:r>
      <w:r w:rsidR="009B20AA">
        <w:t>онального развития составил 4*</w:t>
      </w:r>
      <w:r w:rsidRPr="00CF1BE3">
        <w:t xml:space="preserve">MHRD </w:t>
      </w:r>
      <w:r w:rsidRPr="00CF1BE3">
        <w:fldChar w:fldCharType="begin"/>
      </w:r>
      <w:r w:rsidRPr="00CF1BE3">
        <w:instrText xml:space="preserve"> ADDIN ZOTERO_ITEM CSL_CITATION {"citationID":"8Kle5g4q","properties":{"formattedCitation":"[1]","plainCitation":"[1]","noteIndex":0},"citationItems":[{"id":3825,"uris":["http://zotero.org/groups/4514912/items/7R9UX5LD"],"itemData":{"id":3825,"type":"document","title":"Australian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45880EEB" w14:textId="77777777" w:rsidR="00EB77C9" w:rsidRPr="00D21480" w:rsidRDefault="00EB77C9">
      <w:pPr>
        <w:spacing w:after="0" w:line="240" w:lineRule="auto"/>
        <w:ind w:firstLine="708"/>
        <w:contextualSpacing/>
      </w:pPr>
    </w:p>
    <w:p w14:paraId="2BB76397" w14:textId="77777777" w:rsidR="00CF1BE3" w:rsidRPr="004634EA" w:rsidRDefault="00CF1BE3" w:rsidP="00AB1FF1">
      <w:pPr>
        <w:pStyle w:val="4"/>
        <w:spacing w:before="0" w:after="240"/>
        <w:contextualSpacing/>
        <w:rPr>
          <w:color w:val="000000" w:themeColor="text1"/>
        </w:rPr>
      </w:pPr>
      <w:bookmarkStart w:id="119" w:name="_Toc120288151"/>
      <w:r>
        <w:rPr>
          <w:color w:val="000000" w:themeColor="text1"/>
          <w:szCs w:val="24"/>
        </w:rPr>
        <w:t>3.3.5.2. Эмбрио-фетальная токсичность</w:t>
      </w:r>
      <w:bookmarkEnd w:id="119"/>
    </w:p>
    <w:p w14:paraId="35745EF7" w14:textId="1B050545" w:rsidR="00CF1BE3" w:rsidRDefault="00CF1BE3">
      <w:pPr>
        <w:spacing w:after="0" w:line="240" w:lineRule="auto"/>
        <w:ind w:firstLine="709"/>
        <w:contextualSpacing/>
      </w:pPr>
      <w:r>
        <w:t>В исследовании эмбриофетального развития крыс внутрижелудочное вве</w:t>
      </w:r>
      <w:r w:rsidR="009B20AA">
        <w:t>дение барицитиниба в дозе ≥10*</w:t>
      </w:r>
      <w:r>
        <w:t>MHRD в течение 6–17 дней беременности вызывало повышение частоты неблагоприятных пороков развития костей конечностей (2/24 при дозе 10 мг/кг/день; 15/24 при дозе 40 мг/кг/день) и увеличение частоты развития пороков ребер (6/24 при дозе 10 мг/кг/день; 3/24 при дозе 40 мг/кг/день). Барицитиниб в высоких дозах (40 мг/кг/день в тече</w:t>
      </w:r>
      <w:r w:rsidR="009B20AA">
        <w:t>ние 6–17 дни беременности, 55*</w:t>
      </w:r>
      <w:r>
        <w:t>MHRD) также вызывал искривление седьмого ребра и искривления других ребер плод</w:t>
      </w:r>
      <w:r w:rsidR="009B20AA">
        <w:t>ов. Пероральное введение (≤30*</w:t>
      </w:r>
      <w:r>
        <w:t>MHRD) кроликам не вызывало пороков развития плода, несмотря на наличие материнской смертности. Однако</w:t>
      </w:r>
      <w:r w:rsidR="009B20AA">
        <w:t xml:space="preserve"> в группе с высокой дозой (42*</w:t>
      </w:r>
      <w:r>
        <w:t xml:space="preserve">MHRD) было отмечено значительное снижение среднего числа живых плодов (на 7% по сравнению с контрольной группой). Это коррелировало со значительным увеличением среднего числа поздних внутриутробных смертей (в 12 раз по сравнению с контрольной группой) и значительным снижением массы плодов (на 10,9% по сравнению с контрольной </w:t>
      </w:r>
      <w:r w:rsidRPr="00CF1BE3">
        <w:t xml:space="preserve">группой) </w:t>
      </w:r>
      <w:r w:rsidRPr="00CF1BE3">
        <w:fldChar w:fldCharType="begin"/>
      </w:r>
      <w:r w:rsidRPr="00CF1BE3">
        <w:instrText xml:space="preserve"> ADDIN ZOTERO_ITEM CSL_CITATION {"citationID":"XOfAGI7R","properties":{"formattedCitation":"[1]","plainCitation":"[1]","noteIndex":0},"citationItems":[{"id":3825,"uris":["http://zotero.org/groups/4514912/items/7R9UX5LD"],"itemData":{"id":3825,"type":"document","title":"Australian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2AA7DFE4" w14:textId="77777777" w:rsidR="00EB77C9" w:rsidRDefault="00EB77C9">
      <w:pPr>
        <w:spacing w:after="0" w:line="240" w:lineRule="auto"/>
        <w:ind w:firstLine="709"/>
        <w:contextualSpacing/>
      </w:pPr>
    </w:p>
    <w:p w14:paraId="4C6BEBAB" w14:textId="77777777" w:rsidR="00CF1BE3" w:rsidRPr="004634EA" w:rsidRDefault="00CF1BE3" w:rsidP="00AB1FF1">
      <w:pPr>
        <w:pStyle w:val="4"/>
        <w:spacing w:before="0" w:after="240"/>
        <w:contextualSpacing/>
        <w:rPr>
          <w:color w:val="000000" w:themeColor="text1"/>
        </w:rPr>
      </w:pPr>
      <w:bookmarkStart w:id="120" w:name="_Toc120288152"/>
      <w:r>
        <w:rPr>
          <w:color w:val="000000" w:themeColor="text1"/>
          <w:szCs w:val="24"/>
        </w:rPr>
        <w:t>3.3.5.3. Влияние на п</w:t>
      </w:r>
      <w:r w:rsidRPr="002211BA">
        <w:rPr>
          <w:color w:val="000000" w:themeColor="text1"/>
          <w:szCs w:val="24"/>
        </w:rPr>
        <w:t>рената</w:t>
      </w:r>
      <w:r>
        <w:rPr>
          <w:color w:val="000000" w:themeColor="text1"/>
          <w:szCs w:val="24"/>
        </w:rPr>
        <w:t>льное и постнатальное развитие</w:t>
      </w:r>
      <w:bookmarkEnd w:id="120"/>
    </w:p>
    <w:p w14:paraId="633CD2F7" w14:textId="6B07BF6D" w:rsidR="00CF1BE3" w:rsidRPr="00CF1BE3" w:rsidRDefault="00CF1BE3">
      <w:pPr>
        <w:spacing w:after="0" w:line="240" w:lineRule="auto"/>
        <w:ind w:firstLine="708"/>
        <w:contextualSpacing/>
      </w:pPr>
      <w:r>
        <w:t>В исследовании токсичности барицитиниба в отношении пре- и постнатального развития на крысах установили негативное воздействие на животных F</w:t>
      </w:r>
      <w:r w:rsidRPr="002D0549">
        <w:rPr>
          <w:vertAlign w:val="subscript"/>
        </w:rPr>
        <w:t>1</w:t>
      </w:r>
      <w:r>
        <w:t>, полученных от материнских особей, получавших барицитини</w:t>
      </w:r>
      <w:r w:rsidR="009B20AA">
        <w:t>б в дозах 22*</w:t>
      </w:r>
      <w:r>
        <w:t xml:space="preserve">MHRD. Неблагоприятные эффекты в отношении следующих поколений </w:t>
      </w:r>
      <w:r w:rsidRPr="00CF1BE3">
        <w:t xml:space="preserve">маловероятны </w:t>
      </w:r>
      <w:r w:rsidRPr="00CF1BE3">
        <w:fldChar w:fldCharType="begin"/>
      </w:r>
      <w:r w:rsidRPr="00CF1BE3">
        <w:instrText xml:space="preserve"> ADDIN ZOTERO_ITEM CSL_CITATION {"citationID":"TxG3eE7B","properties":{"formattedCitation":"[1]","plainCitation":"[1]","noteIndex":0},"citationItems":[{"id":3825,"uris":["http://zotero.org/groups/4514912/items/7R9UX5LD"],"itemData":{"id":3825,"type":"document","title":"Australian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2F763163" w14:textId="7D2A2137" w:rsidR="00CF1BE3" w:rsidRDefault="00CF1BE3">
      <w:pPr>
        <w:spacing w:after="0" w:line="240" w:lineRule="auto"/>
        <w:ind w:firstLine="708"/>
        <w:contextualSpacing/>
      </w:pPr>
      <w:r w:rsidRPr="00CF1BE3">
        <w:t xml:space="preserve">У самок </w:t>
      </w:r>
      <w:r w:rsidRPr="00CF1BE3">
        <w:rPr>
          <w:lang w:val="en-US"/>
        </w:rPr>
        <w:t>F</w:t>
      </w:r>
      <w:r w:rsidRPr="00CF1BE3">
        <w:rPr>
          <w:vertAlign w:val="subscript"/>
        </w:rPr>
        <w:t>1</w:t>
      </w:r>
      <w:r w:rsidRPr="00CF1BE3">
        <w:t xml:space="preserve"> количество цитотоксических Т-клеток было снижено на 35 день после рождения, а количество Т-хелперов увеличилось к 65 дню. Не было отмечено влияния на репродуктивные параметры в группе </w:t>
      </w:r>
      <w:r w:rsidRPr="00CF1BE3">
        <w:rPr>
          <w:lang w:val="en-US"/>
        </w:rPr>
        <w:t>F</w:t>
      </w:r>
      <w:r w:rsidRPr="00CF1BE3">
        <w:rPr>
          <w:vertAlign w:val="subscript"/>
        </w:rPr>
        <w:t>1</w:t>
      </w:r>
      <w:r w:rsidRPr="00CF1BE3">
        <w:t xml:space="preserve"> или на выживаемость группы </w:t>
      </w:r>
      <w:r w:rsidRPr="00CF1BE3">
        <w:rPr>
          <w:lang w:val="en-US"/>
        </w:rPr>
        <w:t>F</w:t>
      </w:r>
      <w:r w:rsidRPr="00CF1BE3">
        <w:rPr>
          <w:vertAlign w:val="subscript"/>
        </w:rPr>
        <w:t>2</w:t>
      </w:r>
      <w:r w:rsidRPr="00CF1BE3">
        <w:t xml:space="preserve">. </w:t>
      </w:r>
      <w:r w:rsidRPr="00CF1BE3">
        <w:rPr>
          <w:lang w:val="en-US"/>
        </w:rPr>
        <w:t>NOAEL</w:t>
      </w:r>
      <w:r w:rsidRPr="00CF1BE3">
        <w:t xml:space="preserve"> для поколения </w:t>
      </w:r>
      <w:r w:rsidRPr="00CF1BE3">
        <w:rPr>
          <w:lang w:val="en-US"/>
        </w:rPr>
        <w:t>F</w:t>
      </w:r>
      <w:r w:rsidRPr="00CF1BE3">
        <w:rPr>
          <w:vertAlign w:val="subscript"/>
        </w:rPr>
        <w:t>1</w:t>
      </w:r>
      <w:r w:rsidRPr="00CF1BE3">
        <w:t xml:space="preserve"> составила 2 мг/кг/день </w:t>
      </w:r>
      <w:r w:rsidRPr="00CF1BE3">
        <w:fldChar w:fldCharType="begin"/>
      </w:r>
      <w:r w:rsidRPr="00CF1BE3">
        <w:instrText xml:space="preserve"> ADDIN ZOTERO_ITEM CSL_CITATION {"citationID":"8SwpHaxZ","properties":{"formattedCitation":"[2]","plainCitation":"[2]","noteIndex":0},"citationItems":[{"id":3826,"uris":["http://zotero.org/groups/4514912/items/UB7ESC4C"],"itemData":{"id":3826,"type":"document","title":"Assessment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CF1BE3">
        <w:fldChar w:fldCharType="separate"/>
      </w:r>
      <w:r w:rsidRPr="00CF1BE3">
        <w:t>[2]</w:t>
      </w:r>
      <w:r w:rsidRPr="00CF1BE3">
        <w:fldChar w:fldCharType="end"/>
      </w:r>
      <w:r w:rsidRPr="00CF1BE3">
        <w:t>.</w:t>
      </w:r>
    </w:p>
    <w:p w14:paraId="54493CD5" w14:textId="77777777" w:rsidR="00EB77C9" w:rsidRPr="00CF1BE3" w:rsidRDefault="00EB77C9">
      <w:pPr>
        <w:spacing w:after="0" w:line="240" w:lineRule="auto"/>
        <w:ind w:firstLine="708"/>
        <w:contextualSpacing/>
      </w:pPr>
    </w:p>
    <w:p w14:paraId="64516CC4" w14:textId="77777777" w:rsidR="00CF1BE3" w:rsidRPr="002211BA" w:rsidRDefault="00CF1BE3" w:rsidP="00AB1FF1">
      <w:pPr>
        <w:pStyle w:val="4"/>
        <w:spacing w:before="0" w:after="240"/>
        <w:contextualSpacing/>
        <w:rPr>
          <w:color w:val="000000" w:themeColor="text1"/>
          <w:szCs w:val="24"/>
        </w:rPr>
      </w:pPr>
      <w:bookmarkStart w:id="121" w:name="_Toc120288153"/>
      <w:r w:rsidRPr="00CF1BE3">
        <w:rPr>
          <w:color w:val="000000" w:themeColor="text1"/>
          <w:szCs w:val="24"/>
        </w:rPr>
        <w:lastRenderedPageBreak/>
        <w:t>3.3.5.4. Ювенильная токсичность</w:t>
      </w:r>
      <w:bookmarkEnd w:id="121"/>
    </w:p>
    <w:p w14:paraId="22C69830" w14:textId="77777777" w:rsidR="00CF1BE3" w:rsidRDefault="00CF1BE3" w:rsidP="009B20AA">
      <w:pPr>
        <w:spacing w:after="0" w:line="240" w:lineRule="auto"/>
        <w:ind w:firstLine="709"/>
        <w:contextualSpacing/>
        <w:rPr>
          <w:bCs/>
          <w:iCs/>
          <w:lang w:eastAsia="en-US"/>
        </w:rPr>
      </w:pPr>
      <w:r>
        <w:rPr>
          <w:bCs/>
          <w:iCs/>
          <w:lang w:eastAsia="en-US"/>
        </w:rPr>
        <w:t>Нет данных.</w:t>
      </w:r>
    </w:p>
    <w:p w14:paraId="37C91C04" w14:textId="77777777" w:rsidR="00CF1BE3" w:rsidRPr="005E6358" w:rsidRDefault="00CF1BE3" w:rsidP="009B20AA">
      <w:pPr>
        <w:pStyle w:val="3"/>
        <w:spacing w:after="240"/>
        <w:contextualSpacing/>
        <w:rPr>
          <w:color w:val="000000" w:themeColor="text1"/>
          <w:szCs w:val="24"/>
        </w:rPr>
      </w:pPr>
      <w:bookmarkStart w:id="122" w:name="_Toc120288154"/>
      <w:r>
        <w:rPr>
          <w:color w:val="000000" w:themeColor="text1"/>
          <w:szCs w:val="24"/>
        </w:rPr>
        <w:t>3.3.6</w:t>
      </w:r>
      <w:r w:rsidRPr="005E6358">
        <w:rPr>
          <w:color w:val="000000" w:themeColor="text1"/>
          <w:szCs w:val="24"/>
        </w:rPr>
        <w:t xml:space="preserve">. </w:t>
      </w:r>
      <w:r w:rsidRPr="00781AE0">
        <w:rPr>
          <w:color w:val="000000" w:themeColor="text1"/>
          <w:szCs w:val="24"/>
        </w:rPr>
        <w:t>Местная переносимость</w:t>
      </w:r>
      <w:bookmarkEnd w:id="122"/>
    </w:p>
    <w:p w14:paraId="3944903B" w14:textId="77777777" w:rsidR="00CF1BE3" w:rsidRPr="00CF1BE3" w:rsidRDefault="00CF1BE3" w:rsidP="009B20AA">
      <w:pPr>
        <w:spacing w:after="0" w:line="240" w:lineRule="auto"/>
        <w:ind w:firstLine="708"/>
        <w:contextualSpacing/>
      </w:pPr>
      <w:r w:rsidRPr="00F32248">
        <w:t xml:space="preserve">Барицитиниб не </w:t>
      </w:r>
      <w:r>
        <w:t xml:space="preserve">вызывал раздражения слизистой глаз </w:t>
      </w:r>
      <w:r w:rsidRPr="00F32248">
        <w:t>на основании результатов теста на помутнение и проницаемость роговицы крупного рогатого скота</w:t>
      </w:r>
      <w:r>
        <w:t xml:space="preserve">. Не выявили </w:t>
      </w:r>
      <w:r w:rsidRPr="00F32248">
        <w:t>местно</w:t>
      </w:r>
      <w:r>
        <w:t xml:space="preserve">-раздражающего </w:t>
      </w:r>
      <w:r w:rsidRPr="00F32248">
        <w:t>действия</w:t>
      </w:r>
      <w:r>
        <w:t xml:space="preserve"> барицитиниба при нанесении на кожу </w:t>
      </w:r>
      <w:r w:rsidRPr="00F32248">
        <w:t>кролик</w:t>
      </w:r>
      <w:r>
        <w:t>ов</w:t>
      </w:r>
      <w:r w:rsidRPr="00F32248">
        <w:t xml:space="preserve">. В токсикологических исследованиях при </w:t>
      </w:r>
      <w:r w:rsidRPr="00CF1BE3">
        <w:t xml:space="preserve">однократном или многократном введениях не было выявлено побочных эффектов со стороны ЖКТ </w:t>
      </w:r>
      <w:r w:rsidRPr="00CF1BE3">
        <w:fldChar w:fldCharType="begin"/>
      </w:r>
      <w:r w:rsidRPr="00CF1BE3">
        <w:instrText xml:space="preserve"> ADDIN ZOTERO_ITEM CSL_CITATION {"citationID":"2X5E479y","properties":{"formattedCitation":"[1]","plainCitation":"[1]","noteIndex":0},"citationItems":[{"id":3825,"uris":["http://zotero.org/groups/4514912/items/7R9UX5LD"],"itemData":{"id":3825,"type":"document","title":"Australian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CF1BE3">
        <w:fldChar w:fldCharType="separate"/>
      </w:r>
      <w:r w:rsidRPr="00CF1BE3">
        <w:t>[1]</w:t>
      </w:r>
      <w:r w:rsidRPr="00CF1BE3">
        <w:fldChar w:fldCharType="end"/>
      </w:r>
      <w:r w:rsidRPr="00CF1BE3">
        <w:t>.</w:t>
      </w:r>
    </w:p>
    <w:p w14:paraId="165E0BEA" w14:textId="77777777" w:rsidR="00CF1BE3" w:rsidRPr="005E6358" w:rsidRDefault="00CF1BE3" w:rsidP="009B20AA">
      <w:pPr>
        <w:pStyle w:val="3"/>
        <w:spacing w:after="240"/>
        <w:contextualSpacing/>
        <w:rPr>
          <w:color w:val="000000" w:themeColor="text1"/>
          <w:szCs w:val="24"/>
        </w:rPr>
      </w:pPr>
      <w:bookmarkStart w:id="123" w:name="_Toc120288155"/>
      <w:r w:rsidRPr="00CF1BE3">
        <w:rPr>
          <w:color w:val="000000" w:themeColor="text1"/>
          <w:szCs w:val="24"/>
        </w:rPr>
        <w:t>3.3.7. Токсикокинетика</w:t>
      </w:r>
      <w:bookmarkEnd w:id="123"/>
    </w:p>
    <w:p w14:paraId="30FBD9BD" w14:textId="2EFC6D77" w:rsidR="00CF1BE3" w:rsidRPr="005D763A" w:rsidRDefault="00CF1BE3" w:rsidP="009B20AA">
      <w:pPr>
        <w:spacing w:after="0" w:line="240" w:lineRule="auto"/>
        <w:ind w:firstLine="708"/>
        <w:contextualSpacing/>
      </w:pPr>
      <w:r w:rsidRPr="00CC2CC0">
        <w:t>Токсикокинети</w:t>
      </w:r>
      <w:r>
        <w:t>ческие параметры барицитиниба изучены</w:t>
      </w:r>
      <w:r w:rsidRPr="00CC2CC0">
        <w:t xml:space="preserve"> при </w:t>
      </w:r>
      <w:r>
        <w:t xml:space="preserve">многократном внутрижелудочном/пероральном введении </w:t>
      </w:r>
      <w:r w:rsidRPr="00CC2CC0">
        <w:t>мыша</w:t>
      </w:r>
      <w:r>
        <w:t>м</w:t>
      </w:r>
      <w:r w:rsidRPr="00CC2CC0">
        <w:t xml:space="preserve"> (</w:t>
      </w:r>
      <w:r>
        <w:t xml:space="preserve">введение </w:t>
      </w:r>
      <w:r w:rsidRPr="00CC2CC0">
        <w:t>от 28 до 176 дней), крыса</w:t>
      </w:r>
      <w:r>
        <w:t>м</w:t>
      </w:r>
      <w:r w:rsidRPr="00CC2CC0">
        <w:t xml:space="preserve"> (</w:t>
      </w:r>
      <w:r>
        <w:t xml:space="preserve">введение </w:t>
      </w:r>
      <w:r w:rsidRPr="00CC2CC0">
        <w:t>от 28 до 176 дней) и собака</w:t>
      </w:r>
      <w:r>
        <w:t>м</w:t>
      </w:r>
      <w:r w:rsidRPr="00CC2CC0">
        <w:t xml:space="preserve"> (</w:t>
      </w:r>
      <w:r>
        <w:t xml:space="preserve">введение </w:t>
      </w:r>
      <w:r w:rsidRPr="00CC2CC0">
        <w:t>от 1 месяца до 39 недель). Всасывание барицитиниба</w:t>
      </w:r>
      <w:r>
        <w:t xml:space="preserve"> при внутрижелудочном/пероральном введении </w:t>
      </w:r>
      <w:r w:rsidRPr="00CC2CC0">
        <w:t>было быстрым (</w:t>
      </w:r>
      <w:r w:rsidR="007F72CA">
        <w:rPr>
          <w:lang w:val="en-US"/>
        </w:rPr>
        <w:t>T</w:t>
      </w:r>
      <w:r w:rsidRPr="00AB1FF1">
        <w:rPr>
          <w:vertAlign w:val="subscript"/>
        </w:rPr>
        <w:t>max</w:t>
      </w:r>
      <w:r w:rsidRPr="00CC2CC0">
        <w:t xml:space="preserve"> от 0,5 до 2 ч) у </w:t>
      </w:r>
      <w:r>
        <w:t xml:space="preserve">всех </w:t>
      </w:r>
      <w:r w:rsidRPr="00CC2CC0">
        <w:t>видов. AUC</w:t>
      </w:r>
      <w:r w:rsidRPr="004F226F">
        <w:rPr>
          <w:vertAlign w:val="subscript"/>
        </w:rPr>
        <w:t>0-24</w:t>
      </w:r>
      <w:r w:rsidRPr="00CC2CC0">
        <w:t xml:space="preserve"> и C</w:t>
      </w:r>
      <w:r w:rsidRPr="00AB1FF1">
        <w:rPr>
          <w:vertAlign w:val="subscript"/>
        </w:rPr>
        <w:t>max</w:t>
      </w:r>
      <w:r w:rsidRPr="00CC2CC0">
        <w:t xml:space="preserve"> </w:t>
      </w:r>
      <w:r>
        <w:t xml:space="preserve">в некоторых исследованиях были не </w:t>
      </w:r>
      <w:r w:rsidRPr="00CC2CC0">
        <w:t xml:space="preserve">пропорциональны дозе в диапазоне доз от 3 до 500 мг/кг. В большинстве случаев фармакокинетические </w:t>
      </w:r>
      <w:r w:rsidRPr="005D763A">
        <w:t>различия между полами были небольшими (менее чем в 2 раза для AUC</w:t>
      </w:r>
      <w:r w:rsidRPr="005D763A">
        <w:rPr>
          <w:vertAlign w:val="subscript"/>
        </w:rPr>
        <w:t xml:space="preserve">0-24 </w:t>
      </w:r>
      <w:r w:rsidRPr="005D763A">
        <w:t>и C</w:t>
      </w:r>
      <w:r w:rsidRPr="00AB1FF1">
        <w:rPr>
          <w:vertAlign w:val="subscript"/>
        </w:rPr>
        <w:t>max</w:t>
      </w:r>
      <w:r w:rsidRPr="005D763A">
        <w:t xml:space="preserve">), и накопления в плазме не происходило </w:t>
      </w:r>
      <w:r w:rsidRPr="005D763A">
        <w:fldChar w:fldCharType="begin"/>
      </w:r>
      <w:r>
        <w:instrText xml:space="preserve"> ADDIN ZOTERO_ITEM CSL_CITATION {"citationID":"LhXimfGj","properties":{"formattedCitation":"[2]","plainCitation":"[2]","noteIndex":0},"citationItems":[{"id":3826,"uris":["http://zotero.org/groups/4514912/items/UB7ESC4C"],"itemData":{"id":3826,"type":"document","title":"Assessment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5D763A">
        <w:fldChar w:fldCharType="separate"/>
      </w:r>
      <w:r w:rsidRPr="004A300A">
        <w:t>[2]</w:t>
      </w:r>
      <w:r w:rsidRPr="005D763A">
        <w:fldChar w:fldCharType="end"/>
      </w:r>
      <w:r w:rsidRPr="005D763A">
        <w:t>.</w:t>
      </w:r>
    </w:p>
    <w:p w14:paraId="48DCF74F" w14:textId="69119F09" w:rsidR="00CF1BE3" w:rsidRPr="005D763A" w:rsidRDefault="00CF1BE3" w:rsidP="009B20AA">
      <w:pPr>
        <w:spacing w:after="0" w:line="240" w:lineRule="auto"/>
        <w:ind w:firstLine="708"/>
        <w:contextualSpacing/>
      </w:pPr>
      <w:r w:rsidRPr="005D763A">
        <w:t xml:space="preserve">Основные токсикокинетические результаты представлены в Таблице 3-4. </w:t>
      </w:r>
      <w:r w:rsidR="007F72CA" w:rsidRPr="005D763A">
        <w:t>Коэффициент воздействия животные:</w:t>
      </w:r>
      <w:r w:rsidR="007F72CA" w:rsidRPr="00AB1FF1">
        <w:t xml:space="preserve"> </w:t>
      </w:r>
      <w:r w:rsidR="007F72CA" w:rsidRPr="005D763A">
        <w:t xml:space="preserve">человек основаны на </w:t>
      </w:r>
      <w:r w:rsidR="007F72CA" w:rsidRPr="005D763A">
        <w:rPr>
          <w:lang w:val="en-US"/>
        </w:rPr>
        <w:t>AUC</w:t>
      </w:r>
      <w:r w:rsidR="007F72CA" w:rsidRPr="005D763A">
        <w:t xml:space="preserve"> у пациентов с РА после многократного приема 4 мг один раз в сутки в течение интервала дозирования в равновесном состоянии (</w:t>
      </w:r>
      <w:r w:rsidR="007F72CA" w:rsidRPr="005D763A">
        <w:rPr>
          <w:lang w:val="en-US"/>
        </w:rPr>
        <w:t>AUCτ</w:t>
      </w:r>
      <w:r w:rsidR="007F72CA" w:rsidRPr="005D763A">
        <w:t>,</w:t>
      </w:r>
      <w:r w:rsidR="007F72CA" w:rsidRPr="005D763A">
        <w:rPr>
          <w:lang w:val="en-US"/>
        </w:rPr>
        <w:t>ss</w:t>
      </w:r>
      <w:r w:rsidR="007F72CA" w:rsidRPr="005D763A">
        <w:t xml:space="preserve">) составил 477,6 нг*ч/мл (из анализа популяционной фармакокинетики исследований </w:t>
      </w:r>
      <w:r w:rsidR="007F72CA" w:rsidRPr="005D763A">
        <w:rPr>
          <w:lang w:val="en-US"/>
        </w:rPr>
        <w:t>II</w:t>
      </w:r>
      <w:r w:rsidR="007F72CA" w:rsidRPr="005D763A">
        <w:t>/</w:t>
      </w:r>
      <w:r w:rsidR="007F72CA" w:rsidRPr="005D763A">
        <w:rPr>
          <w:lang w:val="en-US"/>
        </w:rPr>
        <w:t>III</w:t>
      </w:r>
      <w:r w:rsidR="007F72CA" w:rsidRPr="005D763A">
        <w:t xml:space="preserve"> фазы) </w:t>
      </w:r>
      <w:r w:rsidR="007F72CA" w:rsidRPr="005D763A">
        <w:fldChar w:fldCharType="begin"/>
      </w:r>
      <w:r w:rsidR="007F72CA">
        <w:instrText xml:space="preserve"> ADDIN ZOTERO_ITEM CSL_CITATION {"citationID":"75DLqy8Q","properties":{"formattedCitation":"[2]","plainCitation":"[2]","noteIndex":0},"citationItems":[{"id":3826,"uris":["http://zotero.org/groups/4514912/items/UB7ESC4C"],"itemData":{"id":3826,"type":"document","title":"Assessment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007F72CA" w:rsidRPr="005D763A">
        <w:fldChar w:fldCharType="separate"/>
      </w:r>
      <w:r w:rsidR="007F72CA" w:rsidRPr="004A300A">
        <w:t>[2]</w:t>
      </w:r>
      <w:r w:rsidR="007F72CA" w:rsidRPr="005D763A">
        <w:fldChar w:fldCharType="end"/>
      </w:r>
      <w:r w:rsidR="007F72CA" w:rsidRPr="005D763A">
        <w:t>.</w:t>
      </w:r>
    </w:p>
    <w:p w14:paraId="60086EC2" w14:textId="77777777" w:rsidR="00CF1BE3" w:rsidRPr="005D763A" w:rsidRDefault="00CF1BE3" w:rsidP="009B20AA">
      <w:pPr>
        <w:spacing w:after="0" w:line="240" w:lineRule="auto"/>
        <w:ind w:firstLine="708"/>
        <w:contextualSpacing/>
      </w:pPr>
    </w:p>
    <w:p w14:paraId="3E8DF93E" w14:textId="3C83E3E6" w:rsidR="00CF1BE3" w:rsidRPr="004A300A" w:rsidRDefault="009B20AA" w:rsidP="009B20AA">
      <w:pPr>
        <w:spacing w:after="0" w:line="240" w:lineRule="auto"/>
        <w:contextualSpacing/>
      </w:pPr>
      <w:r>
        <w:rPr>
          <w:b/>
          <w:bCs/>
        </w:rPr>
        <w:t>Таблица 3-4.</w:t>
      </w:r>
      <w:r w:rsidR="00CF1BE3" w:rsidRPr="005D763A">
        <w:rPr>
          <w:b/>
          <w:bCs/>
        </w:rPr>
        <w:t xml:space="preserve"> </w:t>
      </w:r>
      <w:r w:rsidR="00CF1BE3" w:rsidRPr="009B20AA">
        <w:rPr>
          <w:bCs/>
        </w:rPr>
        <w:t>Токсикокинетика бар</w:t>
      </w:r>
      <w:r w:rsidR="004029E9">
        <w:rPr>
          <w:bCs/>
        </w:rPr>
        <w:t>и</w:t>
      </w:r>
      <w:r w:rsidR="00CF1BE3" w:rsidRPr="009B20AA">
        <w:rPr>
          <w:bCs/>
        </w:rPr>
        <w:t>цитиниба в исследованиях с многократным введением</w:t>
      </w:r>
      <w:r w:rsidRPr="009B20AA">
        <w:t>.</w:t>
      </w:r>
    </w:p>
    <w:tbl>
      <w:tblPr>
        <w:tblStyle w:val="a8"/>
        <w:tblW w:w="4873" w:type="pct"/>
        <w:tblInd w:w="136" w:type="dxa"/>
        <w:tblLook w:val="04A0" w:firstRow="1" w:lastRow="0" w:firstColumn="1" w:lastColumn="0" w:noHBand="0" w:noVBand="1"/>
      </w:tblPr>
      <w:tblGrid>
        <w:gridCol w:w="1065"/>
        <w:gridCol w:w="1063"/>
        <w:gridCol w:w="1063"/>
        <w:gridCol w:w="1063"/>
        <w:gridCol w:w="1063"/>
        <w:gridCol w:w="1064"/>
        <w:gridCol w:w="1064"/>
        <w:gridCol w:w="891"/>
        <w:gridCol w:w="993"/>
      </w:tblGrid>
      <w:tr w:rsidR="00CF1BE3" w:rsidRPr="0029110D" w14:paraId="25400FED" w14:textId="77777777" w:rsidTr="00AB1FF1">
        <w:trPr>
          <w:trHeight w:val="20"/>
          <w:tblHeader/>
        </w:trPr>
        <w:tc>
          <w:tcPr>
            <w:tcW w:w="1065" w:type="dxa"/>
            <w:vMerge w:val="restart"/>
            <w:shd w:val="clear" w:color="auto" w:fill="D9D9D9" w:themeFill="background1" w:themeFillShade="D9"/>
            <w:vAlign w:val="center"/>
          </w:tcPr>
          <w:p w14:paraId="679FA786" w14:textId="66AF1B8E" w:rsidR="00CF1BE3" w:rsidRPr="0029110D" w:rsidRDefault="00CF1BE3" w:rsidP="009B20AA">
            <w:pPr>
              <w:contextualSpacing/>
              <w:jc w:val="center"/>
              <w:rPr>
                <w:b/>
                <w:bCs/>
                <w:sz w:val="20"/>
                <w:szCs w:val="20"/>
              </w:rPr>
            </w:pPr>
            <w:r w:rsidRPr="0029110D">
              <w:rPr>
                <w:b/>
                <w:bCs/>
                <w:sz w:val="20"/>
                <w:szCs w:val="20"/>
              </w:rPr>
              <w:t>Вид</w:t>
            </w:r>
          </w:p>
        </w:tc>
        <w:tc>
          <w:tcPr>
            <w:tcW w:w="1063" w:type="dxa"/>
            <w:vMerge w:val="restart"/>
            <w:shd w:val="clear" w:color="auto" w:fill="D9D9D9" w:themeFill="background1" w:themeFillShade="D9"/>
            <w:vAlign w:val="center"/>
          </w:tcPr>
          <w:p w14:paraId="72EA9E03" w14:textId="77777777" w:rsidR="00CF1BE3" w:rsidRPr="0029110D" w:rsidRDefault="00CF1BE3" w:rsidP="009B20AA">
            <w:pPr>
              <w:contextualSpacing/>
              <w:jc w:val="center"/>
              <w:rPr>
                <w:b/>
                <w:bCs/>
                <w:sz w:val="20"/>
                <w:szCs w:val="20"/>
              </w:rPr>
            </w:pPr>
            <w:r w:rsidRPr="0029110D">
              <w:rPr>
                <w:b/>
                <w:bCs/>
                <w:sz w:val="20"/>
                <w:szCs w:val="20"/>
              </w:rPr>
              <w:t>Доза, мг/кг</w:t>
            </w:r>
          </w:p>
        </w:tc>
        <w:tc>
          <w:tcPr>
            <w:tcW w:w="1063" w:type="dxa"/>
            <w:vMerge w:val="restart"/>
            <w:shd w:val="clear" w:color="auto" w:fill="D9D9D9" w:themeFill="background1" w:themeFillShade="D9"/>
            <w:vAlign w:val="center"/>
          </w:tcPr>
          <w:p w14:paraId="2DBCCD3B" w14:textId="66C103E7" w:rsidR="00CF1BE3" w:rsidRPr="0029110D" w:rsidRDefault="00CF1BE3" w:rsidP="009B20AA">
            <w:pPr>
              <w:contextualSpacing/>
              <w:jc w:val="center"/>
              <w:rPr>
                <w:b/>
                <w:bCs/>
                <w:sz w:val="20"/>
                <w:szCs w:val="20"/>
              </w:rPr>
            </w:pPr>
            <w:r w:rsidRPr="0029110D">
              <w:rPr>
                <w:b/>
                <w:bCs/>
                <w:sz w:val="20"/>
                <w:szCs w:val="20"/>
              </w:rPr>
              <w:t>День</w:t>
            </w:r>
          </w:p>
        </w:tc>
        <w:tc>
          <w:tcPr>
            <w:tcW w:w="2126" w:type="dxa"/>
            <w:gridSpan w:val="2"/>
            <w:shd w:val="clear" w:color="auto" w:fill="D9D9D9" w:themeFill="background1" w:themeFillShade="D9"/>
            <w:vAlign w:val="center"/>
          </w:tcPr>
          <w:p w14:paraId="3F1A18E4" w14:textId="77777777" w:rsidR="00CF1BE3" w:rsidRPr="0029110D" w:rsidRDefault="00CF1BE3" w:rsidP="009B20AA">
            <w:pPr>
              <w:contextualSpacing/>
              <w:jc w:val="center"/>
              <w:rPr>
                <w:b/>
                <w:bCs/>
                <w:sz w:val="20"/>
                <w:szCs w:val="20"/>
              </w:rPr>
            </w:pPr>
            <w:r w:rsidRPr="0029110D">
              <w:rPr>
                <w:b/>
                <w:bCs/>
                <w:sz w:val="20"/>
                <w:szCs w:val="20"/>
              </w:rPr>
              <w:t>С</w:t>
            </w:r>
            <w:r w:rsidRPr="0029110D">
              <w:rPr>
                <w:b/>
                <w:bCs/>
                <w:sz w:val="20"/>
                <w:szCs w:val="20"/>
                <w:lang w:val="en-US"/>
              </w:rPr>
              <w:t>max</w:t>
            </w:r>
            <w:r w:rsidRPr="0029110D">
              <w:rPr>
                <w:b/>
                <w:bCs/>
                <w:sz w:val="20"/>
                <w:szCs w:val="20"/>
              </w:rPr>
              <w:t xml:space="preserve"> животных</w:t>
            </w:r>
          </w:p>
        </w:tc>
        <w:tc>
          <w:tcPr>
            <w:tcW w:w="2128" w:type="dxa"/>
            <w:gridSpan w:val="2"/>
            <w:shd w:val="clear" w:color="auto" w:fill="D9D9D9" w:themeFill="background1" w:themeFillShade="D9"/>
            <w:vAlign w:val="center"/>
          </w:tcPr>
          <w:p w14:paraId="6739AF1A" w14:textId="77777777" w:rsidR="00CF1BE3" w:rsidRPr="0029110D" w:rsidRDefault="00CF1BE3" w:rsidP="009B20AA">
            <w:pPr>
              <w:contextualSpacing/>
              <w:jc w:val="center"/>
              <w:rPr>
                <w:b/>
                <w:bCs/>
                <w:sz w:val="20"/>
                <w:szCs w:val="20"/>
              </w:rPr>
            </w:pPr>
            <w:r w:rsidRPr="0029110D">
              <w:rPr>
                <w:b/>
                <w:bCs/>
                <w:sz w:val="20"/>
                <w:szCs w:val="20"/>
                <w:lang w:val="en-US"/>
              </w:rPr>
              <w:t>AUC</w:t>
            </w:r>
            <w:r w:rsidRPr="0029110D">
              <w:rPr>
                <w:b/>
                <w:bCs/>
                <w:sz w:val="20"/>
                <w:szCs w:val="20"/>
                <w:vertAlign w:val="subscript"/>
              </w:rPr>
              <w:t>0-24</w:t>
            </w:r>
            <w:r w:rsidRPr="0029110D">
              <w:rPr>
                <w:b/>
                <w:bCs/>
                <w:sz w:val="20"/>
                <w:szCs w:val="20"/>
              </w:rPr>
              <w:t>, нг*ч/мл</w:t>
            </w:r>
          </w:p>
        </w:tc>
        <w:tc>
          <w:tcPr>
            <w:tcW w:w="1884" w:type="dxa"/>
            <w:gridSpan w:val="2"/>
            <w:shd w:val="clear" w:color="auto" w:fill="D9D9D9" w:themeFill="background1" w:themeFillShade="D9"/>
            <w:vAlign w:val="center"/>
          </w:tcPr>
          <w:p w14:paraId="2AFF7534" w14:textId="77777777" w:rsidR="00CF1BE3" w:rsidRPr="0029110D" w:rsidRDefault="00CF1BE3" w:rsidP="009B20AA">
            <w:pPr>
              <w:contextualSpacing/>
              <w:jc w:val="center"/>
              <w:rPr>
                <w:b/>
                <w:bCs/>
                <w:sz w:val="20"/>
                <w:szCs w:val="20"/>
                <w:vertAlign w:val="subscript"/>
              </w:rPr>
            </w:pPr>
            <w:r w:rsidRPr="0029110D">
              <w:rPr>
                <w:b/>
                <w:bCs/>
                <w:sz w:val="20"/>
                <w:szCs w:val="20"/>
              </w:rPr>
              <w:t xml:space="preserve">Животные: человек </w:t>
            </w:r>
            <w:r w:rsidRPr="0029110D">
              <w:rPr>
                <w:b/>
                <w:bCs/>
                <w:sz w:val="20"/>
                <w:szCs w:val="20"/>
                <w:lang w:val="en-US"/>
              </w:rPr>
              <w:t>AUC</w:t>
            </w:r>
            <w:r w:rsidRPr="0029110D">
              <w:rPr>
                <w:b/>
                <w:bCs/>
                <w:sz w:val="20"/>
                <w:szCs w:val="20"/>
                <w:vertAlign w:val="subscript"/>
              </w:rPr>
              <w:t>0-24</w:t>
            </w:r>
          </w:p>
        </w:tc>
      </w:tr>
      <w:tr w:rsidR="00CF1BE3" w:rsidRPr="0029110D" w14:paraId="130DF01F" w14:textId="77777777" w:rsidTr="00AB1FF1">
        <w:trPr>
          <w:trHeight w:val="20"/>
          <w:tblHeader/>
        </w:trPr>
        <w:tc>
          <w:tcPr>
            <w:tcW w:w="1065" w:type="dxa"/>
            <w:vMerge/>
            <w:shd w:val="clear" w:color="auto" w:fill="D9D9D9" w:themeFill="background1" w:themeFillShade="D9"/>
            <w:vAlign w:val="center"/>
          </w:tcPr>
          <w:p w14:paraId="25AFCE3E" w14:textId="77777777" w:rsidR="00CF1BE3" w:rsidRPr="0029110D" w:rsidRDefault="00CF1BE3" w:rsidP="009B20AA">
            <w:pPr>
              <w:jc w:val="center"/>
              <w:rPr>
                <w:b/>
                <w:bCs/>
                <w:sz w:val="20"/>
                <w:szCs w:val="20"/>
              </w:rPr>
            </w:pPr>
          </w:p>
        </w:tc>
        <w:tc>
          <w:tcPr>
            <w:tcW w:w="1063" w:type="dxa"/>
            <w:vMerge/>
            <w:shd w:val="clear" w:color="auto" w:fill="D9D9D9" w:themeFill="background1" w:themeFillShade="D9"/>
            <w:vAlign w:val="center"/>
          </w:tcPr>
          <w:p w14:paraId="6487DD83" w14:textId="77777777" w:rsidR="00CF1BE3" w:rsidRPr="0029110D" w:rsidRDefault="00CF1BE3" w:rsidP="009B20AA">
            <w:pPr>
              <w:jc w:val="center"/>
              <w:rPr>
                <w:b/>
                <w:bCs/>
                <w:sz w:val="20"/>
                <w:szCs w:val="20"/>
              </w:rPr>
            </w:pPr>
          </w:p>
        </w:tc>
        <w:tc>
          <w:tcPr>
            <w:tcW w:w="1063" w:type="dxa"/>
            <w:vMerge/>
            <w:shd w:val="clear" w:color="auto" w:fill="D9D9D9" w:themeFill="background1" w:themeFillShade="D9"/>
            <w:vAlign w:val="center"/>
          </w:tcPr>
          <w:p w14:paraId="4B49E53F" w14:textId="77777777" w:rsidR="00CF1BE3" w:rsidRPr="0029110D" w:rsidRDefault="00CF1BE3" w:rsidP="009B20AA">
            <w:pPr>
              <w:jc w:val="center"/>
              <w:rPr>
                <w:b/>
                <w:bCs/>
                <w:sz w:val="20"/>
                <w:szCs w:val="20"/>
              </w:rPr>
            </w:pPr>
          </w:p>
        </w:tc>
        <w:tc>
          <w:tcPr>
            <w:tcW w:w="1063" w:type="dxa"/>
            <w:shd w:val="clear" w:color="auto" w:fill="D9D9D9" w:themeFill="background1" w:themeFillShade="D9"/>
            <w:vAlign w:val="center"/>
          </w:tcPr>
          <w:p w14:paraId="6CEC88FC" w14:textId="77777777" w:rsidR="00CF1BE3" w:rsidRPr="0029110D" w:rsidRDefault="00CF1BE3" w:rsidP="009B20AA">
            <w:pPr>
              <w:jc w:val="center"/>
              <w:rPr>
                <w:bCs/>
                <w:sz w:val="20"/>
                <w:szCs w:val="20"/>
              </w:rPr>
            </w:pPr>
            <w:r w:rsidRPr="0029110D">
              <w:rPr>
                <w:bCs/>
                <w:sz w:val="20"/>
                <w:szCs w:val="20"/>
              </w:rPr>
              <w:t>♂</w:t>
            </w:r>
          </w:p>
        </w:tc>
        <w:tc>
          <w:tcPr>
            <w:tcW w:w="1063" w:type="dxa"/>
            <w:shd w:val="clear" w:color="auto" w:fill="D9D9D9" w:themeFill="background1" w:themeFillShade="D9"/>
            <w:vAlign w:val="center"/>
          </w:tcPr>
          <w:p w14:paraId="4950295A" w14:textId="77777777" w:rsidR="00CF1BE3" w:rsidRPr="0029110D" w:rsidRDefault="00CF1BE3" w:rsidP="009B20AA">
            <w:pPr>
              <w:jc w:val="center"/>
              <w:rPr>
                <w:bCs/>
                <w:sz w:val="20"/>
                <w:szCs w:val="20"/>
              </w:rPr>
            </w:pPr>
            <w:r w:rsidRPr="0029110D">
              <w:rPr>
                <w:bCs/>
                <w:sz w:val="20"/>
                <w:szCs w:val="20"/>
              </w:rPr>
              <w:t>♀</w:t>
            </w:r>
          </w:p>
        </w:tc>
        <w:tc>
          <w:tcPr>
            <w:tcW w:w="1064" w:type="dxa"/>
            <w:shd w:val="clear" w:color="auto" w:fill="D9D9D9" w:themeFill="background1" w:themeFillShade="D9"/>
            <w:vAlign w:val="center"/>
          </w:tcPr>
          <w:p w14:paraId="234F3AA3" w14:textId="77777777" w:rsidR="00CF1BE3" w:rsidRPr="0029110D" w:rsidRDefault="00CF1BE3" w:rsidP="009B20AA">
            <w:pPr>
              <w:jc w:val="center"/>
              <w:rPr>
                <w:bCs/>
                <w:sz w:val="20"/>
                <w:szCs w:val="20"/>
              </w:rPr>
            </w:pPr>
            <w:r w:rsidRPr="0029110D">
              <w:rPr>
                <w:bCs/>
                <w:sz w:val="20"/>
                <w:szCs w:val="20"/>
              </w:rPr>
              <w:t>♂</w:t>
            </w:r>
          </w:p>
        </w:tc>
        <w:tc>
          <w:tcPr>
            <w:tcW w:w="1064" w:type="dxa"/>
            <w:shd w:val="clear" w:color="auto" w:fill="D9D9D9" w:themeFill="background1" w:themeFillShade="D9"/>
            <w:vAlign w:val="center"/>
          </w:tcPr>
          <w:p w14:paraId="318949FF" w14:textId="77777777" w:rsidR="00CF1BE3" w:rsidRPr="0029110D" w:rsidRDefault="00CF1BE3" w:rsidP="009B20AA">
            <w:pPr>
              <w:jc w:val="center"/>
              <w:rPr>
                <w:bCs/>
                <w:sz w:val="20"/>
                <w:szCs w:val="20"/>
              </w:rPr>
            </w:pPr>
            <w:r w:rsidRPr="0029110D">
              <w:rPr>
                <w:bCs/>
                <w:sz w:val="20"/>
                <w:szCs w:val="20"/>
              </w:rPr>
              <w:t>♀</w:t>
            </w:r>
          </w:p>
        </w:tc>
        <w:tc>
          <w:tcPr>
            <w:tcW w:w="891" w:type="dxa"/>
            <w:shd w:val="clear" w:color="auto" w:fill="D9D9D9" w:themeFill="background1" w:themeFillShade="D9"/>
            <w:vAlign w:val="center"/>
          </w:tcPr>
          <w:p w14:paraId="7AE879C0" w14:textId="77777777" w:rsidR="00CF1BE3" w:rsidRPr="0029110D" w:rsidRDefault="00CF1BE3" w:rsidP="009B20AA">
            <w:pPr>
              <w:jc w:val="center"/>
              <w:rPr>
                <w:bCs/>
                <w:sz w:val="20"/>
                <w:szCs w:val="20"/>
              </w:rPr>
            </w:pPr>
            <w:r w:rsidRPr="0029110D">
              <w:rPr>
                <w:bCs/>
                <w:sz w:val="20"/>
                <w:szCs w:val="20"/>
              </w:rPr>
              <w:t>♂</w:t>
            </w:r>
          </w:p>
        </w:tc>
        <w:tc>
          <w:tcPr>
            <w:tcW w:w="993" w:type="dxa"/>
            <w:shd w:val="clear" w:color="auto" w:fill="D9D9D9" w:themeFill="background1" w:themeFillShade="D9"/>
            <w:vAlign w:val="center"/>
          </w:tcPr>
          <w:p w14:paraId="4393AAD8" w14:textId="77777777" w:rsidR="00CF1BE3" w:rsidRPr="0029110D" w:rsidRDefault="00CF1BE3" w:rsidP="009B20AA">
            <w:pPr>
              <w:jc w:val="center"/>
              <w:rPr>
                <w:bCs/>
                <w:sz w:val="20"/>
                <w:szCs w:val="20"/>
              </w:rPr>
            </w:pPr>
            <w:r w:rsidRPr="0029110D">
              <w:rPr>
                <w:bCs/>
                <w:sz w:val="20"/>
                <w:szCs w:val="20"/>
              </w:rPr>
              <w:t>♀</w:t>
            </w:r>
          </w:p>
        </w:tc>
      </w:tr>
      <w:tr w:rsidR="00CF1BE3" w:rsidRPr="0029110D" w14:paraId="282B6380" w14:textId="77777777" w:rsidTr="00AB1FF1">
        <w:trPr>
          <w:trHeight w:val="20"/>
        </w:trPr>
        <w:tc>
          <w:tcPr>
            <w:tcW w:w="1065" w:type="dxa"/>
            <w:vMerge w:val="restart"/>
          </w:tcPr>
          <w:p w14:paraId="18C18BF6" w14:textId="77777777" w:rsidR="00CF1BE3" w:rsidRPr="0029110D" w:rsidRDefault="00CF1BE3" w:rsidP="00511EB4">
            <w:pPr>
              <w:rPr>
                <w:sz w:val="20"/>
                <w:szCs w:val="20"/>
              </w:rPr>
            </w:pPr>
            <w:r w:rsidRPr="0029110D">
              <w:rPr>
                <w:sz w:val="20"/>
                <w:szCs w:val="20"/>
              </w:rPr>
              <w:t>Мыши</w:t>
            </w:r>
          </w:p>
        </w:tc>
        <w:tc>
          <w:tcPr>
            <w:tcW w:w="1063" w:type="dxa"/>
            <w:vMerge w:val="restart"/>
          </w:tcPr>
          <w:p w14:paraId="542326C5" w14:textId="77777777" w:rsidR="00CF1BE3" w:rsidRPr="0029110D" w:rsidRDefault="00CF1BE3" w:rsidP="00AB1FF1">
            <w:pPr>
              <w:jc w:val="center"/>
              <w:rPr>
                <w:sz w:val="20"/>
                <w:szCs w:val="20"/>
              </w:rPr>
            </w:pPr>
            <w:r w:rsidRPr="0029110D">
              <w:rPr>
                <w:sz w:val="20"/>
                <w:szCs w:val="20"/>
              </w:rPr>
              <w:t>75</w:t>
            </w:r>
          </w:p>
        </w:tc>
        <w:tc>
          <w:tcPr>
            <w:tcW w:w="1063" w:type="dxa"/>
          </w:tcPr>
          <w:p w14:paraId="63933B91" w14:textId="77777777" w:rsidR="00CF1BE3" w:rsidRPr="0029110D" w:rsidRDefault="00CF1BE3" w:rsidP="00AB1FF1">
            <w:pPr>
              <w:jc w:val="center"/>
              <w:rPr>
                <w:sz w:val="20"/>
                <w:szCs w:val="20"/>
              </w:rPr>
            </w:pPr>
            <w:r w:rsidRPr="0029110D">
              <w:rPr>
                <w:sz w:val="20"/>
                <w:szCs w:val="20"/>
              </w:rPr>
              <w:t>1</w:t>
            </w:r>
          </w:p>
        </w:tc>
        <w:tc>
          <w:tcPr>
            <w:tcW w:w="1063" w:type="dxa"/>
          </w:tcPr>
          <w:p w14:paraId="22610803" w14:textId="77777777" w:rsidR="00CF1BE3" w:rsidRPr="0029110D" w:rsidRDefault="00CF1BE3" w:rsidP="00AB1FF1">
            <w:pPr>
              <w:jc w:val="center"/>
              <w:rPr>
                <w:sz w:val="20"/>
                <w:szCs w:val="20"/>
              </w:rPr>
            </w:pPr>
            <w:r w:rsidRPr="0029110D">
              <w:rPr>
                <w:sz w:val="20"/>
                <w:szCs w:val="20"/>
              </w:rPr>
              <w:t>11254</w:t>
            </w:r>
          </w:p>
        </w:tc>
        <w:tc>
          <w:tcPr>
            <w:tcW w:w="1063" w:type="dxa"/>
          </w:tcPr>
          <w:p w14:paraId="7F7D28DD" w14:textId="05F4E7C5" w:rsidR="00CF1BE3" w:rsidRPr="0029110D" w:rsidRDefault="00CF1BE3" w:rsidP="00AB1FF1">
            <w:pPr>
              <w:jc w:val="center"/>
              <w:rPr>
                <w:sz w:val="20"/>
                <w:szCs w:val="20"/>
              </w:rPr>
            </w:pPr>
            <w:r w:rsidRPr="0029110D">
              <w:rPr>
                <w:sz w:val="20"/>
                <w:szCs w:val="20"/>
              </w:rPr>
              <w:t>9843</w:t>
            </w:r>
          </w:p>
        </w:tc>
        <w:tc>
          <w:tcPr>
            <w:tcW w:w="1064" w:type="dxa"/>
          </w:tcPr>
          <w:p w14:paraId="7F9594F3" w14:textId="1F6C1FEC" w:rsidR="00CF1BE3" w:rsidRPr="0029110D" w:rsidRDefault="00CF1BE3" w:rsidP="00AB1FF1">
            <w:pPr>
              <w:jc w:val="center"/>
              <w:rPr>
                <w:sz w:val="20"/>
                <w:szCs w:val="20"/>
              </w:rPr>
            </w:pPr>
            <w:r w:rsidRPr="0029110D">
              <w:rPr>
                <w:sz w:val="20"/>
                <w:szCs w:val="20"/>
              </w:rPr>
              <w:t>26037</w:t>
            </w:r>
          </w:p>
        </w:tc>
        <w:tc>
          <w:tcPr>
            <w:tcW w:w="1064" w:type="dxa"/>
          </w:tcPr>
          <w:p w14:paraId="2880396C" w14:textId="77777777" w:rsidR="00CF1BE3" w:rsidRPr="0029110D" w:rsidRDefault="00CF1BE3" w:rsidP="00AB1FF1">
            <w:pPr>
              <w:jc w:val="center"/>
              <w:rPr>
                <w:sz w:val="20"/>
                <w:szCs w:val="20"/>
              </w:rPr>
            </w:pPr>
            <w:r w:rsidRPr="0029110D">
              <w:rPr>
                <w:sz w:val="20"/>
                <w:szCs w:val="20"/>
              </w:rPr>
              <w:t>16825</w:t>
            </w:r>
          </w:p>
        </w:tc>
        <w:tc>
          <w:tcPr>
            <w:tcW w:w="891" w:type="dxa"/>
          </w:tcPr>
          <w:p w14:paraId="5A27A38C" w14:textId="121172C9" w:rsidR="00CF1BE3" w:rsidRPr="0029110D" w:rsidRDefault="00CF1BE3" w:rsidP="00AB1FF1">
            <w:pPr>
              <w:jc w:val="center"/>
              <w:rPr>
                <w:sz w:val="20"/>
                <w:szCs w:val="20"/>
              </w:rPr>
            </w:pPr>
            <w:r w:rsidRPr="0029110D">
              <w:rPr>
                <w:sz w:val="20"/>
                <w:szCs w:val="20"/>
              </w:rPr>
              <w:t>55</w:t>
            </w:r>
          </w:p>
        </w:tc>
        <w:tc>
          <w:tcPr>
            <w:tcW w:w="993" w:type="dxa"/>
          </w:tcPr>
          <w:p w14:paraId="3DBA1E5B" w14:textId="426D3886" w:rsidR="00CF1BE3" w:rsidRPr="0029110D" w:rsidRDefault="00CF1BE3" w:rsidP="00AB1FF1">
            <w:pPr>
              <w:jc w:val="center"/>
              <w:rPr>
                <w:sz w:val="20"/>
                <w:szCs w:val="20"/>
              </w:rPr>
            </w:pPr>
            <w:r w:rsidRPr="0029110D">
              <w:rPr>
                <w:sz w:val="20"/>
                <w:szCs w:val="20"/>
              </w:rPr>
              <w:t>35</w:t>
            </w:r>
          </w:p>
        </w:tc>
      </w:tr>
      <w:tr w:rsidR="00CF1BE3" w:rsidRPr="0029110D" w14:paraId="6EBBA3F5" w14:textId="77777777" w:rsidTr="00AB1FF1">
        <w:trPr>
          <w:trHeight w:val="20"/>
        </w:trPr>
        <w:tc>
          <w:tcPr>
            <w:tcW w:w="1065" w:type="dxa"/>
            <w:vMerge/>
          </w:tcPr>
          <w:p w14:paraId="2394E232" w14:textId="77777777" w:rsidR="00CF1BE3" w:rsidRPr="0029110D" w:rsidRDefault="00CF1BE3" w:rsidP="00511EB4">
            <w:pPr>
              <w:rPr>
                <w:sz w:val="20"/>
                <w:szCs w:val="20"/>
              </w:rPr>
            </w:pPr>
          </w:p>
        </w:tc>
        <w:tc>
          <w:tcPr>
            <w:tcW w:w="1063" w:type="dxa"/>
            <w:vMerge/>
          </w:tcPr>
          <w:p w14:paraId="21B65096" w14:textId="77777777" w:rsidR="00CF1BE3" w:rsidRPr="0029110D" w:rsidRDefault="00CF1BE3" w:rsidP="00AB1FF1">
            <w:pPr>
              <w:jc w:val="center"/>
              <w:rPr>
                <w:sz w:val="20"/>
                <w:szCs w:val="20"/>
              </w:rPr>
            </w:pPr>
          </w:p>
        </w:tc>
        <w:tc>
          <w:tcPr>
            <w:tcW w:w="1063" w:type="dxa"/>
          </w:tcPr>
          <w:p w14:paraId="6A3E5BB6" w14:textId="77777777" w:rsidR="00CF1BE3" w:rsidRPr="0029110D" w:rsidRDefault="00CF1BE3" w:rsidP="00AB1FF1">
            <w:pPr>
              <w:jc w:val="center"/>
              <w:rPr>
                <w:sz w:val="20"/>
                <w:szCs w:val="20"/>
                <w:lang w:val="en-US"/>
              </w:rPr>
            </w:pPr>
            <w:r w:rsidRPr="0029110D">
              <w:rPr>
                <w:sz w:val="20"/>
                <w:szCs w:val="20"/>
                <w:lang w:val="en-US"/>
              </w:rPr>
              <w:t>28</w:t>
            </w:r>
          </w:p>
        </w:tc>
        <w:tc>
          <w:tcPr>
            <w:tcW w:w="1063" w:type="dxa"/>
          </w:tcPr>
          <w:p w14:paraId="7551516C" w14:textId="731E4CA9" w:rsidR="00CF1BE3" w:rsidRPr="0029110D" w:rsidRDefault="00CF1BE3" w:rsidP="00AB1FF1">
            <w:pPr>
              <w:jc w:val="center"/>
              <w:rPr>
                <w:sz w:val="20"/>
                <w:szCs w:val="20"/>
              </w:rPr>
            </w:pPr>
            <w:r w:rsidRPr="0029110D">
              <w:rPr>
                <w:sz w:val="20"/>
                <w:szCs w:val="20"/>
              </w:rPr>
              <w:t>9360</w:t>
            </w:r>
          </w:p>
        </w:tc>
        <w:tc>
          <w:tcPr>
            <w:tcW w:w="1063" w:type="dxa"/>
          </w:tcPr>
          <w:p w14:paraId="4BAD832F" w14:textId="77777777" w:rsidR="00CF1BE3" w:rsidRPr="0029110D" w:rsidRDefault="00CF1BE3" w:rsidP="00AB1FF1">
            <w:pPr>
              <w:jc w:val="center"/>
              <w:rPr>
                <w:sz w:val="20"/>
                <w:szCs w:val="20"/>
              </w:rPr>
            </w:pPr>
            <w:r w:rsidRPr="0029110D">
              <w:rPr>
                <w:sz w:val="20"/>
                <w:szCs w:val="20"/>
              </w:rPr>
              <w:t>12331</w:t>
            </w:r>
          </w:p>
        </w:tc>
        <w:tc>
          <w:tcPr>
            <w:tcW w:w="1064" w:type="dxa"/>
          </w:tcPr>
          <w:p w14:paraId="5A8E9217" w14:textId="77777777" w:rsidR="00CF1BE3" w:rsidRPr="0029110D" w:rsidRDefault="00CF1BE3" w:rsidP="00AB1FF1">
            <w:pPr>
              <w:jc w:val="center"/>
              <w:rPr>
                <w:sz w:val="20"/>
                <w:szCs w:val="20"/>
              </w:rPr>
            </w:pPr>
            <w:r w:rsidRPr="0029110D">
              <w:rPr>
                <w:sz w:val="20"/>
                <w:szCs w:val="20"/>
              </w:rPr>
              <w:t>18014</w:t>
            </w:r>
          </w:p>
        </w:tc>
        <w:tc>
          <w:tcPr>
            <w:tcW w:w="1064" w:type="dxa"/>
          </w:tcPr>
          <w:p w14:paraId="2A876B67" w14:textId="77777777" w:rsidR="00CF1BE3" w:rsidRPr="0029110D" w:rsidRDefault="00CF1BE3" w:rsidP="00AB1FF1">
            <w:pPr>
              <w:jc w:val="center"/>
              <w:rPr>
                <w:sz w:val="20"/>
                <w:szCs w:val="20"/>
              </w:rPr>
            </w:pPr>
            <w:r w:rsidRPr="0029110D">
              <w:rPr>
                <w:sz w:val="20"/>
                <w:szCs w:val="20"/>
              </w:rPr>
              <w:t>17865</w:t>
            </w:r>
          </w:p>
        </w:tc>
        <w:tc>
          <w:tcPr>
            <w:tcW w:w="891" w:type="dxa"/>
          </w:tcPr>
          <w:p w14:paraId="2830093D" w14:textId="77777777" w:rsidR="00CF1BE3" w:rsidRPr="0029110D" w:rsidRDefault="00CF1BE3" w:rsidP="00AB1FF1">
            <w:pPr>
              <w:jc w:val="center"/>
              <w:rPr>
                <w:sz w:val="20"/>
                <w:szCs w:val="20"/>
              </w:rPr>
            </w:pPr>
            <w:r w:rsidRPr="0029110D">
              <w:rPr>
                <w:sz w:val="20"/>
                <w:szCs w:val="20"/>
              </w:rPr>
              <w:t>38</w:t>
            </w:r>
          </w:p>
        </w:tc>
        <w:tc>
          <w:tcPr>
            <w:tcW w:w="993" w:type="dxa"/>
          </w:tcPr>
          <w:p w14:paraId="55DF3330" w14:textId="77777777" w:rsidR="00CF1BE3" w:rsidRPr="0029110D" w:rsidRDefault="00CF1BE3" w:rsidP="00AB1FF1">
            <w:pPr>
              <w:jc w:val="center"/>
              <w:rPr>
                <w:sz w:val="20"/>
                <w:szCs w:val="20"/>
              </w:rPr>
            </w:pPr>
            <w:r w:rsidRPr="0029110D">
              <w:rPr>
                <w:sz w:val="20"/>
                <w:szCs w:val="20"/>
              </w:rPr>
              <w:t>37</w:t>
            </w:r>
          </w:p>
        </w:tc>
      </w:tr>
      <w:tr w:rsidR="00CF1BE3" w:rsidRPr="0029110D" w14:paraId="01334B39" w14:textId="77777777" w:rsidTr="00AB1FF1">
        <w:trPr>
          <w:trHeight w:val="20"/>
        </w:trPr>
        <w:tc>
          <w:tcPr>
            <w:tcW w:w="1065" w:type="dxa"/>
            <w:vMerge/>
          </w:tcPr>
          <w:p w14:paraId="2F8DE0F2" w14:textId="77777777" w:rsidR="00CF1BE3" w:rsidRPr="0029110D" w:rsidRDefault="00CF1BE3" w:rsidP="00511EB4">
            <w:pPr>
              <w:rPr>
                <w:sz w:val="20"/>
                <w:szCs w:val="20"/>
              </w:rPr>
            </w:pPr>
          </w:p>
        </w:tc>
        <w:tc>
          <w:tcPr>
            <w:tcW w:w="1063" w:type="dxa"/>
            <w:vMerge w:val="restart"/>
          </w:tcPr>
          <w:p w14:paraId="70FB6FF7" w14:textId="77777777" w:rsidR="00CF1BE3" w:rsidRPr="0029110D" w:rsidRDefault="00CF1BE3" w:rsidP="00AB1FF1">
            <w:pPr>
              <w:jc w:val="center"/>
              <w:rPr>
                <w:sz w:val="20"/>
                <w:szCs w:val="20"/>
                <w:lang w:val="en-US"/>
              </w:rPr>
            </w:pPr>
            <w:r w:rsidRPr="0029110D">
              <w:rPr>
                <w:sz w:val="20"/>
                <w:szCs w:val="20"/>
                <w:lang w:val="en-US"/>
              </w:rPr>
              <w:t>500</w:t>
            </w:r>
          </w:p>
        </w:tc>
        <w:tc>
          <w:tcPr>
            <w:tcW w:w="1063" w:type="dxa"/>
          </w:tcPr>
          <w:p w14:paraId="79033E94" w14:textId="77777777" w:rsidR="00CF1BE3" w:rsidRPr="0029110D" w:rsidRDefault="00CF1BE3" w:rsidP="00AB1FF1">
            <w:pPr>
              <w:jc w:val="center"/>
              <w:rPr>
                <w:sz w:val="20"/>
                <w:szCs w:val="20"/>
              </w:rPr>
            </w:pPr>
            <w:r w:rsidRPr="0029110D">
              <w:rPr>
                <w:sz w:val="20"/>
                <w:szCs w:val="20"/>
                <w:lang w:val="en-US"/>
              </w:rPr>
              <w:t>1</w:t>
            </w:r>
          </w:p>
        </w:tc>
        <w:tc>
          <w:tcPr>
            <w:tcW w:w="1063" w:type="dxa"/>
          </w:tcPr>
          <w:p w14:paraId="0C84AAAE" w14:textId="6C6FE362" w:rsidR="00CF1BE3" w:rsidRPr="0029110D" w:rsidRDefault="00CF1BE3" w:rsidP="00AB1FF1">
            <w:pPr>
              <w:jc w:val="center"/>
              <w:rPr>
                <w:sz w:val="20"/>
                <w:szCs w:val="20"/>
              </w:rPr>
            </w:pPr>
            <w:r w:rsidRPr="0029110D">
              <w:rPr>
                <w:sz w:val="20"/>
                <w:szCs w:val="20"/>
              </w:rPr>
              <w:t>22917</w:t>
            </w:r>
          </w:p>
        </w:tc>
        <w:tc>
          <w:tcPr>
            <w:tcW w:w="1063" w:type="dxa"/>
          </w:tcPr>
          <w:p w14:paraId="589492E0" w14:textId="1B730756" w:rsidR="00CF1BE3" w:rsidRPr="0029110D" w:rsidRDefault="00CF1BE3" w:rsidP="00AB1FF1">
            <w:pPr>
              <w:jc w:val="center"/>
              <w:rPr>
                <w:sz w:val="20"/>
                <w:szCs w:val="20"/>
              </w:rPr>
            </w:pPr>
            <w:r w:rsidRPr="0029110D">
              <w:rPr>
                <w:sz w:val="20"/>
                <w:szCs w:val="20"/>
              </w:rPr>
              <w:t>23845</w:t>
            </w:r>
          </w:p>
        </w:tc>
        <w:tc>
          <w:tcPr>
            <w:tcW w:w="1064" w:type="dxa"/>
          </w:tcPr>
          <w:p w14:paraId="56D38805" w14:textId="26ED34E7" w:rsidR="00CF1BE3" w:rsidRPr="0029110D" w:rsidRDefault="00CF1BE3" w:rsidP="00AB1FF1">
            <w:pPr>
              <w:jc w:val="center"/>
              <w:rPr>
                <w:sz w:val="20"/>
                <w:szCs w:val="20"/>
              </w:rPr>
            </w:pPr>
            <w:r w:rsidRPr="0029110D">
              <w:rPr>
                <w:sz w:val="20"/>
                <w:szCs w:val="20"/>
              </w:rPr>
              <w:t>82455</w:t>
            </w:r>
          </w:p>
        </w:tc>
        <w:tc>
          <w:tcPr>
            <w:tcW w:w="1064" w:type="dxa"/>
          </w:tcPr>
          <w:p w14:paraId="0C161032" w14:textId="75134068" w:rsidR="00CF1BE3" w:rsidRPr="0029110D" w:rsidRDefault="00CF1BE3" w:rsidP="00AB1FF1">
            <w:pPr>
              <w:jc w:val="center"/>
              <w:rPr>
                <w:sz w:val="20"/>
                <w:szCs w:val="20"/>
              </w:rPr>
            </w:pPr>
            <w:r w:rsidRPr="0029110D">
              <w:rPr>
                <w:sz w:val="20"/>
                <w:szCs w:val="20"/>
              </w:rPr>
              <w:t>80598</w:t>
            </w:r>
          </w:p>
        </w:tc>
        <w:tc>
          <w:tcPr>
            <w:tcW w:w="891" w:type="dxa"/>
          </w:tcPr>
          <w:p w14:paraId="4578029D" w14:textId="7E9AC259" w:rsidR="00CF1BE3" w:rsidRPr="0029110D" w:rsidRDefault="00CF1BE3" w:rsidP="00AB1FF1">
            <w:pPr>
              <w:jc w:val="center"/>
              <w:rPr>
                <w:sz w:val="20"/>
                <w:szCs w:val="20"/>
              </w:rPr>
            </w:pPr>
            <w:r w:rsidRPr="0029110D">
              <w:rPr>
                <w:sz w:val="20"/>
                <w:szCs w:val="20"/>
              </w:rPr>
              <w:t>173</w:t>
            </w:r>
          </w:p>
        </w:tc>
        <w:tc>
          <w:tcPr>
            <w:tcW w:w="993" w:type="dxa"/>
          </w:tcPr>
          <w:p w14:paraId="28092092" w14:textId="121ED82E" w:rsidR="00CF1BE3" w:rsidRPr="0029110D" w:rsidRDefault="00CF1BE3" w:rsidP="00AB1FF1">
            <w:pPr>
              <w:jc w:val="center"/>
              <w:rPr>
                <w:sz w:val="20"/>
                <w:szCs w:val="20"/>
              </w:rPr>
            </w:pPr>
            <w:r w:rsidRPr="0029110D">
              <w:rPr>
                <w:sz w:val="20"/>
                <w:szCs w:val="20"/>
              </w:rPr>
              <w:t>169</w:t>
            </w:r>
          </w:p>
        </w:tc>
      </w:tr>
      <w:tr w:rsidR="00CF1BE3" w:rsidRPr="0029110D" w14:paraId="535A7380" w14:textId="77777777" w:rsidTr="00AB1FF1">
        <w:trPr>
          <w:trHeight w:val="20"/>
        </w:trPr>
        <w:tc>
          <w:tcPr>
            <w:tcW w:w="1065" w:type="dxa"/>
            <w:vMerge/>
          </w:tcPr>
          <w:p w14:paraId="27D97671" w14:textId="77777777" w:rsidR="00CF1BE3" w:rsidRPr="0029110D" w:rsidRDefault="00CF1BE3" w:rsidP="00511EB4">
            <w:pPr>
              <w:rPr>
                <w:sz w:val="20"/>
                <w:szCs w:val="20"/>
              </w:rPr>
            </w:pPr>
          </w:p>
        </w:tc>
        <w:tc>
          <w:tcPr>
            <w:tcW w:w="1063" w:type="dxa"/>
            <w:vMerge/>
          </w:tcPr>
          <w:p w14:paraId="5CA19163" w14:textId="77777777" w:rsidR="00CF1BE3" w:rsidRPr="0029110D" w:rsidRDefault="00CF1BE3" w:rsidP="00AB1FF1">
            <w:pPr>
              <w:jc w:val="center"/>
              <w:rPr>
                <w:sz w:val="20"/>
                <w:szCs w:val="20"/>
              </w:rPr>
            </w:pPr>
          </w:p>
        </w:tc>
        <w:tc>
          <w:tcPr>
            <w:tcW w:w="1063" w:type="dxa"/>
          </w:tcPr>
          <w:p w14:paraId="3D535B1E" w14:textId="77777777" w:rsidR="00CF1BE3" w:rsidRPr="0029110D" w:rsidRDefault="00CF1BE3" w:rsidP="00AB1FF1">
            <w:pPr>
              <w:jc w:val="center"/>
              <w:rPr>
                <w:sz w:val="20"/>
                <w:szCs w:val="20"/>
              </w:rPr>
            </w:pPr>
            <w:r w:rsidRPr="0029110D">
              <w:rPr>
                <w:sz w:val="20"/>
                <w:szCs w:val="20"/>
                <w:lang w:val="en-US"/>
              </w:rPr>
              <w:t>28</w:t>
            </w:r>
          </w:p>
        </w:tc>
        <w:tc>
          <w:tcPr>
            <w:tcW w:w="1063" w:type="dxa"/>
          </w:tcPr>
          <w:p w14:paraId="41DB6F75" w14:textId="77777777" w:rsidR="00CF1BE3" w:rsidRPr="0029110D" w:rsidRDefault="00CF1BE3" w:rsidP="00AB1FF1">
            <w:pPr>
              <w:jc w:val="center"/>
              <w:rPr>
                <w:sz w:val="20"/>
                <w:szCs w:val="20"/>
              </w:rPr>
            </w:pPr>
            <w:r w:rsidRPr="0029110D">
              <w:rPr>
                <w:sz w:val="20"/>
                <w:szCs w:val="20"/>
              </w:rPr>
              <w:t>18200</w:t>
            </w:r>
          </w:p>
        </w:tc>
        <w:tc>
          <w:tcPr>
            <w:tcW w:w="1063" w:type="dxa"/>
          </w:tcPr>
          <w:p w14:paraId="1A4FA204" w14:textId="77777777" w:rsidR="00CF1BE3" w:rsidRPr="0029110D" w:rsidRDefault="00CF1BE3" w:rsidP="00AB1FF1">
            <w:pPr>
              <w:jc w:val="center"/>
              <w:rPr>
                <w:sz w:val="20"/>
                <w:szCs w:val="20"/>
              </w:rPr>
            </w:pPr>
            <w:r w:rsidRPr="0029110D">
              <w:rPr>
                <w:sz w:val="20"/>
                <w:szCs w:val="20"/>
              </w:rPr>
              <w:t>17382</w:t>
            </w:r>
          </w:p>
        </w:tc>
        <w:tc>
          <w:tcPr>
            <w:tcW w:w="1064" w:type="dxa"/>
          </w:tcPr>
          <w:p w14:paraId="7C072401" w14:textId="44581C53" w:rsidR="00CF1BE3" w:rsidRPr="0029110D" w:rsidRDefault="00CF1BE3" w:rsidP="00AB1FF1">
            <w:pPr>
              <w:jc w:val="center"/>
              <w:rPr>
                <w:sz w:val="20"/>
                <w:szCs w:val="20"/>
              </w:rPr>
            </w:pPr>
            <w:r w:rsidRPr="0029110D">
              <w:rPr>
                <w:sz w:val="20"/>
                <w:szCs w:val="20"/>
              </w:rPr>
              <w:t>70941</w:t>
            </w:r>
          </w:p>
        </w:tc>
        <w:tc>
          <w:tcPr>
            <w:tcW w:w="1064" w:type="dxa"/>
          </w:tcPr>
          <w:p w14:paraId="38FD2F2D" w14:textId="77777777" w:rsidR="00CF1BE3" w:rsidRPr="0029110D" w:rsidRDefault="00CF1BE3" w:rsidP="00AB1FF1">
            <w:pPr>
              <w:jc w:val="center"/>
              <w:rPr>
                <w:sz w:val="20"/>
                <w:szCs w:val="20"/>
              </w:rPr>
            </w:pPr>
            <w:r w:rsidRPr="0029110D">
              <w:rPr>
                <w:sz w:val="20"/>
                <w:szCs w:val="20"/>
              </w:rPr>
              <w:t>79855</w:t>
            </w:r>
          </w:p>
        </w:tc>
        <w:tc>
          <w:tcPr>
            <w:tcW w:w="891" w:type="dxa"/>
          </w:tcPr>
          <w:p w14:paraId="6407B214" w14:textId="77777777" w:rsidR="00CF1BE3" w:rsidRPr="0029110D" w:rsidRDefault="00CF1BE3" w:rsidP="00AB1FF1">
            <w:pPr>
              <w:jc w:val="center"/>
              <w:rPr>
                <w:sz w:val="20"/>
                <w:szCs w:val="20"/>
              </w:rPr>
            </w:pPr>
            <w:r w:rsidRPr="0029110D">
              <w:rPr>
                <w:sz w:val="20"/>
                <w:szCs w:val="20"/>
              </w:rPr>
              <w:t>149</w:t>
            </w:r>
          </w:p>
        </w:tc>
        <w:tc>
          <w:tcPr>
            <w:tcW w:w="993" w:type="dxa"/>
          </w:tcPr>
          <w:p w14:paraId="16479637" w14:textId="77777777" w:rsidR="00CF1BE3" w:rsidRPr="0029110D" w:rsidRDefault="00CF1BE3" w:rsidP="00AB1FF1">
            <w:pPr>
              <w:jc w:val="center"/>
              <w:rPr>
                <w:sz w:val="20"/>
                <w:szCs w:val="20"/>
              </w:rPr>
            </w:pPr>
            <w:r w:rsidRPr="0029110D">
              <w:rPr>
                <w:sz w:val="20"/>
                <w:szCs w:val="20"/>
              </w:rPr>
              <w:t>167</w:t>
            </w:r>
          </w:p>
        </w:tc>
      </w:tr>
      <w:tr w:rsidR="00CF1BE3" w:rsidRPr="0029110D" w14:paraId="79D3D727" w14:textId="77777777" w:rsidTr="00AB1FF1">
        <w:trPr>
          <w:trHeight w:val="20"/>
        </w:trPr>
        <w:tc>
          <w:tcPr>
            <w:tcW w:w="1065" w:type="dxa"/>
            <w:vMerge/>
          </w:tcPr>
          <w:p w14:paraId="500DE631" w14:textId="77777777" w:rsidR="00CF1BE3" w:rsidRPr="0029110D" w:rsidRDefault="00CF1BE3" w:rsidP="00511EB4">
            <w:pPr>
              <w:rPr>
                <w:sz w:val="20"/>
                <w:szCs w:val="20"/>
              </w:rPr>
            </w:pPr>
          </w:p>
        </w:tc>
        <w:tc>
          <w:tcPr>
            <w:tcW w:w="1063" w:type="dxa"/>
            <w:vMerge w:val="restart"/>
          </w:tcPr>
          <w:p w14:paraId="4044C6D5" w14:textId="77777777" w:rsidR="00CF1BE3" w:rsidRPr="0029110D" w:rsidRDefault="00CF1BE3" w:rsidP="00AB1FF1">
            <w:pPr>
              <w:jc w:val="center"/>
              <w:rPr>
                <w:sz w:val="20"/>
                <w:szCs w:val="20"/>
                <w:lang w:val="en-US"/>
              </w:rPr>
            </w:pPr>
            <w:r w:rsidRPr="0029110D">
              <w:rPr>
                <w:sz w:val="20"/>
                <w:szCs w:val="20"/>
                <w:lang w:val="en-US"/>
              </w:rPr>
              <w:t>75</w:t>
            </w:r>
          </w:p>
        </w:tc>
        <w:tc>
          <w:tcPr>
            <w:tcW w:w="1063" w:type="dxa"/>
          </w:tcPr>
          <w:p w14:paraId="298CBBD6" w14:textId="77777777" w:rsidR="00CF1BE3" w:rsidRPr="0029110D" w:rsidRDefault="00CF1BE3" w:rsidP="00AB1FF1">
            <w:pPr>
              <w:jc w:val="center"/>
              <w:rPr>
                <w:sz w:val="20"/>
                <w:szCs w:val="20"/>
              </w:rPr>
            </w:pPr>
            <w:r w:rsidRPr="0029110D">
              <w:rPr>
                <w:sz w:val="20"/>
                <w:szCs w:val="20"/>
                <w:lang w:val="en-US"/>
              </w:rPr>
              <w:t>1</w:t>
            </w:r>
          </w:p>
        </w:tc>
        <w:tc>
          <w:tcPr>
            <w:tcW w:w="1063" w:type="dxa"/>
          </w:tcPr>
          <w:p w14:paraId="170ECE25" w14:textId="77777777" w:rsidR="00CF1BE3" w:rsidRPr="0029110D" w:rsidRDefault="00CF1BE3" w:rsidP="00AB1FF1">
            <w:pPr>
              <w:jc w:val="center"/>
              <w:rPr>
                <w:sz w:val="20"/>
                <w:szCs w:val="20"/>
              </w:rPr>
            </w:pPr>
            <w:r w:rsidRPr="0029110D">
              <w:rPr>
                <w:sz w:val="20"/>
                <w:szCs w:val="20"/>
              </w:rPr>
              <w:t>2553</w:t>
            </w:r>
          </w:p>
        </w:tc>
        <w:tc>
          <w:tcPr>
            <w:tcW w:w="1063" w:type="dxa"/>
          </w:tcPr>
          <w:p w14:paraId="2E072D45" w14:textId="03437E2A" w:rsidR="00CF1BE3" w:rsidRPr="0029110D" w:rsidRDefault="00CF1BE3" w:rsidP="00AB1FF1">
            <w:pPr>
              <w:jc w:val="center"/>
              <w:rPr>
                <w:sz w:val="20"/>
                <w:szCs w:val="20"/>
              </w:rPr>
            </w:pPr>
            <w:r w:rsidRPr="0029110D">
              <w:rPr>
                <w:sz w:val="20"/>
                <w:szCs w:val="20"/>
              </w:rPr>
              <w:t>8673</w:t>
            </w:r>
          </w:p>
        </w:tc>
        <w:tc>
          <w:tcPr>
            <w:tcW w:w="1064" w:type="dxa"/>
          </w:tcPr>
          <w:p w14:paraId="64608303" w14:textId="4F4BB4D9" w:rsidR="00CF1BE3" w:rsidRPr="0029110D" w:rsidRDefault="00CF1BE3" w:rsidP="00AB1FF1">
            <w:pPr>
              <w:jc w:val="center"/>
              <w:rPr>
                <w:sz w:val="20"/>
                <w:szCs w:val="20"/>
              </w:rPr>
            </w:pPr>
            <w:r w:rsidRPr="0029110D">
              <w:rPr>
                <w:sz w:val="20"/>
                <w:szCs w:val="20"/>
              </w:rPr>
              <w:t>8482</w:t>
            </w:r>
          </w:p>
        </w:tc>
        <w:tc>
          <w:tcPr>
            <w:tcW w:w="1064" w:type="dxa"/>
          </w:tcPr>
          <w:p w14:paraId="658EE6D9" w14:textId="2665CD64" w:rsidR="00CF1BE3" w:rsidRPr="0029110D" w:rsidRDefault="00CF1BE3" w:rsidP="00AB1FF1">
            <w:pPr>
              <w:jc w:val="center"/>
              <w:rPr>
                <w:sz w:val="20"/>
                <w:szCs w:val="20"/>
              </w:rPr>
            </w:pPr>
            <w:r w:rsidRPr="0029110D">
              <w:rPr>
                <w:sz w:val="20"/>
                <w:szCs w:val="20"/>
              </w:rPr>
              <w:t>15951</w:t>
            </w:r>
          </w:p>
        </w:tc>
        <w:tc>
          <w:tcPr>
            <w:tcW w:w="891" w:type="dxa"/>
          </w:tcPr>
          <w:p w14:paraId="363B0E17" w14:textId="2A8536AB" w:rsidR="00CF1BE3" w:rsidRPr="0029110D" w:rsidRDefault="00CF1BE3" w:rsidP="00AB1FF1">
            <w:pPr>
              <w:jc w:val="center"/>
              <w:rPr>
                <w:sz w:val="20"/>
                <w:szCs w:val="20"/>
              </w:rPr>
            </w:pPr>
            <w:r w:rsidRPr="0029110D">
              <w:rPr>
                <w:sz w:val="20"/>
                <w:szCs w:val="20"/>
              </w:rPr>
              <w:t>18</w:t>
            </w:r>
          </w:p>
        </w:tc>
        <w:tc>
          <w:tcPr>
            <w:tcW w:w="993" w:type="dxa"/>
          </w:tcPr>
          <w:p w14:paraId="12985A7B" w14:textId="538F0095" w:rsidR="00CF1BE3" w:rsidRPr="0029110D" w:rsidRDefault="00CF1BE3" w:rsidP="00AB1FF1">
            <w:pPr>
              <w:jc w:val="center"/>
              <w:rPr>
                <w:sz w:val="20"/>
                <w:szCs w:val="20"/>
              </w:rPr>
            </w:pPr>
            <w:r w:rsidRPr="0029110D">
              <w:rPr>
                <w:sz w:val="20"/>
                <w:szCs w:val="20"/>
              </w:rPr>
              <w:t>33</w:t>
            </w:r>
          </w:p>
        </w:tc>
      </w:tr>
      <w:tr w:rsidR="00CF1BE3" w:rsidRPr="0029110D" w14:paraId="71E234C6" w14:textId="77777777" w:rsidTr="00AB1FF1">
        <w:trPr>
          <w:trHeight w:val="20"/>
        </w:trPr>
        <w:tc>
          <w:tcPr>
            <w:tcW w:w="1065" w:type="dxa"/>
            <w:vMerge/>
          </w:tcPr>
          <w:p w14:paraId="4EF1F565" w14:textId="77777777" w:rsidR="00CF1BE3" w:rsidRPr="0029110D" w:rsidRDefault="00CF1BE3" w:rsidP="00511EB4">
            <w:pPr>
              <w:rPr>
                <w:sz w:val="20"/>
                <w:szCs w:val="20"/>
              </w:rPr>
            </w:pPr>
          </w:p>
        </w:tc>
        <w:tc>
          <w:tcPr>
            <w:tcW w:w="1063" w:type="dxa"/>
            <w:vMerge/>
          </w:tcPr>
          <w:p w14:paraId="335FF1D8" w14:textId="77777777" w:rsidR="00CF1BE3" w:rsidRPr="0029110D" w:rsidRDefault="00CF1BE3" w:rsidP="00AB1FF1">
            <w:pPr>
              <w:jc w:val="center"/>
              <w:rPr>
                <w:sz w:val="20"/>
                <w:szCs w:val="20"/>
              </w:rPr>
            </w:pPr>
          </w:p>
        </w:tc>
        <w:tc>
          <w:tcPr>
            <w:tcW w:w="1063" w:type="dxa"/>
          </w:tcPr>
          <w:p w14:paraId="02CDB042" w14:textId="77777777" w:rsidR="00CF1BE3" w:rsidRPr="0029110D" w:rsidRDefault="00CF1BE3" w:rsidP="00AB1FF1">
            <w:pPr>
              <w:jc w:val="center"/>
              <w:rPr>
                <w:sz w:val="20"/>
                <w:szCs w:val="20"/>
              </w:rPr>
            </w:pPr>
            <w:r w:rsidRPr="0029110D">
              <w:rPr>
                <w:sz w:val="20"/>
                <w:szCs w:val="20"/>
                <w:lang w:val="en-US"/>
              </w:rPr>
              <w:t>28</w:t>
            </w:r>
          </w:p>
        </w:tc>
        <w:tc>
          <w:tcPr>
            <w:tcW w:w="1063" w:type="dxa"/>
          </w:tcPr>
          <w:p w14:paraId="27EF7DB7" w14:textId="77777777" w:rsidR="00CF1BE3" w:rsidRPr="0029110D" w:rsidRDefault="00CF1BE3" w:rsidP="00AB1FF1">
            <w:pPr>
              <w:jc w:val="center"/>
              <w:rPr>
                <w:sz w:val="20"/>
                <w:szCs w:val="20"/>
              </w:rPr>
            </w:pPr>
            <w:r w:rsidRPr="0029110D">
              <w:rPr>
                <w:sz w:val="20"/>
                <w:szCs w:val="20"/>
              </w:rPr>
              <w:t>4857</w:t>
            </w:r>
          </w:p>
        </w:tc>
        <w:tc>
          <w:tcPr>
            <w:tcW w:w="1063" w:type="dxa"/>
          </w:tcPr>
          <w:p w14:paraId="29B68FA1" w14:textId="77777777" w:rsidR="00CF1BE3" w:rsidRPr="0029110D" w:rsidRDefault="00CF1BE3" w:rsidP="00AB1FF1">
            <w:pPr>
              <w:jc w:val="center"/>
              <w:rPr>
                <w:sz w:val="20"/>
                <w:szCs w:val="20"/>
              </w:rPr>
            </w:pPr>
            <w:r w:rsidRPr="0029110D">
              <w:rPr>
                <w:sz w:val="20"/>
                <w:szCs w:val="20"/>
              </w:rPr>
              <w:t>11300</w:t>
            </w:r>
          </w:p>
        </w:tc>
        <w:tc>
          <w:tcPr>
            <w:tcW w:w="1064" w:type="dxa"/>
          </w:tcPr>
          <w:p w14:paraId="5BB0DC2B" w14:textId="77777777" w:rsidR="00CF1BE3" w:rsidRPr="0029110D" w:rsidRDefault="00CF1BE3" w:rsidP="00AB1FF1">
            <w:pPr>
              <w:jc w:val="center"/>
              <w:rPr>
                <w:sz w:val="20"/>
                <w:szCs w:val="20"/>
              </w:rPr>
            </w:pPr>
            <w:r w:rsidRPr="0029110D">
              <w:rPr>
                <w:sz w:val="20"/>
                <w:szCs w:val="20"/>
              </w:rPr>
              <w:t>14765</w:t>
            </w:r>
          </w:p>
        </w:tc>
        <w:tc>
          <w:tcPr>
            <w:tcW w:w="1064" w:type="dxa"/>
          </w:tcPr>
          <w:p w14:paraId="2AFB3ECE" w14:textId="77777777" w:rsidR="00CF1BE3" w:rsidRPr="0029110D" w:rsidRDefault="00CF1BE3" w:rsidP="00AB1FF1">
            <w:pPr>
              <w:jc w:val="center"/>
              <w:rPr>
                <w:sz w:val="20"/>
                <w:szCs w:val="20"/>
              </w:rPr>
            </w:pPr>
            <w:r w:rsidRPr="0029110D">
              <w:rPr>
                <w:sz w:val="20"/>
                <w:szCs w:val="20"/>
              </w:rPr>
              <w:t>21755</w:t>
            </w:r>
          </w:p>
        </w:tc>
        <w:tc>
          <w:tcPr>
            <w:tcW w:w="891" w:type="dxa"/>
          </w:tcPr>
          <w:p w14:paraId="03A52EDE" w14:textId="77777777" w:rsidR="00CF1BE3" w:rsidRPr="0029110D" w:rsidRDefault="00CF1BE3" w:rsidP="00AB1FF1">
            <w:pPr>
              <w:jc w:val="center"/>
              <w:rPr>
                <w:sz w:val="20"/>
                <w:szCs w:val="20"/>
              </w:rPr>
            </w:pPr>
            <w:r w:rsidRPr="0029110D">
              <w:rPr>
                <w:sz w:val="20"/>
                <w:szCs w:val="20"/>
              </w:rPr>
              <w:t>31</w:t>
            </w:r>
          </w:p>
        </w:tc>
        <w:tc>
          <w:tcPr>
            <w:tcW w:w="993" w:type="dxa"/>
          </w:tcPr>
          <w:p w14:paraId="7303BFCE" w14:textId="77777777" w:rsidR="00CF1BE3" w:rsidRPr="0029110D" w:rsidRDefault="00CF1BE3" w:rsidP="00AB1FF1">
            <w:pPr>
              <w:jc w:val="center"/>
              <w:rPr>
                <w:sz w:val="20"/>
                <w:szCs w:val="20"/>
              </w:rPr>
            </w:pPr>
            <w:r w:rsidRPr="0029110D">
              <w:rPr>
                <w:sz w:val="20"/>
                <w:szCs w:val="20"/>
              </w:rPr>
              <w:t>46</w:t>
            </w:r>
          </w:p>
        </w:tc>
      </w:tr>
      <w:tr w:rsidR="00CF1BE3" w:rsidRPr="0029110D" w14:paraId="78A6B378" w14:textId="77777777" w:rsidTr="00AB1FF1">
        <w:trPr>
          <w:trHeight w:val="20"/>
        </w:trPr>
        <w:tc>
          <w:tcPr>
            <w:tcW w:w="1065" w:type="dxa"/>
            <w:vMerge/>
          </w:tcPr>
          <w:p w14:paraId="0E0F8259" w14:textId="77777777" w:rsidR="00CF1BE3" w:rsidRPr="0029110D" w:rsidRDefault="00CF1BE3" w:rsidP="00511EB4">
            <w:pPr>
              <w:rPr>
                <w:sz w:val="20"/>
                <w:szCs w:val="20"/>
              </w:rPr>
            </w:pPr>
          </w:p>
        </w:tc>
        <w:tc>
          <w:tcPr>
            <w:tcW w:w="1063" w:type="dxa"/>
            <w:vMerge w:val="restart"/>
          </w:tcPr>
          <w:p w14:paraId="040851E6" w14:textId="77777777" w:rsidR="00CF1BE3" w:rsidRPr="0029110D" w:rsidRDefault="00CF1BE3" w:rsidP="00AB1FF1">
            <w:pPr>
              <w:jc w:val="center"/>
              <w:rPr>
                <w:sz w:val="20"/>
                <w:szCs w:val="20"/>
                <w:lang w:val="en-US"/>
              </w:rPr>
            </w:pPr>
            <w:r w:rsidRPr="0029110D">
              <w:rPr>
                <w:sz w:val="20"/>
                <w:szCs w:val="20"/>
                <w:lang w:val="en-US"/>
              </w:rPr>
              <w:t>150</w:t>
            </w:r>
          </w:p>
        </w:tc>
        <w:tc>
          <w:tcPr>
            <w:tcW w:w="1063" w:type="dxa"/>
          </w:tcPr>
          <w:p w14:paraId="4E3A958F" w14:textId="77777777" w:rsidR="00CF1BE3" w:rsidRPr="0029110D" w:rsidRDefault="00CF1BE3" w:rsidP="00AB1FF1">
            <w:pPr>
              <w:jc w:val="center"/>
              <w:rPr>
                <w:sz w:val="20"/>
                <w:szCs w:val="20"/>
              </w:rPr>
            </w:pPr>
            <w:r w:rsidRPr="0029110D">
              <w:rPr>
                <w:sz w:val="20"/>
                <w:szCs w:val="20"/>
                <w:lang w:val="en-US"/>
              </w:rPr>
              <w:t>1</w:t>
            </w:r>
          </w:p>
        </w:tc>
        <w:tc>
          <w:tcPr>
            <w:tcW w:w="1063" w:type="dxa"/>
          </w:tcPr>
          <w:p w14:paraId="388860D9" w14:textId="30163264" w:rsidR="00CF1BE3" w:rsidRPr="0029110D" w:rsidRDefault="00CF1BE3" w:rsidP="00AB1FF1">
            <w:pPr>
              <w:jc w:val="center"/>
              <w:rPr>
                <w:sz w:val="20"/>
                <w:szCs w:val="20"/>
              </w:rPr>
            </w:pPr>
            <w:r w:rsidRPr="0029110D">
              <w:rPr>
                <w:sz w:val="20"/>
                <w:szCs w:val="20"/>
              </w:rPr>
              <w:t>5053</w:t>
            </w:r>
          </w:p>
        </w:tc>
        <w:tc>
          <w:tcPr>
            <w:tcW w:w="1063" w:type="dxa"/>
          </w:tcPr>
          <w:p w14:paraId="62F82CC3" w14:textId="5E97ED22" w:rsidR="00CF1BE3" w:rsidRPr="0029110D" w:rsidRDefault="00CF1BE3" w:rsidP="00AB1FF1">
            <w:pPr>
              <w:jc w:val="center"/>
              <w:rPr>
                <w:sz w:val="20"/>
                <w:szCs w:val="20"/>
              </w:rPr>
            </w:pPr>
            <w:r w:rsidRPr="0029110D">
              <w:rPr>
                <w:sz w:val="20"/>
                <w:szCs w:val="20"/>
              </w:rPr>
              <w:t>8727</w:t>
            </w:r>
          </w:p>
        </w:tc>
        <w:tc>
          <w:tcPr>
            <w:tcW w:w="1064" w:type="dxa"/>
          </w:tcPr>
          <w:p w14:paraId="65DA1D10" w14:textId="05712425" w:rsidR="00CF1BE3" w:rsidRPr="0029110D" w:rsidRDefault="00CF1BE3" w:rsidP="00AB1FF1">
            <w:pPr>
              <w:jc w:val="center"/>
              <w:rPr>
                <w:sz w:val="20"/>
                <w:szCs w:val="20"/>
              </w:rPr>
            </w:pPr>
            <w:r w:rsidRPr="0029110D">
              <w:rPr>
                <w:sz w:val="20"/>
                <w:szCs w:val="20"/>
              </w:rPr>
              <w:t>17846</w:t>
            </w:r>
          </w:p>
        </w:tc>
        <w:tc>
          <w:tcPr>
            <w:tcW w:w="1064" w:type="dxa"/>
          </w:tcPr>
          <w:p w14:paraId="7B99E20D" w14:textId="60845D68" w:rsidR="00CF1BE3" w:rsidRPr="0029110D" w:rsidRDefault="00CF1BE3" w:rsidP="00AB1FF1">
            <w:pPr>
              <w:jc w:val="center"/>
              <w:rPr>
                <w:sz w:val="20"/>
                <w:szCs w:val="20"/>
              </w:rPr>
            </w:pPr>
            <w:r w:rsidRPr="0029110D">
              <w:rPr>
                <w:sz w:val="20"/>
                <w:szCs w:val="20"/>
              </w:rPr>
              <w:t>18764</w:t>
            </w:r>
          </w:p>
        </w:tc>
        <w:tc>
          <w:tcPr>
            <w:tcW w:w="891" w:type="dxa"/>
          </w:tcPr>
          <w:p w14:paraId="5981F47F" w14:textId="510040F0" w:rsidR="00CF1BE3" w:rsidRPr="0029110D" w:rsidRDefault="00CF1BE3" w:rsidP="00AB1FF1">
            <w:pPr>
              <w:jc w:val="center"/>
              <w:rPr>
                <w:sz w:val="20"/>
                <w:szCs w:val="20"/>
              </w:rPr>
            </w:pPr>
            <w:r w:rsidRPr="0029110D">
              <w:rPr>
                <w:sz w:val="20"/>
                <w:szCs w:val="20"/>
              </w:rPr>
              <w:t>37</w:t>
            </w:r>
          </w:p>
        </w:tc>
        <w:tc>
          <w:tcPr>
            <w:tcW w:w="993" w:type="dxa"/>
          </w:tcPr>
          <w:p w14:paraId="698D9C01" w14:textId="11C80F15" w:rsidR="00CF1BE3" w:rsidRPr="0029110D" w:rsidRDefault="00CF1BE3" w:rsidP="00AB1FF1">
            <w:pPr>
              <w:jc w:val="center"/>
              <w:rPr>
                <w:sz w:val="20"/>
                <w:szCs w:val="20"/>
              </w:rPr>
            </w:pPr>
            <w:r w:rsidRPr="0029110D">
              <w:rPr>
                <w:sz w:val="20"/>
                <w:szCs w:val="20"/>
              </w:rPr>
              <w:t>39</w:t>
            </w:r>
          </w:p>
        </w:tc>
      </w:tr>
      <w:tr w:rsidR="00CF1BE3" w:rsidRPr="0029110D" w14:paraId="48B3BB57" w14:textId="77777777" w:rsidTr="00AB1FF1">
        <w:trPr>
          <w:trHeight w:val="20"/>
        </w:trPr>
        <w:tc>
          <w:tcPr>
            <w:tcW w:w="1065" w:type="dxa"/>
            <w:vMerge/>
          </w:tcPr>
          <w:p w14:paraId="2E3FEC05" w14:textId="77777777" w:rsidR="00CF1BE3" w:rsidRPr="0029110D" w:rsidRDefault="00CF1BE3" w:rsidP="00511EB4">
            <w:pPr>
              <w:rPr>
                <w:sz w:val="20"/>
                <w:szCs w:val="20"/>
              </w:rPr>
            </w:pPr>
          </w:p>
        </w:tc>
        <w:tc>
          <w:tcPr>
            <w:tcW w:w="1063" w:type="dxa"/>
            <w:vMerge/>
          </w:tcPr>
          <w:p w14:paraId="654E452B" w14:textId="77777777" w:rsidR="00CF1BE3" w:rsidRPr="0029110D" w:rsidRDefault="00CF1BE3" w:rsidP="00AB1FF1">
            <w:pPr>
              <w:jc w:val="center"/>
              <w:rPr>
                <w:sz w:val="20"/>
                <w:szCs w:val="20"/>
              </w:rPr>
            </w:pPr>
          </w:p>
        </w:tc>
        <w:tc>
          <w:tcPr>
            <w:tcW w:w="1063" w:type="dxa"/>
          </w:tcPr>
          <w:p w14:paraId="06C07C29" w14:textId="77777777" w:rsidR="00CF1BE3" w:rsidRPr="0029110D" w:rsidRDefault="00CF1BE3" w:rsidP="00AB1FF1">
            <w:pPr>
              <w:jc w:val="center"/>
              <w:rPr>
                <w:sz w:val="20"/>
                <w:szCs w:val="20"/>
              </w:rPr>
            </w:pPr>
            <w:r w:rsidRPr="0029110D">
              <w:rPr>
                <w:sz w:val="20"/>
                <w:szCs w:val="20"/>
                <w:lang w:val="en-US"/>
              </w:rPr>
              <w:t>28</w:t>
            </w:r>
          </w:p>
        </w:tc>
        <w:tc>
          <w:tcPr>
            <w:tcW w:w="1063" w:type="dxa"/>
          </w:tcPr>
          <w:p w14:paraId="2167D5D6" w14:textId="77777777" w:rsidR="00CF1BE3" w:rsidRPr="0029110D" w:rsidRDefault="00CF1BE3" w:rsidP="00AB1FF1">
            <w:pPr>
              <w:jc w:val="center"/>
              <w:rPr>
                <w:sz w:val="20"/>
                <w:szCs w:val="20"/>
              </w:rPr>
            </w:pPr>
            <w:r w:rsidRPr="0029110D">
              <w:rPr>
                <w:sz w:val="20"/>
                <w:szCs w:val="20"/>
              </w:rPr>
              <w:t>8483</w:t>
            </w:r>
          </w:p>
        </w:tc>
        <w:tc>
          <w:tcPr>
            <w:tcW w:w="1063" w:type="dxa"/>
          </w:tcPr>
          <w:p w14:paraId="27833B46" w14:textId="77777777" w:rsidR="00CF1BE3" w:rsidRPr="0029110D" w:rsidRDefault="00CF1BE3" w:rsidP="00AB1FF1">
            <w:pPr>
              <w:jc w:val="center"/>
              <w:rPr>
                <w:sz w:val="20"/>
                <w:szCs w:val="20"/>
              </w:rPr>
            </w:pPr>
            <w:r w:rsidRPr="0029110D">
              <w:rPr>
                <w:sz w:val="20"/>
                <w:szCs w:val="20"/>
              </w:rPr>
              <w:t>13187</w:t>
            </w:r>
          </w:p>
        </w:tc>
        <w:tc>
          <w:tcPr>
            <w:tcW w:w="1064" w:type="dxa"/>
          </w:tcPr>
          <w:p w14:paraId="7085BFAC" w14:textId="77777777" w:rsidR="00CF1BE3" w:rsidRPr="0029110D" w:rsidRDefault="00CF1BE3" w:rsidP="00AB1FF1">
            <w:pPr>
              <w:jc w:val="center"/>
              <w:rPr>
                <w:sz w:val="20"/>
                <w:szCs w:val="20"/>
              </w:rPr>
            </w:pPr>
            <w:r w:rsidRPr="0029110D">
              <w:rPr>
                <w:sz w:val="20"/>
                <w:szCs w:val="20"/>
              </w:rPr>
              <w:t>21793</w:t>
            </w:r>
          </w:p>
        </w:tc>
        <w:tc>
          <w:tcPr>
            <w:tcW w:w="1064" w:type="dxa"/>
          </w:tcPr>
          <w:p w14:paraId="5617221E" w14:textId="77777777" w:rsidR="00CF1BE3" w:rsidRPr="0029110D" w:rsidRDefault="00CF1BE3" w:rsidP="00AB1FF1">
            <w:pPr>
              <w:jc w:val="center"/>
              <w:rPr>
                <w:sz w:val="20"/>
                <w:szCs w:val="20"/>
              </w:rPr>
            </w:pPr>
            <w:r w:rsidRPr="0029110D">
              <w:rPr>
                <w:sz w:val="20"/>
                <w:szCs w:val="20"/>
              </w:rPr>
              <w:t>22664</w:t>
            </w:r>
          </w:p>
        </w:tc>
        <w:tc>
          <w:tcPr>
            <w:tcW w:w="891" w:type="dxa"/>
          </w:tcPr>
          <w:p w14:paraId="5084C3D2" w14:textId="77777777" w:rsidR="00CF1BE3" w:rsidRPr="0029110D" w:rsidRDefault="00CF1BE3" w:rsidP="00AB1FF1">
            <w:pPr>
              <w:jc w:val="center"/>
              <w:rPr>
                <w:sz w:val="20"/>
                <w:szCs w:val="20"/>
              </w:rPr>
            </w:pPr>
            <w:r w:rsidRPr="0029110D">
              <w:rPr>
                <w:sz w:val="20"/>
                <w:szCs w:val="20"/>
              </w:rPr>
              <w:t>46</w:t>
            </w:r>
          </w:p>
        </w:tc>
        <w:tc>
          <w:tcPr>
            <w:tcW w:w="993" w:type="dxa"/>
          </w:tcPr>
          <w:p w14:paraId="105930D9" w14:textId="77777777" w:rsidR="00CF1BE3" w:rsidRPr="0029110D" w:rsidRDefault="00CF1BE3" w:rsidP="00AB1FF1">
            <w:pPr>
              <w:jc w:val="center"/>
              <w:rPr>
                <w:sz w:val="20"/>
                <w:szCs w:val="20"/>
              </w:rPr>
            </w:pPr>
            <w:r w:rsidRPr="0029110D">
              <w:rPr>
                <w:sz w:val="20"/>
                <w:szCs w:val="20"/>
              </w:rPr>
              <w:t>47</w:t>
            </w:r>
          </w:p>
        </w:tc>
      </w:tr>
      <w:tr w:rsidR="00CF1BE3" w:rsidRPr="0029110D" w14:paraId="03F09FCE" w14:textId="77777777" w:rsidTr="00AB1FF1">
        <w:trPr>
          <w:trHeight w:val="20"/>
        </w:trPr>
        <w:tc>
          <w:tcPr>
            <w:tcW w:w="1065" w:type="dxa"/>
            <w:vMerge/>
          </w:tcPr>
          <w:p w14:paraId="3226CF86" w14:textId="77777777" w:rsidR="00CF1BE3" w:rsidRPr="0029110D" w:rsidRDefault="00CF1BE3" w:rsidP="00511EB4">
            <w:pPr>
              <w:rPr>
                <w:sz w:val="20"/>
                <w:szCs w:val="20"/>
              </w:rPr>
            </w:pPr>
          </w:p>
        </w:tc>
        <w:tc>
          <w:tcPr>
            <w:tcW w:w="1063" w:type="dxa"/>
            <w:vMerge w:val="restart"/>
          </w:tcPr>
          <w:p w14:paraId="15F41622" w14:textId="77777777" w:rsidR="00CF1BE3" w:rsidRPr="0029110D" w:rsidRDefault="00CF1BE3" w:rsidP="00AB1FF1">
            <w:pPr>
              <w:jc w:val="center"/>
              <w:rPr>
                <w:sz w:val="20"/>
                <w:szCs w:val="20"/>
                <w:lang w:val="en-US"/>
              </w:rPr>
            </w:pPr>
            <w:r w:rsidRPr="0029110D">
              <w:rPr>
                <w:sz w:val="20"/>
                <w:szCs w:val="20"/>
                <w:lang w:val="en-US"/>
              </w:rPr>
              <w:t>300</w:t>
            </w:r>
          </w:p>
        </w:tc>
        <w:tc>
          <w:tcPr>
            <w:tcW w:w="1063" w:type="dxa"/>
          </w:tcPr>
          <w:p w14:paraId="5001D0A5" w14:textId="77777777" w:rsidR="00CF1BE3" w:rsidRPr="0029110D" w:rsidRDefault="00CF1BE3" w:rsidP="00AB1FF1">
            <w:pPr>
              <w:jc w:val="center"/>
              <w:rPr>
                <w:sz w:val="20"/>
                <w:szCs w:val="20"/>
              </w:rPr>
            </w:pPr>
            <w:r w:rsidRPr="0029110D">
              <w:rPr>
                <w:sz w:val="20"/>
                <w:szCs w:val="20"/>
                <w:lang w:val="en-US"/>
              </w:rPr>
              <w:t>1</w:t>
            </w:r>
          </w:p>
        </w:tc>
        <w:tc>
          <w:tcPr>
            <w:tcW w:w="1063" w:type="dxa"/>
          </w:tcPr>
          <w:p w14:paraId="70AE2FEB" w14:textId="42F74E94" w:rsidR="00CF1BE3" w:rsidRPr="0029110D" w:rsidRDefault="00CF1BE3" w:rsidP="00AB1FF1">
            <w:pPr>
              <w:jc w:val="center"/>
              <w:rPr>
                <w:sz w:val="20"/>
                <w:szCs w:val="20"/>
              </w:rPr>
            </w:pPr>
            <w:r w:rsidRPr="0029110D">
              <w:rPr>
                <w:sz w:val="20"/>
                <w:szCs w:val="20"/>
              </w:rPr>
              <w:t>7620</w:t>
            </w:r>
          </w:p>
        </w:tc>
        <w:tc>
          <w:tcPr>
            <w:tcW w:w="1063" w:type="dxa"/>
          </w:tcPr>
          <w:p w14:paraId="65712C60" w14:textId="248E5537" w:rsidR="00CF1BE3" w:rsidRPr="0029110D" w:rsidRDefault="00CF1BE3" w:rsidP="00AB1FF1">
            <w:pPr>
              <w:jc w:val="center"/>
              <w:rPr>
                <w:sz w:val="20"/>
                <w:szCs w:val="20"/>
              </w:rPr>
            </w:pPr>
            <w:r w:rsidRPr="0029110D">
              <w:rPr>
                <w:sz w:val="20"/>
                <w:szCs w:val="20"/>
              </w:rPr>
              <w:t>10080</w:t>
            </w:r>
          </w:p>
        </w:tc>
        <w:tc>
          <w:tcPr>
            <w:tcW w:w="1064" w:type="dxa"/>
          </w:tcPr>
          <w:p w14:paraId="41C04F31" w14:textId="0367E378" w:rsidR="00CF1BE3" w:rsidRPr="0029110D" w:rsidRDefault="00CF1BE3" w:rsidP="00AB1FF1">
            <w:pPr>
              <w:jc w:val="center"/>
              <w:rPr>
                <w:sz w:val="20"/>
                <w:szCs w:val="20"/>
              </w:rPr>
            </w:pPr>
            <w:r w:rsidRPr="0029110D">
              <w:rPr>
                <w:sz w:val="20"/>
                <w:szCs w:val="20"/>
              </w:rPr>
              <w:t>28831</w:t>
            </w:r>
          </w:p>
        </w:tc>
        <w:tc>
          <w:tcPr>
            <w:tcW w:w="1064" w:type="dxa"/>
          </w:tcPr>
          <w:p w14:paraId="09AAEF5C" w14:textId="438E26D2" w:rsidR="00CF1BE3" w:rsidRPr="0029110D" w:rsidRDefault="00CF1BE3" w:rsidP="00AB1FF1">
            <w:pPr>
              <w:jc w:val="center"/>
              <w:rPr>
                <w:sz w:val="20"/>
                <w:szCs w:val="20"/>
              </w:rPr>
            </w:pPr>
            <w:r w:rsidRPr="0029110D">
              <w:rPr>
                <w:sz w:val="20"/>
                <w:szCs w:val="20"/>
              </w:rPr>
              <w:t>80700</w:t>
            </w:r>
          </w:p>
        </w:tc>
        <w:tc>
          <w:tcPr>
            <w:tcW w:w="891" w:type="dxa"/>
          </w:tcPr>
          <w:p w14:paraId="7DAD46C1" w14:textId="3F7410EB" w:rsidR="00CF1BE3" w:rsidRPr="0029110D" w:rsidRDefault="00CF1BE3" w:rsidP="00AB1FF1">
            <w:pPr>
              <w:jc w:val="center"/>
              <w:rPr>
                <w:sz w:val="20"/>
                <w:szCs w:val="20"/>
              </w:rPr>
            </w:pPr>
            <w:r w:rsidRPr="0029110D">
              <w:rPr>
                <w:sz w:val="20"/>
                <w:szCs w:val="20"/>
              </w:rPr>
              <w:t>60</w:t>
            </w:r>
          </w:p>
        </w:tc>
        <w:tc>
          <w:tcPr>
            <w:tcW w:w="993" w:type="dxa"/>
          </w:tcPr>
          <w:p w14:paraId="7B804C00" w14:textId="77777777" w:rsidR="00CF1BE3" w:rsidRPr="0029110D" w:rsidRDefault="00CF1BE3" w:rsidP="00AB1FF1">
            <w:pPr>
              <w:jc w:val="center"/>
              <w:rPr>
                <w:sz w:val="20"/>
                <w:szCs w:val="20"/>
              </w:rPr>
            </w:pPr>
            <w:r w:rsidRPr="0029110D">
              <w:rPr>
                <w:sz w:val="20"/>
                <w:szCs w:val="20"/>
              </w:rPr>
              <w:t>169</w:t>
            </w:r>
          </w:p>
        </w:tc>
      </w:tr>
      <w:tr w:rsidR="00CF1BE3" w:rsidRPr="0029110D" w14:paraId="48AD0126" w14:textId="77777777" w:rsidTr="00AB1FF1">
        <w:trPr>
          <w:trHeight w:val="20"/>
        </w:trPr>
        <w:tc>
          <w:tcPr>
            <w:tcW w:w="1065" w:type="dxa"/>
            <w:vMerge/>
          </w:tcPr>
          <w:p w14:paraId="412F426E" w14:textId="77777777" w:rsidR="00CF1BE3" w:rsidRPr="0029110D" w:rsidRDefault="00CF1BE3" w:rsidP="00511EB4">
            <w:pPr>
              <w:rPr>
                <w:sz w:val="20"/>
                <w:szCs w:val="20"/>
              </w:rPr>
            </w:pPr>
          </w:p>
        </w:tc>
        <w:tc>
          <w:tcPr>
            <w:tcW w:w="1063" w:type="dxa"/>
            <w:vMerge/>
          </w:tcPr>
          <w:p w14:paraId="4D145053" w14:textId="77777777" w:rsidR="00CF1BE3" w:rsidRPr="0029110D" w:rsidRDefault="00CF1BE3" w:rsidP="00AB1FF1">
            <w:pPr>
              <w:jc w:val="center"/>
              <w:rPr>
                <w:sz w:val="20"/>
                <w:szCs w:val="20"/>
              </w:rPr>
            </w:pPr>
          </w:p>
        </w:tc>
        <w:tc>
          <w:tcPr>
            <w:tcW w:w="1063" w:type="dxa"/>
          </w:tcPr>
          <w:p w14:paraId="1F5A5C3E" w14:textId="77777777" w:rsidR="00CF1BE3" w:rsidRPr="0029110D" w:rsidRDefault="00CF1BE3" w:rsidP="00AB1FF1">
            <w:pPr>
              <w:jc w:val="center"/>
              <w:rPr>
                <w:sz w:val="20"/>
                <w:szCs w:val="20"/>
              </w:rPr>
            </w:pPr>
            <w:r w:rsidRPr="0029110D">
              <w:rPr>
                <w:sz w:val="20"/>
                <w:szCs w:val="20"/>
                <w:lang w:val="en-US"/>
              </w:rPr>
              <w:t>28</w:t>
            </w:r>
          </w:p>
        </w:tc>
        <w:tc>
          <w:tcPr>
            <w:tcW w:w="1063" w:type="dxa"/>
          </w:tcPr>
          <w:p w14:paraId="68917310" w14:textId="77777777" w:rsidR="00CF1BE3" w:rsidRPr="0029110D" w:rsidRDefault="00CF1BE3" w:rsidP="00AB1FF1">
            <w:pPr>
              <w:jc w:val="center"/>
              <w:rPr>
                <w:sz w:val="20"/>
                <w:szCs w:val="20"/>
              </w:rPr>
            </w:pPr>
            <w:r w:rsidRPr="0029110D">
              <w:rPr>
                <w:sz w:val="20"/>
                <w:szCs w:val="20"/>
              </w:rPr>
              <w:t>9323</w:t>
            </w:r>
          </w:p>
        </w:tc>
        <w:tc>
          <w:tcPr>
            <w:tcW w:w="1063" w:type="dxa"/>
          </w:tcPr>
          <w:p w14:paraId="2EF82406" w14:textId="77777777" w:rsidR="00CF1BE3" w:rsidRPr="0029110D" w:rsidRDefault="00CF1BE3" w:rsidP="00AB1FF1">
            <w:pPr>
              <w:jc w:val="center"/>
              <w:rPr>
                <w:sz w:val="20"/>
                <w:szCs w:val="20"/>
              </w:rPr>
            </w:pPr>
            <w:r w:rsidRPr="0029110D">
              <w:rPr>
                <w:sz w:val="20"/>
                <w:szCs w:val="20"/>
              </w:rPr>
              <w:t>12543</w:t>
            </w:r>
          </w:p>
        </w:tc>
        <w:tc>
          <w:tcPr>
            <w:tcW w:w="1064" w:type="dxa"/>
          </w:tcPr>
          <w:p w14:paraId="008AD3A6" w14:textId="77777777" w:rsidR="00CF1BE3" w:rsidRPr="0029110D" w:rsidRDefault="00CF1BE3" w:rsidP="00AB1FF1">
            <w:pPr>
              <w:jc w:val="center"/>
              <w:rPr>
                <w:sz w:val="20"/>
                <w:szCs w:val="20"/>
              </w:rPr>
            </w:pPr>
            <w:r w:rsidRPr="0029110D">
              <w:rPr>
                <w:sz w:val="20"/>
                <w:szCs w:val="20"/>
              </w:rPr>
              <w:t>24030</w:t>
            </w:r>
          </w:p>
        </w:tc>
        <w:tc>
          <w:tcPr>
            <w:tcW w:w="1064" w:type="dxa"/>
          </w:tcPr>
          <w:p w14:paraId="68E63622" w14:textId="77777777" w:rsidR="00CF1BE3" w:rsidRPr="0029110D" w:rsidRDefault="00CF1BE3" w:rsidP="00AB1FF1">
            <w:pPr>
              <w:jc w:val="center"/>
              <w:rPr>
                <w:sz w:val="20"/>
                <w:szCs w:val="20"/>
              </w:rPr>
            </w:pPr>
            <w:r w:rsidRPr="0029110D">
              <w:rPr>
                <w:sz w:val="20"/>
                <w:szCs w:val="20"/>
              </w:rPr>
              <w:t>31271</w:t>
            </w:r>
          </w:p>
        </w:tc>
        <w:tc>
          <w:tcPr>
            <w:tcW w:w="891" w:type="dxa"/>
          </w:tcPr>
          <w:p w14:paraId="62B7A458" w14:textId="77777777" w:rsidR="00CF1BE3" w:rsidRPr="0029110D" w:rsidRDefault="00CF1BE3" w:rsidP="00AB1FF1">
            <w:pPr>
              <w:jc w:val="center"/>
              <w:rPr>
                <w:sz w:val="20"/>
                <w:szCs w:val="20"/>
              </w:rPr>
            </w:pPr>
            <w:r w:rsidRPr="0029110D">
              <w:rPr>
                <w:sz w:val="20"/>
                <w:szCs w:val="20"/>
              </w:rPr>
              <w:t>50</w:t>
            </w:r>
          </w:p>
        </w:tc>
        <w:tc>
          <w:tcPr>
            <w:tcW w:w="993" w:type="dxa"/>
          </w:tcPr>
          <w:p w14:paraId="3A28C226" w14:textId="77777777" w:rsidR="00CF1BE3" w:rsidRPr="0029110D" w:rsidRDefault="00CF1BE3" w:rsidP="00AB1FF1">
            <w:pPr>
              <w:jc w:val="center"/>
              <w:rPr>
                <w:sz w:val="20"/>
                <w:szCs w:val="20"/>
              </w:rPr>
            </w:pPr>
            <w:r w:rsidRPr="0029110D">
              <w:rPr>
                <w:sz w:val="20"/>
                <w:szCs w:val="20"/>
              </w:rPr>
              <w:t>65</w:t>
            </w:r>
          </w:p>
        </w:tc>
      </w:tr>
      <w:tr w:rsidR="00CF1BE3" w:rsidRPr="0029110D" w14:paraId="7678183C" w14:textId="77777777" w:rsidTr="00AB1FF1">
        <w:trPr>
          <w:trHeight w:val="20"/>
        </w:trPr>
        <w:tc>
          <w:tcPr>
            <w:tcW w:w="1065" w:type="dxa"/>
            <w:vMerge/>
          </w:tcPr>
          <w:p w14:paraId="3011E460" w14:textId="77777777" w:rsidR="00CF1BE3" w:rsidRPr="0029110D" w:rsidRDefault="00CF1BE3" w:rsidP="00511EB4">
            <w:pPr>
              <w:rPr>
                <w:sz w:val="20"/>
                <w:szCs w:val="20"/>
              </w:rPr>
            </w:pPr>
          </w:p>
        </w:tc>
        <w:tc>
          <w:tcPr>
            <w:tcW w:w="1063" w:type="dxa"/>
            <w:vMerge w:val="restart"/>
          </w:tcPr>
          <w:p w14:paraId="3972FAFC" w14:textId="77777777" w:rsidR="00CF1BE3" w:rsidRPr="0029110D" w:rsidRDefault="00CF1BE3" w:rsidP="00AB1FF1">
            <w:pPr>
              <w:jc w:val="center"/>
              <w:rPr>
                <w:sz w:val="20"/>
                <w:szCs w:val="20"/>
                <w:lang w:val="en-US"/>
              </w:rPr>
            </w:pPr>
            <w:r w:rsidRPr="0029110D">
              <w:rPr>
                <w:sz w:val="20"/>
                <w:szCs w:val="20"/>
                <w:lang w:val="en-US"/>
              </w:rPr>
              <w:t>10</w:t>
            </w:r>
          </w:p>
        </w:tc>
        <w:tc>
          <w:tcPr>
            <w:tcW w:w="1063" w:type="dxa"/>
          </w:tcPr>
          <w:p w14:paraId="0B1373A9" w14:textId="77777777" w:rsidR="00CF1BE3" w:rsidRPr="0029110D" w:rsidRDefault="00CF1BE3" w:rsidP="00AB1FF1">
            <w:pPr>
              <w:jc w:val="center"/>
              <w:rPr>
                <w:sz w:val="20"/>
                <w:szCs w:val="20"/>
                <w:lang w:val="en-US"/>
              </w:rPr>
            </w:pPr>
            <w:r w:rsidRPr="0029110D">
              <w:rPr>
                <w:sz w:val="20"/>
                <w:szCs w:val="20"/>
                <w:lang w:val="en-US"/>
              </w:rPr>
              <w:t>1</w:t>
            </w:r>
          </w:p>
        </w:tc>
        <w:tc>
          <w:tcPr>
            <w:tcW w:w="1063" w:type="dxa"/>
          </w:tcPr>
          <w:p w14:paraId="0448D345" w14:textId="62B9DDE9" w:rsidR="00CF1BE3" w:rsidRPr="0029110D" w:rsidRDefault="00CF1BE3" w:rsidP="00AB1FF1">
            <w:pPr>
              <w:jc w:val="center"/>
              <w:rPr>
                <w:sz w:val="20"/>
                <w:szCs w:val="20"/>
              </w:rPr>
            </w:pPr>
            <w:r w:rsidRPr="0029110D">
              <w:rPr>
                <w:sz w:val="20"/>
                <w:szCs w:val="20"/>
              </w:rPr>
              <w:t>1668</w:t>
            </w:r>
          </w:p>
        </w:tc>
        <w:tc>
          <w:tcPr>
            <w:tcW w:w="1063" w:type="dxa"/>
          </w:tcPr>
          <w:p w14:paraId="78DDAC5E" w14:textId="0F832BFC" w:rsidR="00CF1BE3" w:rsidRPr="0029110D" w:rsidRDefault="00CF1BE3" w:rsidP="00AB1FF1">
            <w:pPr>
              <w:jc w:val="center"/>
              <w:rPr>
                <w:sz w:val="20"/>
                <w:szCs w:val="20"/>
              </w:rPr>
            </w:pPr>
            <w:r w:rsidRPr="0029110D">
              <w:rPr>
                <w:sz w:val="20"/>
                <w:szCs w:val="20"/>
              </w:rPr>
              <w:t>1311</w:t>
            </w:r>
          </w:p>
        </w:tc>
        <w:tc>
          <w:tcPr>
            <w:tcW w:w="1064" w:type="dxa"/>
          </w:tcPr>
          <w:p w14:paraId="6B2A9C17" w14:textId="363B0B16" w:rsidR="00CF1BE3" w:rsidRPr="0029110D" w:rsidRDefault="00CF1BE3" w:rsidP="00AB1FF1">
            <w:pPr>
              <w:jc w:val="center"/>
              <w:rPr>
                <w:sz w:val="20"/>
                <w:szCs w:val="20"/>
              </w:rPr>
            </w:pPr>
            <w:r w:rsidRPr="0029110D">
              <w:rPr>
                <w:sz w:val="20"/>
                <w:szCs w:val="20"/>
              </w:rPr>
              <w:t>3194</w:t>
            </w:r>
          </w:p>
        </w:tc>
        <w:tc>
          <w:tcPr>
            <w:tcW w:w="1064" w:type="dxa"/>
          </w:tcPr>
          <w:p w14:paraId="5CB307A1" w14:textId="122508BC" w:rsidR="00CF1BE3" w:rsidRPr="0029110D" w:rsidRDefault="00CF1BE3" w:rsidP="00AB1FF1">
            <w:pPr>
              <w:jc w:val="center"/>
              <w:rPr>
                <w:sz w:val="20"/>
                <w:szCs w:val="20"/>
              </w:rPr>
            </w:pPr>
            <w:r w:rsidRPr="0029110D">
              <w:rPr>
                <w:sz w:val="20"/>
                <w:szCs w:val="20"/>
              </w:rPr>
              <w:t>2834</w:t>
            </w:r>
          </w:p>
        </w:tc>
        <w:tc>
          <w:tcPr>
            <w:tcW w:w="891" w:type="dxa"/>
          </w:tcPr>
          <w:p w14:paraId="5B388D45" w14:textId="08C6A4F3" w:rsidR="00CF1BE3" w:rsidRPr="0029110D" w:rsidRDefault="00CF1BE3" w:rsidP="00AB1FF1">
            <w:pPr>
              <w:jc w:val="center"/>
              <w:rPr>
                <w:sz w:val="20"/>
                <w:szCs w:val="20"/>
              </w:rPr>
            </w:pPr>
            <w:r w:rsidRPr="0029110D">
              <w:rPr>
                <w:sz w:val="20"/>
                <w:szCs w:val="20"/>
              </w:rPr>
              <w:t>6</w:t>
            </w:r>
            <w:r w:rsidR="00EB77C9" w:rsidRPr="0029110D">
              <w:rPr>
                <w:sz w:val="20"/>
                <w:szCs w:val="20"/>
              </w:rPr>
              <w:t>,</w:t>
            </w:r>
            <w:r w:rsidRPr="0029110D">
              <w:rPr>
                <w:sz w:val="20"/>
                <w:szCs w:val="20"/>
              </w:rPr>
              <w:t>7</w:t>
            </w:r>
          </w:p>
        </w:tc>
        <w:tc>
          <w:tcPr>
            <w:tcW w:w="993" w:type="dxa"/>
          </w:tcPr>
          <w:p w14:paraId="23906B7B" w14:textId="7D66B6D1" w:rsidR="00CF1BE3" w:rsidRPr="0029110D" w:rsidRDefault="00CF1BE3" w:rsidP="00AB1FF1">
            <w:pPr>
              <w:jc w:val="center"/>
              <w:rPr>
                <w:sz w:val="20"/>
                <w:szCs w:val="20"/>
              </w:rPr>
            </w:pPr>
            <w:r w:rsidRPr="0029110D">
              <w:rPr>
                <w:sz w:val="20"/>
                <w:szCs w:val="20"/>
              </w:rPr>
              <w:t>5</w:t>
            </w:r>
            <w:r w:rsidR="00EB77C9" w:rsidRPr="0029110D">
              <w:rPr>
                <w:sz w:val="20"/>
                <w:szCs w:val="20"/>
              </w:rPr>
              <w:t>,</w:t>
            </w:r>
            <w:r w:rsidRPr="0029110D">
              <w:rPr>
                <w:sz w:val="20"/>
                <w:szCs w:val="20"/>
              </w:rPr>
              <w:t>9</w:t>
            </w:r>
          </w:p>
        </w:tc>
      </w:tr>
      <w:tr w:rsidR="00CF1BE3" w:rsidRPr="0029110D" w14:paraId="01DE3E11" w14:textId="77777777" w:rsidTr="00AB1FF1">
        <w:trPr>
          <w:trHeight w:val="20"/>
        </w:trPr>
        <w:tc>
          <w:tcPr>
            <w:tcW w:w="1065" w:type="dxa"/>
            <w:vMerge/>
          </w:tcPr>
          <w:p w14:paraId="7846ABBB" w14:textId="77777777" w:rsidR="00CF1BE3" w:rsidRPr="0029110D" w:rsidRDefault="00CF1BE3" w:rsidP="00511EB4">
            <w:pPr>
              <w:rPr>
                <w:sz w:val="20"/>
                <w:szCs w:val="20"/>
              </w:rPr>
            </w:pPr>
          </w:p>
        </w:tc>
        <w:tc>
          <w:tcPr>
            <w:tcW w:w="1063" w:type="dxa"/>
            <w:vMerge/>
          </w:tcPr>
          <w:p w14:paraId="4A37218A" w14:textId="77777777" w:rsidR="00CF1BE3" w:rsidRPr="0029110D" w:rsidRDefault="00CF1BE3" w:rsidP="00AB1FF1">
            <w:pPr>
              <w:jc w:val="center"/>
              <w:rPr>
                <w:sz w:val="20"/>
                <w:szCs w:val="20"/>
              </w:rPr>
            </w:pPr>
          </w:p>
        </w:tc>
        <w:tc>
          <w:tcPr>
            <w:tcW w:w="1063" w:type="dxa"/>
          </w:tcPr>
          <w:p w14:paraId="400E87AB" w14:textId="77777777" w:rsidR="00CF1BE3" w:rsidRPr="0029110D" w:rsidRDefault="00CF1BE3" w:rsidP="00AB1FF1">
            <w:pPr>
              <w:jc w:val="center"/>
              <w:rPr>
                <w:sz w:val="20"/>
                <w:szCs w:val="20"/>
                <w:lang w:val="en-US"/>
              </w:rPr>
            </w:pPr>
            <w:r w:rsidRPr="0029110D">
              <w:rPr>
                <w:sz w:val="20"/>
                <w:szCs w:val="20"/>
                <w:lang w:val="en-US"/>
              </w:rPr>
              <w:t>91</w:t>
            </w:r>
          </w:p>
        </w:tc>
        <w:tc>
          <w:tcPr>
            <w:tcW w:w="1063" w:type="dxa"/>
          </w:tcPr>
          <w:p w14:paraId="0877917A" w14:textId="77777777" w:rsidR="00CF1BE3" w:rsidRPr="0029110D" w:rsidRDefault="00CF1BE3" w:rsidP="00AB1FF1">
            <w:pPr>
              <w:jc w:val="center"/>
              <w:rPr>
                <w:sz w:val="20"/>
                <w:szCs w:val="20"/>
              </w:rPr>
            </w:pPr>
            <w:r w:rsidRPr="0029110D">
              <w:rPr>
                <w:sz w:val="20"/>
                <w:szCs w:val="20"/>
              </w:rPr>
              <w:t>1241</w:t>
            </w:r>
          </w:p>
        </w:tc>
        <w:tc>
          <w:tcPr>
            <w:tcW w:w="1063" w:type="dxa"/>
          </w:tcPr>
          <w:p w14:paraId="6E14AD70" w14:textId="77777777" w:rsidR="00CF1BE3" w:rsidRPr="0029110D" w:rsidRDefault="00CF1BE3" w:rsidP="00AB1FF1">
            <w:pPr>
              <w:jc w:val="center"/>
              <w:rPr>
                <w:sz w:val="20"/>
                <w:szCs w:val="20"/>
              </w:rPr>
            </w:pPr>
            <w:r w:rsidRPr="0029110D">
              <w:rPr>
                <w:sz w:val="20"/>
                <w:szCs w:val="20"/>
              </w:rPr>
              <w:t>1025</w:t>
            </w:r>
          </w:p>
        </w:tc>
        <w:tc>
          <w:tcPr>
            <w:tcW w:w="1064" w:type="dxa"/>
          </w:tcPr>
          <w:p w14:paraId="2A4EA3C4" w14:textId="77777777" w:rsidR="00CF1BE3" w:rsidRPr="0029110D" w:rsidRDefault="00CF1BE3" w:rsidP="00AB1FF1">
            <w:pPr>
              <w:jc w:val="center"/>
              <w:rPr>
                <w:sz w:val="20"/>
                <w:szCs w:val="20"/>
              </w:rPr>
            </w:pPr>
            <w:r w:rsidRPr="0029110D">
              <w:rPr>
                <w:sz w:val="20"/>
                <w:szCs w:val="20"/>
              </w:rPr>
              <w:t>2838</w:t>
            </w:r>
          </w:p>
        </w:tc>
        <w:tc>
          <w:tcPr>
            <w:tcW w:w="1064" w:type="dxa"/>
          </w:tcPr>
          <w:p w14:paraId="25ED5645" w14:textId="77777777" w:rsidR="00CF1BE3" w:rsidRPr="0029110D" w:rsidRDefault="00CF1BE3" w:rsidP="00AB1FF1">
            <w:pPr>
              <w:jc w:val="center"/>
              <w:rPr>
                <w:sz w:val="20"/>
                <w:szCs w:val="20"/>
              </w:rPr>
            </w:pPr>
            <w:r w:rsidRPr="0029110D">
              <w:rPr>
                <w:sz w:val="20"/>
                <w:szCs w:val="20"/>
              </w:rPr>
              <w:t>2411</w:t>
            </w:r>
          </w:p>
        </w:tc>
        <w:tc>
          <w:tcPr>
            <w:tcW w:w="891" w:type="dxa"/>
          </w:tcPr>
          <w:p w14:paraId="1D135429" w14:textId="7D24EA70" w:rsidR="00CF1BE3" w:rsidRPr="0029110D" w:rsidRDefault="00CF1BE3" w:rsidP="00AB1FF1">
            <w:pPr>
              <w:jc w:val="center"/>
              <w:rPr>
                <w:sz w:val="20"/>
                <w:szCs w:val="20"/>
              </w:rPr>
            </w:pPr>
            <w:r w:rsidRPr="0029110D">
              <w:rPr>
                <w:sz w:val="20"/>
                <w:szCs w:val="20"/>
              </w:rPr>
              <w:t>5</w:t>
            </w:r>
            <w:r w:rsidR="00EB77C9" w:rsidRPr="0029110D">
              <w:rPr>
                <w:sz w:val="20"/>
                <w:szCs w:val="20"/>
              </w:rPr>
              <w:t>,</w:t>
            </w:r>
            <w:r w:rsidRPr="0029110D">
              <w:rPr>
                <w:sz w:val="20"/>
                <w:szCs w:val="20"/>
              </w:rPr>
              <w:t>9</w:t>
            </w:r>
          </w:p>
        </w:tc>
        <w:tc>
          <w:tcPr>
            <w:tcW w:w="993" w:type="dxa"/>
          </w:tcPr>
          <w:p w14:paraId="09905A20" w14:textId="6F19D887" w:rsidR="00CF1BE3" w:rsidRPr="0029110D" w:rsidRDefault="00CF1BE3" w:rsidP="00AB1FF1">
            <w:pPr>
              <w:jc w:val="center"/>
              <w:rPr>
                <w:sz w:val="20"/>
                <w:szCs w:val="20"/>
              </w:rPr>
            </w:pPr>
            <w:r w:rsidRPr="0029110D">
              <w:rPr>
                <w:sz w:val="20"/>
                <w:szCs w:val="20"/>
              </w:rPr>
              <w:t>5</w:t>
            </w:r>
            <w:r w:rsidR="00EB77C9" w:rsidRPr="0029110D">
              <w:rPr>
                <w:sz w:val="20"/>
                <w:szCs w:val="20"/>
              </w:rPr>
              <w:t>,</w:t>
            </w:r>
            <w:r w:rsidRPr="0029110D">
              <w:rPr>
                <w:sz w:val="20"/>
                <w:szCs w:val="20"/>
              </w:rPr>
              <w:t>0</w:t>
            </w:r>
          </w:p>
        </w:tc>
      </w:tr>
      <w:tr w:rsidR="00CF1BE3" w:rsidRPr="0029110D" w14:paraId="0D6E9EA5" w14:textId="77777777" w:rsidTr="00AB1FF1">
        <w:trPr>
          <w:trHeight w:val="20"/>
        </w:trPr>
        <w:tc>
          <w:tcPr>
            <w:tcW w:w="1065" w:type="dxa"/>
            <w:vMerge/>
          </w:tcPr>
          <w:p w14:paraId="45FFCDBE" w14:textId="77777777" w:rsidR="00CF1BE3" w:rsidRPr="0029110D" w:rsidRDefault="00CF1BE3" w:rsidP="00511EB4">
            <w:pPr>
              <w:rPr>
                <w:sz w:val="20"/>
                <w:szCs w:val="20"/>
              </w:rPr>
            </w:pPr>
          </w:p>
        </w:tc>
        <w:tc>
          <w:tcPr>
            <w:tcW w:w="1063" w:type="dxa"/>
            <w:vMerge w:val="restart"/>
          </w:tcPr>
          <w:p w14:paraId="0184DB61" w14:textId="77777777" w:rsidR="00CF1BE3" w:rsidRPr="0029110D" w:rsidRDefault="00CF1BE3" w:rsidP="00AB1FF1">
            <w:pPr>
              <w:jc w:val="center"/>
              <w:rPr>
                <w:sz w:val="20"/>
                <w:szCs w:val="20"/>
                <w:lang w:val="en-US"/>
              </w:rPr>
            </w:pPr>
            <w:r w:rsidRPr="0029110D">
              <w:rPr>
                <w:sz w:val="20"/>
                <w:szCs w:val="20"/>
                <w:lang w:val="en-US"/>
              </w:rPr>
              <w:t>75</w:t>
            </w:r>
          </w:p>
        </w:tc>
        <w:tc>
          <w:tcPr>
            <w:tcW w:w="1063" w:type="dxa"/>
          </w:tcPr>
          <w:p w14:paraId="60E0CB30" w14:textId="77777777" w:rsidR="00CF1BE3" w:rsidRPr="0029110D" w:rsidRDefault="00CF1BE3" w:rsidP="00AB1FF1">
            <w:pPr>
              <w:jc w:val="center"/>
              <w:rPr>
                <w:sz w:val="20"/>
                <w:szCs w:val="20"/>
              </w:rPr>
            </w:pPr>
            <w:r w:rsidRPr="0029110D">
              <w:rPr>
                <w:sz w:val="20"/>
                <w:szCs w:val="20"/>
                <w:lang w:val="en-US"/>
              </w:rPr>
              <w:t>1</w:t>
            </w:r>
          </w:p>
        </w:tc>
        <w:tc>
          <w:tcPr>
            <w:tcW w:w="1063" w:type="dxa"/>
          </w:tcPr>
          <w:p w14:paraId="2ADFDE0F" w14:textId="3872DFB9" w:rsidR="00CF1BE3" w:rsidRPr="0029110D" w:rsidRDefault="00CF1BE3" w:rsidP="00AB1FF1">
            <w:pPr>
              <w:jc w:val="center"/>
              <w:rPr>
                <w:sz w:val="20"/>
                <w:szCs w:val="20"/>
              </w:rPr>
            </w:pPr>
            <w:r w:rsidRPr="0029110D">
              <w:rPr>
                <w:sz w:val="20"/>
                <w:szCs w:val="20"/>
              </w:rPr>
              <w:t>12145</w:t>
            </w:r>
          </w:p>
        </w:tc>
        <w:tc>
          <w:tcPr>
            <w:tcW w:w="1063" w:type="dxa"/>
          </w:tcPr>
          <w:p w14:paraId="6956C0C9" w14:textId="29FD9838" w:rsidR="00CF1BE3" w:rsidRPr="0029110D" w:rsidRDefault="00CF1BE3" w:rsidP="00AB1FF1">
            <w:pPr>
              <w:jc w:val="center"/>
              <w:rPr>
                <w:sz w:val="20"/>
                <w:szCs w:val="20"/>
              </w:rPr>
            </w:pPr>
            <w:r w:rsidRPr="0029110D">
              <w:rPr>
                <w:sz w:val="20"/>
                <w:szCs w:val="20"/>
              </w:rPr>
              <w:t>15265</w:t>
            </w:r>
          </w:p>
        </w:tc>
        <w:tc>
          <w:tcPr>
            <w:tcW w:w="1064" w:type="dxa"/>
          </w:tcPr>
          <w:p w14:paraId="402EC8F8" w14:textId="00C57849" w:rsidR="00CF1BE3" w:rsidRPr="0029110D" w:rsidRDefault="00CF1BE3" w:rsidP="00AB1FF1">
            <w:pPr>
              <w:jc w:val="center"/>
              <w:rPr>
                <w:sz w:val="20"/>
                <w:szCs w:val="20"/>
              </w:rPr>
            </w:pPr>
            <w:r w:rsidRPr="0029110D">
              <w:rPr>
                <w:sz w:val="20"/>
                <w:szCs w:val="20"/>
              </w:rPr>
              <w:t>22694</w:t>
            </w:r>
          </w:p>
        </w:tc>
        <w:tc>
          <w:tcPr>
            <w:tcW w:w="1064" w:type="dxa"/>
          </w:tcPr>
          <w:p w14:paraId="5DE0A5CA" w14:textId="32A43720" w:rsidR="00CF1BE3" w:rsidRPr="0029110D" w:rsidRDefault="00CF1BE3" w:rsidP="00AB1FF1">
            <w:pPr>
              <w:jc w:val="center"/>
              <w:rPr>
                <w:sz w:val="20"/>
                <w:szCs w:val="20"/>
              </w:rPr>
            </w:pPr>
            <w:r w:rsidRPr="0029110D">
              <w:rPr>
                <w:sz w:val="20"/>
                <w:szCs w:val="20"/>
              </w:rPr>
              <w:t>27077</w:t>
            </w:r>
          </w:p>
        </w:tc>
        <w:tc>
          <w:tcPr>
            <w:tcW w:w="891" w:type="dxa"/>
          </w:tcPr>
          <w:p w14:paraId="0E450C1B" w14:textId="60E39FB7" w:rsidR="00CF1BE3" w:rsidRPr="0029110D" w:rsidRDefault="00CF1BE3" w:rsidP="00AB1FF1">
            <w:pPr>
              <w:jc w:val="center"/>
              <w:rPr>
                <w:sz w:val="20"/>
                <w:szCs w:val="20"/>
              </w:rPr>
            </w:pPr>
            <w:r w:rsidRPr="0029110D">
              <w:rPr>
                <w:sz w:val="20"/>
                <w:szCs w:val="20"/>
              </w:rPr>
              <w:t>48</w:t>
            </w:r>
          </w:p>
        </w:tc>
        <w:tc>
          <w:tcPr>
            <w:tcW w:w="993" w:type="dxa"/>
          </w:tcPr>
          <w:p w14:paraId="09EE137F" w14:textId="177313B3" w:rsidR="00CF1BE3" w:rsidRPr="0029110D" w:rsidRDefault="00CF1BE3" w:rsidP="00AB1FF1">
            <w:pPr>
              <w:jc w:val="center"/>
              <w:rPr>
                <w:sz w:val="20"/>
                <w:szCs w:val="20"/>
              </w:rPr>
            </w:pPr>
            <w:r w:rsidRPr="0029110D">
              <w:rPr>
                <w:sz w:val="20"/>
                <w:szCs w:val="20"/>
              </w:rPr>
              <w:t>57</w:t>
            </w:r>
          </w:p>
        </w:tc>
      </w:tr>
      <w:tr w:rsidR="00CF1BE3" w:rsidRPr="0029110D" w14:paraId="7C3C0C42" w14:textId="77777777" w:rsidTr="00AB1FF1">
        <w:trPr>
          <w:trHeight w:val="20"/>
        </w:trPr>
        <w:tc>
          <w:tcPr>
            <w:tcW w:w="1065" w:type="dxa"/>
            <w:vMerge/>
          </w:tcPr>
          <w:p w14:paraId="67C8D98F" w14:textId="77777777" w:rsidR="00CF1BE3" w:rsidRPr="0029110D" w:rsidRDefault="00CF1BE3" w:rsidP="00511EB4">
            <w:pPr>
              <w:rPr>
                <w:sz w:val="20"/>
                <w:szCs w:val="20"/>
              </w:rPr>
            </w:pPr>
          </w:p>
        </w:tc>
        <w:tc>
          <w:tcPr>
            <w:tcW w:w="1063" w:type="dxa"/>
            <w:vMerge/>
          </w:tcPr>
          <w:p w14:paraId="1F4F36F1" w14:textId="77777777" w:rsidR="00CF1BE3" w:rsidRPr="0029110D" w:rsidRDefault="00CF1BE3" w:rsidP="00AB1FF1">
            <w:pPr>
              <w:jc w:val="center"/>
              <w:rPr>
                <w:sz w:val="20"/>
                <w:szCs w:val="20"/>
              </w:rPr>
            </w:pPr>
          </w:p>
        </w:tc>
        <w:tc>
          <w:tcPr>
            <w:tcW w:w="1063" w:type="dxa"/>
          </w:tcPr>
          <w:p w14:paraId="3CFB75EC" w14:textId="77777777" w:rsidR="00CF1BE3" w:rsidRPr="0029110D" w:rsidRDefault="00CF1BE3" w:rsidP="00AB1FF1">
            <w:pPr>
              <w:jc w:val="center"/>
              <w:rPr>
                <w:sz w:val="20"/>
                <w:szCs w:val="20"/>
              </w:rPr>
            </w:pPr>
            <w:r w:rsidRPr="0029110D">
              <w:rPr>
                <w:sz w:val="20"/>
                <w:szCs w:val="20"/>
                <w:lang w:val="en-US"/>
              </w:rPr>
              <w:t>91</w:t>
            </w:r>
          </w:p>
        </w:tc>
        <w:tc>
          <w:tcPr>
            <w:tcW w:w="1063" w:type="dxa"/>
          </w:tcPr>
          <w:p w14:paraId="15E7A552" w14:textId="77777777" w:rsidR="00CF1BE3" w:rsidRPr="0029110D" w:rsidRDefault="00CF1BE3" w:rsidP="00AB1FF1">
            <w:pPr>
              <w:jc w:val="center"/>
              <w:rPr>
                <w:sz w:val="20"/>
                <w:szCs w:val="20"/>
              </w:rPr>
            </w:pPr>
            <w:r w:rsidRPr="0029110D">
              <w:rPr>
                <w:sz w:val="20"/>
                <w:szCs w:val="20"/>
              </w:rPr>
              <w:t>10585</w:t>
            </w:r>
          </w:p>
        </w:tc>
        <w:tc>
          <w:tcPr>
            <w:tcW w:w="1063" w:type="dxa"/>
          </w:tcPr>
          <w:p w14:paraId="72BDF24F" w14:textId="77777777" w:rsidR="00CF1BE3" w:rsidRPr="0029110D" w:rsidRDefault="00CF1BE3" w:rsidP="00AB1FF1">
            <w:pPr>
              <w:jc w:val="center"/>
              <w:rPr>
                <w:sz w:val="20"/>
                <w:szCs w:val="20"/>
              </w:rPr>
            </w:pPr>
            <w:r w:rsidRPr="0029110D">
              <w:rPr>
                <w:sz w:val="20"/>
                <w:szCs w:val="20"/>
              </w:rPr>
              <w:t>10437</w:t>
            </w:r>
          </w:p>
        </w:tc>
        <w:tc>
          <w:tcPr>
            <w:tcW w:w="1064" w:type="dxa"/>
          </w:tcPr>
          <w:p w14:paraId="7C05B163" w14:textId="77777777" w:rsidR="00CF1BE3" w:rsidRPr="0029110D" w:rsidRDefault="00CF1BE3" w:rsidP="00AB1FF1">
            <w:pPr>
              <w:jc w:val="center"/>
              <w:rPr>
                <w:sz w:val="20"/>
                <w:szCs w:val="20"/>
              </w:rPr>
            </w:pPr>
            <w:r w:rsidRPr="0029110D">
              <w:rPr>
                <w:sz w:val="20"/>
                <w:szCs w:val="20"/>
              </w:rPr>
              <w:t>20057</w:t>
            </w:r>
          </w:p>
        </w:tc>
        <w:tc>
          <w:tcPr>
            <w:tcW w:w="1064" w:type="dxa"/>
          </w:tcPr>
          <w:p w14:paraId="01732A5D" w14:textId="77777777" w:rsidR="00CF1BE3" w:rsidRPr="0029110D" w:rsidRDefault="00CF1BE3" w:rsidP="00AB1FF1">
            <w:pPr>
              <w:jc w:val="center"/>
              <w:rPr>
                <w:sz w:val="20"/>
                <w:szCs w:val="20"/>
              </w:rPr>
            </w:pPr>
            <w:r w:rsidRPr="0029110D">
              <w:rPr>
                <w:sz w:val="20"/>
                <w:szCs w:val="20"/>
              </w:rPr>
              <w:t>18497</w:t>
            </w:r>
          </w:p>
        </w:tc>
        <w:tc>
          <w:tcPr>
            <w:tcW w:w="891" w:type="dxa"/>
          </w:tcPr>
          <w:p w14:paraId="3A2CEDF4" w14:textId="77777777" w:rsidR="00CF1BE3" w:rsidRPr="0029110D" w:rsidRDefault="00CF1BE3" w:rsidP="00AB1FF1">
            <w:pPr>
              <w:jc w:val="center"/>
              <w:rPr>
                <w:sz w:val="20"/>
                <w:szCs w:val="20"/>
              </w:rPr>
            </w:pPr>
            <w:r w:rsidRPr="0029110D">
              <w:rPr>
                <w:sz w:val="20"/>
                <w:szCs w:val="20"/>
              </w:rPr>
              <w:t>42</w:t>
            </w:r>
          </w:p>
        </w:tc>
        <w:tc>
          <w:tcPr>
            <w:tcW w:w="993" w:type="dxa"/>
          </w:tcPr>
          <w:p w14:paraId="68B17E02" w14:textId="77777777" w:rsidR="00CF1BE3" w:rsidRPr="0029110D" w:rsidRDefault="00CF1BE3" w:rsidP="00AB1FF1">
            <w:pPr>
              <w:jc w:val="center"/>
              <w:rPr>
                <w:sz w:val="20"/>
                <w:szCs w:val="20"/>
              </w:rPr>
            </w:pPr>
            <w:r w:rsidRPr="0029110D">
              <w:rPr>
                <w:sz w:val="20"/>
                <w:szCs w:val="20"/>
              </w:rPr>
              <w:t>39</w:t>
            </w:r>
          </w:p>
        </w:tc>
      </w:tr>
      <w:tr w:rsidR="00CF1BE3" w:rsidRPr="0029110D" w14:paraId="3B539B72" w14:textId="77777777" w:rsidTr="00AB1FF1">
        <w:trPr>
          <w:trHeight w:val="20"/>
        </w:trPr>
        <w:tc>
          <w:tcPr>
            <w:tcW w:w="1065" w:type="dxa"/>
            <w:vMerge/>
          </w:tcPr>
          <w:p w14:paraId="26AF31A5" w14:textId="77777777" w:rsidR="00CF1BE3" w:rsidRPr="0029110D" w:rsidRDefault="00CF1BE3" w:rsidP="00511EB4">
            <w:pPr>
              <w:rPr>
                <w:sz w:val="20"/>
                <w:szCs w:val="20"/>
              </w:rPr>
            </w:pPr>
          </w:p>
        </w:tc>
        <w:tc>
          <w:tcPr>
            <w:tcW w:w="1063" w:type="dxa"/>
            <w:vMerge w:val="restart"/>
          </w:tcPr>
          <w:p w14:paraId="2A104F8C" w14:textId="77777777" w:rsidR="00CF1BE3" w:rsidRPr="0029110D" w:rsidRDefault="00CF1BE3" w:rsidP="00AB1FF1">
            <w:pPr>
              <w:jc w:val="center"/>
              <w:rPr>
                <w:sz w:val="20"/>
                <w:szCs w:val="20"/>
                <w:lang w:val="en-US"/>
              </w:rPr>
            </w:pPr>
            <w:r w:rsidRPr="0029110D">
              <w:rPr>
                <w:sz w:val="20"/>
                <w:szCs w:val="20"/>
                <w:lang w:val="en-US"/>
              </w:rPr>
              <w:t>150</w:t>
            </w:r>
          </w:p>
        </w:tc>
        <w:tc>
          <w:tcPr>
            <w:tcW w:w="1063" w:type="dxa"/>
          </w:tcPr>
          <w:p w14:paraId="4EC88813" w14:textId="77777777" w:rsidR="00CF1BE3" w:rsidRPr="0029110D" w:rsidRDefault="00CF1BE3" w:rsidP="00AB1FF1">
            <w:pPr>
              <w:jc w:val="center"/>
              <w:rPr>
                <w:sz w:val="20"/>
                <w:szCs w:val="20"/>
              </w:rPr>
            </w:pPr>
            <w:r w:rsidRPr="0029110D">
              <w:rPr>
                <w:sz w:val="20"/>
                <w:szCs w:val="20"/>
                <w:lang w:val="en-US"/>
              </w:rPr>
              <w:t>1</w:t>
            </w:r>
          </w:p>
        </w:tc>
        <w:tc>
          <w:tcPr>
            <w:tcW w:w="1063" w:type="dxa"/>
          </w:tcPr>
          <w:p w14:paraId="7E190F0D" w14:textId="34C77E83" w:rsidR="00CF1BE3" w:rsidRPr="0029110D" w:rsidRDefault="00CF1BE3" w:rsidP="00AB1FF1">
            <w:pPr>
              <w:jc w:val="center"/>
              <w:rPr>
                <w:sz w:val="20"/>
                <w:szCs w:val="20"/>
              </w:rPr>
            </w:pPr>
            <w:r w:rsidRPr="0029110D">
              <w:rPr>
                <w:sz w:val="20"/>
                <w:szCs w:val="20"/>
              </w:rPr>
              <w:t>17717</w:t>
            </w:r>
          </w:p>
        </w:tc>
        <w:tc>
          <w:tcPr>
            <w:tcW w:w="1063" w:type="dxa"/>
          </w:tcPr>
          <w:p w14:paraId="226350DF" w14:textId="644D422D" w:rsidR="00CF1BE3" w:rsidRPr="0029110D" w:rsidRDefault="00CF1BE3" w:rsidP="00AB1FF1">
            <w:pPr>
              <w:jc w:val="center"/>
              <w:rPr>
                <w:sz w:val="20"/>
                <w:szCs w:val="20"/>
              </w:rPr>
            </w:pPr>
            <w:r w:rsidRPr="0029110D">
              <w:rPr>
                <w:sz w:val="20"/>
                <w:szCs w:val="20"/>
              </w:rPr>
              <w:t>18905</w:t>
            </w:r>
          </w:p>
        </w:tc>
        <w:tc>
          <w:tcPr>
            <w:tcW w:w="1064" w:type="dxa"/>
          </w:tcPr>
          <w:p w14:paraId="57224B42" w14:textId="02F0A958" w:rsidR="00CF1BE3" w:rsidRPr="0029110D" w:rsidRDefault="00CF1BE3" w:rsidP="00AB1FF1">
            <w:pPr>
              <w:jc w:val="center"/>
              <w:rPr>
                <w:sz w:val="20"/>
                <w:szCs w:val="20"/>
              </w:rPr>
            </w:pPr>
            <w:r w:rsidRPr="0029110D">
              <w:rPr>
                <w:sz w:val="20"/>
                <w:szCs w:val="20"/>
              </w:rPr>
              <w:t>57199</w:t>
            </w:r>
          </w:p>
        </w:tc>
        <w:tc>
          <w:tcPr>
            <w:tcW w:w="1064" w:type="dxa"/>
          </w:tcPr>
          <w:p w14:paraId="59AE116B" w14:textId="659D4525" w:rsidR="00CF1BE3" w:rsidRPr="0029110D" w:rsidRDefault="00CF1BE3" w:rsidP="00AB1FF1">
            <w:pPr>
              <w:jc w:val="center"/>
              <w:rPr>
                <w:sz w:val="20"/>
                <w:szCs w:val="20"/>
              </w:rPr>
            </w:pPr>
            <w:r w:rsidRPr="0029110D">
              <w:rPr>
                <w:sz w:val="20"/>
                <w:szCs w:val="20"/>
              </w:rPr>
              <w:t>52370</w:t>
            </w:r>
          </w:p>
        </w:tc>
        <w:tc>
          <w:tcPr>
            <w:tcW w:w="891" w:type="dxa"/>
          </w:tcPr>
          <w:p w14:paraId="05DF2C09" w14:textId="5D7294C7" w:rsidR="00CF1BE3" w:rsidRPr="0029110D" w:rsidRDefault="00CF1BE3" w:rsidP="00AB1FF1">
            <w:pPr>
              <w:jc w:val="center"/>
              <w:rPr>
                <w:sz w:val="20"/>
                <w:szCs w:val="20"/>
              </w:rPr>
            </w:pPr>
            <w:r w:rsidRPr="0029110D">
              <w:rPr>
                <w:sz w:val="20"/>
                <w:szCs w:val="20"/>
              </w:rPr>
              <w:t>120</w:t>
            </w:r>
          </w:p>
        </w:tc>
        <w:tc>
          <w:tcPr>
            <w:tcW w:w="993" w:type="dxa"/>
          </w:tcPr>
          <w:p w14:paraId="5DA919E7" w14:textId="0FC27C33" w:rsidR="00CF1BE3" w:rsidRPr="0029110D" w:rsidRDefault="00CF1BE3" w:rsidP="00AB1FF1">
            <w:pPr>
              <w:jc w:val="center"/>
              <w:rPr>
                <w:sz w:val="20"/>
                <w:szCs w:val="20"/>
              </w:rPr>
            </w:pPr>
            <w:r w:rsidRPr="0029110D">
              <w:rPr>
                <w:sz w:val="20"/>
                <w:szCs w:val="20"/>
              </w:rPr>
              <w:t>110</w:t>
            </w:r>
          </w:p>
        </w:tc>
      </w:tr>
      <w:tr w:rsidR="00CF1BE3" w:rsidRPr="0029110D" w14:paraId="2D199AE2" w14:textId="77777777" w:rsidTr="00AB1FF1">
        <w:trPr>
          <w:trHeight w:val="20"/>
        </w:trPr>
        <w:tc>
          <w:tcPr>
            <w:tcW w:w="1065" w:type="dxa"/>
            <w:vMerge/>
          </w:tcPr>
          <w:p w14:paraId="117F26CE" w14:textId="77777777" w:rsidR="00CF1BE3" w:rsidRPr="0029110D" w:rsidRDefault="00CF1BE3" w:rsidP="00511EB4">
            <w:pPr>
              <w:rPr>
                <w:sz w:val="20"/>
                <w:szCs w:val="20"/>
              </w:rPr>
            </w:pPr>
          </w:p>
        </w:tc>
        <w:tc>
          <w:tcPr>
            <w:tcW w:w="1063" w:type="dxa"/>
            <w:vMerge/>
          </w:tcPr>
          <w:p w14:paraId="56005DC3" w14:textId="77777777" w:rsidR="00CF1BE3" w:rsidRPr="0029110D" w:rsidRDefault="00CF1BE3" w:rsidP="00AB1FF1">
            <w:pPr>
              <w:jc w:val="center"/>
              <w:rPr>
                <w:sz w:val="20"/>
                <w:szCs w:val="20"/>
              </w:rPr>
            </w:pPr>
          </w:p>
        </w:tc>
        <w:tc>
          <w:tcPr>
            <w:tcW w:w="1063" w:type="dxa"/>
          </w:tcPr>
          <w:p w14:paraId="6719F321" w14:textId="77777777" w:rsidR="00CF1BE3" w:rsidRPr="0029110D" w:rsidRDefault="00CF1BE3" w:rsidP="00AB1FF1">
            <w:pPr>
              <w:jc w:val="center"/>
              <w:rPr>
                <w:sz w:val="20"/>
                <w:szCs w:val="20"/>
              </w:rPr>
            </w:pPr>
            <w:r w:rsidRPr="0029110D">
              <w:rPr>
                <w:sz w:val="20"/>
                <w:szCs w:val="20"/>
                <w:lang w:val="en-US"/>
              </w:rPr>
              <w:t>91</w:t>
            </w:r>
          </w:p>
        </w:tc>
        <w:tc>
          <w:tcPr>
            <w:tcW w:w="1063" w:type="dxa"/>
          </w:tcPr>
          <w:p w14:paraId="69912B67" w14:textId="77777777" w:rsidR="00CF1BE3" w:rsidRPr="0029110D" w:rsidRDefault="00CF1BE3" w:rsidP="00AB1FF1">
            <w:pPr>
              <w:jc w:val="center"/>
              <w:rPr>
                <w:sz w:val="20"/>
                <w:szCs w:val="20"/>
              </w:rPr>
            </w:pPr>
            <w:r w:rsidRPr="0029110D">
              <w:rPr>
                <w:sz w:val="20"/>
                <w:szCs w:val="20"/>
              </w:rPr>
              <w:t>13780</w:t>
            </w:r>
          </w:p>
        </w:tc>
        <w:tc>
          <w:tcPr>
            <w:tcW w:w="1063" w:type="dxa"/>
          </w:tcPr>
          <w:p w14:paraId="013AF646" w14:textId="77777777" w:rsidR="00CF1BE3" w:rsidRPr="0029110D" w:rsidRDefault="00CF1BE3" w:rsidP="00AB1FF1">
            <w:pPr>
              <w:jc w:val="center"/>
              <w:rPr>
                <w:sz w:val="20"/>
                <w:szCs w:val="20"/>
              </w:rPr>
            </w:pPr>
            <w:r w:rsidRPr="0029110D">
              <w:rPr>
                <w:sz w:val="20"/>
                <w:szCs w:val="20"/>
              </w:rPr>
              <w:t>13408</w:t>
            </w:r>
          </w:p>
        </w:tc>
        <w:tc>
          <w:tcPr>
            <w:tcW w:w="1064" w:type="dxa"/>
          </w:tcPr>
          <w:p w14:paraId="4E068577" w14:textId="77777777" w:rsidR="00CF1BE3" w:rsidRPr="0029110D" w:rsidRDefault="00CF1BE3" w:rsidP="00AB1FF1">
            <w:pPr>
              <w:jc w:val="center"/>
              <w:rPr>
                <w:sz w:val="20"/>
                <w:szCs w:val="20"/>
              </w:rPr>
            </w:pPr>
            <w:r w:rsidRPr="0029110D">
              <w:rPr>
                <w:sz w:val="20"/>
                <w:szCs w:val="20"/>
              </w:rPr>
              <w:t>49399</w:t>
            </w:r>
          </w:p>
        </w:tc>
        <w:tc>
          <w:tcPr>
            <w:tcW w:w="1064" w:type="dxa"/>
          </w:tcPr>
          <w:p w14:paraId="6B3AFC3F" w14:textId="77777777" w:rsidR="00CF1BE3" w:rsidRPr="0029110D" w:rsidRDefault="00CF1BE3" w:rsidP="00AB1FF1">
            <w:pPr>
              <w:jc w:val="center"/>
              <w:rPr>
                <w:sz w:val="20"/>
                <w:szCs w:val="20"/>
              </w:rPr>
            </w:pPr>
            <w:r w:rsidRPr="0029110D">
              <w:rPr>
                <w:sz w:val="20"/>
                <w:szCs w:val="20"/>
              </w:rPr>
              <w:t>35768</w:t>
            </w:r>
          </w:p>
        </w:tc>
        <w:tc>
          <w:tcPr>
            <w:tcW w:w="891" w:type="dxa"/>
          </w:tcPr>
          <w:p w14:paraId="50EBF645" w14:textId="77777777" w:rsidR="00CF1BE3" w:rsidRPr="0029110D" w:rsidRDefault="00CF1BE3" w:rsidP="00AB1FF1">
            <w:pPr>
              <w:jc w:val="center"/>
              <w:rPr>
                <w:sz w:val="20"/>
                <w:szCs w:val="20"/>
              </w:rPr>
            </w:pPr>
            <w:r w:rsidRPr="0029110D">
              <w:rPr>
                <w:sz w:val="20"/>
                <w:szCs w:val="20"/>
              </w:rPr>
              <w:t>103</w:t>
            </w:r>
          </w:p>
        </w:tc>
        <w:tc>
          <w:tcPr>
            <w:tcW w:w="993" w:type="dxa"/>
          </w:tcPr>
          <w:p w14:paraId="075398CD" w14:textId="77777777" w:rsidR="00CF1BE3" w:rsidRPr="0029110D" w:rsidRDefault="00CF1BE3" w:rsidP="00AB1FF1">
            <w:pPr>
              <w:jc w:val="center"/>
              <w:rPr>
                <w:sz w:val="20"/>
                <w:szCs w:val="20"/>
              </w:rPr>
            </w:pPr>
            <w:r w:rsidRPr="0029110D">
              <w:rPr>
                <w:sz w:val="20"/>
                <w:szCs w:val="20"/>
              </w:rPr>
              <w:t>75</w:t>
            </w:r>
          </w:p>
        </w:tc>
      </w:tr>
      <w:tr w:rsidR="00CF1BE3" w:rsidRPr="0029110D" w14:paraId="38CA20C3" w14:textId="77777777" w:rsidTr="00AB1FF1">
        <w:trPr>
          <w:trHeight w:val="20"/>
        </w:trPr>
        <w:tc>
          <w:tcPr>
            <w:tcW w:w="1065" w:type="dxa"/>
            <w:vMerge w:val="restart"/>
          </w:tcPr>
          <w:p w14:paraId="4A57A299" w14:textId="77777777" w:rsidR="00CF1BE3" w:rsidRPr="0029110D" w:rsidRDefault="00CF1BE3" w:rsidP="00511EB4">
            <w:pPr>
              <w:rPr>
                <w:sz w:val="20"/>
                <w:szCs w:val="20"/>
              </w:rPr>
            </w:pPr>
            <w:r w:rsidRPr="0029110D">
              <w:rPr>
                <w:sz w:val="20"/>
                <w:szCs w:val="20"/>
              </w:rPr>
              <w:t xml:space="preserve">Крысы </w:t>
            </w:r>
          </w:p>
        </w:tc>
        <w:tc>
          <w:tcPr>
            <w:tcW w:w="1063" w:type="dxa"/>
            <w:vMerge w:val="restart"/>
          </w:tcPr>
          <w:p w14:paraId="1F05A0E6" w14:textId="77777777" w:rsidR="00CF1BE3" w:rsidRPr="0029110D" w:rsidRDefault="00CF1BE3" w:rsidP="00AB1FF1">
            <w:pPr>
              <w:jc w:val="center"/>
              <w:rPr>
                <w:sz w:val="20"/>
                <w:szCs w:val="20"/>
              </w:rPr>
            </w:pPr>
            <w:r w:rsidRPr="0029110D">
              <w:rPr>
                <w:sz w:val="20"/>
                <w:szCs w:val="20"/>
              </w:rPr>
              <w:t>2</w:t>
            </w:r>
          </w:p>
        </w:tc>
        <w:tc>
          <w:tcPr>
            <w:tcW w:w="1063" w:type="dxa"/>
          </w:tcPr>
          <w:p w14:paraId="35FA5ED0" w14:textId="77777777" w:rsidR="00CF1BE3" w:rsidRPr="0029110D" w:rsidRDefault="00CF1BE3" w:rsidP="00AB1FF1">
            <w:pPr>
              <w:jc w:val="center"/>
              <w:rPr>
                <w:sz w:val="20"/>
                <w:szCs w:val="20"/>
                <w:lang w:val="en-US"/>
              </w:rPr>
            </w:pPr>
            <w:r w:rsidRPr="0029110D">
              <w:rPr>
                <w:sz w:val="20"/>
                <w:szCs w:val="20"/>
                <w:lang w:val="en-US"/>
              </w:rPr>
              <w:t>1</w:t>
            </w:r>
          </w:p>
        </w:tc>
        <w:tc>
          <w:tcPr>
            <w:tcW w:w="1063" w:type="dxa"/>
          </w:tcPr>
          <w:p w14:paraId="6114216F" w14:textId="33236534" w:rsidR="00CF1BE3" w:rsidRPr="0029110D" w:rsidRDefault="00CF1BE3" w:rsidP="00AB1FF1">
            <w:pPr>
              <w:jc w:val="center"/>
              <w:rPr>
                <w:sz w:val="20"/>
                <w:szCs w:val="20"/>
              </w:rPr>
            </w:pPr>
            <w:r w:rsidRPr="0029110D">
              <w:rPr>
                <w:sz w:val="20"/>
                <w:szCs w:val="20"/>
              </w:rPr>
              <w:t>120</w:t>
            </w:r>
          </w:p>
        </w:tc>
        <w:tc>
          <w:tcPr>
            <w:tcW w:w="1063" w:type="dxa"/>
          </w:tcPr>
          <w:p w14:paraId="5C53914A" w14:textId="6FEE49F7" w:rsidR="00CF1BE3" w:rsidRPr="0029110D" w:rsidRDefault="00CF1BE3" w:rsidP="00AB1FF1">
            <w:pPr>
              <w:jc w:val="center"/>
              <w:rPr>
                <w:sz w:val="20"/>
                <w:szCs w:val="20"/>
              </w:rPr>
            </w:pPr>
            <w:r w:rsidRPr="0029110D">
              <w:rPr>
                <w:sz w:val="20"/>
                <w:szCs w:val="20"/>
              </w:rPr>
              <w:t>103</w:t>
            </w:r>
          </w:p>
        </w:tc>
        <w:tc>
          <w:tcPr>
            <w:tcW w:w="1064" w:type="dxa"/>
          </w:tcPr>
          <w:p w14:paraId="0CF9A84A" w14:textId="23986CE9" w:rsidR="00CF1BE3" w:rsidRPr="0029110D" w:rsidRDefault="00CF1BE3" w:rsidP="00AB1FF1">
            <w:pPr>
              <w:jc w:val="center"/>
              <w:rPr>
                <w:sz w:val="20"/>
                <w:szCs w:val="20"/>
              </w:rPr>
            </w:pPr>
            <w:r w:rsidRPr="0029110D">
              <w:rPr>
                <w:sz w:val="20"/>
                <w:szCs w:val="20"/>
              </w:rPr>
              <w:t>354</w:t>
            </w:r>
          </w:p>
        </w:tc>
        <w:tc>
          <w:tcPr>
            <w:tcW w:w="1064" w:type="dxa"/>
          </w:tcPr>
          <w:p w14:paraId="60B9E1A4" w14:textId="2996FAF1" w:rsidR="00CF1BE3" w:rsidRPr="0029110D" w:rsidRDefault="00CF1BE3" w:rsidP="00AB1FF1">
            <w:pPr>
              <w:jc w:val="center"/>
              <w:rPr>
                <w:sz w:val="20"/>
                <w:szCs w:val="20"/>
              </w:rPr>
            </w:pPr>
            <w:r w:rsidRPr="0029110D">
              <w:rPr>
                <w:sz w:val="20"/>
                <w:szCs w:val="20"/>
              </w:rPr>
              <w:t>435</w:t>
            </w:r>
          </w:p>
        </w:tc>
        <w:tc>
          <w:tcPr>
            <w:tcW w:w="891" w:type="dxa"/>
          </w:tcPr>
          <w:p w14:paraId="56124AB6" w14:textId="345F1BC9"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7</w:t>
            </w:r>
          </w:p>
        </w:tc>
        <w:tc>
          <w:tcPr>
            <w:tcW w:w="993" w:type="dxa"/>
          </w:tcPr>
          <w:p w14:paraId="16C904CE" w14:textId="7DD04535"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9</w:t>
            </w:r>
          </w:p>
        </w:tc>
      </w:tr>
      <w:tr w:rsidR="00CF1BE3" w:rsidRPr="0029110D" w14:paraId="68CB8CD1" w14:textId="77777777" w:rsidTr="00AB1FF1">
        <w:trPr>
          <w:trHeight w:val="20"/>
        </w:trPr>
        <w:tc>
          <w:tcPr>
            <w:tcW w:w="1065" w:type="dxa"/>
            <w:vMerge/>
          </w:tcPr>
          <w:p w14:paraId="3D57AF15" w14:textId="77777777" w:rsidR="00CF1BE3" w:rsidRPr="0029110D" w:rsidRDefault="00CF1BE3" w:rsidP="00511EB4">
            <w:pPr>
              <w:rPr>
                <w:sz w:val="20"/>
                <w:szCs w:val="20"/>
              </w:rPr>
            </w:pPr>
          </w:p>
        </w:tc>
        <w:tc>
          <w:tcPr>
            <w:tcW w:w="1063" w:type="dxa"/>
            <w:vMerge/>
          </w:tcPr>
          <w:p w14:paraId="67E49517" w14:textId="77777777" w:rsidR="00CF1BE3" w:rsidRPr="0029110D" w:rsidRDefault="00CF1BE3" w:rsidP="00AB1FF1">
            <w:pPr>
              <w:jc w:val="center"/>
              <w:rPr>
                <w:sz w:val="20"/>
                <w:szCs w:val="20"/>
              </w:rPr>
            </w:pPr>
          </w:p>
        </w:tc>
        <w:tc>
          <w:tcPr>
            <w:tcW w:w="1063" w:type="dxa"/>
          </w:tcPr>
          <w:p w14:paraId="473872BD" w14:textId="77777777" w:rsidR="00CF1BE3" w:rsidRPr="0029110D" w:rsidRDefault="00CF1BE3" w:rsidP="00AB1FF1">
            <w:pPr>
              <w:jc w:val="center"/>
              <w:rPr>
                <w:sz w:val="20"/>
                <w:szCs w:val="20"/>
                <w:lang w:val="en-US"/>
              </w:rPr>
            </w:pPr>
            <w:r w:rsidRPr="0029110D">
              <w:rPr>
                <w:sz w:val="20"/>
                <w:szCs w:val="20"/>
                <w:lang w:val="en-US"/>
              </w:rPr>
              <w:t>28</w:t>
            </w:r>
          </w:p>
        </w:tc>
        <w:tc>
          <w:tcPr>
            <w:tcW w:w="1063" w:type="dxa"/>
          </w:tcPr>
          <w:p w14:paraId="5B969F44" w14:textId="77777777" w:rsidR="00CF1BE3" w:rsidRPr="0029110D" w:rsidRDefault="00CF1BE3" w:rsidP="00AB1FF1">
            <w:pPr>
              <w:jc w:val="center"/>
              <w:rPr>
                <w:sz w:val="20"/>
                <w:szCs w:val="20"/>
              </w:rPr>
            </w:pPr>
            <w:r w:rsidRPr="0029110D">
              <w:rPr>
                <w:sz w:val="20"/>
                <w:szCs w:val="20"/>
              </w:rPr>
              <w:t>148</w:t>
            </w:r>
          </w:p>
        </w:tc>
        <w:tc>
          <w:tcPr>
            <w:tcW w:w="1063" w:type="dxa"/>
          </w:tcPr>
          <w:p w14:paraId="3C68CF0B" w14:textId="77777777" w:rsidR="00CF1BE3" w:rsidRPr="0029110D" w:rsidRDefault="00CF1BE3" w:rsidP="00AB1FF1">
            <w:pPr>
              <w:jc w:val="center"/>
              <w:rPr>
                <w:sz w:val="20"/>
                <w:szCs w:val="20"/>
              </w:rPr>
            </w:pPr>
            <w:r w:rsidRPr="0029110D">
              <w:rPr>
                <w:sz w:val="20"/>
                <w:szCs w:val="20"/>
              </w:rPr>
              <w:t>129</w:t>
            </w:r>
          </w:p>
        </w:tc>
        <w:tc>
          <w:tcPr>
            <w:tcW w:w="1064" w:type="dxa"/>
          </w:tcPr>
          <w:p w14:paraId="1BDB9C95" w14:textId="77777777" w:rsidR="00CF1BE3" w:rsidRPr="0029110D" w:rsidRDefault="00CF1BE3" w:rsidP="00AB1FF1">
            <w:pPr>
              <w:jc w:val="center"/>
              <w:rPr>
                <w:sz w:val="20"/>
                <w:szCs w:val="20"/>
              </w:rPr>
            </w:pPr>
            <w:r w:rsidRPr="0029110D">
              <w:rPr>
                <w:sz w:val="20"/>
                <w:szCs w:val="20"/>
              </w:rPr>
              <w:t>461</w:t>
            </w:r>
          </w:p>
        </w:tc>
        <w:tc>
          <w:tcPr>
            <w:tcW w:w="1064" w:type="dxa"/>
          </w:tcPr>
          <w:p w14:paraId="5312D3D3" w14:textId="77777777" w:rsidR="00CF1BE3" w:rsidRPr="0029110D" w:rsidRDefault="00CF1BE3" w:rsidP="00AB1FF1">
            <w:pPr>
              <w:jc w:val="center"/>
              <w:rPr>
                <w:sz w:val="20"/>
                <w:szCs w:val="20"/>
              </w:rPr>
            </w:pPr>
            <w:r w:rsidRPr="0029110D">
              <w:rPr>
                <w:sz w:val="20"/>
                <w:szCs w:val="20"/>
              </w:rPr>
              <w:t>498</w:t>
            </w:r>
          </w:p>
        </w:tc>
        <w:tc>
          <w:tcPr>
            <w:tcW w:w="891" w:type="dxa"/>
          </w:tcPr>
          <w:p w14:paraId="14551B60" w14:textId="74B65B3E" w:rsidR="00CF1BE3" w:rsidRPr="0029110D" w:rsidRDefault="00CF1BE3" w:rsidP="00AB1FF1">
            <w:pPr>
              <w:jc w:val="center"/>
              <w:rPr>
                <w:sz w:val="20"/>
                <w:szCs w:val="20"/>
              </w:rPr>
            </w:pPr>
            <w:r w:rsidRPr="0029110D">
              <w:rPr>
                <w:sz w:val="20"/>
                <w:szCs w:val="20"/>
              </w:rPr>
              <w:t>1</w:t>
            </w:r>
            <w:r w:rsidR="00EB77C9" w:rsidRPr="0029110D">
              <w:rPr>
                <w:sz w:val="20"/>
                <w:szCs w:val="20"/>
              </w:rPr>
              <w:t>,</w:t>
            </w:r>
            <w:r w:rsidRPr="0029110D">
              <w:rPr>
                <w:sz w:val="20"/>
                <w:szCs w:val="20"/>
              </w:rPr>
              <w:t>0</w:t>
            </w:r>
          </w:p>
        </w:tc>
        <w:tc>
          <w:tcPr>
            <w:tcW w:w="993" w:type="dxa"/>
          </w:tcPr>
          <w:p w14:paraId="2007DD8F" w14:textId="4498B03F" w:rsidR="00CF1BE3" w:rsidRPr="0029110D" w:rsidRDefault="00CF1BE3" w:rsidP="00AB1FF1">
            <w:pPr>
              <w:jc w:val="center"/>
              <w:rPr>
                <w:sz w:val="20"/>
                <w:szCs w:val="20"/>
              </w:rPr>
            </w:pPr>
            <w:r w:rsidRPr="0029110D">
              <w:rPr>
                <w:sz w:val="20"/>
                <w:szCs w:val="20"/>
              </w:rPr>
              <w:t>1</w:t>
            </w:r>
            <w:r w:rsidR="00EB77C9" w:rsidRPr="0029110D">
              <w:rPr>
                <w:sz w:val="20"/>
                <w:szCs w:val="20"/>
              </w:rPr>
              <w:t>,</w:t>
            </w:r>
            <w:r w:rsidRPr="0029110D">
              <w:rPr>
                <w:sz w:val="20"/>
                <w:szCs w:val="20"/>
              </w:rPr>
              <w:t>0</w:t>
            </w:r>
          </w:p>
        </w:tc>
      </w:tr>
      <w:tr w:rsidR="00CF1BE3" w:rsidRPr="0029110D" w14:paraId="56555687" w14:textId="77777777" w:rsidTr="00AB1FF1">
        <w:trPr>
          <w:trHeight w:val="20"/>
        </w:trPr>
        <w:tc>
          <w:tcPr>
            <w:tcW w:w="1065" w:type="dxa"/>
            <w:vMerge/>
          </w:tcPr>
          <w:p w14:paraId="63E60DE8" w14:textId="77777777" w:rsidR="00CF1BE3" w:rsidRPr="0029110D" w:rsidRDefault="00CF1BE3" w:rsidP="00511EB4">
            <w:pPr>
              <w:rPr>
                <w:sz w:val="20"/>
                <w:szCs w:val="20"/>
              </w:rPr>
            </w:pPr>
          </w:p>
        </w:tc>
        <w:tc>
          <w:tcPr>
            <w:tcW w:w="1063" w:type="dxa"/>
            <w:vMerge w:val="restart"/>
          </w:tcPr>
          <w:p w14:paraId="0BB07146" w14:textId="77777777" w:rsidR="00CF1BE3" w:rsidRPr="0029110D" w:rsidRDefault="00CF1BE3" w:rsidP="00AB1FF1">
            <w:pPr>
              <w:jc w:val="center"/>
              <w:rPr>
                <w:sz w:val="20"/>
                <w:szCs w:val="20"/>
              </w:rPr>
            </w:pPr>
            <w:r w:rsidRPr="0029110D">
              <w:rPr>
                <w:sz w:val="20"/>
                <w:szCs w:val="20"/>
              </w:rPr>
              <w:t>40</w:t>
            </w:r>
          </w:p>
        </w:tc>
        <w:tc>
          <w:tcPr>
            <w:tcW w:w="1063" w:type="dxa"/>
          </w:tcPr>
          <w:p w14:paraId="0AF644CD" w14:textId="77777777" w:rsidR="00CF1BE3" w:rsidRPr="0029110D" w:rsidRDefault="00CF1BE3" w:rsidP="00AB1FF1">
            <w:pPr>
              <w:jc w:val="center"/>
              <w:rPr>
                <w:sz w:val="20"/>
                <w:szCs w:val="20"/>
                <w:lang w:val="en-US"/>
              </w:rPr>
            </w:pPr>
            <w:r w:rsidRPr="0029110D">
              <w:rPr>
                <w:sz w:val="20"/>
                <w:szCs w:val="20"/>
                <w:lang w:val="en-US"/>
              </w:rPr>
              <w:t>1</w:t>
            </w:r>
          </w:p>
        </w:tc>
        <w:tc>
          <w:tcPr>
            <w:tcW w:w="1063" w:type="dxa"/>
          </w:tcPr>
          <w:p w14:paraId="24BA330F" w14:textId="60A5EF04" w:rsidR="00CF1BE3" w:rsidRPr="0029110D" w:rsidRDefault="00CF1BE3" w:rsidP="00AB1FF1">
            <w:pPr>
              <w:jc w:val="center"/>
              <w:rPr>
                <w:sz w:val="20"/>
                <w:szCs w:val="20"/>
              </w:rPr>
            </w:pPr>
            <w:r w:rsidRPr="0029110D">
              <w:rPr>
                <w:sz w:val="20"/>
                <w:szCs w:val="20"/>
              </w:rPr>
              <w:t>3673</w:t>
            </w:r>
          </w:p>
        </w:tc>
        <w:tc>
          <w:tcPr>
            <w:tcW w:w="1063" w:type="dxa"/>
          </w:tcPr>
          <w:p w14:paraId="16457DF9" w14:textId="58CF56A0" w:rsidR="00CF1BE3" w:rsidRPr="0029110D" w:rsidRDefault="00CF1BE3" w:rsidP="00AB1FF1">
            <w:pPr>
              <w:jc w:val="center"/>
              <w:rPr>
                <w:sz w:val="20"/>
                <w:szCs w:val="20"/>
              </w:rPr>
            </w:pPr>
            <w:r w:rsidRPr="0029110D">
              <w:rPr>
                <w:sz w:val="20"/>
                <w:szCs w:val="20"/>
              </w:rPr>
              <w:t>4828</w:t>
            </w:r>
          </w:p>
        </w:tc>
        <w:tc>
          <w:tcPr>
            <w:tcW w:w="1064" w:type="dxa"/>
          </w:tcPr>
          <w:p w14:paraId="02FE83CA" w14:textId="253B20BA" w:rsidR="00CF1BE3" w:rsidRPr="0029110D" w:rsidRDefault="00CF1BE3" w:rsidP="00AB1FF1">
            <w:pPr>
              <w:jc w:val="center"/>
              <w:rPr>
                <w:sz w:val="20"/>
                <w:szCs w:val="20"/>
              </w:rPr>
            </w:pPr>
            <w:r w:rsidRPr="0029110D">
              <w:rPr>
                <w:sz w:val="20"/>
                <w:szCs w:val="20"/>
              </w:rPr>
              <w:t>10363</w:t>
            </w:r>
          </w:p>
        </w:tc>
        <w:tc>
          <w:tcPr>
            <w:tcW w:w="1064" w:type="dxa"/>
          </w:tcPr>
          <w:p w14:paraId="7912970C" w14:textId="686348EC" w:rsidR="00CF1BE3" w:rsidRPr="0029110D" w:rsidRDefault="00CF1BE3" w:rsidP="00AB1FF1">
            <w:pPr>
              <w:jc w:val="center"/>
              <w:rPr>
                <w:sz w:val="20"/>
                <w:szCs w:val="20"/>
              </w:rPr>
            </w:pPr>
            <w:r w:rsidRPr="0029110D">
              <w:rPr>
                <w:sz w:val="20"/>
                <w:szCs w:val="20"/>
              </w:rPr>
              <w:t>13445</w:t>
            </w:r>
          </w:p>
        </w:tc>
        <w:tc>
          <w:tcPr>
            <w:tcW w:w="891" w:type="dxa"/>
          </w:tcPr>
          <w:p w14:paraId="5939B02E" w14:textId="43F17F45" w:rsidR="00CF1BE3" w:rsidRPr="0029110D" w:rsidRDefault="00CF1BE3" w:rsidP="00AB1FF1">
            <w:pPr>
              <w:jc w:val="center"/>
              <w:rPr>
                <w:sz w:val="20"/>
                <w:szCs w:val="20"/>
              </w:rPr>
            </w:pPr>
            <w:r w:rsidRPr="0029110D">
              <w:rPr>
                <w:sz w:val="20"/>
                <w:szCs w:val="20"/>
              </w:rPr>
              <w:t>22</w:t>
            </w:r>
          </w:p>
        </w:tc>
        <w:tc>
          <w:tcPr>
            <w:tcW w:w="993" w:type="dxa"/>
          </w:tcPr>
          <w:p w14:paraId="1528B931" w14:textId="22AC455F" w:rsidR="00CF1BE3" w:rsidRPr="0029110D" w:rsidRDefault="00CF1BE3" w:rsidP="00AB1FF1">
            <w:pPr>
              <w:jc w:val="center"/>
              <w:rPr>
                <w:sz w:val="20"/>
                <w:szCs w:val="20"/>
              </w:rPr>
            </w:pPr>
            <w:r w:rsidRPr="0029110D">
              <w:rPr>
                <w:sz w:val="20"/>
                <w:szCs w:val="20"/>
              </w:rPr>
              <w:t>28</w:t>
            </w:r>
          </w:p>
        </w:tc>
      </w:tr>
      <w:tr w:rsidR="00CF1BE3" w:rsidRPr="0029110D" w14:paraId="1DF92727" w14:textId="77777777" w:rsidTr="00AB1FF1">
        <w:trPr>
          <w:trHeight w:val="20"/>
        </w:trPr>
        <w:tc>
          <w:tcPr>
            <w:tcW w:w="1065" w:type="dxa"/>
            <w:vMerge/>
          </w:tcPr>
          <w:p w14:paraId="22E56F0F" w14:textId="77777777" w:rsidR="00CF1BE3" w:rsidRPr="0029110D" w:rsidRDefault="00CF1BE3" w:rsidP="00511EB4">
            <w:pPr>
              <w:rPr>
                <w:sz w:val="20"/>
                <w:szCs w:val="20"/>
              </w:rPr>
            </w:pPr>
          </w:p>
        </w:tc>
        <w:tc>
          <w:tcPr>
            <w:tcW w:w="1063" w:type="dxa"/>
            <w:vMerge/>
          </w:tcPr>
          <w:p w14:paraId="56E24925" w14:textId="77777777" w:rsidR="00CF1BE3" w:rsidRPr="0029110D" w:rsidRDefault="00CF1BE3" w:rsidP="00AB1FF1">
            <w:pPr>
              <w:jc w:val="center"/>
              <w:rPr>
                <w:sz w:val="20"/>
                <w:szCs w:val="20"/>
              </w:rPr>
            </w:pPr>
          </w:p>
        </w:tc>
        <w:tc>
          <w:tcPr>
            <w:tcW w:w="1063" w:type="dxa"/>
          </w:tcPr>
          <w:p w14:paraId="421D0135" w14:textId="77777777" w:rsidR="00CF1BE3" w:rsidRPr="0029110D" w:rsidRDefault="00CF1BE3" w:rsidP="00AB1FF1">
            <w:pPr>
              <w:jc w:val="center"/>
              <w:rPr>
                <w:sz w:val="20"/>
                <w:szCs w:val="20"/>
                <w:lang w:val="en-US"/>
              </w:rPr>
            </w:pPr>
            <w:r w:rsidRPr="0029110D">
              <w:rPr>
                <w:sz w:val="20"/>
                <w:szCs w:val="20"/>
                <w:lang w:val="en-US"/>
              </w:rPr>
              <w:t>28</w:t>
            </w:r>
          </w:p>
        </w:tc>
        <w:tc>
          <w:tcPr>
            <w:tcW w:w="1063" w:type="dxa"/>
          </w:tcPr>
          <w:p w14:paraId="6DC43640" w14:textId="77777777" w:rsidR="00CF1BE3" w:rsidRPr="0029110D" w:rsidRDefault="00CF1BE3" w:rsidP="00AB1FF1">
            <w:pPr>
              <w:jc w:val="center"/>
              <w:rPr>
                <w:sz w:val="20"/>
                <w:szCs w:val="20"/>
              </w:rPr>
            </w:pPr>
            <w:r w:rsidRPr="0029110D">
              <w:rPr>
                <w:sz w:val="20"/>
                <w:szCs w:val="20"/>
              </w:rPr>
              <w:t>4123</w:t>
            </w:r>
          </w:p>
        </w:tc>
        <w:tc>
          <w:tcPr>
            <w:tcW w:w="1063" w:type="dxa"/>
          </w:tcPr>
          <w:p w14:paraId="1B6239F3" w14:textId="77777777" w:rsidR="00CF1BE3" w:rsidRPr="0029110D" w:rsidRDefault="00CF1BE3" w:rsidP="00AB1FF1">
            <w:pPr>
              <w:jc w:val="center"/>
              <w:rPr>
                <w:sz w:val="20"/>
                <w:szCs w:val="20"/>
              </w:rPr>
            </w:pPr>
            <w:r w:rsidRPr="0029110D">
              <w:rPr>
                <w:sz w:val="20"/>
                <w:szCs w:val="20"/>
              </w:rPr>
              <w:t>6834</w:t>
            </w:r>
          </w:p>
        </w:tc>
        <w:tc>
          <w:tcPr>
            <w:tcW w:w="1064" w:type="dxa"/>
          </w:tcPr>
          <w:p w14:paraId="2255ED21" w14:textId="77777777" w:rsidR="00CF1BE3" w:rsidRPr="0029110D" w:rsidRDefault="00CF1BE3" w:rsidP="00AB1FF1">
            <w:pPr>
              <w:jc w:val="center"/>
              <w:rPr>
                <w:sz w:val="20"/>
                <w:szCs w:val="20"/>
              </w:rPr>
            </w:pPr>
            <w:r w:rsidRPr="0029110D">
              <w:rPr>
                <w:sz w:val="20"/>
                <w:szCs w:val="20"/>
              </w:rPr>
              <w:t>12814</w:t>
            </w:r>
          </w:p>
        </w:tc>
        <w:tc>
          <w:tcPr>
            <w:tcW w:w="1064" w:type="dxa"/>
          </w:tcPr>
          <w:p w14:paraId="5576DA43" w14:textId="77777777" w:rsidR="00CF1BE3" w:rsidRPr="0029110D" w:rsidRDefault="00CF1BE3" w:rsidP="00AB1FF1">
            <w:pPr>
              <w:jc w:val="center"/>
              <w:rPr>
                <w:sz w:val="20"/>
                <w:szCs w:val="20"/>
              </w:rPr>
            </w:pPr>
            <w:r w:rsidRPr="0029110D">
              <w:rPr>
                <w:sz w:val="20"/>
                <w:szCs w:val="20"/>
              </w:rPr>
              <w:t>17754</w:t>
            </w:r>
          </w:p>
        </w:tc>
        <w:tc>
          <w:tcPr>
            <w:tcW w:w="891" w:type="dxa"/>
          </w:tcPr>
          <w:p w14:paraId="4BA01CEC" w14:textId="77777777" w:rsidR="00CF1BE3" w:rsidRPr="0029110D" w:rsidRDefault="00CF1BE3" w:rsidP="00AB1FF1">
            <w:pPr>
              <w:jc w:val="center"/>
              <w:rPr>
                <w:sz w:val="20"/>
                <w:szCs w:val="20"/>
              </w:rPr>
            </w:pPr>
            <w:r w:rsidRPr="0029110D">
              <w:rPr>
                <w:sz w:val="20"/>
                <w:szCs w:val="20"/>
              </w:rPr>
              <w:t>27</w:t>
            </w:r>
          </w:p>
        </w:tc>
        <w:tc>
          <w:tcPr>
            <w:tcW w:w="993" w:type="dxa"/>
          </w:tcPr>
          <w:p w14:paraId="588268BE" w14:textId="77777777" w:rsidR="00CF1BE3" w:rsidRPr="0029110D" w:rsidRDefault="00CF1BE3" w:rsidP="00AB1FF1">
            <w:pPr>
              <w:jc w:val="center"/>
              <w:rPr>
                <w:sz w:val="20"/>
                <w:szCs w:val="20"/>
              </w:rPr>
            </w:pPr>
            <w:r w:rsidRPr="0029110D">
              <w:rPr>
                <w:sz w:val="20"/>
                <w:szCs w:val="20"/>
              </w:rPr>
              <w:t>37</w:t>
            </w:r>
          </w:p>
        </w:tc>
      </w:tr>
      <w:tr w:rsidR="00CF1BE3" w:rsidRPr="0029110D" w14:paraId="60C2324D" w14:textId="77777777" w:rsidTr="00AB1FF1">
        <w:trPr>
          <w:trHeight w:val="20"/>
        </w:trPr>
        <w:tc>
          <w:tcPr>
            <w:tcW w:w="1065" w:type="dxa"/>
            <w:vMerge/>
          </w:tcPr>
          <w:p w14:paraId="7A5FCCBF" w14:textId="77777777" w:rsidR="00CF1BE3" w:rsidRPr="0029110D" w:rsidRDefault="00CF1BE3" w:rsidP="00511EB4">
            <w:pPr>
              <w:rPr>
                <w:sz w:val="20"/>
                <w:szCs w:val="20"/>
              </w:rPr>
            </w:pPr>
          </w:p>
        </w:tc>
        <w:tc>
          <w:tcPr>
            <w:tcW w:w="1063" w:type="dxa"/>
            <w:vMerge w:val="restart"/>
          </w:tcPr>
          <w:p w14:paraId="483EA376" w14:textId="77777777" w:rsidR="00CF1BE3" w:rsidRPr="0029110D" w:rsidRDefault="00CF1BE3" w:rsidP="00AB1FF1">
            <w:pPr>
              <w:jc w:val="center"/>
              <w:rPr>
                <w:sz w:val="20"/>
                <w:szCs w:val="20"/>
              </w:rPr>
            </w:pPr>
            <w:r w:rsidRPr="0029110D">
              <w:rPr>
                <w:sz w:val="20"/>
                <w:szCs w:val="20"/>
              </w:rPr>
              <w:t>0,5</w:t>
            </w:r>
          </w:p>
        </w:tc>
        <w:tc>
          <w:tcPr>
            <w:tcW w:w="1063" w:type="dxa"/>
          </w:tcPr>
          <w:p w14:paraId="2611CB3F" w14:textId="77777777" w:rsidR="00CF1BE3" w:rsidRPr="0029110D" w:rsidRDefault="00CF1BE3" w:rsidP="00AB1FF1">
            <w:pPr>
              <w:jc w:val="center"/>
              <w:rPr>
                <w:sz w:val="20"/>
                <w:szCs w:val="20"/>
                <w:lang w:val="en-US"/>
              </w:rPr>
            </w:pPr>
            <w:r w:rsidRPr="0029110D">
              <w:rPr>
                <w:sz w:val="20"/>
                <w:szCs w:val="20"/>
                <w:lang w:val="en-US"/>
              </w:rPr>
              <w:t>1</w:t>
            </w:r>
          </w:p>
        </w:tc>
        <w:tc>
          <w:tcPr>
            <w:tcW w:w="1063" w:type="dxa"/>
          </w:tcPr>
          <w:p w14:paraId="13AF0083" w14:textId="0B020D37" w:rsidR="00CF1BE3" w:rsidRPr="0029110D" w:rsidRDefault="00CF1BE3" w:rsidP="00AB1FF1">
            <w:pPr>
              <w:jc w:val="center"/>
              <w:rPr>
                <w:sz w:val="20"/>
                <w:szCs w:val="20"/>
              </w:rPr>
            </w:pPr>
            <w:r w:rsidRPr="0029110D">
              <w:rPr>
                <w:sz w:val="20"/>
                <w:szCs w:val="20"/>
              </w:rPr>
              <w:t>19</w:t>
            </w:r>
            <w:r w:rsidR="00EB77C9" w:rsidRPr="0029110D">
              <w:rPr>
                <w:sz w:val="20"/>
                <w:szCs w:val="20"/>
              </w:rPr>
              <w:t>,</w:t>
            </w:r>
            <w:r w:rsidRPr="0029110D">
              <w:rPr>
                <w:sz w:val="20"/>
                <w:szCs w:val="20"/>
              </w:rPr>
              <w:t>0</w:t>
            </w:r>
          </w:p>
        </w:tc>
        <w:tc>
          <w:tcPr>
            <w:tcW w:w="1063" w:type="dxa"/>
          </w:tcPr>
          <w:p w14:paraId="3BB36626" w14:textId="50DAD9BF" w:rsidR="00CF1BE3" w:rsidRPr="0029110D" w:rsidRDefault="00CF1BE3" w:rsidP="00AB1FF1">
            <w:pPr>
              <w:jc w:val="center"/>
              <w:rPr>
                <w:sz w:val="20"/>
                <w:szCs w:val="20"/>
              </w:rPr>
            </w:pPr>
            <w:r w:rsidRPr="0029110D">
              <w:rPr>
                <w:sz w:val="20"/>
                <w:szCs w:val="20"/>
              </w:rPr>
              <w:t>29</w:t>
            </w:r>
            <w:r w:rsidR="00EB77C9" w:rsidRPr="0029110D">
              <w:rPr>
                <w:sz w:val="20"/>
                <w:szCs w:val="20"/>
              </w:rPr>
              <w:t>,</w:t>
            </w:r>
            <w:r w:rsidRPr="0029110D">
              <w:rPr>
                <w:sz w:val="20"/>
                <w:szCs w:val="20"/>
              </w:rPr>
              <w:t>8</w:t>
            </w:r>
          </w:p>
        </w:tc>
        <w:tc>
          <w:tcPr>
            <w:tcW w:w="1064" w:type="dxa"/>
          </w:tcPr>
          <w:p w14:paraId="6C62A15C" w14:textId="12977FD3" w:rsidR="00CF1BE3" w:rsidRPr="0029110D" w:rsidRDefault="00CF1BE3" w:rsidP="00AB1FF1">
            <w:pPr>
              <w:jc w:val="center"/>
              <w:rPr>
                <w:sz w:val="20"/>
                <w:szCs w:val="20"/>
              </w:rPr>
            </w:pPr>
            <w:r w:rsidRPr="0029110D">
              <w:rPr>
                <w:sz w:val="20"/>
                <w:szCs w:val="20"/>
              </w:rPr>
              <w:t>81</w:t>
            </w:r>
            <w:r w:rsidR="00EB77C9" w:rsidRPr="0029110D">
              <w:rPr>
                <w:sz w:val="20"/>
                <w:szCs w:val="20"/>
              </w:rPr>
              <w:t>,</w:t>
            </w:r>
            <w:r w:rsidRPr="0029110D">
              <w:rPr>
                <w:sz w:val="20"/>
                <w:szCs w:val="20"/>
              </w:rPr>
              <w:t>0</w:t>
            </w:r>
          </w:p>
        </w:tc>
        <w:tc>
          <w:tcPr>
            <w:tcW w:w="1064" w:type="dxa"/>
          </w:tcPr>
          <w:p w14:paraId="1ED5334C" w14:textId="6FE3F184" w:rsidR="00CF1BE3" w:rsidRPr="0029110D" w:rsidRDefault="00CF1BE3" w:rsidP="00AB1FF1">
            <w:pPr>
              <w:jc w:val="center"/>
              <w:rPr>
                <w:sz w:val="20"/>
                <w:szCs w:val="20"/>
              </w:rPr>
            </w:pPr>
            <w:r w:rsidRPr="0029110D">
              <w:rPr>
                <w:sz w:val="20"/>
                <w:szCs w:val="20"/>
              </w:rPr>
              <w:t>120</w:t>
            </w:r>
          </w:p>
        </w:tc>
        <w:tc>
          <w:tcPr>
            <w:tcW w:w="891" w:type="dxa"/>
          </w:tcPr>
          <w:p w14:paraId="741D9B3C" w14:textId="1213482C"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2</w:t>
            </w:r>
          </w:p>
        </w:tc>
        <w:tc>
          <w:tcPr>
            <w:tcW w:w="993" w:type="dxa"/>
          </w:tcPr>
          <w:p w14:paraId="2ED94894" w14:textId="407A71CA"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3</w:t>
            </w:r>
          </w:p>
        </w:tc>
      </w:tr>
      <w:tr w:rsidR="00CF1BE3" w:rsidRPr="0029110D" w14:paraId="728DDF76" w14:textId="77777777" w:rsidTr="00AB1FF1">
        <w:trPr>
          <w:trHeight w:val="20"/>
        </w:trPr>
        <w:tc>
          <w:tcPr>
            <w:tcW w:w="1065" w:type="dxa"/>
            <w:vMerge/>
          </w:tcPr>
          <w:p w14:paraId="15109A54" w14:textId="77777777" w:rsidR="00CF1BE3" w:rsidRPr="0029110D" w:rsidRDefault="00CF1BE3" w:rsidP="00511EB4">
            <w:pPr>
              <w:rPr>
                <w:sz w:val="20"/>
                <w:szCs w:val="20"/>
              </w:rPr>
            </w:pPr>
          </w:p>
        </w:tc>
        <w:tc>
          <w:tcPr>
            <w:tcW w:w="1063" w:type="dxa"/>
            <w:vMerge/>
          </w:tcPr>
          <w:p w14:paraId="38FD40A3" w14:textId="77777777" w:rsidR="00CF1BE3" w:rsidRPr="0029110D" w:rsidRDefault="00CF1BE3" w:rsidP="00AB1FF1">
            <w:pPr>
              <w:jc w:val="center"/>
              <w:rPr>
                <w:sz w:val="20"/>
                <w:szCs w:val="20"/>
              </w:rPr>
            </w:pPr>
          </w:p>
        </w:tc>
        <w:tc>
          <w:tcPr>
            <w:tcW w:w="1063" w:type="dxa"/>
          </w:tcPr>
          <w:p w14:paraId="66A588ED" w14:textId="77777777" w:rsidR="00CF1BE3" w:rsidRPr="0029110D" w:rsidRDefault="00CF1BE3" w:rsidP="00AB1FF1">
            <w:pPr>
              <w:jc w:val="center"/>
              <w:rPr>
                <w:sz w:val="20"/>
                <w:szCs w:val="20"/>
                <w:lang w:val="en-US"/>
              </w:rPr>
            </w:pPr>
            <w:r w:rsidRPr="0029110D">
              <w:rPr>
                <w:sz w:val="20"/>
                <w:szCs w:val="20"/>
                <w:lang w:val="en-US"/>
              </w:rPr>
              <w:t>28</w:t>
            </w:r>
          </w:p>
        </w:tc>
        <w:tc>
          <w:tcPr>
            <w:tcW w:w="1063" w:type="dxa"/>
          </w:tcPr>
          <w:p w14:paraId="7782D286" w14:textId="1C83DA74" w:rsidR="00CF1BE3" w:rsidRPr="0029110D" w:rsidRDefault="00CF1BE3" w:rsidP="00AB1FF1">
            <w:pPr>
              <w:jc w:val="center"/>
              <w:rPr>
                <w:sz w:val="20"/>
                <w:szCs w:val="20"/>
              </w:rPr>
            </w:pPr>
            <w:r w:rsidRPr="0029110D">
              <w:rPr>
                <w:sz w:val="20"/>
                <w:szCs w:val="20"/>
              </w:rPr>
              <w:t>18</w:t>
            </w:r>
            <w:r w:rsidR="00EB77C9" w:rsidRPr="0029110D">
              <w:rPr>
                <w:sz w:val="20"/>
                <w:szCs w:val="20"/>
              </w:rPr>
              <w:t>,</w:t>
            </w:r>
            <w:r w:rsidRPr="0029110D">
              <w:rPr>
                <w:sz w:val="20"/>
                <w:szCs w:val="20"/>
              </w:rPr>
              <w:t>2</w:t>
            </w:r>
          </w:p>
        </w:tc>
        <w:tc>
          <w:tcPr>
            <w:tcW w:w="1063" w:type="dxa"/>
          </w:tcPr>
          <w:p w14:paraId="70D34421" w14:textId="5E875601" w:rsidR="00CF1BE3" w:rsidRPr="0029110D" w:rsidRDefault="00CF1BE3" w:rsidP="00AB1FF1">
            <w:pPr>
              <w:jc w:val="center"/>
              <w:rPr>
                <w:sz w:val="20"/>
                <w:szCs w:val="20"/>
              </w:rPr>
            </w:pPr>
            <w:r w:rsidRPr="0029110D">
              <w:rPr>
                <w:sz w:val="20"/>
                <w:szCs w:val="20"/>
              </w:rPr>
              <w:t>29</w:t>
            </w:r>
            <w:r w:rsidR="00EB77C9" w:rsidRPr="0029110D">
              <w:rPr>
                <w:sz w:val="20"/>
                <w:szCs w:val="20"/>
              </w:rPr>
              <w:t>,</w:t>
            </w:r>
            <w:r w:rsidRPr="0029110D">
              <w:rPr>
                <w:sz w:val="20"/>
                <w:szCs w:val="20"/>
              </w:rPr>
              <w:t>6</w:t>
            </w:r>
          </w:p>
        </w:tc>
        <w:tc>
          <w:tcPr>
            <w:tcW w:w="1064" w:type="dxa"/>
          </w:tcPr>
          <w:p w14:paraId="73E9A417" w14:textId="2F6126A7" w:rsidR="00CF1BE3" w:rsidRPr="0029110D" w:rsidRDefault="00CF1BE3" w:rsidP="00AB1FF1">
            <w:pPr>
              <w:jc w:val="center"/>
              <w:rPr>
                <w:sz w:val="20"/>
                <w:szCs w:val="20"/>
              </w:rPr>
            </w:pPr>
            <w:r w:rsidRPr="0029110D">
              <w:rPr>
                <w:sz w:val="20"/>
                <w:szCs w:val="20"/>
              </w:rPr>
              <w:t>78</w:t>
            </w:r>
            <w:r w:rsidR="00EB77C9" w:rsidRPr="0029110D">
              <w:rPr>
                <w:sz w:val="20"/>
                <w:szCs w:val="20"/>
              </w:rPr>
              <w:t>,</w:t>
            </w:r>
            <w:r w:rsidRPr="0029110D">
              <w:rPr>
                <w:sz w:val="20"/>
                <w:szCs w:val="20"/>
              </w:rPr>
              <w:t>0</w:t>
            </w:r>
          </w:p>
        </w:tc>
        <w:tc>
          <w:tcPr>
            <w:tcW w:w="1064" w:type="dxa"/>
          </w:tcPr>
          <w:p w14:paraId="6548FB2B" w14:textId="727C18BA" w:rsidR="00CF1BE3" w:rsidRPr="0029110D" w:rsidRDefault="00CF1BE3" w:rsidP="00AB1FF1">
            <w:pPr>
              <w:jc w:val="center"/>
              <w:rPr>
                <w:sz w:val="20"/>
                <w:szCs w:val="20"/>
              </w:rPr>
            </w:pPr>
            <w:r w:rsidRPr="0029110D">
              <w:rPr>
                <w:sz w:val="20"/>
                <w:szCs w:val="20"/>
              </w:rPr>
              <w:t>104</w:t>
            </w:r>
          </w:p>
        </w:tc>
        <w:tc>
          <w:tcPr>
            <w:tcW w:w="891" w:type="dxa"/>
          </w:tcPr>
          <w:p w14:paraId="3BD8815B" w14:textId="223809E2"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2</w:t>
            </w:r>
          </w:p>
        </w:tc>
        <w:tc>
          <w:tcPr>
            <w:tcW w:w="993" w:type="dxa"/>
          </w:tcPr>
          <w:p w14:paraId="7BE746A3" w14:textId="6FC565BD"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2</w:t>
            </w:r>
          </w:p>
        </w:tc>
      </w:tr>
      <w:tr w:rsidR="00CF1BE3" w:rsidRPr="0029110D" w14:paraId="45B13333" w14:textId="77777777" w:rsidTr="00AB1FF1">
        <w:trPr>
          <w:trHeight w:val="20"/>
        </w:trPr>
        <w:tc>
          <w:tcPr>
            <w:tcW w:w="1065" w:type="dxa"/>
            <w:vMerge/>
          </w:tcPr>
          <w:p w14:paraId="47C2A2A2" w14:textId="77777777" w:rsidR="00CF1BE3" w:rsidRPr="0029110D" w:rsidRDefault="00CF1BE3" w:rsidP="00511EB4">
            <w:pPr>
              <w:rPr>
                <w:sz w:val="20"/>
                <w:szCs w:val="20"/>
              </w:rPr>
            </w:pPr>
          </w:p>
        </w:tc>
        <w:tc>
          <w:tcPr>
            <w:tcW w:w="1063" w:type="dxa"/>
            <w:vMerge/>
          </w:tcPr>
          <w:p w14:paraId="10E608EE" w14:textId="77777777" w:rsidR="00CF1BE3" w:rsidRPr="0029110D" w:rsidRDefault="00CF1BE3" w:rsidP="00AB1FF1">
            <w:pPr>
              <w:jc w:val="center"/>
              <w:rPr>
                <w:sz w:val="20"/>
                <w:szCs w:val="20"/>
              </w:rPr>
            </w:pPr>
          </w:p>
        </w:tc>
        <w:tc>
          <w:tcPr>
            <w:tcW w:w="1063" w:type="dxa"/>
          </w:tcPr>
          <w:p w14:paraId="63F15166" w14:textId="77777777" w:rsidR="00CF1BE3" w:rsidRPr="0029110D" w:rsidRDefault="00CF1BE3" w:rsidP="00AB1FF1">
            <w:pPr>
              <w:jc w:val="center"/>
              <w:rPr>
                <w:sz w:val="20"/>
                <w:szCs w:val="20"/>
              </w:rPr>
            </w:pPr>
            <w:r w:rsidRPr="0029110D">
              <w:rPr>
                <w:sz w:val="20"/>
                <w:szCs w:val="20"/>
              </w:rPr>
              <w:t>181</w:t>
            </w:r>
          </w:p>
        </w:tc>
        <w:tc>
          <w:tcPr>
            <w:tcW w:w="1063" w:type="dxa"/>
          </w:tcPr>
          <w:p w14:paraId="3BCCA613" w14:textId="0663A4EA" w:rsidR="00CF1BE3" w:rsidRPr="0029110D" w:rsidRDefault="00CF1BE3" w:rsidP="00AB1FF1">
            <w:pPr>
              <w:jc w:val="center"/>
              <w:rPr>
                <w:sz w:val="20"/>
                <w:szCs w:val="20"/>
              </w:rPr>
            </w:pPr>
            <w:r w:rsidRPr="0029110D">
              <w:rPr>
                <w:sz w:val="20"/>
                <w:szCs w:val="20"/>
              </w:rPr>
              <w:t>39</w:t>
            </w:r>
            <w:r w:rsidR="00EB77C9" w:rsidRPr="0029110D">
              <w:rPr>
                <w:sz w:val="20"/>
                <w:szCs w:val="20"/>
              </w:rPr>
              <w:t>,</w:t>
            </w:r>
            <w:r w:rsidRPr="0029110D">
              <w:rPr>
                <w:sz w:val="20"/>
                <w:szCs w:val="20"/>
              </w:rPr>
              <w:t>0</w:t>
            </w:r>
          </w:p>
        </w:tc>
        <w:tc>
          <w:tcPr>
            <w:tcW w:w="1063" w:type="dxa"/>
          </w:tcPr>
          <w:p w14:paraId="350BEF95" w14:textId="4C96155D" w:rsidR="00CF1BE3" w:rsidRPr="0029110D" w:rsidRDefault="00CF1BE3" w:rsidP="00AB1FF1">
            <w:pPr>
              <w:jc w:val="center"/>
              <w:rPr>
                <w:sz w:val="20"/>
                <w:szCs w:val="20"/>
              </w:rPr>
            </w:pPr>
            <w:r w:rsidRPr="0029110D">
              <w:rPr>
                <w:sz w:val="20"/>
                <w:szCs w:val="20"/>
              </w:rPr>
              <w:t>73</w:t>
            </w:r>
            <w:r w:rsidR="00EB77C9" w:rsidRPr="0029110D">
              <w:rPr>
                <w:sz w:val="20"/>
                <w:szCs w:val="20"/>
              </w:rPr>
              <w:t>,</w:t>
            </w:r>
            <w:r w:rsidRPr="0029110D">
              <w:rPr>
                <w:sz w:val="20"/>
                <w:szCs w:val="20"/>
              </w:rPr>
              <w:t>5</w:t>
            </w:r>
          </w:p>
        </w:tc>
        <w:tc>
          <w:tcPr>
            <w:tcW w:w="1064" w:type="dxa"/>
          </w:tcPr>
          <w:p w14:paraId="25F30850" w14:textId="77777777" w:rsidR="00CF1BE3" w:rsidRPr="0029110D" w:rsidRDefault="00CF1BE3" w:rsidP="00AB1FF1">
            <w:pPr>
              <w:jc w:val="center"/>
              <w:rPr>
                <w:sz w:val="20"/>
                <w:szCs w:val="20"/>
              </w:rPr>
            </w:pPr>
            <w:r w:rsidRPr="0029110D">
              <w:rPr>
                <w:sz w:val="20"/>
                <w:szCs w:val="20"/>
              </w:rPr>
              <w:t>178</w:t>
            </w:r>
          </w:p>
        </w:tc>
        <w:tc>
          <w:tcPr>
            <w:tcW w:w="1064" w:type="dxa"/>
          </w:tcPr>
          <w:p w14:paraId="7792AF17" w14:textId="77777777" w:rsidR="00CF1BE3" w:rsidRPr="0029110D" w:rsidRDefault="00CF1BE3" w:rsidP="00AB1FF1">
            <w:pPr>
              <w:jc w:val="center"/>
              <w:rPr>
                <w:sz w:val="20"/>
                <w:szCs w:val="20"/>
              </w:rPr>
            </w:pPr>
            <w:r w:rsidRPr="0029110D">
              <w:rPr>
                <w:sz w:val="20"/>
                <w:szCs w:val="20"/>
              </w:rPr>
              <w:t>264</w:t>
            </w:r>
          </w:p>
        </w:tc>
        <w:tc>
          <w:tcPr>
            <w:tcW w:w="891" w:type="dxa"/>
          </w:tcPr>
          <w:p w14:paraId="5153F0E0" w14:textId="008A93D5"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4</w:t>
            </w:r>
          </w:p>
        </w:tc>
        <w:tc>
          <w:tcPr>
            <w:tcW w:w="993" w:type="dxa"/>
          </w:tcPr>
          <w:p w14:paraId="1C4CB464" w14:textId="25B1EBE1"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6</w:t>
            </w:r>
          </w:p>
        </w:tc>
      </w:tr>
      <w:tr w:rsidR="00CF1BE3" w:rsidRPr="0029110D" w14:paraId="463827B7" w14:textId="77777777" w:rsidTr="00AB1FF1">
        <w:trPr>
          <w:trHeight w:val="20"/>
        </w:trPr>
        <w:tc>
          <w:tcPr>
            <w:tcW w:w="1065" w:type="dxa"/>
            <w:vMerge/>
          </w:tcPr>
          <w:p w14:paraId="3A060152" w14:textId="77777777" w:rsidR="00CF1BE3" w:rsidRPr="0029110D" w:rsidRDefault="00CF1BE3" w:rsidP="00511EB4">
            <w:pPr>
              <w:rPr>
                <w:sz w:val="20"/>
                <w:szCs w:val="20"/>
              </w:rPr>
            </w:pPr>
          </w:p>
        </w:tc>
        <w:tc>
          <w:tcPr>
            <w:tcW w:w="1063" w:type="dxa"/>
            <w:vMerge w:val="restart"/>
          </w:tcPr>
          <w:p w14:paraId="136D7FCF" w14:textId="77777777" w:rsidR="00CF1BE3" w:rsidRPr="0029110D" w:rsidRDefault="00CF1BE3" w:rsidP="00AB1FF1">
            <w:pPr>
              <w:jc w:val="center"/>
              <w:rPr>
                <w:sz w:val="20"/>
                <w:szCs w:val="20"/>
              </w:rPr>
            </w:pPr>
            <w:r w:rsidRPr="0029110D">
              <w:rPr>
                <w:sz w:val="20"/>
                <w:szCs w:val="20"/>
              </w:rPr>
              <w:t>25</w:t>
            </w:r>
          </w:p>
        </w:tc>
        <w:tc>
          <w:tcPr>
            <w:tcW w:w="1063" w:type="dxa"/>
          </w:tcPr>
          <w:p w14:paraId="6ACCD395" w14:textId="77777777" w:rsidR="00CF1BE3" w:rsidRPr="0029110D" w:rsidRDefault="00CF1BE3" w:rsidP="00AB1FF1">
            <w:pPr>
              <w:jc w:val="center"/>
              <w:rPr>
                <w:sz w:val="20"/>
                <w:szCs w:val="20"/>
                <w:lang w:val="en-US"/>
              </w:rPr>
            </w:pPr>
            <w:r w:rsidRPr="0029110D">
              <w:rPr>
                <w:sz w:val="20"/>
                <w:szCs w:val="20"/>
                <w:lang w:val="en-US"/>
              </w:rPr>
              <w:t>1</w:t>
            </w:r>
          </w:p>
        </w:tc>
        <w:tc>
          <w:tcPr>
            <w:tcW w:w="1063" w:type="dxa"/>
          </w:tcPr>
          <w:p w14:paraId="4EDDDB7C" w14:textId="520550F0" w:rsidR="00CF1BE3" w:rsidRPr="0029110D" w:rsidRDefault="00CF1BE3" w:rsidP="00AB1FF1">
            <w:pPr>
              <w:jc w:val="center"/>
              <w:rPr>
                <w:sz w:val="20"/>
                <w:szCs w:val="20"/>
              </w:rPr>
            </w:pPr>
            <w:r w:rsidRPr="0029110D">
              <w:rPr>
                <w:sz w:val="20"/>
                <w:szCs w:val="20"/>
              </w:rPr>
              <w:t>2113</w:t>
            </w:r>
          </w:p>
        </w:tc>
        <w:tc>
          <w:tcPr>
            <w:tcW w:w="1063" w:type="dxa"/>
          </w:tcPr>
          <w:p w14:paraId="303A14AA" w14:textId="30FEFB67" w:rsidR="00CF1BE3" w:rsidRPr="0029110D" w:rsidRDefault="00CF1BE3" w:rsidP="00AB1FF1">
            <w:pPr>
              <w:jc w:val="center"/>
              <w:rPr>
                <w:sz w:val="20"/>
                <w:szCs w:val="20"/>
              </w:rPr>
            </w:pPr>
            <w:r w:rsidRPr="0029110D">
              <w:rPr>
                <w:sz w:val="20"/>
                <w:szCs w:val="20"/>
              </w:rPr>
              <w:t>2830</w:t>
            </w:r>
          </w:p>
        </w:tc>
        <w:tc>
          <w:tcPr>
            <w:tcW w:w="1064" w:type="dxa"/>
          </w:tcPr>
          <w:p w14:paraId="3F3797D2" w14:textId="40FF6DB1" w:rsidR="00CF1BE3" w:rsidRPr="0029110D" w:rsidRDefault="00CF1BE3" w:rsidP="00AB1FF1">
            <w:pPr>
              <w:jc w:val="center"/>
              <w:rPr>
                <w:sz w:val="20"/>
                <w:szCs w:val="20"/>
              </w:rPr>
            </w:pPr>
            <w:r w:rsidRPr="0029110D">
              <w:rPr>
                <w:sz w:val="20"/>
                <w:szCs w:val="20"/>
              </w:rPr>
              <w:t>4977</w:t>
            </w:r>
          </w:p>
        </w:tc>
        <w:tc>
          <w:tcPr>
            <w:tcW w:w="1064" w:type="dxa"/>
          </w:tcPr>
          <w:p w14:paraId="52C839DD" w14:textId="221FFFE3" w:rsidR="00CF1BE3" w:rsidRPr="0029110D" w:rsidRDefault="00CF1BE3" w:rsidP="00AB1FF1">
            <w:pPr>
              <w:jc w:val="center"/>
              <w:rPr>
                <w:sz w:val="20"/>
                <w:szCs w:val="20"/>
              </w:rPr>
            </w:pPr>
            <w:r w:rsidRPr="0029110D">
              <w:rPr>
                <w:sz w:val="20"/>
                <w:szCs w:val="20"/>
              </w:rPr>
              <w:t>10028</w:t>
            </w:r>
          </w:p>
        </w:tc>
        <w:tc>
          <w:tcPr>
            <w:tcW w:w="891" w:type="dxa"/>
          </w:tcPr>
          <w:p w14:paraId="6660C6AC" w14:textId="40A8601C" w:rsidR="00CF1BE3" w:rsidRPr="0029110D" w:rsidRDefault="00CF1BE3" w:rsidP="00AB1FF1">
            <w:pPr>
              <w:jc w:val="center"/>
              <w:rPr>
                <w:sz w:val="20"/>
                <w:szCs w:val="20"/>
              </w:rPr>
            </w:pPr>
            <w:r w:rsidRPr="0029110D">
              <w:rPr>
                <w:sz w:val="20"/>
                <w:szCs w:val="20"/>
              </w:rPr>
              <w:t>10</w:t>
            </w:r>
          </w:p>
        </w:tc>
        <w:tc>
          <w:tcPr>
            <w:tcW w:w="993" w:type="dxa"/>
          </w:tcPr>
          <w:p w14:paraId="29B2AA33" w14:textId="167BF84D" w:rsidR="00CF1BE3" w:rsidRPr="0029110D" w:rsidRDefault="00CF1BE3" w:rsidP="00AB1FF1">
            <w:pPr>
              <w:jc w:val="center"/>
              <w:rPr>
                <w:sz w:val="20"/>
                <w:szCs w:val="20"/>
              </w:rPr>
            </w:pPr>
            <w:r w:rsidRPr="0029110D">
              <w:rPr>
                <w:sz w:val="20"/>
                <w:szCs w:val="20"/>
              </w:rPr>
              <w:t>21</w:t>
            </w:r>
          </w:p>
        </w:tc>
      </w:tr>
      <w:tr w:rsidR="00CF1BE3" w:rsidRPr="0029110D" w14:paraId="17A18860" w14:textId="77777777" w:rsidTr="00AB1FF1">
        <w:trPr>
          <w:trHeight w:val="20"/>
        </w:trPr>
        <w:tc>
          <w:tcPr>
            <w:tcW w:w="1065" w:type="dxa"/>
            <w:vMerge/>
          </w:tcPr>
          <w:p w14:paraId="7358725E" w14:textId="77777777" w:rsidR="00CF1BE3" w:rsidRPr="0029110D" w:rsidRDefault="00CF1BE3" w:rsidP="00511EB4">
            <w:pPr>
              <w:rPr>
                <w:sz w:val="20"/>
                <w:szCs w:val="20"/>
              </w:rPr>
            </w:pPr>
          </w:p>
        </w:tc>
        <w:tc>
          <w:tcPr>
            <w:tcW w:w="1063" w:type="dxa"/>
            <w:vMerge/>
          </w:tcPr>
          <w:p w14:paraId="232866A7" w14:textId="77777777" w:rsidR="00CF1BE3" w:rsidRPr="0029110D" w:rsidRDefault="00CF1BE3" w:rsidP="00AB1FF1">
            <w:pPr>
              <w:jc w:val="center"/>
              <w:rPr>
                <w:sz w:val="20"/>
                <w:szCs w:val="20"/>
              </w:rPr>
            </w:pPr>
          </w:p>
        </w:tc>
        <w:tc>
          <w:tcPr>
            <w:tcW w:w="1063" w:type="dxa"/>
          </w:tcPr>
          <w:p w14:paraId="5FF6DAB9" w14:textId="77777777" w:rsidR="00CF1BE3" w:rsidRPr="0029110D" w:rsidRDefault="00CF1BE3" w:rsidP="00AB1FF1">
            <w:pPr>
              <w:jc w:val="center"/>
              <w:rPr>
                <w:sz w:val="20"/>
                <w:szCs w:val="20"/>
                <w:lang w:val="en-US"/>
              </w:rPr>
            </w:pPr>
            <w:r w:rsidRPr="0029110D">
              <w:rPr>
                <w:sz w:val="20"/>
                <w:szCs w:val="20"/>
                <w:lang w:val="en-US"/>
              </w:rPr>
              <w:t>28</w:t>
            </w:r>
          </w:p>
        </w:tc>
        <w:tc>
          <w:tcPr>
            <w:tcW w:w="1063" w:type="dxa"/>
          </w:tcPr>
          <w:p w14:paraId="1C31E50B" w14:textId="2CF16B8E" w:rsidR="00CF1BE3" w:rsidRPr="0029110D" w:rsidRDefault="00CF1BE3" w:rsidP="00AB1FF1">
            <w:pPr>
              <w:jc w:val="center"/>
              <w:rPr>
                <w:sz w:val="20"/>
                <w:szCs w:val="20"/>
              </w:rPr>
            </w:pPr>
            <w:r w:rsidRPr="0029110D">
              <w:rPr>
                <w:sz w:val="20"/>
                <w:szCs w:val="20"/>
              </w:rPr>
              <w:t>1623</w:t>
            </w:r>
          </w:p>
        </w:tc>
        <w:tc>
          <w:tcPr>
            <w:tcW w:w="1063" w:type="dxa"/>
          </w:tcPr>
          <w:p w14:paraId="412C97CF" w14:textId="44B7E84C" w:rsidR="00CF1BE3" w:rsidRPr="0029110D" w:rsidRDefault="00CF1BE3" w:rsidP="00AB1FF1">
            <w:pPr>
              <w:jc w:val="center"/>
              <w:rPr>
                <w:sz w:val="20"/>
                <w:szCs w:val="20"/>
              </w:rPr>
            </w:pPr>
            <w:r w:rsidRPr="0029110D">
              <w:rPr>
                <w:sz w:val="20"/>
                <w:szCs w:val="20"/>
              </w:rPr>
              <w:t>2630</w:t>
            </w:r>
          </w:p>
        </w:tc>
        <w:tc>
          <w:tcPr>
            <w:tcW w:w="1064" w:type="dxa"/>
          </w:tcPr>
          <w:p w14:paraId="66C8BE9B" w14:textId="5E5790E9" w:rsidR="00CF1BE3" w:rsidRPr="0029110D" w:rsidRDefault="00CF1BE3" w:rsidP="00AB1FF1">
            <w:pPr>
              <w:jc w:val="center"/>
              <w:rPr>
                <w:sz w:val="20"/>
                <w:szCs w:val="20"/>
              </w:rPr>
            </w:pPr>
            <w:r w:rsidRPr="0029110D">
              <w:rPr>
                <w:sz w:val="20"/>
                <w:szCs w:val="20"/>
              </w:rPr>
              <w:t>6983</w:t>
            </w:r>
          </w:p>
        </w:tc>
        <w:tc>
          <w:tcPr>
            <w:tcW w:w="1064" w:type="dxa"/>
          </w:tcPr>
          <w:p w14:paraId="3E453B6B" w14:textId="605F2AA9" w:rsidR="00CF1BE3" w:rsidRPr="0029110D" w:rsidRDefault="00CF1BE3" w:rsidP="00AB1FF1">
            <w:pPr>
              <w:jc w:val="center"/>
              <w:rPr>
                <w:sz w:val="20"/>
                <w:szCs w:val="20"/>
              </w:rPr>
            </w:pPr>
            <w:r w:rsidRPr="0029110D">
              <w:rPr>
                <w:sz w:val="20"/>
                <w:szCs w:val="20"/>
              </w:rPr>
              <w:t>7577</w:t>
            </w:r>
          </w:p>
        </w:tc>
        <w:tc>
          <w:tcPr>
            <w:tcW w:w="891" w:type="dxa"/>
          </w:tcPr>
          <w:p w14:paraId="01053C0F" w14:textId="3DF48470" w:rsidR="00CF1BE3" w:rsidRPr="0029110D" w:rsidRDefault="00CF1BE3" w:rsidP="00AB1FF1">
            <w:pPr>
              <w:jc w:val="center"/>
              <w:rPr>
                <w:sz w:val="20"/>
                <w:szCs w:val="20"/>
              </w:rPr>
            </w:pPr>
            <w:r w:rsidRPr="0029110D">
              <w:rPr>
                <w:sz w:val="20"/>
                <w:szCs w:val="20"/>
              </w:rPr>
              <w:t>15</w:t>
            </w:r>
          </w:p>
        </w:tc>
        <w:tc>
          <w:tcPr>
            <w:tcW w:w="993" w:type="dxa"/>
          </w:tcPr>
          <w:p w14:paraId="40DDCA2A" w14:textId="77777777" w:rsidR="00CF1BE3" w:rsidRPr="0029110D" w:rsidRDefault="00CF1BE3" w:rsidP="00AB1FF1">
            <w:pPr>
              <w:jc w:val="center"/>
              <w:rPr>
                <w:sz w:val="20"/>
                <w:szCs w:val="20"/>
              </w:rPr>
            </w:pPr>
            <w:r w:rsidRPr="0029110D">
              <w:rPr>
                <w:sz w:val="20"/>
                <w:szCs w:val="20"/>
              </w:rPr>
              <w:t>16</w:t>
            </w:r>
          </w:p>
        </w:tc>
      </w:tr>
      <w:tr w:rsidR="00CF1BE3" w:rsidRPr="0029110D" w14:paraId="7FBE8CEE" w14:textId="77777777" w:rsidTr="00AB1FF1">
        <w:trPr>
          <w:trHeight w:val="20"/>
        </w:trPr>
        <w:tc>
          <w:tcPr>
            <w:tcW w:w="1065" w:type="dxa"/>
            <w:vMerge/>
          </w:tcPr>
          <w:p w14:paraId="2AF98505" w14:textId="77777777" w:rsidR="00CF1BE3" w:rsidRPr="0029110D" w:rsidRDefault="00CF1BE3" w:rsidP="00511EB4">
            <w:pPr>
              <w:rPr>
                <w:sz w:val="20"/>
                <w:szCs w:val="20"/>
              </w:rPr>
            </w:pPr>
          </w:p>
        </w:tc>
        <w:tc>
          <w:tcPr>
            <w:tcW w:w="1063" w:type="dxa"/>
            <w:vMerge/>
          </w:tcPr>
          <w:p w14:paraId="4170E8DB" w14:textId="77777777" w:rsidR="00CF1BE3" w:rsidRPr="0029110D" w:rsidRDefault="00CF1BE3" w:rsidP="00AB1FF1">
            <w:pPr>
              <w:jc w:val="center"/>
              <w:rPr>
                <w:sz w:val="20"/>
                <w:szCs w:val="20"/>
              </w:rPr>
            </w:pPr>
          </w:p>
        </w:tc>
        <w:tc>
          <w:tcPr>
            <w:tcW w:w="1063" w:type="dxa"/>
          </w:tcPr>
          <w:p w14:paraId="23A203CF" w14:textId="77777777" w:rsidR="00CF1BE3" w:rsidRPr="0029110D" w:rsidRDefault="00CF1BE3" w:rsidP="00AB1FF1">
            <w:pPr>
              <w:jc w:val="center"/>
              <w:rPr>
                <w:sz w:val="20"/>
                <w:szCs w:val="20"/>
                <w:lang w:val="en-US"/>
              </w:rPr>
            </w:pPr>
            <w:r w:rsidRPr="0029110D">
              <w:rPr>
                <w:sz w:val="20"/>
                <w:szCs w:val="20"/>
              </w:rPr>
              <w:t>181</w:t>
            </w:r>
          </w:p>
        </w:tc>
        <w:tc>
          <w:tcPr>
            <w:tcW w:w="1063" w:type="dxa"/>
          </w:tcPr>
          <w:p w14:paraId="1978E568" w14:textId="77777777" w:rsidR="00CF1BE3" w:rsidRPr="0029110D" w:rsidRDefault="00CF1BE3" w:rsidP="00AB1FF1">
            <w:pPr>
              <w:jc w:val="center"/>
              <w:rPr>
                <w:sz w:val="20"/>
                <w:szCs w:val="20"/>
              </w:rPr>
            </w:pPr>
            <w:r w:rsidRPr="0029110D">
              <w:rPr>
                <w:sz w:val="20"/>
                <w:szCs w:val="20"/>
              </w:rPr>
              <w:t>4234</w:t>
            </w:r>
          </w:p>
        </w:tc>
        <w:tc>
          <w:tcPr>
            <w:tcW w:w="1063" w:type="dxa"/>
          </w:tcPr>
          <w:p w14:paraId="4E058C04" w14:textId="77777777" w:rsidR="00CF1BE3" w:rsidRPr="0029110D" w:rsidRDefault="00CF1BE3" w:rsidP="00AB1FF1">
            <w:pPr>
              <w:jc w:val="center"/>
              <w:rPr>
                <w:sz w:val="20"/>
                <w:szCs w:val="20"/>
              </w:rPr>
            </w:pPr>
            <w:r w:rsidRPr="0029110D">
              <w:rPr>
                <w:sz w:val="20"/>
                <w:szCs w:val="20"/>
              </w:rPr>
              <w:t>5274</w:t>
            </w:r>
          </w:p>
        </w:tc>
        <w:tc>
          <w:tcPr>
            <w:tcW w:w="1064" w:type="dxa"/>
          </w:tcPr>
          <w:p w14:paraId="45D94900" w14:textId="77777777" w:rsidR="00CF1BE3" w:rsidRPr="0029110D" w:rsidRDefault="00CF1BE3" w:rsidP="00AB1FF1">
            <w:pPr>
              <w:jc w:val="center"/>
              <w:rPr>
                <w:sz w:val="20"/>
                <w:szCs w:val="20"/>
              </w:rPr>
            </w:pPr>
            <w:r w:rsidRPr="0029110D">
              <w:rPr>
                <w:sz w:val="20"/>
                <w:szCs w:val="20"/>
              </w:rPr>
              <w:t>10363</w:t>
            </w:r>
          </w:p>
        </w:tc>
        <w:tc>
          <w:tcPr>
            <w:tcW w:w="1064" w:type="dxa"/>
          </w:tcPr>
          <w:p w14:paraId="3BD24CC8" w14:textId="77777777" w:rsidR="00CF1BE3" w:rsidRPr="0029110D" w:rsidRDefault="00CF1BE3" w:rsidP="00AB1FF1">
            <w:pPr>
              <w:jc w:val="center"/>
              <w:rPr>
                <w:sz w:val="20"/>
                <w:szCs w:val="20"/>
              </w:rPr>
            </w:pPr>
            <w:r w:rsidRPr="0029110D">
              <w:rPr>
                <w:sz w:val="20"/>
                <w:szCs w:val="20"/>
              </w:rPr>
              <w:t>14151</w:t>
            </w:r>
          </w:p>
        </w:tc>
        <w:tc>
          <w:tcPr>
            <w:tcW w:w="891" w:type="dxa"/>
          </w:tcPr>
          <w:p w14:paraId="0DD86EF3" w14:textId="77777777" w:rsidR="00CF1BE3" w:rsidRPr="0029110D" w:rsidRDefault="00CF1BE3" w:rsidP="00AB1FF1">
            <w:pPr>
              <w:jc w:val="center"/>
              <w:rPr>
                <w:sz w:val="20"/>
                <w:szCs w:val="20"/>
              </w:rPr>
            </w:pPr>
            <w:r w:rsidRPr="0029110D">
              <w:rPr>
                <w:sz w:val="20"/>
                <w:szCs w:val="20"/>
              </w:rPr>
              <w:t>22</w:t>
            </w:r>
          </w:p>
        </w:tc>
        <w:tc>
          <w:tcPr>
            <w:tcW w:w="993" w:type="dxa"/>
          </w:tcPr>
          <w:p w14:paraId="43250F08" w14:textId="77777777" w:rsidR="00CF1BE3" w:rsidRPr="0029110D" w:rsidRDefault="00CF1BE3" w:rsidP="00AB1FF1">
            <w:pPr>
              <w:jc w:val="center"/>
              <w:rPr>
                <w:sz w:val="20"/>
                <w:szCs w:val="20"/>
              </w:rPr>
            </w:pPr>
            <w:r w:rsidRPr="0029110D">
              <w:rPr>
                <w:sz w:val="20"/>
                <w:szCs w:val="20"/>
              </w:rPr>
              <w:t>30</w:t>
            </w:r>
          </w:p>
        </w:tc>
      </w:tr>
      <w:tr w:rsidR="00CF1BE3" w:rsidRPr="0029110D" w14:paraId="1B76F9DB" w14:textId="77777777" w:rsidTr="00AB1FF1">
        <w:trPr>
          <w:trHeight w:val="20"/>
        </w:trPr>
        <w:tc>
          <w:tcPr>
            <w:tcW w:w="1065" w:type="dxa"/>
            <w:vMerge/>
          </w:tcPr>
          <w:p w14:paraId="4C317D4C" w14:textId="77777777" w:rsidR="00CF1BE3" w:rsidRPr="0029110D" w:rsidRDefault="00CF1BE3" w:rsidP="00511EB4">
            <w:pPr>
              <w:rPr>
                <w:sz w:val="20"/>
                <w:szCs w:val="20"/>
              </w:rPr>
            </w:pPr>
          </w:p>
        </w:tc>
        <w:tc>
          <w:tcPr>
            <w:tcW w:w="1063" w:type="dxa"/>
            <w:vMerge w:val="restart"/>
          </w:tcPr>
          <w:p w14:paraId="21A0A9BF" w14:textId="77777777" w:rsidR="00CF1BE3" w:rsidRPr="0029110D" w:rsidRDefault="00CF1BE3" w:rsidP="00AB1FF1">
            <w:pPr>
              <w:jc w:val="center"/>
              <w:rPr>
                <w:sz w:val="20"/>
                <w:szCs w:val="20"/>
              </w:rPr>
            </w:pPr>
            <w:r w:rsidRPr="0029110D">
              <w:rPr>
                <w:sz w:val="20"/>
                <w:szCs w:val="20"/>
              </w:rPr>
              <w:t>100/60</w:t>
            </w:r>
            <w:r w:rsidRPr="0029110D">
              <w:rPr>
                <w:sz w:val="20"/>
                <w:szCs w:val="20"/>
                <w:vertAlign w:val="superscript"/>
              </w:rPr>
              <w:t>а</w:t>
            </w:r>
          </w:p>
        </w:tc>
        <w:tc>
          <w:tcPr>
            <w:tcW w:w="1063" w:type="dxa"/>
          </w:tcPr>
          <w:p w14:paraId="2B9CD5C3" w14:textId="77777777" w:rsidR="00CF1BE3" w:rsidRPr="0029110D" w:rsidRDefault="00CF1BE3" w:rsidP="00AB1FF1">
            <w:pPr>
              <w:jc w:val="center"/>
              <w:rPr>
                <w:sz w:val="20"/>
                <w:szCs w:val="20"/>
                <w:lang w:val="en-US"/>
              </w:rPr>
            </w:pPr>
            <w:r w:rsidRPr="0029110D">
              <w:rPr>
                <w:sz w:val="20"/>
                <w:szCs w:val="20"/>
                <w:lang w:val="en-US"/>
              </w:rPr>
              <w:t>1</w:t>
            </w:r>
          </w:p>
        </w:tc>
        <w:tc>
          <w:tcPr>
            <w:tcW w:w="1063" w:type="dxa"/>
          </w:tcPr>
          <w:p w14:paraId="3AC1575B" w14:textId="68899DDE" w:rsidR="00CF1BE3" w:rsidRPr="0029110D" w:rsidRDefault="00CF1BE3" w:rsidP="00AB1FF1">
            <w:pPr>
              <w:jc w:val="center"/>
              <w:rPr>
                <w:sz w:val="20"/>
                <w:szCs w:val="20"/>
              </w:rPr>
            </w:pPr>
            <w:r w:rsidRPr="0029110D">
              <w:rPr>
                <w:sz w:val="20"/>
                <w:szCs w:val="20"/>
              </w:rPr>
              <w:t>6574</w:t>
            </w:r>
          </w:p>
        </w:tc>
        <w:tc>
          <w:tcPr>
            <w:tcW w:w="1063" w:type="dxa"/>
          </w:tcPr>
          <w:p w14:paraId="26411CC5" w14:textId="027A3E0C" w:rsidR="00CF1BE3" w:rsidRPr="0029110D" w:rsidRDefault="00CF1BE3" w:rsidP="00AB1FF1">
            <w:pPr>
              <w:jc w:val="center"/>
              <w:rPr>
                <w:sz w:val="20"/>
                <w:szCs w:val="20"/>
              </w:rPr>
            </w:pPr>
            <w:r w:rsidRPr="0029110D">
              <w:rPr>
                <w:sz w:val="20"/>
                <w:szCs w:val="20"/>
              </w:rPr>
              <w:t>11625</w:t>
            </w:r>
          </w:p>
        </w:tc>
        <w:tc>
          <w:tcPr>
            <w:tcW w:w="1064" w:type="dxa"/>
          </w:tcPr>
          <w:p w14:paraId="2AF97BD2" w14:textId="26AAF128" w:rsidR="00CF1BE3" w:rsidRPr="0029110D" w:rsidRDefault="00CF1BE3" w:rsidP="00AB1FF1">
            <w:pPr>
              <w:jc w:val="center"/>
              <w:rPr>
                <w:sz w:val="20"/>
                <w:szCs w:val="20"/>
              </w:rPr>
            </w:pPr>
            <w:r w:rsidRPr="0029110D">
              <w:rPr>
                <w:sz w:val="20"/>
                <w:szCs w:val="20"/>
              </w:rPr>
              <w:t>29974</w:t>
            </w:r>
          </w:p>
        </w:tc>
        <w:tc>
          <w:tcPr>
            <w:tcW w:w="1064" w:type="dxa"/>
          </w:tcPr>
          <w:p w14:paraId="4010015A" w14:textId="06F2581D" w:rsidR="00CF1BE3" w:rsidRPr="0029110D" w:rsidRDefault="00CF1BE3" w:rsidP="00AB1FF1">
            <w:pPr>
              <w:jc w:val="center"/>
              <w:rPr>
                <w:sz w:val="20"/>
                <w:szCs w:val="20"/>
              </w:rPr>
            </w:pPr>
            <w:r w:rsidRPr="0029110D">
              <w:rPr>
                <w:sz w:val="20"/>
                <w:szCs w:val="20"/>
              </w:rPr>
              <w:t>38999</w:t>
            </w:r>
          </w:p>
        </w:tc>
        <w:tc>
          <w:tcPr>
            <w:tcW w:w="891" w:type="dxa"/>
          </w:tcPr>
          <w:p w14:paraId="4110C046" w14:textId="1A2B0D14" w:rsidR="00CF1BE3" w:rsidRPr="0029110D" w:rsidRDefault="00CF1BE3" w:rsidP="00AB1FF1">
            <w:pPr>
              <w:jc w:val="center"/>
              <w:rPr>
                <w:sz w:val="20"/>
                <w:szCs w:val="20"/>
              </w:rPr>
            </w:pPr>
            <w:r w:rsidRPr="0029110D">
              <w:rPr>
                <w:sz w:val="20"/>
                <w:szCs w:val="20"/>
              </w:rPr>
              <w:t>63</w:t>
            </w:r>
          </w:p>
        </w:tc>
        <w:tc>
          <w:tcPr>
            <w:tcW w:w="993" w:type="dxa"/>
          </w:tcPr>
          <w:p w14:paraId="3AAD0A75" w14:textId="00A1891E" w:rsidR="00CF1BE3" w:rsidRPr="0029110D" w:rsidRDefault="00CF1BE3" w:rsidP="00AB1FF1">
            <w:pPr>
              <w:jc w:val="center"/>
              <w:rPr>
                <w:sz w:val="20"/>
                <w:szCs w:val="20"/>
              </w:rPr>
            </w:pPr>
            <w:r w:rsidRPr="0029110D">
              <w:rPr>
                <w:sz w:val="20"/>
                <w:szCs w:val="20"/>
              </w:rPr>
              <w:t>82</w:t>
            </w:r>
          </w:p>
        </w:tc>
      </w:tr>
      <w:tr w:rsidR="00CF1BE3" w:rsidRPr="0029110D" w14:paraId="25BEEE39" w14:textId="77777777" w:rsidTr="00AB1FF1">
        <w:trPr>
          <w:trHeight w:val="20"/>
        </w:trPr>
        <w:tc>
          <w:tcPr>
            <w:tcW w:w="1065" w:type="dxa"/>
            <w:vMerge/>
          </w:tcPr>
          <w:p w14:paraId="3E5C07BF" w14:textId="77777777" w:rsidR="00CF1BE3" w:rsidRPr="0029110D" w:rsidRDefault="00CF1BE3" w:rsidP="00511EB4">
            <w:pPr>
              <w:rPr>
                <w:sz w:val="20"/>
                <w:szCs w:val="20"/>
              </w:rPr>
            </w:pPr>
          </w:p>
        </w:tc>
        <w:tc>
          <w:tcPr>
            <w:tcW w:w="1063" w:type="dxa"/>
            <w:vMerge/>
          </w:tcPr>
          <w:p w14:paraId="6BA20546" w14:textId="77777777" w:rsidR="00CF1BE3" w:rsidRPr="0029110D" w:rsidRDefault="00CF1BE3" w:rsidP="00AB1FF1">
            <w:pPr>
              <w:jc w:val="center"/>
              <w:rPr>
                <w:sz w:val="20"/>
                <w:szCs w:val="20"/>
              </w:rPr>
            </w:pPr>
          </w:p>
        </w:tc>
        <w:tc>
          <w:tcPr>
            <w:tcW w:w="1063" w:type="dxa"/>
          </w:tcPr>
          <w:p w14:paraId="41B134EF" w14:textId="77777777" w:rsidR="00CF1BE3" w:rsidRPr="0029110D" w:rsidRDefault="00CF1BE3" w:rsidP="00AB1FF1">
            <w:pPr>
              <w:jc w:val="center"/>
              <w:rPr>
                <w:sz w:val="20"/>
                <w:szCs w:val="20"/>
                <w:lang w:val="en-US"/>
              </w:rPr>
            </w:pPr>
            <w:r w:rsidRPr="0029110D">
              <w:rPr>
                <w:sz w:val="20"/>
                <w:szCs w:val="20"/>
                <w:lang w:val="en-US"/>
              </w:rPr>
              <w:t>28</w:t>
            </w:r>
          </w:p>
        </w:tc>
        <w:tc>
          <w:tcPr>
            <w:tcW w:w="1063" w:type="dxa"/>
          </w:tcPr>
          <w:p w14:paraId="46487AE2" w14:textId="5015F700" w:rsidR="00CF1BE3" w:rsidRPr="0029110D" w:rsidRDefault="00CF1BE3" w:rsidP="00AB1FF1">
            <w:pPr>
              <w:jc w:val="center"/>
              <w:rPr>
                <w:sz w:val="20"/>
                <w:szCs w:val="20"/>
              </w:rPr>
            </w:pPr>
            <w:r w:rsidRPr="0029110D">
              <w:rPr>
                <w:sz w:val="20"/>
                <w:szCs w:val="20"/>
              </w:rPr>
              <w:t>10697</w:t>
            </w:r>
          </w:p>
        </w:tc>
        <w:tc>
          <w:tcPr>
            <w:tcW w:w="1063" w:type="dxa"/>
          </w:tcPr>
          <w:p w14:paraId="659F0392" w14:textId="75B19031" w:rsidR="00CF1BE3" w:rsidRPr="0029110D" w:rsidRDefault="00CF1BE3" w:rsidP="00AB1FF1">
            <w:pPr>
              <w:jc w:val="center"/>
              <w:rPr>
                <w:sz w:val="20"/>
                <w:szCs w:val="20"/>
              </w:rPr>
            </w:pPr>
            <w:r w:rsidRPr="0029110D">
              <w:rPr>
                <w:sz w:val="20"/>
                <w:szCs w:val="20"/>
              </w:rPr>
              <w:t>9397</w:t>
            </w:r>
          </w:p>
        </w:tc>
        <w:tc>
          <w:tcPr>
            <w:tcW w:w="1064" w:type="dxa"/>
          </w:tcPr>
          <w:p w14:paraId="2058DF38" w14:textId="37F5A143" w:rsidR="00CF1BE3" w:rsidRPr="0029110D" w:rsidRDefault="00CF1BE3" w:rsidP="00AB1FF1">
            <w:pPr>
              <w:jc w:val="center"/>
              <w:rPr>
                <w:sz w:val="20"/>
                <w:szCs w:val="20"/>
              </w:rPr>
            </w:pPr>
            <w:r w:rsidRPr="0029110D">
              <w:rPr>
                <w:sz w:val="20"/>
                <w:szCs w:val="20"/>
              </w:rPr>
              <w:t>47542</w:t>
            </w:r>
          </w:p>
        </w:tc>
        <w:tc>
          <w:tcPr>
            <w:tcW w:w="1064" w:type="dxa"/>
          </w:tcPr>
          <w:p w14:paraId="0C781F65" w14:textId="65384BBF" w:rsidR="00CF1BE3" w:rsidRPr="0029110D" w:rsidRDefault="00CF1BE3" w:rsidP="00AB1FF1">
            <w:pPr>
              <w:jc w:val="center"/>
              <w:rPr>
                <w:sz w:val="20"/>
                <w:szCs w:val="20"/>
              </w:rPr>
            </w:pPr>
            <w:r w:rsidRPr="0029110D">
              <w:rPr>
                <w:sz w:val="20"/>
                <w:szCs w:val="20"/>
              </w:rPr>
              <w:t>69456</w:t>
            </w:r>
          </w:p>
        </w:tc>
        <w:tc>
          <w:tcPr>
            <w:tcW w:w="891" w:type="dxa"/>
          </w:tcPr>
          <w:p w14:paraId="77591412" w14:textId="3BBED85F" w:rsidR="00CF1BE3" w:rsidRPr="0029110D" w:rsidRDefault="00CF1BE3" w:rsidP="00AB1FF1">
            <w:pPr>
              <w:jc w:val="center"/>
              <w:rPr>
                <w:sz w:val="20"/>
                <w:szCs w:val="20"/>
              </w:rPr>
            </w:pPr>
            <w:r w:rsidRPr="0029110D">
              <w:rPr>
                <w:sz w:val="20"/>
                <w:szCs w:val="20"/>
              </w:rPr>
              <w:t>100</w:t>
            </w:r>
          </w:p>
        </w:tc>
        <w:tc>
          <w:tcPr>
            <w:tcW w:w="993" w:type="dxa"/>
          </w:tcPr>
          <w:p w14:paraId="2F63E117" w14:textId="237F8343" w:rsidR="00CF1BE3" w:rsidRPr="0029110D" w:rsidRDefault="00CF1BE3" w:rsidP="00AB1FF1">
            <w:pPr>
              <w:jc w:val="center"/>
              <w:rPr>
                <w:sz w:val="20"/>
                <w:szCs w:val="20"/>
              </w:rPr>
            </w:pPr>
            <w:r w:rsidRPr="0029110D">
              <w:rPr>
                <w:sz w:val="20"/>
                <w:szCs w:val="20"/>
              </w:rPr>
              <w:t>145</w:t>
            </w:r>
          </w:p>
        </w:tc>
      </w:tr>
      <w:tr w:rsidR="00CF1BE3" w:rsidRPr="0029110D" w14:paraId="4E77EABE" w14:textId="77777777" w:rsidTr="00AB1FF1">
        <w:trPr>
          <w:trHeight w:val="20"/>
        </w:trPr>
        <w:tc>
          <w:tcPr>
            <w:tcW w:w="1065" w:type="dxa"/>
            <w:vMerge/>
          </w:tcPr>
          <w:p w14:paraId="28C5C365" w14:textId="77777777" w:rsidR="00CF1BE3" w:rsidRPr="0029110D" w:rsidRDefault="00CF1BE3" w:rsidP="00511EB4">
            <w:pPr>
              <w:rPr>
                <w:sz w:val="20"/>
                <w:szCs w:val="20"/>
              </w:rPr>
            </w:pPr>
          </w:p>
        </w:tc>
        <w:tc>
          <w:tcPr>
            <w:tcW w:w="1063" w:type="dxa"/>
            <w:vMerge/>
          </w:tcPr>
          <w:p w14:paraId="45E5C67E" w14:textId="77777777" w:rsidR="00CF1BE3" w:rsidRPr="0029110D" w:rsidRDefault="00CF1BE3" w:rsidP="00AB1FF1">
            <w:pPr>
              <w:jc w:val="center"/>
              <w:rPr>
                <w:sz w:val="20"/>
                <w:szCs w:val="20"/>
              </w:rPr>
            </w:pPr>
          </w:p>
        </w:tc>
        <w:tc>
          <w:tcPr>
            <w:tcW w:w="1063" w:type="dxa"/>
          </w:tcPr>
          <w:p w14:paraId="1AFCB095" w14:textId="77777777" w:rsidR="00CF1BE3" w:rsidRPr="0029110D" w:rsidRDefault="00CF1BE3" w:rsidP="00AB1FF1">
            <w:pPr>
              <w:jc w:val="center"/>
              <w:rPr>
                <w:sz w:val="20"/>
                <w:szCs w:val="20"/>
              </w:rPr>
            </w:pPr>
            <w:r w:rsidRPr="0029110D">
              <w:rPr>
                <w:sz w:val="20"/>
                <w:szCs w:val="20"/>
              </w:rPr>
              <w:t>181</w:t>
            </w:r>
          </w:p>
        </w:tc>
        <w:tc>
          <w:tcPr>
            <w:tcW w:w="1063" w:type="dxa"/>
          </w:tcPr>
          <w:p w14:paraId="6B0F11AD" w14:textId="77777777" w:rsidR="00CF1BE3" w:rsidRPr="0029110D" w:rsidRDefault="00CF1BE3" w:rsidP="00AB1FF1">
            <w:pPr>
              <w:jc w:val="center"/>
              <w:rPr>
                <w:sz w:val="20"/>
                <w:szCs w:val="20"/>
              </w:rPr>
            </w:pPr>
            <w:r w:rsidRPr="0029110D">
              <w:rPr>
                <w:sz w:val="20"/>
                <w:szCs w:val="20"/>
              </w:rPr>
              <w:t>11848</w:t>
            </w:r>
          </w:p>
        </w:tc>
        <w:tc>
          <w:tcPr>
            <w:tcW w:w="1063" w:type="dxa"/>
          </w:tcPr>
          <w:p w14:paraId="3C2619FA" w14:textId="77777777" w:rsidR="00CF1BE3" w:rsidRPr="0029110D" w:rsidRDefault="00CF1BE3" w:rsidP="00AB1FF1">
            <w:pPr>
              <w:jc w:val="center"/>
              <w:rPr>
                <w:sz w:val="20"/>
                <w:szCs w:val="20"/>
              </w:rPr>
            </w:pPr>
            <w:r w:rsidRPr="0029110D">
              <w:rPr>
                <w:sz w:val="20"/>
                <w:szCs w:val="20"/>
              </w:rPr>
              <w:t>8877</w:t>
            </w:r>
          </w:p>
        </w:tc>
        <w:tc>
          <w:tcPr>
            <w:tcW w:w="1064" w:type="dxa"/>
          </w:tcPr>
          <w:p w14:paraId="1CBF56AD" w14:textId="77777777" w:rsidR="00CF1BE3" w:rsidRPr="0029110D" w:rsidRDefault="00CF1BE3" w:rsidP="00AB1FF1">
            <w:pPr>
              <w:jc w:val="center"/>
              <w:rPr>
                <w:sz w:val="20"/>
                <w:szCs w:val="20"/>
              </w:rPr>
            </w:pPr>
            <w:r w:rsidRPr="0029110D">
              <w:rPr>
                <w:sz w:val="20"/>
                <w:szCs w:val="20"/>
              </w:rPr>
              <w:t>42342</w:t>
            </w:r>
          </w:p>
        </w:tc>
        <w:tc>
          <w:tcPr>
            <w:tcW w:w="1064" w:type="dxa"/>
          </w:tcPr>
          <w:p w14:paraId="736CEFEE" w14:textId="77777777" w:rsidR="00CF1BE3" w:rsidRPr="0029110D" w:rsidRDefault="00CF1BE3" w:rsidP="00AB1FF1">
            <w:pPr>
              <w:jc w:val="center"/>
              <w:rPr>
                <w:sz w:val="20"/>
                <w:szCs w:val="20"/>
              </w:rPr>
            </w:pPr>
            <w:r w:rsidRPr="0029110D">
              <w:rPr>
                <w:sz w:val="20"/>
                <w:szCs w:val="20"/>
              </w:rPr>
              <w:t>35396</w:t>
            </w:r>
          </w:p>
        </w:tc>
        <w:tc>
          <w:tcPr>
            <w:tcW w:w="891" w:type="dxa"/>
          </w:tcPr>
          <w:p w14:paraId="353D696F" w14:textId="77777777" w:rsidR="00CF1BE3" w:rsidRPr="0029110D" w:rsidRDefault="00CF1BE3" w:rsidP="00AB1FF1">
            <w:pPr>
              <w:jc w:val="center"/>
              <w:rPr>
                <w:sz w:val="20"/>
                <w:szCs w:val="20"/>
              </w:rPr>
            </w:pPr>
            <w:r w:rsidRPr="0029110D">
              <w:rPr>
                <w:sz w:val="20"/>
                <w:szCs w:val="20"/>
              </w:rPr>
              <w:t>89</w:t>
            </w:r>
          </w:p>
        </w:tc>
        <w:tc>
          <w:tcPr>
            <w:tcW w:w="993" w:type="dxa"/>
          </w:tcPr>
          <w:p w14:paraId="1002976D" w14:textId="77777777" w:rsidR="00CF1BE3" w:rsidRPr="0029110D" w:rsidRDefault="00CF1BE3" w:rsidP="00AB1FF1">
            <w:pPr>
              <w:jc w:val="center"/>
              <w:rPr>
                <w:sz w:val="20"/>
                <w:szCs w:val="20"/>
              </w:rPr>
            </w:pPr>
            <w:r w:rsidRPr="0029110D">
              <w:rPr>
                <w:sz w:val="20"/>
                <w:szCs w:val="20"/>
              </w:rPr>
              <w:t>74</w:t>
            </w:r>
          </w:p>
        </w:tc>
      </w:tr>
      <w:tr w:rsidR="00CF1BE3" w:rsidRPr="0029110D" w14:paraId="7A6FD13F" w14:textId="77777777" w:rsidTr="00AB1FF1">
        <w:trPr>
          <w:trHeight w:val="20"/>
        </w:trPr>
        <w:tc>
          <w:tcPr>
            <w:tcW w:w="1065" w:type="dxa"/>
            <w:vMerge w:val="restart"/>
          </w:tcPr>
          <w:p w14:paraId="69755310" w14:textId="77777777" w:rsidR="00CF1BE3" w:rsidRPr="0029110D" w:rsidRDefault="00CF1BE3" w:rsidP="00511EB4">
            <w:pPr>
              <w:rPr>
                <w:sz w:val="20"/>
                <w:szCs w:val="20"/>
              </w:rPr>
            </w:pPr>
            <w:r w:rsidRPr="0029110D">
              <w:rPr>
                <w:sz w:val="20"/>
                <w:szCs w:val="20"/>
              </w:rPr>
              <w:t xml:space="preserve">Собаки </w:t>
            </w:r>
          </w:p>
        </w:tc>
        <w:tc>
          <w:tcPr>
            <w:tcW w:w="1063" w:type="dxa"/>
            <w:vMerge w:val="restart"/>
          </w:tcPr>
          <w:p w14:paraId="5500770F" w14:textId="77777777" w:rsidR="00CF1BE3" w:rsidRPr="0029110D" w:rsidRDefault="00CF1BE3" w:rsidP="00AB1FF1">
            <w:pPr>
              <w:jc w:val="center"/>
              <w:rPr>
                <w:sz w:val="20"/>
                <w:szCs w:val="20"/>
              </w:rPr>
            </w:pPr>
            <w:r w:rsidRPr="0029110D">
              <w:rPr>
                <w:sz w:val="20"/>
                <w:szCs w:val="20"/>
              </w:rPr>
              <w:t>0,45</w:t>
            </w:r>
          </w:p>
        </w:tc>
        <w:tc>
          <w:tcPr>
            <w:tcW w:w="1063" w:type="dxa"/>
          </w:tcPr>
          <w:p w14:paraId="0DE46A05" w14:textId="77777777" w:rsidR="00CF1BE3" w:rsidRPr="0029110D" w:rsidRDefault="00CF1BE3" w:rsidP="00AB1FF1">
            <w:pPr>
              <w:jc w:val="center"/>
              <w:rPr>
                <w:sz w:val="20"/>
                <w:szCs w:val="20"/>
              </w:rPr>
            </w:pPr>
            <w:r w:rsidRPr="0029110D">
              <w:rPr>
                <w:sz w:val="20"/>
                <w:szCs w:val="20"/>
              </w:rPr>
              <w:t>1</w:t>
            </w:r>
          </w:p>
        </w:tc>
        <w:tc>
          <w:tcPr>
            <w:tcW w:w="1063" w:type="dxa"/>
          </w:tcPr>
          <w:p w14:paraId="0EC4070E" w14:textId="6DDB7781" w:rsidR="00CF1BE3" w:rsidRPr="0029110D" w:rsidRDefault="00CF1BE3" w:rsidP="00AB1FF1">
            <w:pPr>
              <w:jc w:val="center"/>
              <w:rPr>
                <w:sz w:val="20"/>
                <w:szCs w:val="20"/>
              </w:rPr>
            </w:pPr>
            <w:r w:rsidRPr="0029110D">
              <w:rPr>
                <w:sz w:val="20"/>
                <w:szCs w:val="20"/>
              </w:rPr>
              <w:t>138</w:t>
            </w:r>
          </w:p>
        </w:tc>
        <w:tc>
          <w:tcPr>
            <w:tcW w:w="1063" w:type="dxa"/>
          </w:tcPr>
          <w:p w14:paraId="114F5145" w14:textId="17848BB9" w:rsidR="00CF1BE3" w:rsidRPr="0029110D" w:rsidRDefault="00CF1BE3" w:rsidP="00AB1FF1">
            <w:pPr>
              <w:jc w:val="center"/>
              <w:rPr>
                <w:sz w:val="20"/>
                <w:szCs w:val="20"/>
              </w:rPr>
            </w:pPr>
            <w:r w:rsidRPr="0029110D">
              <w:rPr>
                <w:sz w:val="20"/>
                <w:szCs w:val="20"/>
              </w:rPr>
              <w:t>131</w:t>
            </w:r>
          </w:p>
        </w:tc>
        <w:tc>
          <w:tcPr>
            <w:tcW w:w="1064" w:type="dxa"/>
          </w:tcPr>
          <w:p w14:paraId="2AED8BD9" w14:textId="77777777" w:rsidR="00CF1BE3" w:rsidRPr="0029110D" w:rsidRDefault="00CF1BE3" w:rsidP="00AB1FF1">
            <w:pPr>
              <w:jc w:val="center"/>
              <w:rPr>
                <w:sz w:val="20"/>
                <w:szCs w:val="20"/>
              </w:rPr>
            </w:pPr>
            <w:r w:rsidRPr="0029110D">
              <w:rPr>
                <w:sz w:val="20"/>
                <w:szCs w:val="20"/>
              </w:rPr>
              <w:t>557</w:t>
            </w:r>
          </w:p>
        </w:tc>
        <w:tc>
          <w:tcPr>
            <w:tcW w:w="1064" w:type="dxa"/>
          </w:tcPr>
          <w:p w14:paraId="761ADE1E" w14:textId="52F0F56C" w:rsidR="00CF1BE3" w:rsidRPr="0029110D" w:rsidRDefault="00CF1BE3" w:rsidP="00AB1FF1">
            <w:pPr>
              <w:jc w:val="center"/>
              <w:rPr>
                <w:sz w:val="20"/>
                <w:szCs w:val="20"/>
              </w:rPr>
            </w:pPr>
            <w:r w:rsidRPr="0029110D">
              <w:rPr>
                <w:sz w:val="20"/>
                <w:szCs w:val="20"/>
              </w:rPr>
              <w:t>557</w:t>
            </w:r>
          </w:p>
        </w:tc>
        <w:tc>
          <w:tcPr>
            <w:tcW w:w="891" w:type="dxa"/>
          </w:tcPr>
          <w:p w14:paraId="7FC82060" w14:textId="3D9D8EBF" w:rsidR="00CF1BE3" w:rsidRPr="0029110D" w:rsidRDefault="00CF1BE3" w:rsidP="00AB1FF1">
            <w:pPr>
              <w:jc w:val="center"/>
              <w:rPr>
                <w:sz w:val="20"/>
                <w:szCs w:val="20"/>
              </w:rPr>
            </w:pPr>
            <w:r w:rsidRPr="0029110D">
              <w:rPr>
                <w:sz w:val="20"/>
                <w:szCs w:val="20"/>
              </w:rPr>
              <w:t>1</w:t>
            </w:r>
            <w:r w:rsidR="00EB77C9" w:rsidRPr="0029110D">
              <w:rPr>
                <w:sz w:val="20"/>
                <w:szCs w:val="20"/>
              </w:rPr>
              <w:t>,</w:t>
            </w:r>
            <w:r w:rsidRPr="0029110D">
              <w:rPr>
                <w:sz w:val="20"/>
                <w:szCs w:val="20"/>
              </w:rPr>
              <w:t>2</w:t>
            </w:r>
          </w:p>
        </w:tc>
        <w:tc>
          <w:tcPr>
            <w:tcW w:w="993" w:type="dxa"/>
          </w:tcPr>
          <w:p w14:paraId="3B8F1044" w14:textId="60D9CBE0" w:rsidR="00CF1BE3" w:rsidRPr="0029110D" w:rsidRDefault="00CF1BE3" w:rsidP="00AB1FF1">
            <w:pPr>
              <w:jc w:val="center"/>
              <w:rPr>
                <w:sz w:val="20"/>
                <w:szCs w:val="20"/>
              </w:rPr>
            </w:pPr>
            <w:r w:rsidRPr="0029110D">
              <w:rPr>
                <w:sz w:val="20"/>
                <w:szCs w:val="20"/>
              </w:rPr>
              <w:t>1</w:t>
            </w:r>
            <w:r w:rsidR="00EB77C9" w:rsidRPr="0029110D">
              <w:rPr>
                <w:sz w:val="20"/>
                <w:szCs w:val="20"/>
              </w:rPr>
              <w:t>,</w:t>
            </w:r>
            <w:r w:rsidRPr="0029110D">
              <w:rPr>
                <w:sz w:val="20"/>
                <w:szCs w:val="20"/>
              </w:rPr>
              <w:t>2</w:t>
            </w:r>
          </w:p>
        </w:tc>
      </w:tr>
      <w:tr w:rsidR="00CF1BE3" w:rsidRPr="0029110D" w14:paraId="14588DAF" w14:textId="77777777" w:rsidTr="00AB1FF1">
        <w:trPr>
          <w:trHeight w:val="20"/>
        </w:trPr>
        <w:tc>
          <w:tcPr>
            <w:tcW w:w="1065" w:type="dxa"/>
            <w:vMerge/>
          </w:tcPr>
          <w:p w14:paraId="2EBB6835" w14:textId="77777777" w:rsidR="00CF1BE3" w:rsidRPr="0029110D" w:rsidRDefault="00CF1BE3" w:rsidP="00511EB4">
            <w:pPr>
              <w:rPr>
                <w:sz w:val="20"/>
                <w:szCs w:val="20"/>
              </w:rPr>
            </w:pPr>
          </w:p>
        </w:tc>
        <w:tc>
          <w:tcPr>
            <w:tcW w:w="1063" w:type="dxa"/>
            <w:vMerge/>
          </w:tcPr>
          <w:p w14:paraId="669978B7" w14:textId="77777777" w:rsidR="00CF1BE3" w:rsidRPr="0029110D" w:rsidRDefault="00CF1BE3" w:rsidP="00AB1FF1">
            <w:pPr>
              <w:jc w:val="center"/>
              <w:rPr>
                <w:sz w:val="20"/>
                <w:szCs w:val="20"/>
              </w:rPr>
            </w:pPr>
          </w:p>
        </w:tc>
        <w:tc>
          <w:tcPr>
            <w:tcW w:w="1063" w:type="dxa"/>
          </w:tcPr>
          <w:p w14:paraId="28B8FEEA" w14:textId="77777777" w:rsidR="00CF1BE3" w:rsidRPr="0029110D" w:rsidRDefault="00CF1BE3" w:rsidP="00AB1FF1">
            <w:pPr>
              <w:jc w:val="center"/>
              <w:rPr>
                <w:sz w:val="20"/>
                <w:szCs w:val="20"/>
              </w:rPr>
            </w:pPr>
            <w:r w:rsidRPr="0029110D">
              <w:rPr>
                <w:sz w:val="20"/>
                <w:szCs w:val="20"/>
              </w:rPr>
              <w:t>27</w:t>
            </w:r>
          </w:p>
        </w:tc>
        <w:tc>
          <w:tcPr>
            <w:tcW w:w="1063" w:type="dxa"/>
          </w:tcPr>
          <w:p w14:paraId="5C182934" w14:textId="77777777" w:rsidR="00CF1BE3" w:rsidRPr="0029110D" w:rsidRDefault="00CF1BE3" w:rsidP="00AB1FF1">
            <w:pPr>
              <w:jc w:val="center"/>
              <w:rPr>
                <w:sz w:val="20"/>
                <w:szCs w:val="20"/>
              </w:rPr>
            </w:pPr>
            <w:r w:rsidRPr="0029110D">
              <w:rPr>
                <w:sz w:val="20"/>
                <w:szCs w:val="20"/>
              </w:rPr>
              <w:t>118</w:t>
            </w:r>
          </w:p>
        </w:tc>
        <w:tc>
          <w:tcPr>
            <w:tcW w:w="1063" w:type="dxa"/>
          </w:tcPr>
          <w:p w14:paraId="25F193B2" w14:textId="4F004861" w:rsidR="00CF1BE3" w:rsidRPr="0029110D" w:rsidRDefault="00CF1BE3" w:rsidP="00AB1FF1">
            <w:pPr>
              <w:jc w:val="center"/>
              <w:rPr>
                <w:sz w:val="20"/>
                <w:szCs w:val="20"/>
              </w:rPr>
            </w:pPr>
            <w:r w:rsidRPr="0029110D">
              <w:rPr>
                <w:sz w:val="20"/>
                <w:szCs w:val="20"/>
              </w:rPr>
              <w:t>131</w:t>
            </w:r>
          </w:p>
        </w:tc>
        <w:tc>
          <w:tcPr>
            <w:tcW w:w="1064" w:type="dxa"/>
          </w:tcPr>
          <w:p w14:paraId="3FBBEB68" w14:textId="77777777" w:rsidR="00CF1BE3" w:rsidRPr="0029110D" w:rsidRDefault="00CF1BE3" w:rsidP="00AB1FF1">
            <w:pPr>
              <w:jc w:val="center"/>
              <w:rPr>
                <w:sz w:val="20"/>
                <w:szCs w:val="20"/>
              </w:rPr>
            </w:pPr>
            <w:r w:rsidRPr="0029110D">
              <w:rPr>
                <w:sz w:val="20"/>
                <w:szCs w:val="20"/>
              </w:rPr>
              <w:t>542</w:t>
            </w:r>
          </w:p>
        </w:tc>
        <w:tc>
          <w:tcPr>
            <w:tcW w:w="1064" w:type="dxa"/>
          </w:tcPr>
          <w:p w14:paraId="2742C328" w14:textId="77777777" w:rsidR="00CF1BE3" w:rsidRPr="0029110D" w:rsidRDefault="00CF1BE3" w:rsidP="00AB1FF1">
            <w:pPr>
              <w:jc w:val="center"/>
              <w:rPr>
                <w:sz w:val="20"/>
                <w:szCs w:val="20"/>
              </w:rPr>
            </w:pPr>
            <w:r w:rsidRPr="0029110D">
              <w:rPr>
                <w:sz w:val="20"/>
                <w:szCs w:val="20"/>
              </w:rPr>
              <w:t>553</w:t>
            </w:r>
          </w:p>
        </w:tc>
        <w:tc>
          <w:tcPr>
            <w:tcW w:w="891" w:type="dxa"/>
          </w:tcPr>
          <w:p w14:paraId="4745AF38" w14:textId="14BD21F0" w:rsidR="00CF1BE3" w:rsidRPr="0029110D" w:rsidRDefault="00CF1BE3" w:rsidP="00AB1FF1">
            <w:pPr>
              <w:jc w:val="center"/>
              <w:rPr>
                <w:sz w:val="20"/>
                <w:szCs w:val="20"/>
              </w:rPr>
            </w:pPr>
            <w:r w:rsidRPr="0029110D">
              <w:rPr>
                <w:sz w:val="20"/>
                <w:szCs w:val="20"/>
              </w:rPr>
              <w:t>1</w:t>
            </w:r>
            <w:r w:rsidR="00EB77C9" w:rsidRPr="0029110D">
              <w:rPr>
                <w:sz w:val="20"/>
                <w:szCs w:val="20"/>
              </w:rPr>
              <w:t>,</w:t>
            </w:r>
            <w:r w:rsidRPr="0029110D">
              <w:rPr>
                <w:sz w:val="20"/>
                <w:szCs w:val="20"/>
              </w:rPr>
              <w:t>1</w:t>
            </w:r>
          </w:p>
        </w:tc>
        <w:tc>
          <w:tcPr>
            <w:tcW w:w="993" w:type="dxa"/>
          </w:tcPr>
          <w:p w14:paraId="575FE171" w14:textId="12680B60" w:rsidR="00CF1BE3" w:rsidRPr="0029110D" w:rsidRDefault="00CF1BE3" w:rsidP="00AB1FF1">
            <w:pPr>
              <w:jc w:val="center"/>
              <w:rPr>
                <w:sz w:val="20"/>
                <w:szCs w:val="20"/>
              </w:rPr>
            </w:pPr>
            <w:r w:rsidRPr="0029110D">
              <w:rPr>
                <w:sz w:val="20"/>
                <w:szCs w:val="20"/>
              </w:rPr>
              <w:t>1</w:t>
            </w:r>
            <w:r w:rsidR="00EB77C9" w:rsidRPr="0029110D">
              <w:rPr>
                <w:sz w:val="20"/>
                <w:szCs w:val="20"/>
              </w:rPr>
              <w:t>,</w:t>
            </w:r>
            <w:r w:rsidRPr="0029110D">
              <w:rPr>
                <w:sz w:val="20"/>
                <w:szCs w:val="20"/>
              </w:rPr>
              <w:t>2</w:t>
            </w:r>
          </w:p>
        </w:tc>
      </w:tr>
      <w:tr w:rsidR="00CF1BE3" w:rsidRPr="0029110D" w14:paraId="2445CA25" w14:textId="77777777" w:rsidTr="00AB1FF1">
        <w:trPr>
          <w:trHeight w:val="20"/>
        </w:trPr>
        <w:tc>
          <w:tcPr>
            <w:tcW w:w="1065" w:type="dxa"/>
            <w:vMerge/>
          </w:tcPr>
          <w:p w14:paraId="2440400D" w14:textId="77777777" w:rsidR="00CF1BE3" w:rsidRPr="0029110D" w:rsidRDefault="00CF1BE3" w:rsidP="00511EB4">
            <w:pPr>
              <w:rPr>
                <w:sz w:val="20"/>
                <w:szCs w:val="20"/>
              </w:rPr>
            </w:pPr>
          </w:p>
        </w:tc>
        <w:tc>
          <w:tcPr>
            <w:tcW w:w="1063" w:type="dxa"/>
            <w:vMerge w:val="restart"/>
          </w:tcPr>
          <w:p w14:paraId="4FE60585" w14:textId="77777777" w:rsidR="00CF1BE3" w:rsidRPr="0029110D" w:rsidRDefault="00CF1BE3" w:rsidP="00AB1FF1">
            <w:pPr>
              <w:jc w:val="center"/>
              <w:rPr>
                <w:sz w:val="20"/>
                <w:szCs w:val="20"/>
              </w:rPr>
            </w:pPr>
            <w:r w:rsidRPr="0029110D">
              <w:rPr>
                <w:sz w:val="20"/>
                <w:szCs w:val="20"/>
              </w:rPr>
              <w:t>3</w:t>
            </w:r>
          </w:p>
        </w:tc>
        <w:tc>
          <w:tcPr>
            <w:tcW w:w="1063" w:type="dxa"/>
          </w:tcPr>
          <w:p w14:paraId="466E8E24" w14:textId="77777777" w:rsidR="00CF1BE3" w:rsidRPr="0029110D" w:rsidRDefault="00CF1BE3" w:rsidP="00AB1FF1">
            <w:pPr>
              <w:jc w:val="center"/>
              <w:rPr>
                <w:sz w:val="20"/>
                <w:szCs w:val="20"/>
              </w:rPr>
            </w:pPr>
            <w:r w:rsidRPr="0029110D">
              <w:rPr>
                <w:sz w:val="20"/>
                <w:szCs w:val="20"/>
              </w:rPr>
              <w:t>1</w:t>
            </w:r>
          </w:p>
        </w:tc>
        <w:tc>
          <w:tcPr>
            <w:tcW w:w="1063" w:type="dxa"/>
          </w:tcPr>
          <w:p w14:paraId="1A4FD837" w14:textId="58E58B0A" w:rsidR="00CF1BE3" w:rsidRPr="0029110D" w:rsidRDefault="00CF1BE3" w:rsidP="00AB1FF1">
            <w:pPr>
              <w:jc w:val="center"/>
              <w:rPr>
                <w:sz w:val="20"/>
                <w:szCs w:val="20"/>
              </w:rPr>
            </w:pPr>
            <w:r w:rsidRPr="0029110D">
              <w:rPr>
                <w:sz w:val="20"/>
                <w:szCs w:val="20"/>
              </w:rPr>
              <w:t>1010</w:t>
            </w:r>
          </w:p>
        </w:tc>
        <w:tc>
          <w:tcPr>
            <w:tcW w:w="1063" w:type="dxa"/>
          </w:tcPr>
          <w:p w14:paraId="0426875B" w14:textId="7913E009" w:rsidR="00CF1BE3" w:rsidRPr="0029110D" w:rsidRDefault="00CF1BE3" w:rsidP="00AB1FF1">
            <w:pPr>
              <w:jc w:val="center"/>
              <w:rPr>
                <w:sz w:val="20"/>
                <w:szCs w:val="20"/>
              </w:rPr>
            </w:pPr>
            <w:r w:rsidRPr="0029110D">
              <w:rPr>
                <w:sz w:val="20"/>
                <w:szCs w:val="20"/>
              </w:rPr>
              <w:t>1029</w:t>
            </w:r>
          </w:p>
        </w:tc>
        <w:tc>
          <w:tcPr>
            <w:tcW w:w="1064" w:type="dxa"/>
          </w:tcPr>
          <w:p w14:paraId="55236B93" w14:textId="0A86BE92" w:rsidR="00CF1BE3" w:rsidRPr="0029110D" w:rsidRDefault="00CF1BE3" w:rsidP="00AB1FF1">
            <w:pPr>
              <w:jc w:val="center"/>
              <w:rPr>
                <w:sz w:val="20"/>
                <w:szCs w:val="20"/>
              </w:rPr>
            </w:pPr>
            <w:r w:rsidRPr="0029110D">
              <w:rPr>
                <w:sz w:val="20"/>
                <w:szCs w:val="20"/>
              </w:rPr>
              <w:t>4606</w:t>
            </w:r>
          </w:p>
        </w:tc>
        <w:tc>
          <w:tcPr>
            <w:tcW w:w="1064" w:type="dxa"/>
          </w:tcPr>
          <w:p w14:paraId="4AE2C51D" w14:textId="6E499FE8" w:rsidR="00CF1BE3" w:rsidRPr="0029110D" w:rsidRDefault="00CF1BE3" w:rsidP="00AB1FF1">
            <w:pPr>
              <w:jc w:val="center"/>
              <w:rPr>
                <w:sz w:val="20"/>
                <w:szCs w:val="20"/>
              </w:rPr>
            </w:pPr>
            <w:r w:rsidRPr="0029110D">
              <w:rPr>
                <w:sz w:val="20"/>
                <w:szCs w:val="20"/>
              </w:rPr>
              <w:t>5014</w:t>
            </w:r>
          </w:p>
        </w:tc>
        <w:tc>
          <w:tcPr>
            <w:tcW w:w="891" w:type="dxa"/>
          </w:tcPr>
          <w:p w14:paraId="78B0B3C9" w14:textId="3C891700" w:rsidR="00CF1BE3" w:rsidRPr="0029110D" w:rsidRDefault="00CF1BE3" w:rsidP="00AB1FF1">
            <w:pPr>
              <w:jc w:val="center"/>
              <w:rPr>
                <w:sz w:val="20"/>
                <w:szCs w:val="20"/>
              </w:rPr>
            </w:pPr>
            <w:r w:rsidRPr="0029110D">
              <w:rPr>
                <w:sz w:val="20"/>
                <w:szCs w:val="20"/>
              </w:rPr>
              <w:t>9</w:t>
            </w:r>
            <w:r w:rsidR="00EB77C9" w:rsidRPr="0029110D">
              <w:rPr>
                <w:sz w:val="20"/>
                <w:szCs w:val="20"/>
              </w:rPr>
              <w:t>,</w:t>
            </w:r>
            <w:r w:rsidRPr="0029110D">
              <w:rPr>
                <w:sz w:val="20"/>
                <w:szCs w:val="20"/>
              </w:rPr>
              <w:t>6</w:t>
            </w:r>
          </w:p>
        </w:tc>
        <w:tc>
          <w:tcPr>
            <w:tcW w:w="993" w:type="dxa"/>
          </w:tcPr>
          <w:p w14:paraId="2DEE2673" w14:textId="24FC1ACB" w:rsidR="00CF1BE3" w:rsidRPr="0029110D" w:rsidRDefault="00CF1BE3" w:rsidP="00AB1FF1">
            <w:pPr>
              <w:jc w:val="center"/>
              <w:rPr>
                <w:sz w:val="20"/>
                <w:szCs w:val="20"/>
              </w:rPr>
            </w:pPr>
            <w:r w:rsidRPr="0029110D">
              <w:rPr>
                <w:sz w:val="20"/>
                <w:szCs w:val="20"/>
              </w:rPr>
              <w:t>10</w:t>
            </w:r>
          </w:p>
        </w:tc>
      </w:tr>
      <w:tr w:rsidR="00CF1BE3" w:rsidRPr="0029110D" w14:paraId="1F46BAC2" w14:textId="77777777" w:rsidTr="00AB1FF1">
        <w:trPr>
          <w:trHeight w:val="20"/>
        </w:trPr>
        <w:tc>
          <w:tcPr>
            <w:tcW w:w="1065" w:type="dxa"/>
            <w:vMerge/>
          </w:tcPr>
          <w:p w14:paraId="2468A20B" w14:textId="77777777" w:rsidR="00CF1BE3" w:rsidRPr="0029110D" w:rsidRDefault="00CF1BE3" w:rsidP="00511EB4">
            <w:pPr>
              <w:rPr>
                <w:sz w:val="20"/>
                <w:szCs w:val="20"/>
              </w:rPr>
            </w:pPr>
          </w:p>
        </w:tc>
        <w:tc>
          <w:tcPr>
            <w:tcW w:w="1063" w:type="dxa"/>
            <w:vMerge/>
          </w:tcPr>
          <w:p w14:paraId="5D1D471A" w14:textId="77777777" w:rsidR="00CF1BE3" w:rsidRPr="0029110D" w:rsidRDefault="00CF1BE3" w:rsidP="00AB1FF1">
            <w:pPr>
              <w:jc w:val="center"/>
              <w:rPr>
                <w:sz w:val="20"/>
                <w:szCs w:val="20"/>
              </w:rPr>
            </w:pPr>
          </w:p>
        </w:tc>
        <w:tc>
          <w:tcPr>
            <w:tcW w:w="1063" w:type="dxa"/>
          </w:tcPr>
          <w:p w14:paraId="473D98BF" w14:textId="77777777" w:rsidR="00CF1BE3" w:rsidRPr="0029110D" w:rsidRDefault="00CF1BE3" w:rsidP="00AB1FF1">
            <w:pPr>
              <w:jc w:val="center"/>
              <w:rPr>
                <w:sz w:val="20"/>
                <w:szCs w:val="20"/>
              </w:rPr>
            </w:pPr>
            <w:r w:rsidRPr="0029110D">
              <w:rPr>
                <w:sz w:val="20"/>
                <w:szCs w:val="20"/>
              </w:rPr>
              <w:t>27</w:t>
            </w:r>
          </w:p>
        </w:tc>
        <w:tc>
          <w:tcPr>
            <w:tcW w:w="1063" w:type="dxa"/>
          </w:tcPr>
          <w:p w14:paraId="2119AB3C" w14:textId="77777777" w:rsidR="00CF1BE3" w:rsidRPr="0029110D" w:rsidRDefault="00CF1BE3" w:rsidP="00AB1FF1">
            <w:pPr>
              <w:jc w:val="center"/>
              <w:rPr>
                <w:sz w:val="20"/>
                <w:szCs w:val="20"/>
              </w:rPr>
            </w:pPr>
            <w:r w:rsidRPr="0029110D">
              <w:rPr>
                <w:sz w:val="20"/>
                <w:szCs w:val="20"/>
              </w:rPr>
              <w:t>858</w:t>
            </w:r>
          </w:p>
        </w:tc>
        <w:tc>
          <w:tcPr>
            <w:tcW w:w="1063" w:type="dxa"/>
          </w:tcPr>
          <w:p w14:paraId="70CADA16" w14:textId="77777777" w:rsidR="00CF1BE3" w:rsidRPr="0029110D" w:rsidRDefault="00CF1BE3" w:rsidP="00AB1FF1">
            <w:pPr>
              <w:jc w:val="center"/>
              <w:rPr>
                <w:sz w:val="20"/>
                <w:szCs w:val="20"/>
              </w:rPr>
            </w:pPr>
            <w:r w:rsidRPr="0029110D">
              <w:rPr>
                <w:sz w:val="20"/>
                <w:szCs w:val="20"/>
              </w:rPr>
              <w:t>947</w:t>
            </w:r>
          </w:p>
        </w:tc>
        <w:tc>
          <w:tcPr>
            <w:tcW w:w="1064" w:type="dxa"/>
          </w:tcPr>
          <w:p w14:paraId="311D6E29" w14:textId="77777777" w:rsidR="00CF1BE3" w:rsidRPr="0029110D" w:rsidRDefault="00CF1BE3" w:rsidP="00AB1FF1">
            <w:pPr>
              <w:jc w:val="center"/>
              <w:rPr>
                <w:sz w:val="20"/>
                <w:szCs w:val="20"/>
              </w:rPr>
            </w:pPr>
            <w:r w:rsidRPr="0029110D">
              <w:rPr>
                <w:sz w:val="20"/>
                <w:szCs w:val="20"/>
              </w:rPr>
              <w:t>3974</w:t>
            </w:r>
          </w:p>
        </w:tc>
        <w:tc>
          <w:tcPr>
            <w:tcW w:w="1064" w:type="dxa"/>
          </w:tcPr>
          <w:p w14:paraId="5117F196" w14:textId="77777777" w:rsidR="00CF1BE3" w:rsidRPr="0029110D" w:rsidRDefault="00CF1BE3" w:rsidP="00AB1FF1">
            <w:pPr>
              <w:jc w:val="center"/>
              <w:rPr>
                <w:sz w:val="20"/>
                <w:szCs w:val="20"/>
              </w:rPr>
            </w:pPr>
            <w:r w:rsidRPr="0029110D">
              <w:rPr>
                <w:sz w:val="20"/>
                <w:szCs w:val="20"/>
              </w:rPr>
              <w:t>4754</w:t>
            </w:r>
          </w:p>
        </w:tc>
        <w:tc>
          <w:tcPr>
            <w:tcW w:w="891" w:type="dxa"/>
          </w:tcPr>
          <w:p w14:paraId="1E9BE767" w14:textId="72442C85" w:rsidR="00CF1BE3" w:rsidRPr="0029110D" w:rsidRDefault="00CF1BE3" w:rsidP="00AB1FF1">
            <w:pPr>
              <w:jc w:val="center"/>
              <w:rPr>
                <w:sz w:val="20"/>
                <w:szCs w:val="20"/>
              </w:rPr>
            </w:pPr>
            <w:r w:rsidRPr="0029110D">
              <w:rPr>
                <w:sz w:val="20"/>
                <w:szCs w:val="20"/>
              </w:rPr>
              <w:t>8</w:t>
            </w:r>
            <w:r w:rsidR="00EB77C9" w:rsidRPr="0029110D">
              <w:rPr>
                <w:sz w:val="20"/>
                <w:szCs w:val="20"/>
              </w:rPr>
              <w:t>,</w:t>
            </w:r>
            <w:r w:rsidRPr="0029110D">
              <w:rPr>
                <w:sz w:val="20"/>
                <w:szCs w:val="20"/>
              </w:rPr>
              <w:t>3</w:t>
            </w:r>
          </w:p>
        </w:tc>
        <w:tc>
          <w:tcPr>
            <w:tcW w:w="993" w:type="dxa"/>
          </w:tcPr>
          <w:p w14:paraId="5E092113" w14:textId="77777777" w:rsidR="00CF1BE3" w:rsidRPr="0029110D" w:rsidRDefault="00CF1BE3" w:rsidP="00AB1FF1">
            <w:pPr>
              <w:jc w:val="center"/>
              <w:rPr>
                <w:sz w:val="20"/>
                <w:szCs w:val="20"/>
              </w:rPr>
            </w:pPr>
            <w:r w:rsidRPr="0029110D">
              <w:rPr>
                <w:sz w:val="20"/>
                <w:szCs w:val="20"/>
              </w:rPr>
              <w:t>10</w:t>
            </w:r>
          </w:p>
        </w:tc>
      </w:tr>
      <w:tr w:rsidR="00CF1BE3" w:rsidRPr="0029110D" w14:paraId="76BED5AB" w14:textId="77777777" w:rsidTr="00AB1FF1">
        <w:trPr>
          <w:trHeight w:val="20"/>
        </w:trPr>
        <w:tc>
          <w:tcPr>
            <w:tcW w:w="1065" w:type="dxa"/>
            <w:vMerge/>
          </w:tcPr>
          <w:p w14:paraId="77776AAE" w14:textId="77777777" w:rsidR="00CF1BE3" w:rsidRPr="0029110D" w:rsidRDefault="00CF1BE3" w:rsidP="00511EB4">
            <w:pPr>
              <w:rPr>
                <w:sz w:val="20"/>
                <w:szCs w:val="20"/>
              </w:rPr>
            </w:pPr>
          </w:p>
        </w:tc>
        <w:tc>
          <w:tcPr>
            <w:tcW w:w="1063" w:type="dxa"/>
            <w:vMerge w:val="restart"/>
          </w:tcPr>
          <w:p w14:paraId="3B449CFB" w14:textId="77777777" w:rsidR="00CF1BE3" w:rsidRPr="0029110D" w:rsidRDefault="00CF1BE3" w:rsidP="00AB1FF1">
            <w:pPr>
              <w:jc w:val="center"/>
              <w:rPr>
                <w:sz w:val="20"/>
                <w:szCs w:val="20"/>
              </w:rPr>
            </w:pPr>
            <w:r w:rsidRPr="0029110D">
              <w:rPr>
                <w:sz w:val="20"/>
                <w:szCs w:val="20"/>
              </w:rPr>
              <w:t>0,25</w:t>
            </w:r>
          </w:p>
        </w:tc>
        <w:tc>
          <w:tcPr>
            <w:tcW w:w="1063" w:type="dxa"/>
          </w:tcPr>
          <w:p w14:paraId="5247281E" w14:textId="77777777" w:rsidR="00CF1BE3" w:rsidRPr="0029110D" w:rsidRDefault="00CF1BE3" w:rsidP="00AB1FF1">
            <w:pPr>
              <w:jc w:val="center"/>
              <w:rPr>
                <w:sz w:val="20"/>
                <w:szCs w:val="20"/>
              </w:rPr>
            </w:pPr>
            <w:r w:rsidRPr="0029110D">
              <w:rPr>
                <w:sz w:val="20"/>
                <w:szCs w:val="20"/>
              </w:rPr>
              <w:t>1</w:t>
            </w:r>
          </w:p>
        </w:tc>
        <w:tc>
          <w:tcPr>
            <w:tcW w:w="1063" w:type="dxa"/>
          </w:tcPr>
          <w:p w14:paraId="0EDAE610" w14:textId="3C6CDC22" w:rsidR="00CF1BE3" w:rsidRPr="0029110D" w:rsidRDefault="00CF1BE3" w:rsidP="00AB1FF1">
            <w:pPr>
              <w:jc w:val="center"/>
              <w:rPr>
                <w:sz w:val="20"/>
                <w:szCs w:val="20"/>
              </w:rPr>
            </w:pPr>
            <w:r w:rsidRPr="0029110D">
              <w:rPr>
                <w:sz w:val="20"/>
                <w:szCs w:val="20"/>
              </w:rPr>
              <w:t>76</w:t>
            </w:r>
            <w:r w:rsidR="00EB77C9" w:rsidRPr="0029110D">
              <w:rPr>
                <w:sz w:val="20"/>
                <w:szCs w:val="20"/>
              </w:rPr>
              <w:t>,</w:t>
            </w:r>
            <w:r w:rsidRPr="0029110D">
              <w:rPr>
                <w:sz w:val="20"/>
                <w:szCs w:val="20"/>
              </w:rPr>
              <w:t>1</w:t>
            </w:r>
          </w:p>
        </w:tc>
        <w:tc>
          <w:tcPr>
            <w:tcW w:w="1063" w:type="dxa"/>
          </w:tcPr>
          <w:p w14:paraId="7EB89B25" w14:textId="3745DAE5" w:rsidR="00CF1BE3" w:rsidRPr="0029110D" w:rsidRDefault="00CF1BE3" w:rsidP="00AB1FF1">
            <w:pPr>
              <w:jc w:val="center"/>
              <w:rPr>
                <w:sz w:val="20"/>
                <w:szCs w:val="20"/>
              </w:rPr>
            </w:pPr>
            <w:r w:rsidRPr="0029110D">
              <w:rPr>
                <w:sz w:val="20"/>
                <w:szCs w:val="20"/>
              </w:rPr>
              <w:t>70</w:t>
            </w:r>
            <w:r w:rsidR="00EB77C9" w:rsidRPr="0029110D">
              <w:rPr>
                <w:sz w:val="20"/>
                <w:szCs w:val="20"/>
              </w:rPr>
              <w:t>,</w:t>
            </w:r>
            <w:r w:rsidRPr="0029110D">
              <w:rPr>
                <w:sz w:val="20"/>
                <w:szCs w:val="20"/>
              </w:rPr>
              <w:t>9</w:t>
            </w:r>
          </w:p>
        </w:tc>
        <w:tc>
          <w:tcPr>
            <w:tcW w:w="1064" w:type="dxa"/>
          </w:tcPr>
          <w:p w14:paraId="0B24E882" w14:textId="720C62F3" w:rsidR="00CF1BE3" w:rsidRPr="0029110D" w:rsidRDefault="00CF1BE3" w:rsidP="00AB1FF1">
            <w:pPr>
              <w:jc w:val="center"/>
              <w:rPr>
                <w:sz w:val="20"/>
                <w:szCs w:val="20"/>
              </w:rPr>
            </w:pPr>
            <w:r w:rsidRPr="0029110D">
              <w:rPr>
                <w:sz w:val="20"/>
                <w:szCs w:val="20"/>
              </w:rPr>
              <w:t>333</w:t>
            </w:r>
          </w:p>
        </w:tc>
        <w:tc>
          <w:tcPr>
            <w:tcW w:w="1064" w:type="dxa"/>
          </w:tcPr>
          <w:p w14:paraId="21F885B1" w14:textId="603CF8F0" w:rsidR="00CF1BE3" w:rsidRPr="0029110D" w:rsidRDefault="00CF1BE3" w:rsidP="00AB1FF1">
            <w:pPr>
              <w:jc w:val="center"/>
              <w:rPr>
                <w:sz w:val="20"/>
                <w:szCs w:val="20"/>
              </w:rPr>
            </w:pPr>
            <w:r w:rsidRPr="0029110D">
              <w:rPr>
                <w:sz w:val="20"/>
                <w:szCs w:val="20"/>
              </w:rPr>
              <w:t>349</w:t>
            </w:r>
          </w:p>
        </w:tc>
        <w:tc>
          <w:tcPr>
            <w:tcW w:w="891" w:type="dxa"/>
          </w:tcPr>
          <w:p w14:paraId="562D8F32" w14:textId="0DEB552B"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7</w:t>
            </w:r>
          </w:p>
        </w:tc>
        <w:tc>
          <w:tcPr>
            <w:tcW w:w="993" w:type="dxa"/>
          </w:tcPr>
          <w:p w14:paraId="2CDB5E56" w14:textId="182EFB29"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7</w:t>
            </w:r>
          </w:p>
        </w:tc>
      </w:tr>
      <w:tr w:rsidR="00CF1BE3" w:rsidRPr="0029110D" w14:paraId="49690726" w14:textId="77777777" w:rsidTr="00AB1FF1">
        <w:trPr>
          <w:trHeight w:val="20"/>
        </w:trPr>
        <w:tc>
          <w:tcPr>
            <w:tcW w:w="1065" w:type="dxa"/>
            <w:vMerge/>
          </w:tcPr>
          <w:p w14:paraId="1217E574" w14:textId="77777777" w:rsidR="00CF1BE3" w:rsidRPr="0029110D" w:rsidRDefault="00CF1BE3" w:rsidP="00511EB4">
            <w:pPr>
              <w:rPr>
                <w:sz w:val="20"/>
                <w:szCs w:val="20"/>
              </w:rPr>
            </w:pPr>
          </w:p>
        </w:tc>
        <w:tc>
          <w:tcPr>
            <w:tcW w:w="1063" w:type="dxa"/>
            <w:vMerge/>
          </w:tcPr>
          <w:p w14:paraId="39CA4F02" w14:textId="77777777" w:rsidR="00CF1BE3" w:rsidRPr="0029110D" w:rsidRDefault="00CF1BE3" w:rsidP="00AB1FF1">
            <w:pPr>
              <w:jc w:val="center"/>
              <w:rPr>
                <w:sz w:val="20"/>
                <w:szCs w:val="20"/>
              </w:rPr>
            </w:pPr>
          </w:p>
        </w:tc>
        <w:tc>
          <w:tcPr>
            <w:tcW w:w="1063" w:type="dxa"/>
          </w:tcPr>
          <w:p w14:paraId="2145DE97" w14:textId="77777777" w:rsidR="00CF1BE3" w:rsidRPr="0029110D" w:rsidRDefault="00CF1BE3" w:rsidP="00AB1FF1">
            <w:pPr>
              <w:jc w:val="center"/>
              <w:rPr>
                <w:sz w:val="20"/>
                <w:szCs w:val="20"/>
              </w:rPr>
            </w:pPr>
            <w:r w:rsidRPr="0029110D">
              <w:rPr>
                <w:sz w:val="20"/>
                <w:szCs w:val="20"/>
              </w:rPr>
              <w:t>29</w:t>
            </w:r>
          </w:p>
        </w:tc>
        <w:tc>
          <w:tcPr>
            <w:tcW w:w="1063" w:type="dxa"/>
          </w:tcPr>
          <w:p w14:paraId="1078F8B0" w14:textId="5D6611A2" w:rsidR="00CF1BE3" w:rsidRPr="0029110D" w:rsidRDefault="00CF1BE3" w:rsidP="00AB1FF1">
            <w:pPr>
              <w:jc w:val="center"/>
              <w:rPr>
                <w:sz w:val="20"/>
                <w:szCs w:val="20"/>
              </w:rPr>
            </w:pPr>
            <w:r w:rsidRPr="0029110D">
              <w:rPr>
                <w:sz w:val="20"/>
                <w:szCs w:val="20"/>
              </w:rPr>
              <w:t>73</w:t>
            </w:r>
            <w:r w:rsidR="00EB77C9" w:rsidRPr="0029110D">
              <w:rPr>
                <w:sz w:val="20"/>
                <w:szCs w:val="20"/>
              </w:rPr>
              <w:t>,</w:t>
            </w:r>
            <w:r w:rsidRPr="0029110D">
              <w:rPr>
                <w:sz w:val="20"/>
                <w:szCs w:val="20"/>
              </w:rPr>
              <w:t>2</w:t>
            </w:r>
          </w:p>
        </w:tc>
        <w:tc>
          <w:tcPr>
            <w:tcW w:w="1063" w:type="dxa"/>
          </w:tcPr>
          <w:p w14:paraId="0BE92366" w14:textId="2FBF6778" w:rsidR="00CF1BE3" w:rsidRPr="0029110D" w:rsidRDefault="00CF1BE3" w:rsidP="00AB1FF1">
            <w:pPr>
              <w:jc w:val="center"/>
              <w:rPr>
                <w:sz w:val="20"/>
                <w:szCs w:val="20"/>
              </w:rPr>
            </w:pPr>
            <w:r w:rsidRPr="0029110D">
              <w:rPr>
                <w:sz w:val="20"/>
                <w:szCs w:val="20"/>
              </w:rPr>
              <w:t>83</w:t>
            </w:r>
            <w:r w:rsidR="00EB77C9" w:rsidRPr="0029110D">
              <w:rPr>
                <w:sz w:val="20"/>
                <w:szCs w:val="20"/>
              </w:rPr>
              <w:t>,</w:t>
            </w:r>
            <w:r w:rsidRPr="0029110D">
              <w:rPr>
                <w:sz w:val="20"/>
                <w:szCs w:val="20"/>
              </w:rPr>
              <w:t>2</w:t>
            </w:r>
          </w:p>
        </w:tc>
        <w:tc>
          <w:tcPr>
            <w:tcW w:w="1064" w:type="dxa"/>
          </w:tcPr>
          <w:p w14:paraId="09FFC105" w14:textId="04DA06A8" w:rsidR="00CF1BE3" w:rsidRPr="0029110D" w:rsidRDefault="00CF1BE3" w:rsidP="00AB1FF1">
            <w:pPr>
              <w:jc w:val="center"/>
              <w:rPr>
                <w:sz w:val="20"/>
                <w:szCs w:val="20"/>
              </w:rPr>
            </w:pPr>
            <w:r w:rsidRPr="0029110D">
              <w:rPr>
                <w:sz w:val="20"/>
                <w:szCs w:val="20"/>
              </w:rPr>
              <w:t>409</w:t>
            </w:r>
          </w:p>
        </w:tc>
        <w:tc>
          <w:tcPr>
            <w:tcW w:w="1064" w:type="dxa"/>
          </w:tcPr>
          <w:p w14:paraId="339CA2CD" w14:textId="3B3E1361" w:rsidR="00CF1BE3" w:rsidRPr="0029110D" w:rsidRDefault="00CF1BE3" w:rsidP="00AB1FF1">
            <w:pPr>
              <w:jc w:val="center"/>
              <w:rPr>
                <w:sz w:val="20"/>
                <w:szCs w:val="20"/>
              </w:rPr>
            </w:pPr>
            <w:r w:rsidRPr="0029110D">
              <w:rPr>
                <w:sz w:val="20"/>
                <w:szCs w:val="20"/>
              </w:rPr>
              <w:t>479</w:t>
            </w:r>
          </w:p>
        </w:tc>
        <w:tc>
          <w:tcPr>
            <w:tcW w:w="891" w:type="dxa"/>
          </w:tcPr>
          <w:p w14:paraId="1B1E5EFA" w14:textId="5CF1247C"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9</w:t>
            </w:r>
          </w:p>
        </w:tc>
        <w:tc>
          <w:tcPr>
            <w:tcW w:w="993" w:type="dxa"/>
          </w:tcPr>
          <w:p w14:paraId="772E61C0" w14:textId="2A11843C" w:rsidR="00CF1BE3" w:rsidRPr="0029110D" w:rsidRDefault="00CF1BE3" w:rsidP="00AB1FF1">
            <w:pPr>
              <w:jc w:val="center"/>
              <w:rPr>
                <w:sz w:val="20"/>
                <w:szCs w:val="20"/>
              </w:rPr>
            </w:pPr>
            <w:r w:rsidRPr="0029110D">
              <w:rPr>
                <w:sz w:val="20"/>
                <w:szCs w:val="20"/>
              </w:rPr>
              <w:t>1</w:t>
            </w:r>
            <w:r w:rsidR="00EB77C9" w:rsidRPr="0029110D">
              <w:rPr>
                <w:sz w:val="20"/>
                <w:szCs w:val="20"/>
              </w:rPr>
              <w:t>,</w:t>
            </w:r>
            <w:r w:rsidRPr="0029110D">
              <w:rPr>
                <w:sz w:val="20"/>
                <w:szCs w:val="20"/>
              </w:rPr>
              <w:t>0</w:t>
            </w:r>
          </w:p>
        </w:tc>
      </w:tr>
      <w:tr w:rsidR="00CF1BE3" w:rsidRPr="0029110D" w14:paraId="111B391B" w14:textId="77777777" w:rsidTr="00AB1FF1">
        <w:trPr>
          <w:trHeight w:val="20"/>
        </w:trPr>
        <w:tc>
          <w:tcPr>
            <w:tcW w:w="1065" w:type="dxa"/>
            <w:vMerge/>
          </w:tcPr>
          <w:p w14:paraId="5D441525" w14:textId="77777777" w:rsidR="00CF1BE3" w:rsidRPr="0029110D" w:rsidRDefault="00CF1BE3" w:rsidP="00511EB4">
            <w:pPr>
              <w:rPr>
                <w:sz w:val="20"/>
                <w:szCs w:val="20"/>
              </w:rPr>
            </w:pPr>
          </w:p>
        </w:tc>
        <w:tc>
          <w:tcPr>
            <w:tcW w:w="1063" w:type="dxa"/>
            <w:vMerge/>
          </w:tcPr>
          <w:p w14:paraId="17EC0C34" w14:textId="77777777" w:rsidR="00CF1BE3" w:rsidRPr="0029110D" w:rsidRDefault="00CF1BE3" w:rsidP="00AB1FF1">
            <w:pPr>
              <w:jc w:val="center"/>
              <w:rPr>
                <w:sz w:val="20"/>
                <w:szCs w:val="20"/>
              </w:rPr>
            </w:pPr>
          </w:p>
        </w:tc>
        <w:tc>
          <w:tcPr>
            <w:tcW w:w="1063" w:type="dxa"/>
          </w:tcPr>
          <w:p w14:paraId="559CDF9C" w14:textId="77777777" w:rsidR="00CF1BE3" w:rsidRPr="0029110D" w:rsidRDefault="00CF1BE3" w:rsidP="00AB1FF1">
            <w:pPr>
              <w:jc w:val="center"/>
              <w:rPr>
                <w:sz w:val="20"/>
                <w:szCs w:val="20"/>
              </w:rPr>
            </w:pPr>
            <w:r w:rsidRPr="0029110D">
              <w:rPr>
                <w:sz w:val="20"/>
                <w:szCs w:val="20"/>
              </w:rPr>
              <w:t>182</w:t>
            </w:r>
          </w:p>
        </w:tc>
        <w:tc>
          <w:tcPr>
            <w:tcW w:w="1063" w:type="dxa"/>
          </w:tcPr>
          <w:p w14:paraId="7E3B50C4" w14:textId="7D0ACDCE" w:rsidR="00CF1BE3" w:rsidRPr="0029110D" w:rsidRDefault="00CF1BE3" w:rsidP="00AB1FF1">
            <w:pPr>
              <w:jc w:val="center"/>
              <w:rPr>
                <w:sz w:val="20"/>
                <w:szCs w:val="20"/>
              </w:rPr>
            </w:pPr>
            <w:r w:rsidRPr="0029110D">
              <w:rPr>
                <w:sz w:val="20"/>
                <w:szCs w:val="20"/>
              </w:rPr>
              <w:t>72</w:t>
            </w:r>
            <w:r w:rsidR="00EB77C9" w:rsidRPr="0029110D">
              <w:rPr>
                <w:sz w:val="20"/>
                <w:szCs w:val="20"/>
              </w:rPr>
              <w:t>,</w:t>
            </w:r>
            <w:r w:rsidRPr="0029110D">
              <w:rPr>
                <w:sz w:val="20"/>
                <w:szCs w:val="20"/>
              </w:rPr>
              <w:t>8</w:t>
            </w:r>
          </w:p>
        </w:tc>
        <w:tc>
          <w:tcPr>
            <w:tcW w:w="1063" w:type="dxa"/>
          </w:tcPr>
          <w:p w14:paraId="44965B06" w14:textId="22865A23" w:rsidR="00CF1BE3" w:rsidRPr="0029110D" w:rsidRDefault="00CF1BE3" w:rsidP="00AB1FF1">
            <w:pPr>
              <w:jc w:val="center"/>
              <w:rPr>
                <w:sz w:val="20"/>
                <w:szCs w:val="20"/>
              </w:rPr>
            </w:pPr>
            <w:r w:rsidRPr="0029110D">
              <w:rPr>
                <w:sz w:val="20"/>
                <w:szCs w:val="20"/>
              </w:rPr>
              <w:t>79</w:t>
            </w:r>
            <w:r w:rsidR="00EB77C9" w:rsidRPr="0029110D">
              <w:rPr>
                <w:sz w:val="20"/>
                <w:szCs w:val="20"/>
              </w:rPr>
              <w:t>,</w:t>
            </w:r>
            <w:r w:rsidRPr="0029110D">
              <w:rPr>
                <w:sz w:val="20"/>
                <w:szCs w:val="20"/>
              </w:rPr>
              <w:t>1</w:t>
            </w:r>
          </w:p>
        </w:tc>
        <w:tc>
          <w:tcPr>
            <w:tcW w:w="1064" w:type="dxa"/>
          </w:tcPr>
          <w:p w14:paraId="572EDDB4" w14:textId="77777777" w:rsidR="00CF1BE3" w:rsidRPr="0029110D" w:rsidRDefault="00CF1BE3" w:rsidP="00AB1FF1">
            <w:pPr>
              <w:jc w:val="center"/>
              <w:rPr>
                <w:sz w:val="20"/>
                <w:szCs w:val="20"/>
              </w:rPr>
            </w:pPr>
            <w:r w:rsidRPr="0029110D">
              <w:rPr>
                <w:sz w:val="20"/>
                <w:szCs w:val="20"/>
              </w:rPr>
              <w:t>363</w:t>
            </w:r>
          </w:p>
        </w:tc>
        <w:tc>
          <w:tcPr>
            <w:tcW w:w="1064" w:type="dxa"/>
          </w:tcPr>
          <w:p w14:paraId="3BFC2B24" w14:textId="77777777" w:rsidR="00CF1BE3" w:rsidRPr="0029110D" w:rsidRDefault="00CF1BE3" w:rsidP="00AB1FF1">
            <w:pPr>
              <w:jc w:val="center"/>
              <w:rPr>
                <w:sz w:val="20"/>
                <w:szCs w:val="20"/>
              </w:rPr>
            </w:pPr>
            <w:r w:rsidRPr="0029110D">
              <w:rPr>
                <w:sz w:val="20"/>
                <w:szCs w:val="20"/>
              </w:rPr>
              <w:t>401</w:t>
            </w:r>
          </w:p>
        </w:tc>
        <w:tc>
          <w:tcPr>
            <w:tcW w:w="891" w:type="dxa"/>
          </w:tcPr>
          <w:p w14:paraId="540FDB5E" w14:textId="173CC5C3"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8</w:t>
            </w:r>
          </w:p>
        </w:tc>
        <w:tc>
          <w:tcPr>
            <w:tcW w:w="993" w:type="dxa"/>
          </w:tcPr>
          <w:p w14:paraId="7F5F9670" w14:textId="117B838A"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8</w:t>
            </w:r>
          </w:p>
        </w:tc>
      </w:tr>
      <w:tr w:rsidR="00CF1BE3" w:rsidRPr="0029110D" w14:paraId="4A865DDA" w14:textId="77777777" w:rsidTr="00AB1FF1">
        <w:trPr>
          <w:trHeight w:val="20"/>
        </w:trPr>
        <w:tc>
          <w:tcPr>
            <w:tcW w:w="1065" w:type="dxa"/>
            <w:vMerge/>
          </w:tcPr>
          <w:p w14:paraId="5C6A825F" w14:textId="77777777" w:rsidR="00CF1BE3" w:rsidRPr="0029110D" w:rsidRDefault="00CF1BE3" w:rsidP="00511EB4">
            <w:pPr>
              <w:rPr>
                <w:sz w:val="20"/>
                <w:szCs w:val="20"/>
              </w:rPr>
            </w:pPr>
          </w:p>
        </w:tc>
        <w:tc>
          <w:tcPr>
            <w:tcW w:w="1063" w:type="dxa"/>
            <w:vMerge w:val="restart"/>
          </w:tcPr>
          <w:p w14:paraId="7D184DE0" w14:textId="77777777" w:rsidR="00CF1BE3" w:rsidRPr="0029110D" w:rsidRDefault="00CF1BE3" w:rsidP="00AB1FF1">
            <w:pPr>
              <w:jc w:val="center"/>
              <w:rPr>
                <w:sz w:val="20"/>
                <w:szCs w:val="20"/>
                <w:vertAlign w:val="superscript"/>
              </w:rPr>
            </w:pPr>
            <w:r w:rsidRPr="0029110D">
              <w:rPr>
                <w:sz w:val="20"/>
                <w:szCs w:val="20"/>
              </w:rPr>
              <w:t>1/0,75</w:t>
            </w:r>
            <w:r w:rsidRPr="0029110D">
              <w:rPr>
                <w:sz w:val="20"/>
                <w:szCs w:val="20"/>
                <w:vertAlign w:val="superscript"/>
                <w:lang w:val="en-US"/>
              </w:rPr>
              <w:t>b</w:t>
            </w:r>
          </w:p>
        </w:tc>
        <w:tc>
          <w:tcPr>
            <w:tcW w:w="1063" w:type="dxa"/>
          </w:tcPr>
          <w:p w14:paraId="287082A3" w14:textId="77777777" w:rsidR="00CF1BE3" w:rsidRPr="0029110D" w:rsidRDefault="00CF1BE3" w:rsidP="00AB1FF1">
            <w:pPr>
              <w:jc w:val="center"/>
              <w:rPr>
                <w:sz w:val="20"/>
                <w:szCs w:val="20"/>
                <w:lang w:val="en-US"/>
              </w:rPr>
            </w:pPr>
            <w:r w:rsidRPr="0029110D">
              <w:rPr>
                <w:sz w:val="20"/>
                <w:szCs w:val="20"/>
              </w:rPr>
              <w:t>1</w:t>
            </w:r>
          </w:p>
        </w:tc>
        <w:tc>
          <w:tcPr>
            <w:tcW w:w="1063" w:type="dxa"/>
          </w:tcPr>
          <w:p w14:paraId="7F506F38" w14:textId="5D3F7151" w:rsidR="00CF1BE3" w:rsidRPr="0029110D" w:rsidRDefault="00CF1BE3" w:rsidP="00AB1FF1">
            <w:pPr>
              <w:jc w:val="center"/>
              <w:rPr>
                <w:sz w:val="20"/>
                <w:szCs w:val="20"/>
              </w:rPr>
            </w:pPr>
            <w:r w:rsidRPr="0029110D">
              <w:rPr>
                <w:sz w:val="20"/>
                <w:szCs w:val="20"/>
              </w:rPr>
              <w:t>369</w:t>
            </w:r>
          </w:p>
        </w:tc>
        <w:tc>
          <w:tcPr>
            <w:tcW w:w="1063" w:type="dxa"/>
          </w:tcPr>
          <w:p w14:paraId="4BC7A689" w14:textId="65EB23D0" w:rsidR="00CF1BE3" w:rsidRPr="0029110D" w:rsidRDefault="00CF1BE3" w:rsidP="00AB1FF1">
            <w:pPr>
              <w:jc w:val="center"/>
              <w:rPr>
                <w:sz w:val="20"/>
                <w:szCs w:val="20"/>
              </w:rPr>
            </w:pPr>
            <w:r w:rsidRPr="0029110D">
              <w:rPr>
                <w:sz w:val="20"/>
                <w:szCs w:val="20"/>
              </w:rPr>
              <w:t>320</w:t>
            </w:r>
          </w:p>
        </w:tc>
        <w:tc>
          <w:tcPr>
            <w:tcW w:w="1064" w:type="dxa"/>
          </w:tcPr>
          <w:p w14:paraId="454CC4E3" w14:textId="08C9D847" w:rsidR="00CF1BE3" w:rsidRPr="0029110D" w:rsidRDefault="00CF1BE3" w:rsidP="00AB1FF1">
            <w:pPr>
              <w:jc w:val="center"/>
              <w:rPr>
                <w:sz w:val="20"/>
                <w:szCs w:val="20"/>
              </w:rPr>
            </w:pPr>
            <w:r w:rsidRPr="0029110D">
              <w:rPr>
                <w:sz w:val="20"/>
                <w:szCs w:val="20"/>
              </w:rPr>
              <w:t>1574</w:t>
            </w:r>
          </w:p>
        </w:tc>
        <w:tc>
          <w:tcPr>
            <w:tcW w:w="1064" w:type="dxa"/>
          </w:tcPr>
          <w:p w14:paraId="2D2A209E" w14:textId="427ADCFB" w:rsidR="00CF1BE3" w:rsidRPr="0029110D" w:rsidRDefault="00CF1BE3" w:rsidP="00AB1FF1">
            <w:pPr>
              <w:jc w:val="center"/>
              <w:rPr>
                <w:sz w:val="20"/>
                <w:szCs w:val="20"/>
              </w:rPr>
            </w:pPr>
            <w:r w:rsidRPr="0029110D">
              <w:rPr>
                <w:sz w:val="20"/>
                <w:szCs w:val="20"/>
              </w:rPr>
              <w:t>1523</w:t>
            </w:r>
          </w:p>
        </w:tc>
        <w:tc>
          <w:tcPr>
            <w:tcW w:w="891" w:type="dxa"/>
          </w:tcPr>
          <w:p w14:paraId="4432134E" w14:textId="4A71F35D" w:rsidR="00CF1BE3" w:rsidRPr="0029110D" w:rsidRDefault="00CF1BE3" w:rsidP="00AB1FF1">
            <w:pPr>
              <w:jc w:val="center"/>
              <w:rPr>
                <w:sz w:val="20"/>
                <w:szCs w:val="20"/>
              </w:rPr>
            </w:pPr>
            <w:r w:rsidRPr="0029110D">
              <w:rPr>
                <w:sz w:val="20"/>
                <w:szCs w:val="20"/>
              </w:rPr>
              <w:t>3</w:t>
            </w:r>
            <w:r w:rsidR="00EB77C9" w:rsidRPr="0029110D">
              <w:rPr>
                <w:sz w:val="20"/>
                <w:szCs w:val="20"/>
              </w:rPr>
              <w:t>,</w:t>
            </w:r>
            <w:r w:rsidRPr="0029110D">
              <w:rPr>
                <w:sz w:val="20"/>
                <w:szCs w:val="20"/>
              </w:rPr>
              <w:t>3</w:t>
            </w:r>
          </w:p>
        </w:tc>
        <w:tc>
          <w:tcPr>
            <w:tcW w:w="993" w:type="dxa"/>
          </w:tcPr>
          <w:p w14:paraId="501B833B" w14:textId="10921366" w:rsidR="00CF1BE3" w:rsidRPr="0029110D" w:rsidRDefault="00CF1BE3" w:rsidP="00AB1FF1">
            <w:pPr>
              <w:jc w:val="center"/>
              <w:rPr>
                <w:sz w:val="20"/>
                <w:szCs w:val="20"/>
              </w:rPr>
            </w:pPr>
            <w:r w:rsidRPr="0029110D">
              <w:rPr>
                <w:sz w:val="20"/>
                <w:szCs w:val="20"/>
              </w:rPr>
              <w:t>3</w:t>
            </w:r>
            <w:r w:rsidR="00EB77C9" w:rsidRPr="0029110D">
              <w:rPr>
                <w:sz w:val="20"/>
                <w:szCs w:val="20"/>
              </w:rPr>
              <w:t>,</w:t>
            </w:r>
            <w:r w:rsidRPr="0029110D">
              <w:rPr>
                <w:sz w:val="20"/>
                <w:szCs w:val="20"/>
              </w:rPr>
              <w:t>2</w:t>
            </w:r>
          </w:p>
        </w:tc>
      </w:tr>
      <w:tr w:rsidR="00CF1BE3" w:rsidRPr="0029110D" w14:paraId="71A58350" w14:textId="77777777" w:rsidTr="00AB1FF1">
        <w:trPr>
          <w:trHeight w:val="20"/>
        </w:trPr>
        <w:tc>
          <w:tcPr>
            <w:tcW w:w="1065" w:type="dxa"/>
            <w:vMerge/>
          </w:tcPr>
          <w:p w14:paraId="1FCB51DC" w14:textId="77777777" w:rsidR="00CF1BE3" w:rsidRPr="0029110D" w:rsidRDefault="00CF1BE3" w:rsidP="00511EB4">
            <w:pPr>
              <w:rPr>
                <w:sz w:val="20"/>
                <w:szCs w:val="20"/>
              </w:rPr>
            </w:pPr>
          </w:p>
        </w:tc>
        <w:tc>
          <w:tcPr>
            <w:tcW w:w="1063" w:type="dxa"/>
            <w:vMerge/>
          </w:tcPr>
          <w:p w14:paraId="56101A58" w14:textId="77777777" w:rsidR="00CF1BE3" w:rsidRPr="0029110D" w:rsidRDefault="00CF1BE3" w:rsidP="00AB1FF1">
            <w:pPr>
              <w:jc w:val="center"/>
              <w:rPr>
                <w:sz w:val="20"/>
                <w:szCs w:val="20"/>
              </w:rPr>
            </w:pPr>
          </w:p>
        </w:tc>
        <w:tc>
          <w:tcPr>
            <w:tcW w:w="1063" w:type="dxa"/>
          </w:tcPr>
          <w:p w14:paraId="42CF8F5D" w14:textId="77777777" w:rsidR="00CF1BE3" w:rsidRPr="0029110D" w:rsidRDefault="00CF1BE3" w:rsidP="00AB1FF1">
            <w:pPr>
              <w:jc w:val="center"/>
              <w:rPr>
                <w:sz w:val="20"/>
                <w:szCs w:val="20"/>
                <w:lang w:val="en-US"/>
              </w:rPr>
            </w:pPr>
            <w:r w:rsidRPr="0029110D">
              <w:rPr>
                <w:sz w:val="20"/>
                <w:szCs w:val="20"/>
              </w:rPr>
              <w:t>29</w:t>
            </w:r>
          </w:p>
        </w:tc>
        <w:tc>
          <w:tcPr>
            <w:tcW w:w="1063" w:type="dxa"/>
          </w:tcPr>
          <w:p w14:paraId="2FBBC41E" w14:textId="01ED850F" w:rsidR="00CF1BE3" w:rsidRPr="0029110D" w:rsidRDefault="00CF1BE3" w:rsidP="00AB1FF1">
            <w:pPr>
              <w:jc w:val="center"/>
              <w:rPr>
                <w:sz w:val="20"/>
                <w:szCs w:val="20"/>
              </w:rPr>
            </w:pPr>
            <w:r w:rsidRPr="0029110D">
              <w:rPr>
                <w:sz w:val="20"/>
                <w:szCs w:val="20"/>
              </w:rPr>
              <w:t>276</w:t>
            </w:r>
          </w:p>
        </w:tc>
        <w:tc>
          <w:tcPr>
            <w:tcW w:w="1063" w:type="dxa"/>
          </w:tcPr>
          <w:p w14:paraId="515F8ADD" w14:textId="10163D8F" w:rsidR="00CF1BE3" w:rsidRPr="0029110D" w:rsidRDefault="00CF1BE3" w:rsidP="00AB1FF1">
            <w:pPr>
              <w:jc w:val="center"/>
              <w:rPr>
                <w:sz w:val="20"/>
                <w:szCs w:val="20"/>
              </w:rPr>
            </w:pPr>
            <w:r w:rsidRPr="0029110D">
              <w:rPr>
                <w:sz w:val="20"/>
                <w:szCs w:val="20"/>
              </w:rPr>
              <w:t>220</w:t>
            </w:r>
          </w:p>
        </w:tc>
        <w:tc>
          <w:tcPr>
            <w:tcW w:w="1064" w:type="dxa"/>
          </w:tcPr>
          <w:p w14:paraId="595F2390" w14:textId="404457C4" w:rsidR="00CF1BE3" w:rsidRPr="0029110D" w:rsidRDefault="00CF1BE3" w:rsidP="00AB1FF1">
            <w:pPr>
              <w:jc w:val="center"/>
              <w:rPr>
                <w:sz w:val="20"/>
                <w:szCs w:val="20"/>
              </w:rPr>
            </w:pPr>
            <w:r w:rsidRPr="0029110D">
              <w:rPr>
                <w:sz w:val="20"/>
                <w:szCs w:val="20"/>
              </w:rPr>
              <w:t>1389</w:t>
            </w:r>
          </w:p>
        </w:tc>
        <w:tc>
          <w:tcPr>
            <w:tcW w:w="1064" w:type="dxa"/>
          </w:tcPr>
          <w:p w14:paraId="31E43F01" w14:textId="18E7C941" w:rsidR="00CF1BE3" w:rsidRPr="0029110D" w:rsidRDefault="00CF1BE3" w:rsidP="00AB1FF1">
            <w:pPr>
              <w:jc w:val="center"/>
              <w:rPr>
                <w:sz w:val="20"/>
                <w:szCs w:val="20"/>
              </w:rPr>
            </w:pPr>
            <w:r w:rsidRPr="0029110D">
              <w:rPr>
                <w:sz w:val="20"/>
                <w:szCs w:val="20"/>
              </w:rPr>
              <w:t>1241</w:t>
            </w:r>
          </w:p>
        </w:tc>
        <w:tc>
          <w:tcPr>
            <w:tcW w:w="891" w:type="dxa"/>
          </w:tcPr>
          <w:p w14:paraId="1C51CE3A" w14:textId="4EFEF703" w:rsidR="00CF1BE3" w:rsidRPr="0029110D" w:rsidRDefault="00CF1BE3" w:rsidP="00AB1FF1">
            <w:pPr>
              <w:jc w:val="center"/>
              <w:rPr>
                <w:sz w:val="20"/>
                <w:szCs w:val="20"/>
              </w:rPr>
            </w:pPr>
            <w:r w:rsidRPr="0029110D">
              <w:rPr>
                <w:sz w:val="20"/>
                <w:szCs w:val="20"/>
              </w:rPr>
              <w:t>2</w:t>
            </w:r>
            <w:r w:rsidR="00EB77C9" w:rsidRPr="0029110D">
              <w:rPr>
                <w:sz w:val="20"/>
                <w:szCs w:val="20"/>
              </w:rPr>
              <w:t>,</w:t>
            </w:r>
            <w:r w:rsidRPr="0029110D">
              <w:rPr>
                <w:sz w:val="20"/>
                <w:szCs w:val="20"/>
              </w:rPr>
              <w:t>9</w:t>
            </w:r>
          </w:p>
        </w:tc>
        <w:tc>
          <w:tcPr>
            <w:tcW w:w="993" w:type="dxa"/>
          </w:tcPr>
          <w:p w14:paraId="096137C7" w14:textId="26570875" w:rsidR="00CF1BE3" w:rsidRPr="0029110D" w:rsidRDefault="00CF1BE3" w:rsidP="00AB1FF1">
            <w:pPr>
              <w:jc w:val="center"/>
              <w:rPr>
                <w:sz w:val="20"/>
                <w:szCs w:val="20"/>
              </w:rPr>
            </w:pPr>
            <w:r w:rsidRPr="0029110D">
              <w:rPr>
                <w:sz w:val="20"/>
                <w:szCs w:val="20"/>
              </w:rPr>
              <w:t>2</w:t>
            </w:r>
            <w:r w:rsidR="00EB77C9" w:rsidRPr="0029110D">
              <w:rPr>
                <w:sz w:val="20"/>
                <w:szCs w:val="20"/>
              </w:rPr>
              <w:t>,</w:t>
            </w:r>
            <w:r w:rsidRPr="0029110D">
              <w:rPr>
                <w:sz w:val="20"/>
                <w:szCs w:val="20"/>
              </w:rPr>
              <w:t>6</w:t>
            </w:r>
          </w:p>
        </w:tc>
      </w:tr>
      <w:tr w:rsidR="00CF1BE3" w:rsidRPr="0029110D" w14:paraId="48E003A9" w14:textId="77777777" w:rsidTr="00AB1FF1">
        <w:trPr>
          <w:trHeight w:val="20"/>
        </w:trPr>
        <w:tc>
          <w:tcPr>
            <w:tcW w:w="1065" w:type="dxa"/>
            <w:vMerge/>
          </w:tcPr>
          <w:p w14:paraId="75AB92D7" w14:textId="77777777" w:rsidR="00CF1BE3" w:rsidRPr="0029110D" w:rsidRDefault="00CF1BE3" w:rsidP="00511EB4">
            <w:pPr>
              <w:rPr>
                <w:sz w:val="20"/>
                <w:szCs w:val="20"/>
              </w:rPr>
            </w:pPr>
          </w:p>
        </w:tc>
        <w:tc>
          <w:tcPr>
            <w:tcW w:w="1063" w:type="dxa"/>
            <w:vMerge/>
          </w:tcPr>
          <w:p w14:paraId="522D28D5" w14:textId="77777777" w:rsidR="00CF1BE3" w:rsidRPr="0029110D" w:rsidRDefault="00CF1BE3" w:rsidP="00AB1FF1">
            <w:pPr>
              <w:jc w:val="center"/>
              <w:rPr>
                <w:sz w:val="20"/>
                <w:szCs w:val="20"/>
              </w:rPr>
            </w:pPr>
          </w:p>
        </w:tc>
        <w:tc>
          <w:tcPr>
            <w:tcW w:w="1063" w:type="dxa"/>
          </w:tcPr>
          <w:p w14:paraId="29844E6B" w14:textId="77777777" w:rsidR="00CF1BE3" w:rsidRPr="0029110D" w:rsidRDefault="00CF1BE3" w:rsidP="00AB1FF1">
            <w:pPr>
              <w:jc w:val="center"/>
              <w:rPr>
                <w:sz w:val="20"/>
                <w:szCs w:val="20"/>
                <w:lang w:val="en-US"/>
              </w:rPr>
            </w:pPr>
            <w:r w:rsidRPr="0029110D">
              <w:rPr>
                <w:sz w:val="20"/>
                <w:szCs w:val="20"/>
              </w:rPr>
              <w:t>182</w:t>
            </w:r>
          </w:p>
        </w:tc>
        <w:tc>
          <w:tcPr>
            <w:tcW w:w="1063" w:type="dxa"/>
          </w:tcPr>
          <w:p w14:paraId="53C12CF2" w14:textId="77777777" w:rsidR="00CF1BE3" w:rsidRPr="0029110D" w:rsidRDefault="00CF1BE3" w:rsidP="00AB1FF1">
            <w:pPr>
              <w:jc w:val="center"/>
              <w:rPr>
                <w:sz w:val="20"/>
                <w:szCs w:val="20"/>
              </w:rPr>
            </w:pPr>
            <w:r w:rsidRPr="0029110D">
              <w:rPr>
                <w:sz w:val="20"/>
                <w:szCs w:val="20"/>
              </w:rPr>
              <w:t>264</w:t>
            </w:r>
          </w:p>
        </w:tc>
        <w:tc>
          <w:tcPr>
            <w:tcW w:w="1063" w:type="dxa"/>
          </w:tcPr>
          <w:p w14:paraId="34E62418" w14:textId="77777777" w:rsidR="00CF1BE3" w:rsidRPr="0029110D" w:rsidRDefault="00CF1BE3" w:rsidP="00AB1FF1">
            <w:pPr>
              <w:jc w:val="center"/>
              <w:rPr>
                <w:sz w:val="20"/>
                <w:szCs w:val="20"/>
              </w:rPr>
            </w:pPr>
            <w:r w:rsidRPr="0029110D">
              <w:rPr>
                <w:sz w:val="20"/>
                <w:szCs w:val="20"/>
              </w:rPr>
              <w:t>240</w:t>
            </w:r>
          </w:p>
        </w:tc>
        <w:tc>
          <w:tcPr>
            <w:tcW w:w="1064" w:type="dxa"/>
          </w:tcPr>
          <w:p w14:paraId="7C0380EF" w14:textId="77777777" w:rsidR="00CF1BE3" w:rsidRPr="0029110D" w:rsidRDefault="00CF1BE3" w:rsidP="00AB1FF1">
            <w:pPr>
              <w:jc w:val="center"/>
              <w:rPr>
                <w:sz w:val="20"/>
                <w:szCs w:val="20"/>
              </w:rPr>
            </w:pPr>
            <w:r w:rsidRPr="0029110D">
              <w:rPr>
                <w:sz w:val="20"/>
                <w:szCs w:val="20"/>
              </w:rPr>
              <w:t>1374</w:t>
            </w:r>
          </w:p>
        </w:tc>
        <w:tc>
          <w:tcPr>
            <w:tcW w:w="1064" w:type="dxa"/>
          </w:tcPr>
          <w:p w14:paraId="2D765752" w14:textId="77777777" w:rsidR="00CF1BE3" w:rsidRPr="0029110D" w:rsidRDefault="00CF1BE3" w:rsidP="00AB1FF1">
            <w:pPr>
              <w:jc w:val="center"/>
              <w:rPr>
                <w:sz w:val="20"/>
                <w:szCs w:val="20"/>
              </w:rPr>
            </w:pPr>
            <w:r w:rsidRPr="0029110D">
              <w:rPr>
                <w:sz w:val="20"/>
                <w:szCs w:val="20"/>
              </w:rPr>
              <w:t>1259</w:t>
            </w:r>
          </w:p>
        </w:tc>
        <w:tc>
          <w:tcPr>
            <w:tcW w:w="891" w:type="dxa"/>
          </w:tcPr>
          <w:p w14:paraId="3000C06D" w14:textId="73EC263A" w:rsidR="00CF1BE3" w:rsidRPr="0029110D" w:rsidRDefault="00CF1BE3" w:rsidP="00AB1FF1">
            <w:pPr>
              <w:jc w:val="center"/>
              <w:rPr>
                <w:sz w:val="20"/>
                <w:szCs w:val="20"/>
              </w:rPr>
            </w:pPr>
            <w:r w:rsidRPr="0029110D">
              <w:rPr>
                <w:sz w:val="20"/>
                <w:szCs w:val="20"/>
              </w:rPr>
              <w:t>2</w:t>
            </w:r>
            <w:r w:rsidR="00EB77C9" w:rsidRPr="0029110D">
              <w:rPr>
                <w:sz w:val="20"/>
                <w:szCs w:val="20"/>
              </w:rPr>
              <w:t>,</w:t>
            </w:r>
            <w:r w:rsidRPr="0029110D">
              <w:rPr>
                <w:sz w:val="20"/>
                <w:szCs w:val="20"/>
              </w:rPr>
              <w:t>9</w:t>
            </w:r>
          </w:p>
        </w:tc>
        <w:tc>
          <w:tcPr>
            <w:tcW w:w="993" w:type="dxa"/>
          </w:tcPr>
          <w:p w14:paraId="27E2F50F" w14:textId="458361FA" w:rsidR="00CF1BE3" w:rsidRPr="0029110D" w:rsidRDefault="00CF1BE3" w:rsidP="00AB1FF1">
            <w:pPr>
              <w:jc w:val="center"/>
              <w:rPr>
                <w:sz w:val="20"/>
                <w:szCs w:val="20"/>
              </w:rPr>
            </w:pPr>
            <w:r w:rsidRPr="0029110D">
              <w:rPr>
                <w:sz w:val="20"/>
                <w:szCs w:val="20"/>
              </w:rPr>
              <w:t>2</w:t>
            </w:r>
            <w:r w:rsidR="00EB77C9" w:rsidRPr="0029110D">
              <w:rPr>
                <w:sz w:val="20"/>
                <w:szCs w:val="20"/>
              </w:rPr>
              <w:t>,</w:t>
            </w:r>
            <w:r w:rsidRPr="0029110D">
              <w:rPr>
                <w:sz w:val="20"/>
                <w:szCs w:val="20"/>
              </w:rPr>
              <w:t>6</w:t>
            </w:r>
          </w:p>
        </w:tc>
      </w:tr>
      <w:tr w:rsidR="00CF1BE3" w:rsidRPr="0029110D" w14:paraId="330BB184" w14:textId="77777777" w:rsidTr="00AB1FF1">
        <w:trPr>
          <w:trHeight w:val="20"/>
        </w:trPr>
        <w:tc>
          <w:tcPr>
            <w:tcW w:w="1065" w:type="dxa"/>
            <w:vMerge/>
          </w:tcPr>
          <w:p w14:paraId="54F9419C" w14:textId="77777777" w:rsidR="00CF1BE3" w:rsidRPr="0029110D" w:rsidRDefault="00CF1BE3" w:rsidP="00511EB4">
            <w:pPr>
              <w:rPr>
                <w:sz w:val="20"/>
                <w:szCs w:val="20"/>
              </w:rPr>
            </w:pPr>
          </w:p>
        </w:tc>
        <w:tc>
          <w:tcPr>
            <w:tcW w:w="1063" w:type="dxa"/>
            <w:vMerge w:val="restart"/>
          </w:tcPr>
          <w:p w14:paraId="7956E7FE" w14:textId="77777777" w:rsidR="00CF1BE3" w:rsidRPr="0029110D" w:rsidRDefault="00CF1BE3" w:rsidP="00AB1FF1">
            <w:pPr>
              <w:jc w:val="center"/>
              <w:rPr>
                <w:sz w:val="20"/>
                <w:szCs w:val="20"/>
              </w:rPr>
            </w:pPr>
            <w:r w:rsidRPr="0029110D">
              <w:rPr>
                <w:sz w:val="20"/>
                <w:szCs w:val="20"/>
              </w:rPr>
              <w:t>5/2,5</w:t>
            </w:r>
            <w:r w:rsidRPr="0029110D">
              <w:rPr>
                <w:sz w:val="20"/>
                <w:szCs w:val="20"/>
                <w:vertAlign w:val="superscript"/>
                <w:lang w:val="en-US"/>
              </w:rPr>
              <w:t>c</w:t>
            </w:r>
          </w:p>
        </w:tc>
        <w:tc>
          <w:tcPr>
            <w:tcW w:w="1063" w:type="dxa"/>
          </w:tcPr>
          <w:p w14:paraId="160EF1D0" w14:textId="77777777" w:rsidR="00CF1BE3" w:rsidRPr="0029110D" w:rsidRDefault="00CF1BE3" w:rsidP="00AB1FF1">
            <w:pPr>
              <w:jc w:val="center"/>
              <w:rPr>
                <w:sz w:val="20"/>
                <w:szCs w:val="20"/>
                <w:lang w:val="en-US"/>
              </w:rPr>
            </w:pPr>
            <w:r w:rsidRPr="0029110D">
              <w:rPr>
                <w:sz w:val="20"/>
                <w:szCs w:val="20"/>
              </w:rPr>
              <w:t>1</w:t>
            </w:r>
          </w:p>
        </w:tc>
        <w:tc>
          <w:tcPr>
            <w:tcW w:w="1063" w:type="dxa"/>
          </w:tcPr>
          <w:p w14:paraId="565F79D3" w14:textId="6EFF9841" w:rsidR="00CF1BE3" w:rsidRPr="0029110D" w:rsidRDefault="00CF1BE3" w:rsidP="00AB1FF1">
            <w:pPr>
              <w:jc w:val="center"/>
              <w:rPr>
                <w:sz w:val="20"/>
                <w:szCs w:val="20"/>
              </w:rPr>
            </w:pPr>
            <w:r w:rsidRPr="0029110D">
              <w:rPr>
                <w:sz w:val="20"/>
                <w:szCs w:val="20"/>
              </w:rPr>
              <w:t>1456</w:t>
            </w:r>
          </w:p>
        </w:tc>
        <w:tc>
          <w:tcPr>
            <w:tcW w:w="1063" w:type="dxa"/>
          </w:tcPr>
          <w:p w14:paraId="27D17583" w14:textId="5E80DA9D" w:rsidR="00CF1BE3" w:rsidRPr="0029110D" w:rsidRDefault="00CF1BE3" w:rsidP="00AB1FF1">
            <w:pPr>
              <w:jc w:val="center"/>
              <w:rPr>
                <w:sz w:val="20"/>
                <w:szCs w:val="20"/>
              </w:rPr>
            </w:pPr>
            <w:r w:rsidRPr="0029110D">
              <w:rPr>
                <w:sz w:val="20"/>
                <w:szCs w:val="20"/>
              </w:rPr>
              <w:t>1664</w:t>
            </w:r>
          </w:p>
        </w:tc>
        <w:tc>
          <w:tcPr>
            <w:tcW w:w="1064" w:type="dxa"/>
          </w:tcPr>
          <w:p w14:paraId="2995DE9C" w14:textId="104FB38C" w:rsidR="00CF1BE3" w:rsidRPr="0029110D" w:rsidRDefault="00CF1BE3" w:rsidP="00AB1FF1">
            <w:pPr>
              <w:jc w:val="center"/>
              <w:rPr>
                <w:sz w:val="20"/>
                <w:szCs w:val="20"/>
              </w:rPr>
            </w:pPr>
            <w:r w:rsidRPr="0029110D">
              <w:rPr>
                <w:sz w:val="20"/>
                <w:szCs w:val="20"/>
              </w:rPr>
              <w:t>6686</w:t>
            </w:r>
          </w:p>
        </w:tc>
        <w:tc>
          <w:tcPr>
            <w:tcW w:w="1064" w:type="dxa"/>
          </w:tcPr>
          <w:p w14:paraId="7589CD1A" w14:textId="5CA7B4A9" w:rsidR="00CF1BE3" w:rsidRPr="0029110D" w:rsidRDefault="00CF1BE3" w:rsidP="00AB1FF1">
            <w:pPr>
              <w:jc w:val="center"/>
              <w:rPr>
                <w:sz w:val="20"/>
                <w:szCs w:val="20"/>
              </w:rPr>
            </w:pPr>
            <w:r w:rsidRPr="0029110D">
              <w:rPr>
                <w:sz w:val="20"/>
                <w:szCs w:val="20"/>
              </w:rPr>
              <w:t>8246</w:t>
            </w:r>
          </w:p>
        </w:tc>
        <w:tc>
          <w:tcPr>
            <w:tcW w:w="891" w:type="dxa"/>
          </w:tcPr>
          <w:p w14:paraId="428E54C2" w14:textId="28CA9714" w:rsidR="00CF1BE3" w:rsidRPr="0029110D" w:rsidRDefault="00CF1BE3" w:rsidP="00AB1FF1">
            <w:pPr>
              <w:jc w:val="center"/>
              <w:rPr>
                <w:sz w:val="20"/>
                <w:szCs w:val="20"/>
              </w:rPr>
            </w:pPr>
            <w:r w:rsidRPr="0029110D">
              <w:rPr>
                <w:sz w:val="20"/>
                <w:szCs w:val="20"/>
              </w:rPr>
              <w:t>14</w:t>
            </w:r>
          </w:p>
        </w:tc>
        <w:tc>
          <w:tcPr>
            <w:tcW w:w="993" w:type="dxa"/>
          </w:tcPr>
          <w:p w14:paraId="6956691F" w14:textId="7F12B261" w:rsidR="00CF1BE3" w:rsidRPr="0029110D" w:rsidRDefault="00CF1BE3" w:rsidP="00AB1FF1">
            <w:pPr>
              <w:jc w:val="center"/>
              <w:rPr>
                <w:sz w:val="20"/>
                <w:szCs w:val="20"/>
              </w:rPr>
            </w:pPr>
            <w:r w:rsidRPr="0029110D">
              <w:rPr>
                <w:sz w:val="20"/>
                <w:szCs w:val="20"/>
              </w:rPr>
              <w:t>17</w:t>
            </w:r>
          </w:p>
        </w:tc>
      </w:tr>
      <w:tr w:rsidR="00CF1BE3" w:rsidRPr="0029110D" w14:paraId="4785839A" w14:textId="77777777" w:rsidTr="00AB1FF1">
        <w:trPr>
          <w:trHeight w:val="20"/>
        </w:trPr>
        <w:tc>
          <w:tcPr>
            <w:tcW w:w="1065" w:type="dxa"/>
            <w:vMerge/>
          </w:tcPr>
          <w:p w14:paraId="62A5D3F7" w14:textId="77777777" w:rsidR="00CF1BE3" w:rsidRPr="0029110D" w:rsidRDefault="00CF1BE3" w:rsidP="00511EB4">
            <w:pPr>
              <w:rPr>
                <w:sz w:val="20"/>
                <w:szCs w:val="20"/>
              </w:rPr>
            </w:pPr>
          </w:p>
        </w:tc>
        <w:tc>
          <w:tcPr>
            <w:tcW w:w="1063" w:type="dxa"/>
            <w:vMerge/>
          </w:tcPr>
          <w:p w14:paraId="0EC1A1B8" w14:textId="77777777" w:rsidR="00CF1BE3" w:rsidRPr="0029110D" w:rsidRDefault="00CF1BE3" w:rsidP="00AB1FF1">
            <w:pPr>
              <w:jc w:val="center"/>
              <w:rPr>
                <w:sz w:val="20"/>
                <w:szCs w:val="20"/>
              </w:rPr>
            </w:pPr>
          </w:p>
        </w:tc>
        <w:tc>
          <w:tcPr>
            <w:tcW w:w="1063" w:type="dxa"/>
          </w:tcPr>
          <w:p w14:paraId="3565D467" w14:textId="77777777" w:rsidR="00CF1BE3" w:rsidRPr="0029110D" w:rsidRDefault="00CF1BE3" w:rsidP="00AB1FF1">
            <w:pPr>
              <w:jc w:val="center"/>
              <w:rPr>
                <w:sz w:val="20"/>
                <w:szCs w:val="20"/>
              </w:rPr>
            </w:pPr>
            <w:r w:rsidRPr="0029110D">
              <w:rPr>
                <w:sz w:val="20"/>
                <w:szCs w:val="20"/>
              </w:rPr>
              <w:t>29</w:t>
            </w:r>
          </w:p>
        </w:tc>
        <w:tc>
          <w:tcPr>
            <w:tcW w:w="1063" w:type="dxa"/>
          </w:tcPr>
          <w:p w14:paraId="1E9254FA" w14:textId="0B522475" w:rsidR="00CF1BE3" w:rsidRPr="0029110D" w:rsidRDefault="00CF1BE3" w:rsidP="00AB1FF1">
            <w:pPr>
              <w:jc w:val="center"/>
              <w:rPr>
                <w:sz w:val="20"/>
                <w:szCs w:val="20"/>
              </w:rPr>
            </w:pPr>
            <w:r w:rsidRPr="0029110D">
              <w:rPr>
                <w:sz w:val="20"/>
                <w:szCs w:val="20"/>
              </w:rPr>
              <w:t>802</w:t>
            </w:r>
          </w:p>
        </w:tc>
        <w:tc>
          <w:tcPr>
            <w:tcW w:w="1063" w:type="dxa"/>
          </w:tcPr>
          <w:p w14:paraId="6ED2C153" w14:textId="694D61A9" w:rsidR="00CF1BE3" w:rsidRPr="0029110D" w:rsidRDefault="00CF1BE3" w:rsidP="00AB1FF1">
            <w:pPr>
              <w:jc w:val="center"/>
              <w:rPr>
                <w:sz w:val="20"/>
                <w:szCs w:val="20"/>
              </w:rPr>
            </w:pPr>
            <w:r w:rsidRPr="0029110D">
              <w:rPr>
                <w:sz w:val="20"/>
                <w:szCs w:val="20"/>
              </w:rPr>
              <w:t>977</w:t>
            </w:r>
          </w:p>
        </w:tc>
        <w:tc>
          <w:tcPr>
            <w:tcW w:w="1064" w:type="dxa"/>
          </w:tcPr>
          <w:p w14:paraId="264F8A6F" w14:textId="58A88355" w:rsidR="00CF1BE3" w:rsidRPr="0029110D" w:rsidRDefault="00CF1BE3" w:rsidP="00AB1FF1">
            <w:pPr>
              <w:jc w:val="center"/>
              <w:rPr>
                <w:sz w:val="20"/>
                <w:szCs w:val="20"/>
              </w:rPr>
            </w:pPr>
            <w:r w:rsidRPr="0029110D">
              <w:rPr>
                <w:sz w:val="20"/>
                <w:szCs w:val="20"/>
              </w:rPr>
              <w:t>4457</w:t>
            </w:r>
          </w:p>
        </w:tc>
        <w:tc>
          <w:tcPr>
            <w:tcW w:w="1064" w:type="dxa"/>
          </w:tcPr>
          <w:p w14:paraId="547E92C6" w14:textId="53C34625" w:rsidR="00CF1BE3" w:rsidRPr="0029110D" w:rsidRDefault="00CF1BE3" w:rsidP="00AB1FF1">
            <w:pPr>
              <w:jc w:val="center"/>
              <w:rPr>
                <w:sz w:val="20"/>
                <w:szCs w:val="20"/>
              </w:rPr>
            </w:pPr>
            <w:r w:rsidRPr="0029110D">
              <w:rPr>
                <w:sz w:val="20"/>
                <w:szCs w:val="20"/>
              </w:rPr>
              <w:t>5720</w:t>
            </w:r>
          </w:p>
        </w:tc>
        <w:tc>
          <w:tcPr>
            <w:tcW w:w="891" w:type="dxa"/>
          </w:tcPr>
          <w:p w14:paraId="16D19697" w14:textId="0566D35C" w:rsidR="00CF1BE3" w:rsidRPr="0029110D" w:rsidRDefault="00CF1BE3" w:rsidP="00AB1FF1">
            <w:pPr>
              <w:jc w:val="center"/>
              <w:rPr>
                <w:sz w:val="20"/>
                <w:szCs w:val="20"/>
              </w:rPr>
            </w:pPr>
            <w:r w:rsidRPr="0029110D">
              <w:rPr>
                <w:sz w:val="20"/>
                <w:szCs w:val="20"/>
              </w:rPr>
              <w:t>9</w:t>
            </w:r>
          </w:p>
        </w:tc>
        <w:tc>
          <w:tcPr>
            <w:tcW w:w="993" w:type="dxa"/>
          </w:tcPr>
          <w:p w14:paraId="018ADE79" w14:textId="54C722B3" w:rsidR="00CF1BE3" w:rsidRPr="0029110D" w:rsidRDefault="00CF1BE3" w:rsidP="00AB1FF1">
            <w:pPr>
              <w:jc w:val="center"/>
              <w:rPr>
                <w:sz w:val="20"/>
                <w:szCs w:val="20"/>
              </w:rPr>
            </w:pPr>
            <w:r w:rsidRPr="0029110D">
              <w:rPr>
                <w:sz w:val="20"/>
                <w:szCs w:val="20"/>
              </w:rPr>
              <w:t>12</w:t>
            </w:r>
          </w:p>
        </w:tc>
      </w:tr>
      <w:tr w:rsidR="00CF1BE3" w:rsidRPr="0029110D" w14:paraId="490C1488" w14:textId="77777777" w:rsidTr="00AB1FF1">
        <w:trPr>
          <w:trHeight w:val="20"/>
        </w:trPr>
        <w:tc>
          <w:tcPr>
            <w:tcW w:w="1065" w:type="dxa"/>
            <w:vMerge/>
          </w:tcPr>
          <w:p w14:paraId="681674E6" w14:textId="77777777" w:rsidR="00CF1BE3" w:rsidRPr="0029110D" w:rsidRDefault="00CF1BE3" w:rsidP="00511EB4">
            <w:pPr>
              <w:rPr>
                <w:sz w:val="20"/>
                <w:szCs w:val="20"/>
              </w:rPr>
            </w:pPr>
          </w:p>
        </w:tc>
        <w:tc>
          <w:tcPr>
            <w:tcW w:w="1063" w:type="dxa"/>
            <w:vMerge/>
          </w:tcPr>
          <w:p w14:paraId="408F8B93" w14:textId="77777777" w:rsidR="00CF1BE3" w:rsidRPr="0029110D" w:rsidRDefault="00CF1BE3" w:rsidP="00AB1FF1">
            <w:pPr>
              <w:jc w:val="center"/>
              <w:rPr>
                <w:sz w:val="20"/>
                <w:szCs w:val="20"/>
              </w:rPr>
            </w:pPr>
          </w:p>
        </w:tc>
        <w:tc>
          <w:tcPr>
            <w:tcW w:w="1063" w:type="dxa"/>
          </w:tcPr>
          <w:p w14:paraId="5DEA4F15" w14:textId="77777777" w:rsidR="00CF1BE3" w:rsidRPr="0029110D" w:rsidRDefault="00CF1BE3" w:rsidP="00AB1FF1">
            <w:pPr>
              <w:jc w:val="center"/>
              <w:rPr>
                <w:sz w:val="20"/>
                <w:szCs w:val="20"/>
              </w:rPr>
            </w:pPr>
            <w:r w:rsidRPr="0029110D">
              <w:rPr>
                <w:sz w:val="20"/>
                <w:szCs w:val="20"/>
              </w:rPr>
              <w:t>154</w:t>
            </w:r>
          </w:p>
        </w:tc>
        <w:tc>
          <w:tcPr>
            <w:tcW w:w="1063" w:type="dxa"/>
          </w:tcPr>
          <w:p w14:paraId="00E8B9D1" w14:textId="77777777" w:rsidR="00CF1BE3" w:rsidRPr="0029110D" w:rsidRDefault="00CF1BE3" w:rsidP="00AB1FF1">
            <w:pPr>
              <w:jc w:val="center"/>
              <w:rPr>
                <w:sz w:val="20"/>
                <w:szCs w:val="20"/>
              </w:rPr>
            </w:pPr>
            <w:r w:rsidRPr="0029110D">
              <w:rPr>
                <w:sz w:val="20"/>
                <w:szCs w:val="20"/>
              </w:rPr>
              <w:t>962</w:t>
            </w:r>
          </w:p>
        </w:tc>
        <w:tc>
          <w:tcPr>
            <w:tcW w:w="1063" w:type="dxa"/>
          </w:tcPr>
          <w:p w14:paraId="7B2D2A97" w14:textId="77777777" w:rsidR="00CF1BE3" w:rsidRPr="0029110D" w:rsidRDefault="00CF1BE3" w:rsidP="00AB1FF1">
            <w:pPr>
              <w:jc w:val="center"/>
              <w:rPr>
                <w:sz w:val="20"/>
                <w:szCs w:val="20"/>
              </w:rPr>
            </w:pPr>
            <w:r w:rsidRPr="0029110D">
              <w:rPr>
                <w:sz w:val="20"/>
                <w:szCs w:val="20"/>
              </w:rPr>
              <w:t>1293</w:t>
            </w:r>
          </w:p>
        </w:tc>
        <w:tc>
          <w:tcPr>
            <w:tcW w:w="1064" w:type="dxa"/>
          </w:tcPr>
          <w:p w14:paraId="0EC7CE62" w14:textId="77777777" w:rsidR="00CF1BE3" w:rsidRPr="0029110D" w:rsidRDefault="00CF1BE3" w:rsidP="00AB1FF1">
            <w:pPr>
              <w:jc w:val="center"/>
              <w:rPr>
                <w:sz w:val="20"/>
                <w:szCs w:val="20"/>
              </w:rPr>
            </w:pPr>
            <w:r w:rsidRPr="0029110D">
              <w:rPr>
                <w:sz w:val="20"/>
                <w:szCs w:val="20"/>
              </w:rPr>
              <w:t>5608</w:t>
            </w:r>
          </w:p>
        </w:tc>
        <w:tc>
          <w:tcPr>
            <w:tcW w:w="1064" w:type="dxa"/>
          </w:tcPr>
          <w:p w14:paraId="2245376E" w14:textId="77777777" w:rsidR="00CF1BE3" w:rsidRPr="0029110D" w:rsidRDefault="00CF1BE3" w:rsidP="00AB1FF1">
            <w:pPr>
              <w:jc w:val="center"/>
              <w:rPr>
                <w:sz w:val="20"/>
                <w:szCs w:val="20"/>
              </w:rPr>
            </w:pPr>
            <w:r w:rsidRPr="0029110D">
              <w:rPr>
                <w:sz w:val="20"/>
                <w:szCs w:val="20"/>
              </w:rPr>
              <w:t>7168</w:t>
            </w:r>
          </w:p>
        </w:tc>
        <w:tc>
          <w:tcPr>
            <w:tcW w:w="891" w:type="dxa"/>
          </w:tcPr>
          <w:p w14:paraId="546C48C8" w14:textId="77777777" w:rsidR="00CF1BE3" w:rsidRPr="0029110D" w:rsidRDefault="00CF1BE3" w:rsidP="00AB1FF1">
            <w:pPr>
              <w:jc w:val="center"/>
              <w:rPr>
                <w:sz w:val="20"/>
                <w:szCs w:val="20"/>
              </w:rPr>
            </w:pPr>
            <w:r w:rsidRPr="0029110D">
              <w:rPr>
                <w:sz w:val="20"/>
                <w:szCs w:val="20"/>
              </w:rPr>
              <w:t>12</w:t>
            </w:r>
          </w:p>
        </w:tc>
        <w:tc>
          <w:tcPr>
            <w:tcW w:w="993" w:type="dxa"/>
          </w:tcPr>
          <w:p w14:paraId="593107FB" w14:textId="77777777" w:rsidR="00CF1BE3" w:rsidRPr="0029110D" w:rsidRDefault="00CF1BE3" w:rsidP="00AB1FF1">
            <w:pPr>
              <w:jc w:val="center"/>
              <w:rPr>
                <w:sz w:val="20"/>
                <w:szCs w:val="20"/>
              </w:rPr>
            </w:pPr>
            <w:r w:rsidRPr="0029110D">
              <w:rPr>
                <w:sz w:val="20"/>
                <w:szCs w:val="20"/>
              </w:rPr>
              <w:t>15</w:t>
            </w:r>
          </w:p>
        </w:tc>
      </w:tr>
      <w:tr w:rsidR="00CF1BE3" w:rsidRPr="0029110D" w14:paraId="089C71A2" w14:textId="77777777" w:rsidTr="00AB1FF1">
        <w:trPr>
          <w:trHeight w:val="20"/>
        </w:trPr>
        <w:tc>
          <w:tcPr>
            <w:tcW w:w="1065" w:type="dxa"/>
            <w:vMerge/>
          </w:tcPr>
          <w:p w14:paraId="6F7C71E8" w14:textId="77777777" w:rsidR="00CF1BE3" w:rsidRPr="0029110D" w:rsidRDefault="00CF1BE3" w:rsidP="00511EB4">
            <w:pPr>
              <w:rPr>
                <w:sz w:val="20"/>
                <w:szCs w:val="20"/>
              </w:rPr>
            </w:pPr>
          </w:p>
        </w:tc>
        <w:tc>
          <w:tcPr>
            <w:tcW w:w="1063" w:type="dxa"/>
            <w:vMerge w:val="restart"/>
          </w:tcPr>
          <w:p w14:paraId="142ABC95" w14:textId="77777777" w:rsidR="00CF1BE3" w:rsidRPr="0029110D" w:rsidRDefault="00CF1BE3" w:rsidP="00AB1FF1">
            <w:pPr>
              <w:jc w:val="center"/>
              <w:rPr>
                <w:sz w:val="20"/>
                <w:szCs w:val="20"/>
              </w:rPr>
            </w:pPr>
            <w:r w:rsidRPr="0029110D">
              <w:rPr>
                <w:sz w:val="20"/>
                <w:szCs w:val="20"/>
              </w:rPr>
              <w:t>20/15/5</w:t>
            </w:r>
            <w:r w:rsidRPr="0029110D">
              <w:rPr>
                <w:sz w:val="20"/>
                <w:szCs w:val="20"/>
                <w:vertAlign w:val="superscript"/>
                <w:lang w:val="en-US"/>
              </w:rPr>
              <w:t>d</w:t>
            </w:r>
          </w:p>
        </w:tc>
        <w:tc>
          <w:tcPr>
            <w:tcW w:w="1063" w:type="dxa"/>
          </w:tcPr>
          <w:p w14:paraId="469157CD" w14:textId="77777777" w:rsidR="00CF1BE3" w:rsidRPr="0029110D" w:rsidRDefault="00CF1BE3" w:rsidP="00AB1FF1">
            <w:pPr>
              <w:jc w:val="center"/>
              <w:rPr>
                <w:sz w:val="20"/>
                <w:szCs w:val="20"/>
              </w:rPr>
            </w:pPr>
            <w:r w:rsidRPr="0029110D">
              <w:rPr>
                <w:sz w:val="20"/>
                <w:szCs w:val="20"/>
              </w:rPr>
              <w:t>1</w:t>
            </w:r>
          </w:p>
        </w:tc>
        <w:tc>
          <w:tcPr>
            <w:tcW w:w="1063" w:type="dxa"/>
          </w:tcPr>
          <w:p w14:paraId="50E22BBD" w14:textId="768B024B" w:rsidR="00CF1BE3" w:rsidRPr="0029110D" w:rsidRDefault="00CF1BE3" w:rsidP="00AB1FF1">
            <w:pPr>
              <w:jc w:val="center"/>
              <w:rPr>
                <w:sz w:val="20"/>
                <w:szCs w:val="20"/>
              </w:rPr>
            </w:pPr>
            <w:r w:rsidRPr="0029110D">
              <w:rPr>
                <w:sz w:val="20"/>
                <w:szCs w:val="20"/>
              </w:rPr>
              <w:t>4271</w:t>
            </w:r>
          </w:p>
        </w:tc>
        <w:tc>
          <w:tcPr>
            <w:tcW w:w="1063" w:type="dxa"/>
          </w:tcPr>
          <w:p w14:paraId="0FB4CA74" w14:textId="4DE3EC35" w:rsidR="00CF1BE3" w:rsidRPr="0029110D" w:rsidRDefault="00CF1BE3" w:rsidP="00AB1FF1">
            <w:pPr>
              <w:jc w:val="center"/>
              <w:rPr>
                <w:sz w:val="20"/>
                <w:szCs w:val="20"/>
              </w:rPr>
            </w:pPr>
            <w:r w:rsidRPr="0029110D">
              <w:rPr>
                <w:sz w:val="20"/>
                <w:szCs w:val="20"/>
              </w:rPr>
              <w:t>3825</w:t>
            </w:r>
          </w:p>
        </w:tc>
        <w:tc>
          <w:tcPr>
            <w:tcW w:w="1064" w:type="dxa"/>
          </w:tcPr>
          <w:p w14:paraId="25C780FC" w14:textId="3BE99BEC" w:rsidR="00CF1BE3" w:rsidRPr="0029110D" w:rsidRDefault="00CF1BE3" w:rsidP="00AB1FF1">
            <w:pPr>
              <w:jc w:val="center"/>
              <w:rPr>
                <w:sz w:val="20"/>
                <w:szCs w:val="20"/>
              </w:rPr>
            </w:pPr>
            <w:r w:rsidRPr="0029110D">
              <w:rPr>
                <w:sz w:val="20"/>
                <w:szCs w:val="20"/>
              </w:rPr>
              <w:t>31088</w:t>
            </w:r>
          </w:p>
        </w:tc>
        <w:tc>
          <w:tcPr>
            <w:tcW w:w="1064" w:type="dxa"/>
          </w:tcPr>
          <w:p w14:paraId="71AC09E7" w14:textId="0C0F9171" w:rsidR="00CF1BE3" w:rsidRPr="0029110D" w:rsidRDefault="00CF1BE3" w:rsidP="00AB1FF1">
            <w:pPr>
              <w:jc w:val="center"/>
              <w:rPr>
                <w:sz w:val="20"/>
                <w:szCs w:val="20"/>
              </w:rPr>
            </w:pPr>
            <w:r w:rsidRPr="0029110D">
              <w:rPr>
                <w:sz w:val="20"/>
                <w:szCs w:val="20"/>
              </w:rPr>
              <w:t>23437</w:t>
            </w:r>
          </w:p>
        </w:tc>
        <w:tc>
          <w:tcPr>
            <w:tcW w:w="891" w:type="dxa"/>
          </w:tcPr>
          <w:p w14:paraId="7004D242" w14:textId="4C4B5452" w:rsidR="00CF1BE3" w:rsidRPr="0029110D" w:rsidRDefault="00CF1BE3" w:rsidP="00AB1FF1">
            <w:pPr>
              <w:jc w:val="center"/>
              <w:rPr>
                <w:sz w:val="20"/>
                <w:szCs w:val="20"/>
              </w:rPr>
            </w:pPr>
            <w:r w:rsidRPr="0029110D">
              <w:rPr>
                <w:sz w:val="20"/>
                <w:szCs w:val="20"/>
              </w:rPr>
              <w:t>65</w:t>
            </w:r>
          </w:p>
        </w:tc>
        <w:tc>
          <w:tcPr>
            <w:tcW w:w="993" w:type="dxa"/>
          </w:tcPr>
          <w:p w14:paraId="04032B30" w14:textId="00EEB771" w:rsidR="00CF1BE3" w:rsidRPr="0029110D" w:rsidRDefault="00CF1BE3" w:rsidP="00AB1FF1">
            <w:pPr>
              <w:jc w:val="center"/>
              <w:rPr>
                <w:sz w:val="20"/>
                <w:szCs w:val="20"/>
              </w:rPr>
            </w:pPr>
            <w:r w:rsidRPr="0029110D">
              <w:rPr>
                <w:sz w:val="20"/>
                <w:szCs w:val="20"/>
              </w:rPr>
              <w:t>49</w:t>
            </w:r>
          </w:p>
        </w:tc>
      </w:tr>
      <w:tr w:rsidR="00CF1BE3" w:rsidRPr="0029110D" w14:paraId="7D1B5B3C" w14:textId="77777777" w:rsidTr="00AB1FF1">
        <w:trPr>
          <w:trHeight w:val="20"/>
        </w:trPr>
        <w:tc>
          <w:tcPr>
            <w:tcW w:w="1065" w:type="dxa"/>
            <w:vMerge/>
          </w:tcPr>
          <w:p w14:paraId="74C0193B" w14:textId="77777777" w:rsidR="00CF1BE3" w:rsidRPr="0029110D" w:rsidRDefault="00CF1BE3" w:rsidP="00511EB4">
            <w:pPr>
              <w:rPr>
                <w:sz w:val="20"/>
                <w:szCs w:val="20"/>
              </w:rPr>
            </w:pPr>
          </w:p>
        </w:tc>
        <w:tc>
          <w:tcPr>
            <w:tcW w:w="1063" w:type="dxa"/>
            <w:vMerge/>
          </w:tcPr>
          <w:p w14:paraId="0894F448" w14:textId="77777777" w:rsidR="00CF1BE3" w:rsidRPr="0029110D" w:rsidRDefault="00CF1BE3" w:rsidP="00AB1FF1">
            <w:pPr>
              <w:jc w:val="center"/>
              <w:rPr>
                <w:sz w:val="20"/>
                <w:szCs w:val="20"/>
              </w:rPr>
            </w:pPr>
          </w:p>
        </w:tc>
        <w:tc>
          <w:tcPr>
            <w:tcW w:w="1063" w:type="dxa"/>
          </w:tcPr>
          <w:p w14:paraId="556C2DC5" w14:textId="77777777" w:rsidR="00CF1BE3" w:rsidRPr="0029110D" w:rsidRDefault="00CF1BE3" w:rsidP="00AB1FF1">
            <w:pPr>
              <w:jc w:val="center"/>
              <w:rPr>
                <w:sz w:val="20"/>
                <w:szCs w:val="20"/>
              </w:rPr>
            </w:pPr>
            <w:r w:rsidRPr="0029110D">
              <w:rPr>
                <w:sz w:val="20"/>
                <w:szCs w:val="20"/>
              </w:rPr>
              <w:t>29</w:t>
            </w:r>
          </w:p>
        </w:tc>
        <w:tc>
          <w:tcPr>
            <w:tcW w:w="1063" w:type="dxa"/>
          </w:tcPr>
          <w:p w14:paraId="3224C093" w14:textId="610021DF" w:rsidR="00CF1BE3" w:rsidRPr="0029110D" w:rsidRDefault="00CF1BE3" w:rsidP="00AB1FF1">
            <w:pPr>
              <w:jc w:val="center"/>
              <w:rPr>
                <w:sz w:val="20"/>
                <w:szCs w:val="20"/>
              </w:rPr>
            </w:pPr>
            <w:r w:rsidRPr="0029110D">
              <w:rPr>
                <w:sz w:val="20"/>
                <w:szCs w:val="20"/>
              </w:rPr>
              <w:t>1266</w:t>
            </w:r>
          </w:p>
        </w:tc>
        <w:tc>
          <w:tcPr>
            <w:tcW w:w="1063" w:type="dxa"/>
          </w:tcPr>
          <w:p w14:paraId="46FC915B" w14:textId="5D204E37" w:rsidR="00CF1BE3" w:rsidRPr="0029110D" w:rsidRDefault="00CF1BE3" w:rsidP="00AB1FF1">
            <w:pPr>
              <w:jc w:val="center"/>
              <w:rPr>
                <w:sz w:val="20"/>
                <w:szCs w:val="20"/>
              </w:rPr>
            </w:pPr>
            <w:r w:rsidRPr="0029110D">
              <w:rPr>
                <w:sz w:val="20"/>
                <w:szCs w:val="20"/>
              </w:rPr>
              <w:t>1527</w:t>
            </w:r>
          </w:p>
        </w:tc>
        <w:tc>
          <w:tcPr>
            <w:tcW w:w="1064" w:type="dxa"/>
          </w:tcPr>
          <w:p w14:paraId="6261349C" w14:textId="3B656FFE" w:rsidR="00CF1BE3" w:rsidRPr="0029110D" w:rsidRDefault="00CF1BE3" w:rsidP="00AB1FF1">
            <w:pPr>
              <w:jc w:val="center"/>
              <w:rPr>
                <w:sz w:val="20"/>
                <w:szCs w:val="20"/>
              </w:rPr>
            </w:pPr>
            <w:r w:rsidRPr="0029110D">
              <w:rPr>
                <w:sz w:val="20"/>
                <w:szCs w:val="20"/>
              </w:rPr>
              <w:t>7094</w:t>
            </w:r>
          </w:p>
        </w:tc>
        <w:tc>
          <w:tcPr>
            <w:tcW w:w="1064" w:type="dxa"/>
          </w:tcPr>
          <w:p w14:paraId="462C3BBC" w14:textId="3D863F36" w:rsidR="00CF1BE3" w:rsidRPr="0029110D" w:rsidRDefault="00CF1BE3" w:rsidP="00AB1FF1">
            <w:pPr>
              <w:jc w:val="center"/>
              <w:rPr>
                <w:sz w:val="20"/>
                <w:szCs w:val="20"/>
              </w:rPr>
            </w:pPr>
            <w:r w:rsidRPr="0029110D">
              <w:rPr>
                <w:sz w:val="20"/>
                <w:szCs w:val="20"/>
              </w:rPr>
              <w:t>7280</w:t>
            </w:r>
          </w:p>
        </w:tc>
        <w:tc>
          <w:tcPr>
            <w:tcW w:w="891" w:type="dxa"/>
          </w:tcPr>
          <w:p w14:paraId="29FC66D4" w14:textId="77777777" w:rsidR="00CF1BE3" w:rsidRPr="0029110D" w:rsidRDefault="00CF1BE3" w:rsidP="00AB1FF1">
            <w:pPr>
              <w:jc w:val="center"/>
              <w:rPr>
                <w:sz w:val="20"/>
                <w:szCs w:val="20"/>
              </w:rPr>
            </w:pPr>
            <w:r w:rsidRPr="0029110D">
              <w:rPr>
                <w:sz w:val="20"/>
                <w:szCs w:val="20"/>
              </w:rPr>
              <w:t>15</w:t>
            </w:r>
          </w:p>
        </w:tc>
        <w:tc>
          <w:tcPr>
            <w:tcW w:w="993" w:type="dxa"/>
          </w:tcPr>
          <w:p w14:paraId="53018A16" w14:textId="6233CF96" w:rsidR="00CF1BE3" w:rsidRPr="0029110D" w:rsidRDefault="00CF1BE3" w:rsidP="00AB1FF1">
            <w:pPr>
              <w:jc w:val="center"/>
              <w:rPr>
                <w:sz w:val="20"/>
                <w:szCs w:val="20"/>
              </w:rPr>
            </w:pPr>
            <w:r w:rsidRPr="0029110D">
              <w:rPr>
                <w:sz w:val="20"/>
                <w:szCs w:val="20"/>
              </w:rPr>
              <w:t>15</w:t>
            </w:r>
          </w:p>
        </w:tc>
      </w:tr>
      <w:tr w:rsidR="00CF1BE3" w:rsidRPr="0029110D" w14:paraId="3CCAE297" w14:textId="77777777" w:rsidTr="00AB1FF1">
        <w:trPr>
          <w:trHeight w:val="20"/>
        </w:trPr>
        <w:tc>
          <w:tcPr>
            <w:tcW w:w="1065" w:type="dxa"/>
            <w:vMerge/>
          </w:tcPr>
          <w:p w14:paraId="1D88068F" w14:textId="77777777" w:rsidR="00CF1BE3" w:rsidRPr="0029110D" w:rsidRDefault="00CF1BE3" w:rsidP="00511EB4">
            <w:pPr>
              <w:rPr>
                <w:sz w:val="20"/>
                <w:szCs w:val="20"/>
              </w:rPr>
            </w:pPr>
          </w:p>
        </w:tc>
        <w:tc>
          <w:tcPr>
            <w:tcW w:w="1063" w:type="dxa"/>
            <w:vMerge/>
          </w:tcPr>
          <w:p w14:paraId="067055DF" w14:textId="77777777" w:rsidR="00CF1BE3" w:rsidRPr="0029110D" w:rsidRDefault="00CF1BE3" w:rsidP="00AB1FF1">
            <w:pPr>
              <w:jc w:val="center"/>
              <w:rPr>
                <w:sz w:val="20"/>
                <w:szCs w:val="20"/>
              </w:rPr>
            </w:pPr>
          </w:p>
        </w:tc>
        <w:tc>
          <w:tcPr>
            <w:tcW w:w="1063" w:type="dxa"/>
          </w:tcPr>
          <w:p w14:paraId="1E9B0F26" w14:textId="77777777" w:rsidR="00CF1BE3" w:rsidRPr="0029110D" w:rsidRDefault="00CF1BE3" w:rsidP="00AB1FF1">
            <w:pPr>
              <w:jc w:val="center"/>
              <w:rPr>
                <w:sz w:val="20"/>
                <w:szCs w:val="20"/>
              </w:rPr>
            </w:pPr>
            <w:r w:rsidRPr="0029110D">
              <w:rPr>
                <w:sz w:val="20"/>
                <w:szCs w:val="20"/>
              </w:rPr>
              <w:t>154</w:t>
            </w:r>
          </w:p>
        </w:tc>
        <w:tc>
          <w:tcPr>
            <w:tcW w:w="1063" w:type="dxa"/>
          </w:tcPr>
          <w:p w14:paraId="3DA0F50E" w14:textId="77777777" w:rsidR="00CF1BE3" w:rsidRPr="0029110D" w:rsidRDefault="00CF1BE3" w:rsidP="00AB1FF1">
            <w:pPr>
              <w:jc w:val="center"/>
              <w:rPr>
                <w:sz w:val="20"/>
                <w:szCs w:val="20"/>
              </w:rPr>
            </w:pPr>
            <w:r w:rsidRPr="0029110D">
              <w:rPr>
                <w:sz w:val="20"/>
                <w:szCs w:val="20"/>
              </w:rPr>
              <w:t>2173</w:t>
            </w:r>
          </w:p>
        </w:tc>
        <w:tc>
          <w:tcPr>
            <w:tcW w:w="1063" w:type="dxa"/>
          </w:tcPr>
          <w:p w14:paraId="62E5E22A" w14:textId="77777777" w:rsidR="00CF1BE3" w:rsidRPr="0029110D" w:rsidRDefault="00CF1BE3" w:rsidP="00AB1FF1">
            <w:pPr>
              <w:jc w:val="center"/>
              <w:rPr>
                <w:sz w:val="20"/>
                <w:szCs w:val="20"/>
              </w:rPr>
            </w:pPr>
            <w:r w:rsidRPr="0029110D">
              <w:rPr>
                <w:sz w:val="20"/>
                <w:szCs w:val="20"/>
              </w:rPr>
              <w:t>1920</w:t>
            </w:r>
          </w:p>
        </w:tc>
        <w:tc>
          <w:tcPr>
            <w:tcW w:w="1064" w:type="dxa"/>
          </w:tcPr>
          <w:p w14:paraId="28225B6C" w14:textId="77777777" w:rsidR="00CF1BE3" w:rsidRPr="0029110D" w:rsidRDefault="00CF1BE3" w:rsidP="00AB1FF1">
            <w:pPr>
              <w:jc w:val="center"/>
              <w:rPr>
                <w:sz w:val="20"/>
                <w:szCs w:val="20"/>
              </w:rPr>
            </w:pPr>
            <w:r w:rsidRPr="0029110D">
              <w:rPr>
                <w:sz w:val="20"/>
                <w:szCs w:val="20"/>
              </w:rPr>
              <w:t>12851</w:t>
            </w:r>
          </w:p>
        </w:tc>
        <w:tc>
          <w:tcPr>
            <w:tcW w:w="1064" w:type="dxa"/>
          </w:tcPr>
          <w:p w14:paraId="491A02DE" w14:textId="77777777" w:rsidR="00CF1BE3" w:rsidRPr="0029110D" w:rsidRDefault="00CF1BE3" w:rsidP="00AB1FF1">
            <w:pPr>
              <w:jc w:val="center"/>
              <w:rPr>
                <w:sz w:val="20"/>
                <w:szCs w:val="20"/>
              </w:rPr>
            </w:pPr>
            <w:r w:rsidRPr="0029110D">
              <w:rPr>
                <w:sz w:val="20"/>
                <w:szCs w:val="20"/>
              </w:rPr>
              <w:t>11477</w:t>
            </w:r>
          </w:p>
        </w:tc>
        <w:tc>
          <w:tcPr>
            <w:tcW w:w="891" w:type="dxa"/>
          </w:tcPr>
          <w:p w14:paraId="05ECE72D" w14:textId="77777777" w:rsidR="00CF1BE3" w:rsidRPr="0029110D" w:rsidRDefault="00CF1BE3" w:rsidP="00AB1FF1">
            <w:pPr>
              <w:jc w:val="center"/>
              <w:rPr>
                <w:sz w:val="20"/>
                <w:szCs w:val="20"/>
              </w:rPr>
            </w:pPr>
            <w:r w:rsidRPr="0029110D">
              <w:rPr>
                <w:sz w:val="20"/>
                <w:szCs w:val="20"/>
              </w:rPr>
              <w:t>27</w:t>
            </w:r>
          </w:p>
        </w:tc>
        <w:tc>
          <w:tcPr>
            <w:tcW w:w="993" w:type="dxa"/>
          </w:tcPr>
          <w:p w14:paraId="6C6D6BBB" w14:textId="77777777" w:rsidR="00CF1BE3" w:rsidRPr="0029110D" w:rsidRDefault="00CF1BE3" w:rsidP="00AB1FF1">
            <w:pPr>
              <w:jc w:val="center"/>
              <w:rPr>
                <w:sz w:val="20"/>
                <w:szCs w:val="20"/>
              </w:rPr>
            </w:pPr>
            <w:r w:rsidRPr="0029110D">
              <w:rPr>
                <w:sz w:val="20"/>
                <w:szCs w:val="20"/>
              </w:rPr>
              <w:t>24</w:t>
            </w:r>
          </w:p>
        </w:tc>
      </w:tr>
      <w:tr w:rsidR="00CF1BE3" w:rsidRPr="0029110D" w14:paraId="642D7975" w14:textId="77777777" w:rsidTr="00AB1FF1">
        <w:trPr>
          <w:trHeight w:val="20"/>
        </w:trPr>
        <w:tc>
          <w:tcPr>
            <w:tcW w:w="1065" w:type="dxa"/>
            <w:vMerge/>
          </w:tcPr>
          <w:p w14:paraId="4E6385DC" w14:textId="77777777" w:rsidR="00CF1BE3" w:rsidRPr="0029110D" w:rsidRDefault="00CF1BE3" w:rsidP="00511EB4">
            <w:pPr>
              <w:rPr>
                <w:sz w:val="20"/>
                <w:szCs w:val="20"/>
              </w:rPr>
            </w:pPr>
          </w:p>
        </w:tc>
        <w:tc>
          <w:tcPr>
            <w:tcW w:w="1063" w:type="dxa"/>
            <w:vMerge w:val="restart"/>
          </w:tcPr>
          <w:p w14:paraId="5B131BF1" w14:textId="77777777" w:rsidR="00CF1BE3" w:rsidRPr="0029110D" w:rsidRDefault="00CF1BE3" w:rsidP="00AB1FF1">
            <w:pPr>
              <w:jc w:val="center"/>
              <w:rPr>
                <w:sz w:val="20"/>
                <w:szCs w:val="20"/>
              </w:rPr>
            </w:pPr>
            <w:r w:rsidRPr="0029110D">
              <w:rPr>
                <w:sz w:val="20"/>
                <w:szCs w:val="20"/>
              </w:rPr>
              <w:t>0,25</w:t>
            </w:r>
          </w:p>
        </w:tc>
        <w:tc>
          <w:tcPr>
            <w:tcW w:w="1063" w:type="dxa"/>
          </w:tcPr>
          <w:p w14:paraId="0723D049" w14:textId="77777777" w:rsidR="00CF1BE3" w:rsidRPr="0029110D" w:rsidRDefault="00CF1BE3" w:rsidP="00AB1FF1">
            <w:pPr>
              <w:jc w:val="center"/>
              <w:rPr>
                <w:sz w:val="20"/>
                <w:szCs w:val="20"/>
              </w:rPr>
            </w:pPr>
            <w:r w:rsidRPr="0029110D">
              <w:rPr>
                <w:sz w:val="20"/>
                <w:szCs w:val="20"/>
              </w:rPr>
              <w:t>1</w:t>
            </w:r>
          </w:p>
        </w:tc>
        <w:tc>
          <w:tcPr>
            <w:tcW w:w="1063" w:type="dxa"/>
          </w:tcPr>
          <w:p w14:paraId="03FA2AEF" w14:textId="5C5284AB" w:rsidR="00CF1BE3" w:rsidRPr="0029110D" w:rsidRDefault="00CF1BE3" w:rsidP="00AB1FF1">
            <w:pPr>
              <w:jc w:val="center"/>
              <w:rPr>
                <w:sz w:val="20"/>
                <w:szCs w:val="20"/>
              </w:rPr>
            </w:pPr>
            <w:r w:rsidRPr="0029110D">
              <w:rPr>
                <w:sz w:val="20"/>
                <w:szCs w:val="20"/>
              </w:rPr>
              <w:t>49</w:t>
            </w:r>
            <w:r w:rsidR="00EB77C9" w:rsidRPr="0029110D">
              <w:rPr>
                <w:sz w:val="20"/>
                <w:szCs w:val="20"/>
              </w:rPr>
              <w:t>,</w:t>
            </w:r>
            <w:r w:rsidRPr="0029110D">
              <w:rPr>
                <w:sz w:val="20"/>
                <w:szCs w:val="20"/>
              </w:rPr>
              <w:t>8</w:t>
            </w:r>
          </w:p>
        </w:tc>
        <w:tc>
          <w:tcPr>
            <w:tcW w:w="1063" w:type="dxa"/>
          </w:tcPr>
          <w:p w14:paraId="2F4DBEF5" w14:textId="64B86D95" w:rsidR="00CF1BE3" w:rsidRPr="0029110D" w:rsidRDefault="00CF1BE3" w:rsidP="00AB1FF1">
            <w:pPr>
              <w:jc w:val="center"/>
              <w:rPr>
                <w:sz w:val="20"/>
                <w:szCs w:val="20"/>
              </w:rPr>
            </w:pPr>
            <w:r w:rsidRPr="0029110D">
              <w:rPr>
                <w:sz w:val="20"/>
                <w:szCs w:val="20"/>
              </w:rPr>
              <w:t>52</w:t>
            </w:r>
            <w:r w:rsidR="00EB77C9" w:rsidRPr="0029110D">
              <w:rPr>
                <w:sz w:val="20"/>
                <w:szCs w:val="20"/>
              </w:rPr>
              <w:t>,</w:t>
            </w:r>
            <w:r w:rsidRPr="0029110D">
              <w:rPr>
                <w:sz w:val="20"/>
                <w:szCs w:val="20"/>
              </w:rPr>
              <w:t>0</w:t>
            </w:r>
          </w:p>
        </w:tc>
        <w:tc>
          <w:tcPr>
            <w:tcW w:w="1064" w:type="dxa"/>
          </w:tcPr>
          <w:p w14:paraId="54A39651" w14:textId="013A6CB6" w:rsidR="00CF1BE3" w:rsidRPr="0029110D" w:rsidRDefault="00CF1BE3" w:rsidP="00AB1FF1">
            <w:pPr>
              <w:jc w:val="center"/>
              <w:rPr>
                <w:sz w:val="20"/>
                <w:szCs w:val="20"/>
              </w:rPr>
            </w:pPr>
            <w:r w:rsidRPr="0029110D">
              <w:rPr>
                <w:sz w:val="20"/>
                <w:szCs w:val="20"/>
              </w:rPr>
              <w:t>242</w:t>
            </w:r>
          </w:p>
        </w:tc>
        <w:tc>
          <w:tcPr>
            <w:tcW w:w="1064" w:type="dxa"/>
          </w:tcPr>
          <w:p w14:paraId="22CA8F0C" w14:textId="3969263C" w:rsidR="00CF1BE3" w:rsidRPr="0029110D" w:rsidRDefault="00CF1BE3" w:rsidP="00AB1FF1">
            <w:pPr>
              <w:jc w:val="center"/>
              <w:rPr>
                <w:sz w:val="20"/>
                <w:szCs w:val="20"/>
              </w:rPr>
            </w:pPr>
            <w:r w:rsidRPr="0029110D">
              <w:rPr>
                <w:sz w:val="20"/>
                <w:szCs w:val="20"/>
              </w:rPr>
              <w:t>234</w:t>
            </w:r>
          </w:p>
        </w:tc>
        <w:tc>
          <w:tcPr>
            <w:tcW w:w="891" w:type="dxa"/>
          </w:tcPr>
          <w:p w14:paraId="4FDE8F3B" w14:textId="1250E8B0"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5</w:t>
            </w:r>
          </w:p>
        </w:tc>
        <w:tc>
          <w:tcPr>
            <w:tcW w:w="993" w:type="dxa"/>
          </w:tcPr>
          <w:p w14:paraId="2829BC67" w14:textId="44FB6F92"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5</w:t>
            </w:r>
          </w:p>
        </w:tc>
      </w:tr>
      <w:tr w:rsidR="00CF1BE3" w:rsidRPr="0029110D" w14:paraId="30DDEBC9" w14:textId="77777777" w:rsidTr="00AB1FF1">
        <w:trPr>
          <w:trHeight w:val="20"/>
        </w:trPr>
        <w:tc>
          <w:tcPr>
            <w:tcW w:w="1065" w:type="dxa"/>
            <w:vMerge/>
          </w:tcPr>
          <w:p w14:paraId="3F9966A1" w14:textId="77777777" w:rsidR="00CF1BE3" w:rsidRPr="0029110D" w:rsidRDefault="00CF1BE3" w:rsidP="00511EB4">
            <w:pPr>
              <w:rPr>
                <w:sz w:val="20"/>
                <w:szCs w:val="20"/>
              </w:rPr>
            </w:pPr>
          </w:p>
        </w:tc>
        <w:tc>
          <w:tcPr>
            <w:tcW w:w="1063" w:type="dxa"/>
            <w:vMerge/>
          </w:tcPr>
          <w:p w14:paraId="7B030241" w14:textId="77777777" w:rsidR="00CF1BE3" w:rsidRPr="0029110D" w:rsidRDefault="00CF1BE3" w:rsidP="00AB1FF1">
            <w:pPr>
              <w:jc w:val="center"/>
              <w:rPr>
                <w:sz w:val="20"/>
                <w:szCs w:val="20"/>
              </w:rPr>
            </w:pPr>
          </w:p>
        </w:tc>
        <w:tc>
          <w:tcPr>
            <w:tcW w:w="1063" w:type="dxa"/>
          </w:tcPr>
          <w:p w14:paraId="3D7A7AAA" w14:textId="77777777" w:rsidR="00CF1BE3" w:rsidRPr="0029110D" w:rsidRDefault="00CF1BE3" w:rsidP="00AB1FF1">
            <w:pPr>
              <w:jc w:val="center"/>
              <w:rPr>
                <w:sz w:val="20"/>
                <w:szCs w:val="20"/>
              </w:rPr>
            </w:pPr>
            <w:r w:rsidRPr="0029110D">
              <w:rPr>
                <w:sz w:val="20"/>
                <w:szCs w:val="20"/>
              </w:rPr>
              <w:t>28</w:t>
            </w:r>
          </w:p>
        </w:tc>
        <w:tc>
          <w:tcPr>
            <w:tcW w:w="1063" w:type="dxa"/>
          </w:tcPr>
          <w:p w14:paraId="1EC099C3" w14:textId="7CF40063" w:rsidR="00CF1BE3" w:rsidRPr="0029110D" w:rsidRDefault="00CF1BE3" w:rsidP="00AB1FF1">
            <w:pPr>
              <w:jc w:val="center"/>
              <w:rPr>
                <w:sz w:val="20"/>
                <w:szCs w:val="20"/>
              </w:rPr>
            </w:pPr>
            <w:r w:rsidRPr="0029110D">
              <w:rPr>
                <w:sz w:val="20"/>
                <w:szCs w:val="20"/>
              </w:rPr>
              <w:t>47</w:t>
            </w:r>
            <w:r w:rsidR="00EB77C9" w:rsidRPr="0029110D">
              <w:rPr>
                <w:sz w:val="20"/>
                <w:szCs w:val="20"/>
              </w:rPr>
              <w:t>,</w:t>
            </w:r>
            <w:r w:rsidRPr="0029110D">
              <w:rPr>
                <w:sz w:val="20"/>
                <w:szCs w:val="20"/>
              </w:rPr>
              <w:t>8</w:t>
            </w:r>
          </w:p>
        </w:tc>
        <w:tc>
          <w:tcPr>
            <w:tcW w:w="1063" w:type="dxa"/>
          </w:tcPr>
          <w:p w14:paraId="5DD784B0" w14:textId="37BFD9B1" w:rsidR="00CF1BE3" w:rsidRPr="0029110D" w:rsidRDefault="00CF1BE3" w:rsidP="00AB1FF1">
            <w:pPr>
              <w:jc w:val="center"/>
              <w:rPr>
                <w:sz w:val="20"/>
                <w:szCs w:val="20"/>
              </w:rPr>
            </w:pPr>
            <w:r w:rsidRPr="0029110D">
              <w:rPr>
                <w:sz w:val="20"/>
                <w:szCs w:val="20"/>
              </w:rPr>
              <w:t>44</w:t>
            </w:r>
            <w:r w:rsidR="00EB77C9" w:rsidRPr="0029110D">
              <w:rPr>
                <w:sz w:val="20"/>
                <w:szCs w:val="20"/>
              </w:rPr>
              <w:t>,</w:t>
            </w:r>
            <w:r w:rsidRPr="0029110D">
              <w:rPr>
                <w:sz w:val="20"/>
                <w:szCs w:val="20"/>
              </w:rPr>
              <w:t>9</w:t>
            </w:r>
          </w:p>
        </w:tc>
        <w:tc>
          <w:tcPr>
            <w:tcW w:w="1064" w:type="dxa"/>
          </w:tcPr>
          <w:p w14:paraId="300A2C47" w14:textId="191DBBF9" w:rsidR="00CF1BE3" w:rsidRPr="0029110D" w:rsidRDefault="00CF1BE3" w:rsidP="00AB1FF1">
            <w:pPr>
              <w:jc w:val="center"/>
              <w:rPr>
                <w:sz w:val="20"/>
                <w:szCs w:val="20"/>
              </w:rPr>
            </w:pPr>
            <w:r w:rsidRPr="0029110D">
              <w:rPr>
                <w:sz w:val="20"/>
                <w:szCs w:val="20"/>
              </w:rPr>
              <w:t>238</w:t>
            </w:r>
          </w:p>
        </w:tc>
        <w:tc>
          <w:tcPr>
            <w:tcW w:w="1064" w:type="dxa"/>
          </w:tcPr>
          <w:p w14:paraId="11517F8E" w14:textId="24C107EA" w:rsidR="00CF1BE3" w:rsidRPr="0029110D" w:rsidRDefault="00CF1BE3" w:rsidP="00AB1FF1">
            <w:pPr>
              <w:jc w:val="center"/>
              <w:rPr>
                <w:sz w:val="20"/>
                <w:szCs w:val="20"/>
              </w:rPr>
            </w:pPr>
            <w:r w:rsidRPr="0029110D">
              <w:rPr>
                <w:sz w:val="20"/>
                <w:szCs w:val="20"/>
              </w:rPr>
              <w:t>250</w:t>
            </w:r>
          </w:p>
        </w:tc>
        <w:tc>
          <w:tcPr>
            <w:tcW w:w="891" w:type="dxa"/>
          </w:tcPr>
          <w:p w14:paraId="7E97234E" w14:textId="560F1B5D"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5</w:t>
            </w:r>
          </w:p>
        </w:tc>
        <w:tc>
          <w:tcPr>
            <w:tcW w:w="993" w:type="dxa"/>
          </w:tcPr>
          <w:p w14:paraId="0732546F" w14:textId="1C99A43E"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5</w:t>
            </w:r>
          </w:p>
        </w:tc>
      </w:tr>
      <w:tr w:rsidR="00CF1BE3" w:rsidRPr="0029110D" w14:paraId="1D86F899" w14:textId="77777777" w:rsidTr="00AB1FF1">
        <w:trPr>
          <w:trHeight w:val="20"/>
        </w:trPr>
        <w:tc>
          <w:tcPr>
            <w:tcW w:w="1065" w:type="dxa"/>
            <w:vMerge/>
          </w:tcPr>
          <w:p w14:paraId="4CAB401B" w14:textId="77777777" w:rsidR="00CF1BE3" w:rsidRPr="0029110D" w:rsidRDefault="00CF1BE3" w:rsidP="00511EB4">
            <w:pPr>
              <w:rPr>
                <w:sz w:val="20"/>
                <w:szCs w:val="20"/>
              </w:rPr>
            </w:pPr>
          </w:p>
        </w:tc>
        <w:tc>
          <w:tcPr>
            <w:tcW w:w="1063" w:type="dxa"/>
            <w:vMerge/>
          </w:tcPr>
          <w:p w14:paraId="60C72D97" w14:textId="77777777" w:rsidR="00CF1BE3" w:rsidRPr="0029110D" w:rsidRDefault="00CF1BE3" w:rsidP="00AB1FF1">
            <w:pPr>
              <w:jc w:val="center"/>
              <w:rPr>
                <w:sz w:val="20"/>
                <w:szCs w:val="20"/>
              </w:rPr>
            </w:pPr>
          </w:p>
        </w:tc>
        <w:tc>
          <w:tcPr>
            <w:tcW w:w="1063" w:type="dxa"/>
          </w:tcPr>
          <w:p w14:paraId="542CD544" w14:textId="77777777" w:rsidR="00CF1BE3" w:rsidRPr="0029110D" w:rsidRDefault="00CF1BE3" w:rsidP="00AB1FF1">
            <w:pPr>
              <w:jc w:val="center"/>
              <w:rPr>
                <w:sz w:val="20"/>
                <w:szCs w:val="20"/>
              </w:rPr>
            </w:pPr>
            <w:r w:rsidRPr="0029110D">
              <w:rPr>
                <w:sz w:val="20"/>
                <w:szCs w:val="20"/>
              </w:rPr>
              <w:t>269</w:t>
            </w:r>
          </w:p>
        </w:tc>
        <w:tc>
          <w:tcPr>
            <w:tcW w:w="1063" w:type="dxa"/>
          </w:tcPr>
          <w:p w14:paraId="56FE829E" w14:textId="4D3E8FC0" w:rsidR="00CF1BE3" w:rsidRPr="0029110D" w:rsidRDefault="00CF1BE3" w:rsidP="00AB1FF1">
            <w:pPr>
              <w:jc w:val="center"/>
              <w:rPr>
                <w:sz w:val="20"/>
                <w:szCs w:val="20"/>
              </w:rPr>
            </w:pPr>
            <w:r w:rsidRPr="0029110D">
              <w:rPr>
                <w:sz w:val="20"/>
                <w:szCs w:val="20"/>
              </w:rPr>
              <w:t>48</w:t>
            </w:r>
            <w:r w:rsidR="00EB77C9" w:rsidRPr="0029110D">
              <w:rPr>
                <w:sz w:val="20"/>
                <w:szCs w:val="20"/>
              </w:rPr>
              <w:t>,</w:t>
            </w:r>
            <w:r w:rsidRPr="0029110D">
              <w:rPr>
                <w:sz w:val="20"/>
                <w:szCs w:val="20"/>
              </w:rPr>
              <w:t>0</w:t>
            </w:r>
          </w:p>
        </w:tc>
        <w:tc>
          <w:tcPr>
            <w:tcW w:w="1063" w:type="dxa"/>
          </w:tcPr>
          <w:p w14:paraId="7CE5DD55" w14:textId="741D9F8C" w:rsidR="00CF1BE3" w:rsidRPr="0029110D" w:rsidRDefault="00CF1BE3" w:rsidP="00AB1FF1">
            <w:pPr>
              <w:jc w:val="center"/>
              <w:rPr>
                <w:sz w:val="20"/>
                <w:szCs w:val="20"/>
              </w:rPr>
            </w:pPr>
            <w:r w:rsidRPr="0029110D">
              <w:rPr>
                <w:sz w:val="20"/>
                <w:szCs w:val="20"/>
              </w:rPr>
              <w:t>45</w:t>
            </w:r>
            <w:r w:rsidR="00EB77C9" w:rsidRPr="0029110D">
              <w:rPr>
                <w:sz w:val="20"/>
                <w:szCs w:val="20"/>
              </w:rPr>
              <w:t>,</w:t>
            </w:r>
            <w:r w:rsidRPr="0029110D">
              <w:rPr>
                <w:sz w:val="20"/>
                <w:szCs w:val="20"/>
              </w:rPr>
              <w:t>3</w:t>
            </w:r>
          </w:p>
        </w:tc>
        <w:tc>
          <w:tcPr>
            <w:tcW w:w="1064" w:type="dxa"/>
          </w:tcPr>
          <w:p w14:paraId="19690256" w14:textId="77777777" w:rsidR="00CF1BE3" w:rsidRPr="0029110D" w:rsidRDefault="00CF1BE3" w:rsidP="00AB1FF1">
            <w:pPr>
              <w:jc w:val="center"/>
              <w:rPr>
                <w:sz w:val="20"/>
                <w:szCs w:val="20"/>
              </w:rPr>
            </w:pPr>
            <w:r w:rsidRPr="0029110D">
              <w:rPr>
                <w:sz w:val="20"/>
                <w:szCs w:val="20"/>
              </w:rPr>
              <w:t>285</w:t>
            </w:r>
          </w:p>
        </w:tc>
        <w:tc>
          <w:tcPr>
            <w:tcW w:w="1064" w:type="dxa"/>
          </w:tcPr>
          <w:p w14:paraId="6C8B6BD7" w14:textId="77777777" w:rsidR="00CF1BE3" w:rsidRPr="0029110D" w:rsidRDefault="00CF1BE3" w:rsidP="00AB1FF1">
            <w:pPr>
              <w:jc w:val="center"/>
              <w:rPr>
                <w:sz w:val="20"/>
                <w:szCs w:val="20"/>
              </w:rPr>
            </w:pPr>
            <w:r w:rsidRPr="0029110D">
              <w:rPr>
                <w:sz w:val="20"/>
                <w:szCs w:val="20"/>
              </w:rPr>
              <w:t>261</w:t>
            </w:r>
          </w:p>
        </w:tc>
        <w:tc>
          <w:tcPr>
            <w:tcW w:w="891" w:type="dxa"/>
          </w:tcPr>
          <w:p w14:paraId="3BB505B3" w14:textId="2F7EC628"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6</w:t>
            </w:r>
          </w:p>
        </w:tc>
        <w:tc>
          <w:tcPr>
            <w:tcW w:w="993" w:type="dxa"/>
          </w:tcPr>
          <w:p w14:paraId="2AA881C4" w14:textId="2D84AF98" w:rsidR="00CF1BE3" w:rsidRPr="0029110D" w:rsidRDefault="00CF1BE3" w:rsidP="00AB1FF1">
            <w:pPr>
              <w:jc w:val="center"/>
              <w:rPr>
                <w:sz w:val="20"/>
                <w:szCs w:val="20"/>
              </w:rPr>
            </w:pPr>
            <w:r w:rsidRPr="0029110D">
              <w:rPr>
                <w:sz w:val="20"/>
                <w:szCs w:val="20"/>
              </w:rPr>
              <w:t>0</w:t>
            </w:r>
            <w:r w:rsidR="00EB77C9" w:rsidRPr="0029110D">
              <w:rPr>
                <w:sz w:val="20"/>
                <w:szCs w:val="20"/>
              </w:rPr>
              <w:t>,</w:t>
            </w:r>
            <w:r w:rsidRPr="0029110D">
              <w:rPr>
                <w:sz w:val="20"/>
                <w:szCs w:val="20"/>
              </w:rPr>
              <w:t>5</w:t>
            </w:r>
          </w:p>
        </w:tc>
      </w:tr>
      <w:tr w:rsidR="00CF1BE3" w:rsidRPr="0029110D" w14:paraId="78AC39EF" w14:textId="77777777" w:rsidTr="00AB1FF1">
        <w:trPr>
          <w:trHeight w:val="20"/>
        </w:trPr>
        <w:tc>
          <w:tcPr>
            <w:tcW w:w="1065" w:type="dxa"/>
            <w:vMerge/>
          </w:tcPr>
          <w:p w14:paraId="5DFBC87E" w14:textId="77777777" w:rsidR="00CF1BE3" w:rsidRPr="0029110D" w:rsidRDefault="00CF1BE3" w:rsidP="00511EB4">
            <w:pPr>
              <w:rPr>
                <w:sz w:val="20"/>
                <w:szCs w:val="20"/>
              </w:rPr>
            </w:pPr>
          </w:p>
        </w:tc>
        <w:tc>
          <w:tcPr>
            <w:tcW w:w="1063" w:type="dxa"/>
            <w:vMerge w:val="restart"/>
          </w:tcPr>
          <w:p w14:paraId="1F476B7B" w14:textId="77777777" w:rsidR="00CF1BE3" w:rsidRPr="0029110D" w:rsidRDefault="00CF1BE3" w:rsidP="00AB1FF1">
            <w:pPr>
              <w:jc w:val="center"/>
              <w:rPr>
                <w:sz w:val="20"/>
                <w:szCs w:val="20"/>
              </w:rPr>
            </w:pPr>
            <w:r w:rsidRPr="0029110D">
              <w:rPr>
                <w:sz w:val="20"/>
                <w:szCs w:val="20"/>
              </w:rPr>
              <w:t>3</w:t>
            </w:r>
          </w:p>
        </w:tc>
        <w:tc>
          <w:tcPr>
            <w:tcW w:w="1063" w:type="dxa"/>
          </w:tcPr>
          <w:p w14:paraId="11F32222" w14:textId="77777777" w:rsidR="00CF1BE3" w:rsidRPr="0029110D" w:rsidRDefault="00CF1BE3" w:rsidP="00AB1FF1">
            <w:pPr>
              <w:jc w:val="center"/>
              <w:rPr>
                <w:sz w:val="20"/>
                <w:szCs w:val="20"/>
              </w:rPr>
            </w:pPr>
            <w:r w:rsidRPr="0029110D">
              <w:rPr>
                <w:sz w:val="20"/>
                <w:szCs w:val="20"/>
              </w:rPr>
              <w:t>1</w:t>
            </w:r>
          </w:p>
        </w:tc>
        <w:tc>
          <w:tcPr>
            <w:tcW w:w="1063" w:type="dxa"/>
          </w:tcPr>
          <w:p w14:paraId="37711AAA" w14:textId="40E45C23" w:rsidR="00CF1BE3" w:rsidRPr="0029110D" w:rsidRDefault="00CF1BE3" w:rsidP="00AB1FF1">
            <w:pPr>
              <w:jc w:val="center"/>
              <w:rPr>
                <w:sz w:val="20"/>
                <w:szCs w:val="20"/>
              </w:rPr>
            </w:pPr>
            <w:r w:rsidRPr="0029110D">
              <w:rPr>
                <w:sz w:val="20"/>
                <w:szCs w:val="20"/>
              </w:rPr>
              <w:t>687</w:t>
            </w:r>
          </w:p>
        </w:tc>
        <w:tc>
          <w:tcPr>
            <w:tcW w:w="1063" w:type="dxa"/>
          </w:tcPr>
          <w:p w14:paraId="0918BAF6" w14:textId="13AF8E13" w:rsidR="00CF1BE3" w:rsidRPr="0029110D" w:rsidRDefault="00CF1BE3" w:rsidP="00AB1FF1">
            <w:pPr>
              <w:jc w:val="center"/>
              <w:rPr>
                <w:sz w:val="20"/>
                <w:szCs w:val="20"/>
              </w:rPr>
            </w:pPr>
            <w:r w:rsidRPr="0029110D">
              <w:rPr>
                <w:sz w:val="20"/>
                <w:szCs w:val="20"/>
              </w:rPr>
              <w:t>680</w:t>
            </w:r>
          </w:p>
        </w:tc>
        <w:tc>
          <w:tcPr>
            <w:tcW w:w="1064" w:type="dxa"/>
          </w:tcPr>
          <w:p w14:paraId="14C9229F" w14:textId="50EA1CD5" w:rsidR="00CF1BE3" w:rsidRPr="0029110D" w:rsidRDefault="00CF1BE3" w:rsidP="00AB1FF1">
            <w:pPr>
              <w:jc w:val="center"/>
              <w:rPr>
                <w:sz w:val="20"/>
                <w:szCs w:val="20"/>
              </w:rPr>
            </w:pPr>
            <w:r w:rsidRPr="0029110D">
              <w:rPr>
                <w:sz w:val="20"/>
                <w:szCs w:val="20"/>
              </w:rPr>
              <w:t>2964</w:t>
            </w:r>
          </w:p>
        </w:tc>
        <w:tc>
          <w:tcPr>
            <w:tcW w:w="1064" w:type="dxa"/>
          </w:tcPr>
          <w:p w14:paraId="0341EA88" w14:textId="4060FE7B" w:rsidR="00CF1BE3" w:rsidRPr="0029110D" w:rsidRDefault="00CF1BE3" w:rsidP="00AB1FF1">
            <w:pPr>
              <w:jc w:val="center"/>
              <w:rPr>
                <w:sz w:val="20"/>
                <w:szCs w:val="20"/>
              </w:rPr>
            </w:pPr>
            <w:r w:rsidRPr="0029110D">
              <w:rPr>
                <w:sz w:val="20"/>
                <w:szCs w:val="20"/>
              </w:rPr>
              <w:t>2997</w:t>
            </w:r>
          </w:p>
        </w:tc>
        <w:tc>
          <w:tcPr>
            <w:tcW w:w="891" w:type="dxa"/>
          </w:tcPr>
          <w:p w14:paraId="12CF22CC" w14:textId="5651237F" w:rsidR="00CF1BE3" w:rsidRPr="0029110D" w:rsidRDefault="00CF1BE3" w:rsidP="00AB1FF1">
            <w:pPr>
              <w:jc w:val="center"/>
              <w:rPr>
                <w:sz w:val="20"/>
                <w:szCs w:val="20"/>
              </w:rPr>
            </w:pPr>
            <w:r w:rsidRPr="0029110D">
              <w:rPr>
                <w:sz w:val="20"/>
                <w:szCs w:val="20"/>
              </w:rPr>
              <w:t>6</w:t>
            </w:r>
            <w:r w:rsidR="00EB77C9" w:rsidRPr="0029110D">
              <w:rPr>
                <w:sz w:val="20"/>
                <w:szCs w:val="20"/>
              </w:rPr>
              <w:t>,</w:t>
            </w:r>
            <w:r w:rsidRPr="0029110D">
              <w:rPr>
                <w:sz w:val="20"/>
                <w:szCs w:val="20"/>
              </w:rPr>
              <w:t>2</w:t>
            </w:r>
          </w:p>
        </w:tc>
        <w:tc>
          <w:tcPr>
            <w:tcW w:w="993" w:type="dxa"/>
          </w:tcPr>
          <w:p w14:paraId="2F76B937" w14:textId="01CBB1B5" w:rsidR="00CF1BE3" w:rsidRPr="0029110D" w:rsidRDefault="00CF1BE3" w:rsidP="00AB1FF1">
            <w:pPr>
              <w:jc w:val="center"/>
              <w:rPr>
                <w:sz w:val="20"/>
                <w:szCs w:val="20"/>
              </w:rPr>
            </w:pPr>
            <w:r w:rsidRPr="0029110D">
              <w:rPr>
                <w:sz w:val="20"/>
                <w:szCs w:val="20"/>
              </w:rPr>
              <w:t>6</w:t>
            </w:r>
            <w:r w:rsidR="00EB77C9" w:rsidRPr="0029110D">
              <w:rPr>
                <w:sz w:val="20"/>
                <w:szCs w:val="20"/>
              </w:rPr>
              <w:t>,</w:t>
            </w:r>
            <w:r w:rsidRPr="0029110D">
              <w:rPr>
                <w:sz w:val="20"/>
                <w:szCs w:val="20"/>
              </w:rPr>
              <w:t>3</w:t>
            </w:r>
          </w:p>
        </w:tc>
      </w:tr>
      <w:tr w:rsidR="00CF1BE3" w:rsidRPr="0029110D" w14:paraId="52E2FFA9" w14:textId="77777777" w:rsidTr="00AB1FF1">
        <w:trPr>
          <w:trHeight w:val="20"/>
        </w:trPr>
        <w:tc>
          <w:tcPr>
            <w:tcW w:w="1065" w:type="dxa"/>
            <w:vMerge/>
          </w:tcPr>
          <w:p w14:paraId="0237868E" w14:textId="77777777" w:rsidR="00CF1BE3" w:rsidRPr="0029110D" w:rsidRDefault="00CF1BE3" w:rsidP="00511EB4">
            <w:pPr>
              <w:rPr>
                <w:sz w:val="20"/>
                <w:szCs w:val="20"/>
              </w:rPr>
            </w:pPr>
          </w:p>
        </w:tc>
        <w:tc>
          <w:tcPr>
            <w:tcW w:w="1063" w:type="dxa"/>
            <w:vMerge/>
          </w:tcPr>
          <w:p w14:paraId="2731AB76" w14:textId="77777777" w:rsidR="00CF1BE3" w:rsidRPr="0029110D" w:rsidRDefault="00CF1BE3" w:rsidP="00AB1FF1">
            <w:pPr>
              <w:jc w:val="center"/>
              <w:rPr>
                <w:sz w:val="20"/>
                <w:szCs w:val="20"/>
              </w:rPr>
            </w:pPr>
          </w:p>
        </w:tc>
        <w:tc>
          <w:tcPr>
            <w:tcW w:w="1063" w:type="dxa"/>
          </w:tcPr>
          <w:p w14:paraId="378B9859" w14:textId="77777777" w:rsidR="00CF1BE3" w:rsidRPr="0029110D" w:rsidRDefault="00CF1BE3" w:rsidP="00AB1FF1">
            <w:pPr>
              <w:jc w:val="center"/>
              <w:rPr>
                <w:sz w:val="20"/>
                <w:szCs w:val="20"/>
              </w:rPr>
            </w:pPr>
            <w:r w:rsidRPr="0029110D">
              <w:rPr>
                <w:sz w:val="20"/>
                <w:szCs w:val="20"/>
              </w:rPr>
              <w:t>28</w:t>
            </w:r>
          </w:p>
        </w:tc>
        <w:tc>
          <w:tcPr>
            <w:tcW w:w="1063" w:type="dxa"/>
          </w:tcPr>
          <w:p w14:paraId="01606DF2" w14:textId="0D712596" w:rsidR="00CF1BE3" w:rsidRPr="0029110D" w:rsidRDefault="00CF1BE3" w:rsidP="00AB1FF1">
            <w:pPr>
              <w:jc w:val="center"/>
              <w:rPr>
                <w:sz w:val="20"/>
                <w:szCs w:val="20"/>
              </w:rPr>
            </w:pPr>
            <w:r w:rsidRPr="0029110D">
              <w:rPr>
                <w:sz w:val="20"/>
                <w:szCs w:val="20"/>
              </w:rPr>
              <w:t>657</w:t>
            </w:r>
          </w:p>
        </w:tc>
        <w:tc>
          <w:tcPr>
            <w:tcW w:w="1063" w:type="dxa"/>
          </w:tcPr>
          <w:p w14:paraId="6B6687B2" w14:textId="48BBADBB" w:rsidR="00CF1BE3" w:rsidRPr="0029110D" w:rsidRDefault="00CF1BE3" w:rsidP="00AB1FF1">
            <w:pPr>
              <w:jc w:val="center"/>
              <w:rPr>
                <w:sz w:val="20"/>
                <w:szCs w:val="20"/>
              </w:rPr>
            </w:pPr>
            <w:r w:rsidRPr="0029110D">
              <w:rPr>
                <w:sz w:val="20"/>
                <w:szCs w:val="20"/>
              </w:rPr>
              <w:t>657</w:t>
            </w:r>
          </w:p>
        </w:tc>
        <w:tc>
          <w:tcPr>
            <w:tcW w:w="1064" w:type="dxa"/>
          </w:tcPr>
          <w:p w14:paraId="5770AD00" w14:textId="6304A849" w:rsidR="00CF1BE3" w:rsidRPr="0029110D" w:rsidRDefault="00CF1BE3" w:rsidP="00AB1FF1">
            <w:pPr>
              <w:jc w:val="center"/>
              <w:rPr>
                <w:sz w:val="20"/>
                <w:szCs w:val="20"/>
              </w:rPr>
            </w:pPr>
            <w:r w:rsidRPr="0029110D">
              <w:rPr>
                <w:sz w:val="20"/>
                <w:szCs w:val="20"/>
              </w:rPr>
              <w:t>2900</w:t>
            </w:r>
          </w:p>
        </w:tc>
        <w:tc>
          <w:tcPr>
            <w:tcW w:w="1064" w:type="dxa"/>
          </w:tcPr>
          <w:p w14:paraId="18A9CF9D" w14:textId="44B8F20E" w:rsidR="00CF1BE3" w:rsidRPr="0029110D" w:rsidRDefault="00CF1BE3" w:rsidP="00AB1FF1">
            <w:pPr>
              <w:jc w:val="center"/>
              <w:rPr>
                <w:sz w:val="20"/>
                <w:szCs w:val="20"/>
              </w:rPr>
            </w:pPr>
            <w:r w:rsidRPr="0029110D">
              <w:rPr>
                <w:sz w:val="20"/>
                <w:szCs w:val="20"/>
              </w:rPr>
              <w:t>3049</w:t>
            </w:r>
          </w:p>
        </w:tc>
        <w:tc>
          <w:tcPr>
            <w:tcW w:w="891" w:type="dxa"/>
          </w:tcPr>
          <w:p w14:paraId="458E821E" w14:textId="7E6D15D0" w:rsidR="00CF1BE3" w:rsidRPr="0029110D" w:rsidRDefault="00CF1BE3" w:rsidP="00AB1FF1">
            <w:pPr>
              <w:jc w:val="center"/>
              <w:rPr>
                <w:sz w:val="20"/>
                <w:szCs w:val="20"/>
              </w:rPr>
            </w:pPr>
            <w:r w:rsidRPr="0029110D">
              <w:rPr>
                <w:sz w:val="20"/>
                <w:szCs w:val="20"/>
              </w:rPr>
              <w:t>6</w:t>
            </w:r>
            <w:r w:rsidR="00EB77C9" w:rsidRPr="0029110D">
              <w:rPr>
                <w:sz w:val="20"/>
                <w:szCs w:val="20"/>
              </w:rPr>
              <w:t>,</w:t>
            </w:r>
            <w:r w:rsidRPr="0029110D">
              <w:rPr>
                <w:sz w:val="20"/>
                <w:szCs w:val="20"/>
              </w:rPr>
              <w:t>1</w:t>
            </w:r>
          </w:p>
        </w:tc>
        <w:tc>
          <w:tcPr>
            <w:tcW w:w="993" w:type="dxa"/>
          </w:tcPr>
          <w:p w14:paraId="072288B3" w14:textId="39EABB16" w:rsidR="00CF1BE3" w:rsidRPr="0029110D" w:rsidRDefault="00CF1BE3" w:rsidP="00AB1FF1">
            <w:pPr>
              <w:jc w:val="center"/>
              <w:rPr>
                <w:sz w:val="20"/>
                <w:szCs w:val="20"/>
              </w:rPr>
            </w:pPr>
            <w:r w:rsidRPr="0029110D">
              <w:rPr>
                <w:sz w:val="20"/>
                <w:szCs w:val="20"/>
              </w:rPr>
              <w:t>6</w:t>
            </w:r>
            <w:r w:rsidR="00EB77C9" w:rsidRPr="0029110D">
              <w:rPr>
                <w:sz w:val="20"/>
                <w:szCs w:val="20"/>
              </w:rPr>
              <w:t>,</w:t>
            </w:r>
            <w:r w:rsidRPr="0029110D">
              <w:rPr>
                <w:sz w:val="20"/>
                <w:szCs w:val="20"/>
              </w:rPr>
              <w:t>4</w:t>
            </w:r>
          </w:p>
        </w:tc>
      </w:tr>
      <w:tr w:rsidR="00CF1BE3" w:rsidRPr="0029110D" w14:paraId="16E8990C" w14:textId="77777777" w:rsidTr="00AB1FF1">
        <w:trPr>
          <w:trHeight w:val="20"/>
        </w:trPr>
        <w:tc>
          <w:tcPr>
            <w:tcW w:w="1065" w:type="dxa"/>
            <w:vMerge/>
          </w:tcPr>
          <w:p w14:paraId="6976DEEB" w14:textId="77777777" w:rsidR="00CF1BE3" w:rsidRPr="0029110D" w:rsidRDefault="00CF1BE3" w:rsidP="00511EB4">
            <w:pPr>
              <w:rPr>
                <w:sz w:val="20"/>
                <w:szCs w:val="20"/>
              </w:rPr>
            </w:pPr>
          </w:p>
        </w:tc>
        <w:tc>
          <w:tcPr>
            <w:tcW w:w="1063" w:type="dxa"/>
            <w:vMerge/>
          </w:tcPr>
          <w:p w14:paraId="1052C620" w14:textId="77777777" w:rsidR="00CF1BE3" w:rsidRPr="0029110D" w:rsidRDefault="00CF1BE3" w:rsidP="00AB1FF1">
            <w:pPr>
              <w:jc w:val="center"/>
              <w:rPr>
                <w:sz w:val="20"/>
                <w:szCs w:val="20"/>
              </w:rPr>
            </w:pPr>
          </w:p>
        </w:tc>
        <w:tc>
          <w:tcPr>
            <w:tcW w:w="1063" w:type="dxa"/>
          </w:tcPr>
          <w:p w14:paraId="52876A8D" w14:textId="77777777" w:rsidR="00CF1BE3" w:rsidRPr="0029110D" w:rsidRDefault="00CF1BE3" w:rsidP="00AB1FF1">
            <w:pPr>
              <w:jc w:val="center"/>
              <w:rPr>
                <w:sz w:val="20"/>
                <w:szCs w:val="20"/>
              </w:rPr>
            </w:pPr>
            <w:r w:rsidRPr="0029110D">
              <w:rPr>
                <w:sz w:val="20"/>
                <w:szCs w:val="20"/>
              </w:rPr>
              <w:t>231</w:t>
            </w:r>
          </w:p>
        </w:tc>
        <w:tc>
          <w:tcPr>
            <w:tcW w:w="1063" w:type="dxa"/>
          </w:tcPr>
          <w:p w14:paraId="300F9484" w14:textId="77777777" w:rsidR="00CF1BE3" w:rsidRPr="0029110D" w:rsidRDefault="00CF1BE3" w:rsidP="00AB1FF1">
            <w:pPr>
              <w:jc w:val="center"/>
              <w:rPr>
                <w:sz w:val="20"/>
                <w:szCs w:val="20"/>
              </w:rPr>
            </w:pPr>
            <w:r w:rsidRPr="0029110D">
              <w:rPr>
                <w:sz w:val="20"/>
                <w:szCs w:val="20"/>
              </w:rPr>
              <w:t>631</w:t>
            </w:r>
          </w:p>
        </w:tc>
        <w:tc>
          <w:tcPr>
            <w:tcW w:w="1063" w:type="dxa"/>
          </w:tcPr>
          <w:p w14:paraId="60C15801" w14:textId="77777777" w:rsidR="00CF1BE3" w:rsidRPr="0029110D" w:rsidRDefault="00CF1BE3" w:rsidP="00AB1FF1">
            <w:pPr>
              <w:jc w:val="center"/>
              <w:rPr>
                <w:sz w:val="20"/>
                <w:szCs w:val="20"/>
              </w:rPr>
            </w:pPr>
            <w:r w:rsidRPr="0029110D">
              <w:rPr>
                <w:sz w:val="20"/>
                <w:szCs w:val="20"/>
              </w:rPr>
              <w:t>735</w:t>
            </w:r>
          </w:p>
        </w:tc>
        <w:tc>
          <w:tcPr>
            <w:tcW w:w="1064" w:type="dxa"/>
          </w:tcPr>
          <w:p w14:paraId="745A0636" w14:textId="77777777" w:rsidR="00CF1BE3" w:rsidRPr="0029110D" w:rsidRDefault="00CF1BE3" w:rsidP="00AB1FF1">
            <w:pPr>
              <w:jc w:val="center"/>
              <w:rPr>
                <w:sz w:val="20"/>
                <w:szCs w:val="20"/>
              </w:rPr>
            </w:pPr>
            <w:r w:rsidRPr="0029110D">
              <w:rPr>
                <w:sz w:val="20"/>
                <w:szCs w:val="20"/>
              </w:rPr>
              <w:t>3246</w:t>
            </w:r>
          </w:p>
        </w:tc>
        <w:tc>
          <w:tcPr>
            <w:tcW w:w="1064" w:type="dxa"/>
          </w:tcPr>
          <w:p w14:paraId="3CAD3C61" w14:textId="77777777" w:rsidR="00CF1BE3" w:rsidRPr="0029110D" w:rsidRDefault="00CF1BE3" w:rsidP="00AB1FF1">
            <w:pPr>
              <w:jc w:val="center"/>
              <w:rPr>
                <w:sz w:val="20"/>
                <w:szCs w:val="20"/>
              </w:rPr>
            </w:pPr>
            <w:r w:rsidRPr="0029110D">
              <w:rPr>
                <w:sz w:val="20"/>
                <w:szCs w:val="20"/>
              </w:rPr>
              <w:t>4085</w:t>
            </w:r>
          </w:p>
        </w:tc>
        <w:tc>
          <w:tcPr>
            <w:tcW w:w="891" w:type="dxa"/>
          </w:tcPr>
          <w:p w14:paraId="5CF22B54" w14:textId="7D180265" w:rsidR="00CF1BE3" w:rsidRPr="0029110D" w:rsidRDefault="00CF1BE3" w:rsidP="00AB1FF1">
            <w:pPr>
              <w:jc w:val="center"/>
              <w:rPr>
                <w:sz w:val="20"/>
                <w:szCs w:val="20"/>
              </w:rPr>
            </w:pPr>
            <w:r w:rsidRPr="0029110D">
              <w:rPr>
                <w:sz w:val="20"/>
                <w:szCs w:val="20"/>
              </w:rPr>
              <w:t>6</w:t>
            </w:r>
            <w:r w:rsidR="00EB77C9" w:rsidRPr="0029110D">
              <w:rPr>
                <w:sz w:val="20"/>
                <w:szCs w:val="20"/>
              </w:rPr>
              <w:t>,</w:t>
            </w:r>
            <w:r w:rsidRPr="0029110D">
              <w:rPr>
                <w:sz w:val="20"/>
                <w:szCs w:val="20"/>
              </w:rPr>
              <w:t>8</w:t>
            </w:r>
          </w:p>
        </w:tc>
        <w:tc>
          <w:tcPr>
            <w:tcW w:w="993" w:type="dxa"/>
          </w:tcPr>
          <w:p w14:paraId="51752A67" w14:textId="1D20E0DE" w:rsidR="00CF1BE3" w:rsidRPr="0029110D" w:rsidRDefault="00CF1BE3" w:rsidP="00AB1FF1">
            <w:pPr>
              <w:jc w:val="center"/>
              <w:rPr>
                <w:sz w:val="20"/>
                <w:szCs w:val="20"/>
              </w:rPr>
            </w:pPr>
            <w:r w:rsidRPr="0029110D">
              <w:rPr>
                <w:sz w:val="20"/>
                <w:szCs w:val="20"/>
              </w:rPr>
              <w:t>8</w:t>
            </w:r>
            <w:r w:rsidR="00EB77C9" w:rsidRPr="0029110D">
              <w:rPr>
                <w:sz w:val="20"/>
                <w:szCs w:val="20"/>
              </w:rPr>
              <w:t>,</w:t>
            </w:r>
            <w:r w:rsidRPr="0029110D">
              <w:rPr>
                <w:sz w:val="20"/>
                <w:szCs w:val="20"/>
              </w:rPr>
              <w:t>6</w:t>
            </w:r>
          </w:p>
        </w:tc>
      </w:tr>
      <w:tr w:rsidR="00CF1BE3" w:rsidRPr="0029110D" w14:paraId="4E70751D" w14:textId="77777777" w:rsidTr="00AB1FF1">
        <w:trPr>
          <w:trHeight w:val="20"/>
        </w:trPr>
        <w:tc>
          <w:tcPr>
            <w:tcW w:w="1065" w:type="dxa"/>
            <w:vMerge/>
          </w:tcPr>
          <w:p w14:paraId="74441CD9" w14:textId="77777777" w:rsidR="00CF1BE3" w:rsidRPr="0029110D" w:rsidRDefault="00CF1BE3" w:rsidP="00511EB4">
            <w:pPr>
              <w:rPr>
                <w:sz w:val="20"/>
                <w:szCs w:val="20"/>
              </w:rPr>
            </w:pPr>
          </w:p>
        </w:tc>
        <w:tc>
          <w:tcPr>
            <w:tcW w:w="1063" w:type="dxa"/>
            <w:vMerge w:val="restart"/>
          </w:tcPr>
          <w:p w14:paraId="7413B993" w14:textId="77777777" w:rsidR="00CF1BE3" w:rsidRPr="0029110D" w:rsidRDefault="00CF1BE3" w:rsidP="00AB1FF1">
            <w:pPr>
              <w:jc w:val="center"/>
              <w:rPr>
                <w:sz w:val="20"/>
                <w:szCs w:val="20"/>
                <w:vertAlign w:val="superscript"/>
              </w:rPr>
            </w:pPr>
            <w:r w:rsidRPr="0029110D">
              <w:rPr>
                <w:sz w:val="20"/>
                <w:szCs w:val="20"/>
              </w:rPr>
              <w:t>9/6</w:t>
            </w:r>
            <w:r w:rsidRPr="0029110D">
              <w:rPr>
                <w:sz w:val="20"/>
                <w:szCs w:val="20"/>
                <w:vertAlign w:val="superscript"/>
                <w:lang w:val="en-US"/>
              </w:rPr>
              <w:t>e</w:t>
            </w:r>
          </w:p>
        </w:tc>
        <w:tc>
          <w:tcPr>
            <w:tcW w:w="1063" w:type="dxa"/>
          </w:tcPr>
          <w:p w14:paraId="33C32946" w14:textId="77777777" w:rsidR="00CF1BE3" w:rsidRPr="0029110D" w:rsidRDefault="00CF1BE3" w:rsidP="00AB1FF1">
            <w:pPr>
              <w:jc w:val="center"/>
              <w:rPr>
                <w:sz w:val="20"/>
                <w:szCs w:val="20"/>
              </w:rPr>
            </w:pPr>
            <w:r w:rsidRPr="0029110D">
              <w:rPr>
                <w:sz w:val="20"/>
                <w:szCs w:val="20"/>
              </w:rPr>
              <w:t>1</w:t>
            </w:r>
          </w:p>
        </w:tc>
        <w:tc>
          <w:tcPr>
            <w:tcW w:w="1063" w:type="dxa"/>
          </w:tcPr>
          <w:p w14:paraId="6113396B" w14:textId="370DBD2B" w:rsidR="00CF1BE3" w:rsidRPr="0029110D" w:rsidRDefault="00CF1BE3" w:rsidP="00AB1FF1">
            <w:pPr>
              <w:jc w:val="center"/>
              <w:rPr>
                <w:sz w:val="20"/>
                <w:szCs w:val="20"/>
              </w:rPr>
            </w:pPr>
            <w:r w:rsidRPr="0029110D">
              <w:rPr>
                <w:sz w:val="20"/>
                <w:szCs w:val="20"/>
              </w:rPr>
              <w:t>1909</w:t>
            </w:r>
          </w:p>
        </w:tc>
        <w:tc>
          <w:tcPr>
            <w:tcW w:w="1063" w:type="dxa"/>
          </w:tcPr>
          <w:p w14:paraId="398EB9A7" w14:textId="251EECE5" w:rsidR="00CF1BE3" w:rsidRPr="0029110D" w:rsidRDefault="00CF1BE3" w:rsidP="00AB1FF1">
            <w:pPr>
              <w:jc w:val="center"/>
              <w:rPr>
                <w:sz w:val="20"/>
                <w:szCs w:val="20"/>
              </w:rPr>
            </w:pPr>
            <w:r w:rsidRPr="0029110D">
              <w:rPr>
                <w:sz w:val="20"/>
                <w:szCs w:val="20"/>
              </w:rPr>
              <w:t>1946</w:t>
            </w:r>
          </w:p>
        </w:tc>
        <w:tc>
          <w:tcPr>
            <w:tcW w:w="1064" w:type="dxa"/>
          </w:tcPr>
          <w:p w14:paraId="33751835" w14:textId="2E72D19A" w:rsidR="00CF1BE3" w:rsidRPr="0029110D" w:rsidRDefault="00CF1BE3" w:rsidP="00AB1FF1">
            <w:pPr>
              <w:jc w:val="center"/>
              <w:rPr>
                <w:sz w:val="20"/>
                <w:szCs w:val="20"/>
              </w:rPr>
            </w:pPr>
            <w:r w:rsidRPr="0029110D">
              <w:rPr>
                <w:sz w:val="20"/>
                <w:szCs w:val="20"/>
              </w:rPr>
              <w:t>9620</w:t>
            </w:r>
          </w:p>
        </w:tc>
        <w:tc>
          <w:tcPr>
            <w:tcW w:w="1064" w:type="dxa"/>
          </w:tcPr>
          <w:p w14:paraId="2E2E693E" w14:textId="05DFD492" w:rsidR="00CF1BE3" w:rsidRPr="0029110D" w:rsidRDefault="00CF1BE3" w:rsidP="00AB1FF1">
            <w:pPr>
              <w:jc w:val="center"/>
              <w:rPr>
                <w:sz w:val="20"/>
                <w:szCs w:val="20"/>
              </w:rPr>
            </w:pPr>
            <w:r w:rsidRPr="0029110D">
              <w:rPr>
                <w:sz w:val="20"/>
                <w:szCs w:val="20"/>
              </w:rPr>
              <w:t>9657</w:t>
            </w:r>
          </w:p>
        </w:tc>
        <w:tc>
          <w:tcPr>
            <w:tcW w:w="891" w:type="dxa"/>
          </w:tcPr>
          <w:p w14:paraId="45884E02" w14:textId="76EA8D6C" w:rsidR="00CF1BE3" w:rsidRPr="0029110D" w:rsidRDefault="00CF1BE3" w:rsidP="00AB1FF1">
            <w:pPr>
              <w:jc w:val="center"/>
              <w:rPr>
                <w:sz w:val="20"/>
                <w:szCs w:val="20"/>
              </w:rPr>
            </w:pPr>
            <w:r w:rsidRPr="0029110D">
              <w:rPr>
                <w:sz w:val="20"/>
                <w:szCs w:val="20"/>
              </w:rPr>
              <w:t>20</w:t>
            </w:r>
          </w:p>
        </w:tc>
        <w:tc>
          <w:tcPr>
            <w:tcW w:w="993" w:type="dxa"/>
          </w:tcPr>
          <w:p w14:paraId="19257E71" w14:textId="77777777" w:rsidR="00CF1BE3" w:rsidRPr="0029110D" w:rsidRDefault="00CF1BE3" w:rsidP="00AB1FF1">
            <w:pPr>
              <w:jc w:val="center"/>
              <w:rPr>
                <w:sz w:val="20"/>
                <w:szCs w:val="20"/>
              </w:rPr>
            </w:pPr>
            <w:r w:rsidRPr="0029110D">
              <w:rPr>
                <w:sz w:val="20"/>
                <w:szCs w:val="20"/>
              </w:rPr>
              <w:t>20</w:t>
            </w:r>
          </w:p>
        </w:tc>
      </w:tr>
      <w:tr w:rsidR="00CF1BE3" w:rsidRPr="0029110D" w14:paraId="06D0B83E" w14:textId="77777777" w:rsidTr="00AB1FF1">
        <w:trPr>
          <w:trHeight w:val="20"/>
        </w:trPr>
        <w:tc>
          <w:tcPr>
            <w:tcW w:w="1065" w:type="dxa"/>
            <w:vMerge/>
          </w:tcPr>
          <w:p w14:paraId="4B49BEFD" w14:textId="77777777" w:rsidR="00CF1BE3" w:rsidRPr="0029110D" w:rsidRDefault="00CF1BE3" w:rsidP="00511EB4">
            <w:pPr>
              <w:rPr>
                <w:sz w:val="20"/>
                <w:szCs w:val="20"/>
              </w:rPr>
            </w:pPr>
          </w:p>
        </w:tc>
        <w:tc>
          <w:tcPr>
            <w:tcW w:w="1063" w:type="dxa"/>
            <w:vMerge/>
          </w:tcPr>
          <w:p w14:paraId="6730C780" w14:textId="77777777" w:rsidR="00CF1BE3" w:rsidRPr="0029110D" w:rsidRDefault="00CF1BE3" w:rsidP="00AB1FF1">
            <w:pPr>
              <w:jc w:val="center"/>
              <w:rPr>
                <w:sz w:val="20"/>
                <w:szCs w:val="20"/>
              </w:rPr>
            </w:pPr>
          </w:p>
        </w:tc>
        <w:tc>
          <w:tcPr>
            <w:tcW w:w="1063" w:type="dxa"/>
          </w:tcPr>
          <w:p w14:paraId="5562604D" w14:textId="77777777" w:rsidR="00CF1BE3" w:rsidRPr="0029110D" w:rsidRDefault="00CF1BE3" w:rsidP="00AB1FF1">
            <w:pPr>
              <w:jc w:val="center"/>
              <w:rPr>
                <w:sz w:val="20"/>
                <w:szCs w:val="20"/>
              </w:rPr>
            </w:pPr>
            <w:r w:rsidRPr="0029110D">
              <w:rPr>
                <w:sz w:val="20"/>
                <w:szCs w:val="20"/>
              </w:rPr>
              <w:t>28</w:t>
            </w:r>
          </w:p>
        </w:tc>
        <w:tc>
          <w:tcPr>
            <w:tcW w:w="1063" w:type="dxa"/>
          </w:tcPr>
          <w:p w14:paraId="3A154BE8" w14:textId="1F4064C4" w:rsidR="00CF1BE3" w:rsidRPr="0029110D" w:rsidRDefault="00CF1BE3" w:rsidP="00AB1FF1">
            <w:pPr>
              <w:jc w:val="center"/>
              <w:rPr>
                <w:sz w:val="20"/>
                <w:szCs w:val="20"/>
              </w:rPr>
            </w:pPr>
            <w:r w:rsidRPr="0029110D">
              <w:rPr>
                <w:sz w:val="20"/>
                <w:szCs w:val="20"/>
              </w:rPr>
              <w:t>2893</w:t>
            </w:r>
          </w:p>
        </w:tc>
        <w:tc>
          <w:tcPr>
            <w:tcW w:w="1063" w:type="dxa"/>
          </w:tcPr>
          <w:p w14:paraId="5E0DC644" w14:textId="046688DA" w:rsidR="00CF1BE3" w:rsidRPr="0029110D" w:rsidRDefault="00CF1BE3" w:rsidP="00AB1FF1">
            <w:pPr>
              <w:jc w:val="center"/>
              <w:rPr>
                <w:sz w:val="20"/>
                <w:szCs w:val="20"/>
              </w:rPr>
            </w:pPr>
            <w:r w:rsidRPr="0029110D">
              <w:rPr>
                <w:sz w:val="20"/>
                <w:szCs w:val="20"/>
              </w:rPr>
              <w:t>2159</w:t>
            </w:r>
          </w:p>
        </w:tc>
        <w:tc>
          <w:tcPr>
            <w:tcW w:w="1064" w:type="dxa"/>
          </w:tcPr>
          <w:p w14:paraId="517C0761" w14:textId="6C9CB7E8" w:rsidR="00CF1BE3" w:rsidRPr="0029110D" w:rsidRDefault="00CF1BE3" w:rsidP="00AB1FF1">
            <w:pPr>
              <w:jc w:val="center"/>
              <w:rPr>
                <w:sz w:val="20"/>
                <w:szCs w:val="20"/>
              </w:rPr>
            </w:pPr>
            <w:r w:rsidRPr="0029110D">
              <w:rPr>
                <w:sz w:val="20"/>
                <w:szCs w:val="20"/>
              </w:rPr>
              <w:t>19165</w:t>
            </w:r>
          </w:p>
        </w:tc>
        <w:tc>
          <w:tcPr>
            <w:tcW w:w="1064" w:type="dxa"/>
          </w:tcPr>
          <w:p w14:paraId="1E33E490" w14:textId="53483FA2" w:rsidR="00CF1BE3" w:rsidRPr="0029110D" w:rsidRDefault="00CF1BE3" w:rsidP="00AB1FF1">
            <w:pPr>
              <w:jc w:val="center"/>
              <w:rPr>
                <w:sz w:val="20"/>
                <w:szCs w:val="20"/>
              </w:rPr>
            </w:pPr>
            <w:r w:rsidRPr="0029110D">
              <w:rPr>
                <w:sz w:val="20"/>
                <w:szCs w:val="20"/>
              </w:rPr>
              <w:t>12257</w:t>
            </w:r>
          </w:p>
        </w:tc>
        <w:tc>
          <w:tcPr>
            <w:tcW w:w="891" w:type="dxa"/>
          </w:tcPr>
          <w:p w14:paraId="47D4375D" w14:textId="15BE098A" w:rsidR="00CF1BE3" w:rsidRPr="0029110D" w:rsidRDefault="00CF1BE3" w:rsidP="00AB1FF1">
            <w:pPr>
              <w:jc w:val="center"/>
              <w:rPr>
                <w:sz w:val="20"/>
                <w:szCs w:val="20"/>
              </w:rPr>
            </w:pPr>
            <w:r w:rsidRPr="0029110D">
              <w:rPr>
                <w:sz w:val="20"/>
                <w:szCs w:val="20"/>
              </w:rPr>
              <w:t>40</w:t>
            </w:r>
          </w:p>
        </w:tc>
        <w:tc>
          <w:tcPr>
            <w:tcW w:w="993" w:type="dxa"/>
          </w:tcPr>
          <w:p w14:paraId="335CB677" w14:textId="3680A4E3" w:rsidR="00CF1BE3" w:rsidRPr="0029110D" w:rsidRDefault="00CF1BE3" w:rsidP="00AB1FF1">
            <w:pPr>
              <w:jc w:val="center"/>
              <w:rPr>
                <w:sz w:val="20"/>
                <w:szCs w:val="20"/>
              </w:rPr>
            </w:pPr>
            <w:r w:rsidRPr="0029110D">
              <w:rPr>
                <w:sz w:val="20"/>
                <w:szCs w:val="20"/>
              </w:rPr>
              <w:t>26</w:t>
            </w:r>
          </w:p>
        </w:tc>
      </w:tr>
      <w:tr w:rsidR="00CF1BE3" w:rsidRPr="0029110D" w14:paraId="600655F8" w14:textId="77777777" w:rsidTr="00AB1FF1">
        <w:trPr>
          <w:trHeight w:val="20"/>
        </w:trPr>
        <w:tc>
          <w:tcPr>
            <w:tcW w:w="1065" w:type="dxa"/>
            <w:vMerge/>
          </w:tcPr>
          <w:p w14:paraId="1038E12B" w14:textId="77777777" w:rsidR="00CF1BE3" w:rsidRPr="0029110D" w:rsidRDefault="00CF1BE3" w:rsidP="00511EB4">
            <w:pPr>
              <w:rPr>
                <w:sz w:val="20"/>
                <w:szCs w:val="20"/>
              </w:rPr>
            </w:pPr>
          </w:p>
        </w:tc>
        <w:tc>
          <w:tcPr>
            <w:tcW w:w="1063" w:type="dxa"/>
            <w:vMerge/>
          </w:tcPr>
          <w:p w14:paraId="7122DC66" w14:textId="77777777" w:rsidR="00CF1BE3" w:rsidRPr="0029110D" w:rsidRDefault="00CF1BE3" w:rsidP="00AB1FF1">
            <w:pPr>
              <w:jc w:val="center"/>
              <w:rPr>
                <w:sz w:val="20"/>
                <w:szCs w:val="20"/>
              </w:rPr>
            </w:pPr>
          </w:p>
        </w:tc>
        <w:tc>
          <w:tcPr>
            <w:tcW w:w="1063" w:type="dxa"/>
          </w:tcPr>
          <w:p w14:paraId="616E3495" w14:textId="77777777" w:rsidR="00CF1BE3" w:rsidRPr="0029110D" w:rsidRDefault="00CF1BE3" w:rsidP="00AB1FF1">
            <w:pPr>
              <w:jc w:val="center"/>
              <w:rPr>
                <w:sz w:val="20"/>
                <w:szCs w:val="20"/>
              </w:rPr>
            </w:pPr>
            <w:r w:rsidRPr="0029110D">
              <w:rPr>
                <w:sz w:val="20"/>
                <w:szCs w:val="20"/>
              </w:rPr>
              <w:t>231</w:t>
            </w:r>
          </w:p>
        </w:tc>
        <w:tc>
          <w:tcPr>
            <w:tcW w:w="1063" w:type="dxa"/>
          </w:tcPr>
          <w:p w14:paraId="5BE417F6" w14:textId="77777777" w:rsidR="00CF1BE3" w:rsidRPr="0029110D" w:rsidRDefault="00CF1BE3" w:rsidP="00AB1FF1">
            <w:pPr>
              <w:jc w:val="center"/>
              <w:rPr>
                <w:sz w:val="20"/>
                <w:szCs w:val="20"/>
              </w:rPr>
            </w:pPr>
            <w:r w:rsidRPr="0029110D">
              <w:rPr>
                <w:sz w:val="20"/>
                <w:szCs w:val="20"/>
              </w:rPr>
              <w:t>1909</w:t>
            </w:r>
          </w:p>
        </w:tc>
        <w:tc>
          <w:tcPr>
            <w:tcW w:w="1063" w:type="dxa"/>
          </w:tcPr>
          <w:p w14:paraId="58781E6B" w14:textId="77777777" w:rsidR="00CF1BE3" w:rsidRPr="0029110D" w:rsidRDefault="00CF1BE3" w:rsidP="00AB1FF1">
            <w:pPr>
              <w:jc w:val="center"/>
              <w:rPr>
                <w:sz w:val="20"/>
                <w:szCs w:val="20"/>
              </w:rPr>
            </w:pPr>
            <w:r w:rsidRPr="0029110D">
              <w:rPr>
                <w:sz w:val="20"/>
                <w:szCs w:val="20"/>
              </w:rPr>
              <w:t>1586</w:t>
            </w:r>
          </w:p>
        </w:tc>
        <w:tc>
          <w:tcPr>
            <w:tcW w:w="1064" w:type="dxa"/>
          </w:tcPr>
          <w:p w14:paraId="1333D7D9" w14:textId="77777777" w:rsidR="00CF1BE3" w:rsidRPr="0029110D" w:rsidRDefault="00CF1BE3" w:rsidP="00AB1FF1">
            <w:pPr>
              <w:jc w:val="center"/>
              <w:rPr>
                <w:sz w:val="20"/>
                <w:szCs w:val="20"/>
              </w:rPr>
            </w:pPr>
            <w:r w:rsidRPr="0029110D">
              <w:rPr>
                <w:sz w:val="20"/>
                <w:szCs w:val="20"/>
              </w:rPr>
              <w:t>9211</w:t>
            </w:r>
          </w:p>
        </w:tc>
        <w:tc>
          <w:tcPr>
            <w:tcW w:w="1064" w:type="dxa"/>
          </w:tcPr>
          <w:p w14:paraId="46EC65AA" w14:textId="77777777" w:rsidR="00CF1BE3" w:rsidRPr="0029110D" w:rsidRDefault="00CF1BE3" w:rsidP="00AB1FF1">
            <w:pPr>
              <w:jc w:val="center"/>
              <w:rPr>
                <w:sz w:val="20"/>
                <w:szCs w:val="20"/>
              </w:rPr>
            </w:pPr>
            <w:r w:rsidRPr="0029110D">
              <w:rPr>
                <w:sz w:val="20"/>
                <w:szCs w:val="20"/>
              </w:rPr>
              <w:t>8283</w:t>
            </w:r>
          </w:p>
        </w:tc>
        <w:tc>
          <w:tcPr>
            <w:tcW w:w="891" w:type="dxa"/>
          </w:tcPr>
          <w:p w14:paraId="76050FAF" w14:textId="77777777" w:rsidR="00CF1BE3" w:rsidRPr="0029110D" w:rsidRDefault="00CF1BE3" w:rsidP="00AB1FF1">
            <w:pPr>
              <w:jc w:val="center"/>
              <w:rPr>
                <w:sz w:val="20"/>
                <w:szCs w:val="20"/>
              </w:rPr>
            </w:pPr>
            <w:r w:rsidRPr="0029110D">
              <w:rPr>
                <w:sz w:val="20"/>
                <w:szCs w:val="20"/>
              </w:rPr>
              <w:t>19</w:t>
            </w:r>
          </w:p>
        </w:tc>
        <w:tc>
          <w:tcPr>
            <w:tcW w:w="993" w:type="dxa"/>
          </w:tcPr>
          <w:p w14:paraId="3B37A01D" w14:textId="77777777" w:rsidR="00CF1BE3" w:rsidRPr="0029110D" w:rsidRDefault="00CF1BE3" w:rsidP="00AB1FF1">
            <w:pPr>
              <w:jc w:val="center"/>
              <w:rPr>
                <w:sz w:val="20"/>
                <w:szCs w:val="20"/>
              </w:rPr>
            </w:pPr>
            <w:r w:rsidRPr="0029110D">
              <w:rPr>
                <w:sz w:val="20"/>
                <w:szCs w:val="20"/>
              </w:rPr>
              <w:t>17</w:t>
            </w:r>
          </w:p>
        </w:tc>
      </w:tr>
      <w:tr w:rsidR="00CF1BE3" w:rsidRPr="0029110D" w14:paraId="686FF500" w14:textId="77777777" w:rsidTr="00AB1FF1">
        <w:trPr>
          <w:trHeight w:val="20"/>
        </w:trPr>
        <w:tc>
          <w:tcPr>
            <w:tcW w:w="9329" w:type="dxa"/>
            <w:gridSpan w:val="9"/>
          </w:tcPr>
          <w:p w14:paraId="6E1CF856" w14:textId="4D7C8997" w:rsidR="00CF1BE3" w:rsidRPr="0029110D" w:rsidRDefault="009B20AA" w:rsidP="009B20AA">
            <w:pPr>
              <w:contextualSpacing/>
              <w:rPr>
                <w:sz w:val="20"/>
                <w:szCs w:val="20"/>
              </w:rPr>
            </w:pPr>
            <w:r w:rsidRPr="0029110D">
              <w:rPr>
                <w:b/>
                <w:sz w:val="20"/>
                <w:szCs w:val="20"/>
              </w:rPr>
              <w:t>Примечание:</w:t>
            </w:r>
            <w:r w:rsidRPr="0029110D">
              <w:rPr>
                <w:sz w:val="20"/>
                <w:szCs w:val="20"/>
              </w:rPr>
              <w:br/>
            </w:r>
            <w:r w:rsidR="00CF1BE3" w:rsidRPr="0029110D">
              <w:rPr>
                <w:sz w:val="20"/>
                <w:szCs w:val="20"/>
              </w:rPr>
              <w:t>а – самцам вводили 100 мг/кг в течение всего исследователя, самкам вводили 100 мг/кг в течение 22–23 дней с последующим перерывом в дозировании на 3–4 дня и вводили 60 мг/кг до конца исследования; b – начиная с 17-го дня, вводимая доза была снижена до 0,75 мг/кг/день до конца исследования; c – начиная с 17-го дня, вводимая доза была снижена до 2,5 мг/кг/день до конца исследования; d – уровень дозы 20 мг/кг вводили в дни 1–3, после чего следовал 3-дневный перерыв во введении. Дозу 15 мг/кг вводили в дни 7–11 с последующим 10-дневным перерывом в дозировании. Введение возобновили на уровне дозы 5 мг/кг на 22-й день и продолжали до конца исследования; e – животные получали 9 мг/кг с 1-го по 50-й день, с перерывом в приеме с 51-го по 57-й день и получали 6 мг/кг до конца исследования.</w:t>
            </w:r>
          </w:p>
        </w:tc>
      </w:tr>
    </w:tbl>
    <w:p w14:paraId="2A16E149" w14:textId="77777777" w:rsidR="00CF1BE3" w:rsidRPr="004A194B" w:rsidRDefault="00CF1BE3">
      <w:pPr>
        <w:spacing w:after="0" w:line="240" w:lineRule="auto"/>
        <w:contextualSpacing/>
      </w:pPr>
    </w:p>
    <w:p w14:paraId="4ACD70A8" w14:textId="77777777" w:rsidR="00CF1BE3" w:rsidRPr="005E6358" w:rsidRDefault="00CF1BE3" w:rsidP="00AB1FF1">
      <w:pPr>
        <w:pStyle w:val="3"/>
        <w:spacing w:before="0" w:after="240"/>
        <w:contextualSpacing/>
        <w:rPr>
          <w:color w:val="000000" w:themeColor="text1"/>
          <w:szCs w:val="24"/>
        </w:rPr>
      </w:pPr>
      <w:bookmarkStart w:id="124" w:name="_Toc120288156"/>
      <w:r>
        <w:rPr>
          <w:color w:val="000000" w:themeColor="text1"/>
          <w:szCs w:val="24"/>
        </w:rPr>
        <w:t>3.3.8</w:t>
      </w:r>
      <w:r w:rsidRPr="005E6358">
        <w:rPr>
          <w:color w:val="000000" w:themeColor="text1"/>
          <w:szCs w:val="24"/>
        </w:rPr>
        <w:t xml:space="preserve">. </w:t>
      </w:r>
      <w:r w:rsidRPr="00781AE0">
        <w:rPr>
          <w:color w:val="000000" w:themeColor="text1"/>
          <w:szCs w:val="24"/>
        </w:rPr>
        <w:t>Прочие исследования</w:t>
      </w:r>
      <w:bookmarkEnd w:id="124"/>
    </w:p>
    <w:p w14:paraId="4667AD48" w14:textId="0526F32A" w:rsidR="00CF1BE3" w:rsidRDefault="00CF1BE3">
      <w:pPr>
        <w:spacing w:after="0" w:line="240" w:lineRule="auto"/>
        <w:ind w:firstLine="709"/>
        <w:contextualSpacing/>
        <w:rPr>
          <w:shd w:val="clear" w:color="auto" w:fill="FFFFFF"/>
        </w:rPr>
      </w:pPr>
      <w:r>
        <w:rPr>
          <w:bCs/>
          <w:iCs/>
          <w:lang w:eastAsia="en-US"/>
        </w:rPr>
        <w:t>Нет данных.</w:t>
      </w:r>
      <w:r w:rsidRPr="00D05228">
        <w:rPr>
          <w:shd w:val="clear" w:color="auto" w:fill="FFFFFF"/>
        </w:rPr>
        <w:t xml:space="preserve"> </w:t>
      </w:r>
    </w:p>
    <w:p w14:paraId="424B5039" w14:textId="77777777" w:rsidR="00EB77C9" w:rsidRPr="00D05228" w:rsidRDefault="00EB77C9">
      <w:pPr>
        <w:spacing w:after="0" w:line="240" w:lineRule="auto"/>
        <w:ind w:firstLine="709"/>
        <w:contextualSpacing/>
      </w:pPr>
    </w:p>
    <w:p w14:paraId="126F6B3E" w14:textId="77777777" w:rsidR="00CF1BE3" w:rsidRPr="002E7351" w:rsidRDefault="00CF1BE3" w:rsidP="00AB1FF1">
      <w:pPr>
        <w:pStyle w:val="4"/>
        <w:spacing w:before="0" w:after="240"/>
        <w:contextualSpacing/>
        <w:rPr>
          <w:color w:val="000000" w:themeColor="text1"/>
          <w:szCs w:val="24"/>
        </w:rPr>
      </w:pPr>
      <w:bookmarkStart w:id="125" w:name="_Toc120288157"/>
      <w:r>
        <w:rPr>
          <w:color w:val="000000" w:themeColor="text1"/>
          <w:szCs w:val="24"/>
        </w:rPr>
        <w:lastRenderedPageBreak/>
        <w:t>3.3.8</w:t>
      </w:r>
      <w:r w:rsidRPr="002E7351">
        <w:rPr>
          <w:color w:val="000000" w:themeColor="text1"/>
          <w:szCs w:val="24"/>
        </w:rPr>
        <w:t>.</w:t>
      </w:r>
      <w:r>
        <w:rPr>
          <w:color w:val="000000" w:themeColor="text1"/>
          <w:szCs w:val="24"/>
        </w:rPr>
        <w:t xml:space="preserve">1. </w:t>
      </w:r>
      <w:r w:rsidRPr="002E7351">
        <w:rPr>
          <w:color w:val="000000" w:themeColor="text1"/>
          <w:szCs w:val="24"/>
        </w:rPr>
        <w:t>Фототоксичность</w:t>
      </w:r>
      <w:bookmarkEnd w:id="125"/>
    </w:p>
    <w:p w14:paraId="5771D2F5" w14:textId="77777777" w:rsidR="00CF1BE3" w:rsidRPr="004A300A" w:rsidRDefault="00CF1BE3">
      <w:pPr>
        <w:spacing w:after="0" w:line="240" w:lineRule="auto"/>
        <w:ind w:firstLine="709"/>
        <w:contextualSpacing/>
        <w:rPr>
          <w:bCs/>
          <w:iCs/>
          <w:lang w:eastAsia="en-US"/>
        </w:rPr>
      </w:pPr>
      <w:r w:rsidRPr="00F32248">
        <w:rPr>
          <w:bCs/>
          <w:iCs/>
          <w:lang w:eastAsia="en-US"/>
        </w:rPr>
        <w:t xml:space="preserve">Основываясь на результатах скринингового анализа фототоксичности поглощения нейтрального красного, у барицитиниба отсутствует какой-либо фототоксический </w:t>
      </w:r>
      <w:r w:rsidRPr="004A300A">
        <w:rPr>
          <w:bCs/>
          <w:iCs/>
          <w:lang w:eastAsia="en-US"/>
        </w:rPr>
        <w:t xml:space="preserve">потенциал </w:t>
      </w:r>
      <w:r w:rsidRPr="004A300A">
        <w:fldChar w:fldCharType="begin"/>
      </w:r>
      <w:r>
        <w:instrText xml:space="preserve"> ADDIN ZOTERO_ITEM CSL_CITATION {"citationID":"upKKF7vs","properties":{"formattedCitation":"[1]","plainCitation":"[1]","noteIndex":0},"citationItems":[{"id":3825,"uris":["http://zotero.org/groups/4514912/items/7R9UX5LD"],"itemData":{"id":3825,"type":"document","title":"Australian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4A300A">
        <w:fldChar w:fldCharType="separate"/>
      </w:r>
      <w:r w:rsidRPr="004A300A">
        <w:t>[1]</w:t>
      </w:r>
      <w:r w:rsidRPr="004A300A">
        <w:fldChar w:fldCharType="end"/>
      </w:r>
      <w:r w:rsidRPr="004A300A">
        <w:t>.</w:t>
      </w:r>
    </w:p>
    <w:p w14:paraId="44B6EC00" w14:textId="77777777" w:rsidR="00CF1BE3" w:rsidRPr="004A300A" w:rsidRDefault="00CF1BE3" w:rsidP="009B20AA">
      <w:pPr>
        <w:pStyle w:val="4"/>
        <w:spacing w:after="240"/>
        <w:contextualSpacing/>
        <w:rPr>
          <w:color w:val="000000" w:themeColor="text1"/>
          <w:szCs w:val="24"/>
        </w:rPr>
      </w:pPr>
      <w:bookmarkStart w:id="126" w:name="_Toc120288158"/>
      <w:r w:rsidRPr="004A300A">
        <w:rPr>
          <w:color w:val="000000" w:themeColor="text1"/>
          <w:szCs w:val="24"/>
        </w:rPr>
        <w:t>3.3.8.2. Иммунотоксичность</w:t>
      </w:r>
      <w:bookmarkEnd w:id="126"/>
    </w:p>
    <w:p w14:paraId="3888A487" w14:textId="63931831" w:rsidR="00CF1BE3" w:rsidRDefault="00CF1BE3">
      <w:pPr>
        <w:spacing w:after="0" w:line="240" w:lineRule="auto"/>
        <w:ind w:firstLine="709"/>
        <w:contextualSpacing/>
      </w:pPr>
      <w:r w:rsidRPr="004A300A">
        <w:rPr>
          <w:bCs/>
          <w:iCs/>
          <w:lang w:eastAsia="en-US"/>
        </w:rPr>
        <w:t>Барицитиниб вызывал сильную первичную фармакологически опосредованную иммуносупрессию. В соответствии с клиническими данными у человека повышенный риск инфекции/снижение иммунологического подавления комменсальных организмов был очевиден в токсикологических исследованиях повторных доз (особенно у собак; что согласуется с возможной повышенной чувствительностью этого вида к первичным фармакологическим эффектам барицитиниба)</w:t>
      </w:r>
      <w:r w:rsidRPr="004A300A">
        <w:t xml:space="preserve"> </w:t>
      </w:r>
      <w:r w:rsidRPr="004A300A">
        <w:fldChar w:fldCharType="begin"/>
      </w:r>
      <w:r>
        <w:instrText xml:space="preserve"> ADDIN ZOTERO_ITEM CSL_CITATION {"citationID":"Rx0gu7e9","properties":{"formattedCitation":"[1]","plainCitation":"[1]","noteIndex":0},"citationItems":[{"id":3825,"uris":["http://zotero.org/groups/4514912/items/7R9UX5LD"],"itemData":{"id":3825,"type":"document","title":"Australian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4A300A">
        <w:fldChar w:fldCharType="separate"/>
      </w:r>
      <w:r w:rsidRPr="004A300A">
        <w:t>[1]</w:t>
      </w:r>
      <w:r w:rsidRPr="004A300A">
        <w:fldChar w:fldCharType="end"/>
      </w:r>
      <w:r w:rsidRPr="004A300A">
        <w:t>.</w:t>
      </w:r>
    </w:p>
    <w:p w14:paraId="1D13F136" w14:textId="77777777" w:rsidR="00EB77C9" w:rsidRPr="004A300A" w:rsidRDefault="00EB77C9">
      <w:pPr>
        <w:spacing w:after="0" w:line="240" w:lineRule="auto"/>
        <w:ind w:firstLine="709"/>
        <w:contextualSpacing/>
        <w:rPr>
          <w:b/>
          <w:iCs/>
          <w:lang w:eastAsia="en-US"/>
        </w:rPr>
      </w:pPr>
    </w:p>
    <w:p w14:paraId="6D1C916D" w14:textId="77777777" w:rsidR="00CF1BE3" w:rsidRPr="00D21480" w:rsidRDefault="00CF1BE3" w:rsidP="00AB1FF1">
      <w:pPr>
        <w:pStyle w:val="4"/>
        <w:spacing w:before="0" w:after="240"/>
        <w:contextualSpacing/>
        <w:rPr>
          <w:color w:val="000000" w:themeColor="text1"/>
          <w:szCs w:val="24"/>
        </w:rPr>
      </w:pPr>
      <w:bookmarkStart w:id="127" w:name="_Toc120288159"/>
      <w:r w:rsidRPr="004A300A">
        <w:rPr>
          <w:color w:val="000000" w:themeColor="text1"/>
          <w:szCs w:val="24"/>
        </w:rPr>
        <w:t>3.3.8.3. Токсичность метаболитов</w:t>
      </w:r>
      <w:bookmarkEnd w:id="127"/>
    </w:p>
    <w:p w14:paraId="7C040040" w14:textId="08BBE824" w:rsidR="00CF1BE3" w:rsidRDefault="00CF1BE3">
      <w:pPr>
        <w:spacing w:after="0" w:line="240" w:lineRule="auto"/>
        <w:ind w:firstLine="709"/>
        <w:contextualSpacing/>
        <w:rPr>
          <w:shd w:val="clear" w:color="auto" w:fill="FFFFFF"/>
        </w:rPr>
      </w:pPr>
      <w:r>
        <w:rPr>
          <w:bCs/>
          <w:iCs/>
          <w:lang w:eastAsia="en-US"/>
        </w:rPr>
        <w:t>Нет</w:t>
      </w:r>
      <w:r w:rsidRPr="00D21480">
        <w:rPr>
          <w:bCs/>
          <w:iCs/>
          <w:lang w:eastAsia="en-US"/>
        </w:rPr>
        <w:t xml:space="preserve"> </w:t>
      </w:r>
      <w:r>
        <w:rPr>
          <w:bCs/>
          <w:iCs/>
          <w:lang w:eastAsia="en-US"/>
        </w:rPr>
        <w:t>данных</w:t>
      </w:r>
      <w:r w:rsidRPr="00D21480">
        <w:rPr>
          <w:bCs/>
          <w:iCs/>
          <w:lang w:eastAsia="en-US"/>
        </w:rPr>
        <w:t>.</w:t>
      </w:r>
      <w:r w:rsidRPr="00D21480">
        <w:rPr>
          <w:shd w:val="clear" w:color="auto" w:fill="FFFFFF"/>
        </w:rPr>
        <w:t xml:space="preserve"> </w:t>
      </w:r>
    </w:p>
    <w:p w14:paraId="2BC55E02" w14:textId="77777777" w:rsidR="00EB77C9" w:rsidRPr="00D21480" w:rsidRDefault="00EB77C9">
      <w:pPr>
        <w:spacing w:after="0" w:line="240" w:lineRule="auto"/>
        <w:ind w:firstLine="709"/>
        <w:contextualSpacing/>
      </w:pPr>
    </w:p>
    <w:p w14:paraId="408A889E" w14:textId="77777777" w:rsidR="00CF1BE3" w:rsidRPr="002E7351" w:rsidRDefault="00CF1BE3" w:rsidP="00AB1FF1">
      <w:pPr>
        <w:pStyle w:val="4"/>
        <w:spacing w:before="0" w:after="240"/>
        <w:contextualSpacing/>
        <w:rPr>
          <w:color w:val="000000" w:themeColor="text1"/>
          <w:szCs w:val="24"/>
        </w:rPr>
      </w:pPr>
      <w:bookmarkStart w:id="128" w:name="_Toc120288160"/>
      <w:r w:rsidRPr="002E7351">
        <w:rPr>
          <w:color w:val="000000" w:themeColor="text1"/>
          <w:szCs w:val="24"/>
        </w:rPr>
        <w:t>3</w:t>
      </w:r>
      <w:r>
        <w:rPr>
          <w:color w:val="000000" w:themeColor="text1"/>
          <w:szCs w:val="24"/>
        </w:rPr>
        <w:t>.3.8.4</w:t>
      </w:r>
      <w:r w:rsidRPr="002E7351">
        <w:rPr>
          <w:color w:val="000000" w:themeColor="text1"/>
          <w:szCs w:val="24"/>
        </w:rPr>
        <w:t xml:space="preserve">. </w:t>
      </w:r>
      <w:r>
        <w:rPr>
          <w:color w:val="000000" w:themeColor="text1"/>
          <w:szCs w:val="24"/>
        </w:rPr>
        <w:t>Токсичность примесей</w:t>
      </w:r>
      <w:bookmarkEnd w:id="128"/>
    </w:p>
    <w:p w14:paraId="6A6BD972" w14:textId="77777777" w:rsidR="00EB77C9" w:rsidRDefault="00CF1BE3">
      <w:pPr>
        <w:spacing w:after="0" w:line="240" w:lineRule="auto"/>
        <w:ind w:firstLine="709"/>
        <w:contextualSpacing/>
        <w:rPr>
          <w:bCs/>
          <w:iCs/>
          <w:lang w:val="en-US" w:eastAsia="en-US"/>
        </w:rPr>
      </w:pPr>
      <w:r>
        <w:rPr>
          <w:bCs/>
          <w:iCs/>
          <w:lang w:eastAsia="en-US"/>
        </w:rPr>
        <w:t>Нет</w:t>
      </w:r>
      <w:r w:rsidRPr="00CF1BE3">
        <w:rPr>
          <w:bCs/>
          <w:iCs/>
          <w:lang w:val="en-US" w:eastAsia="en-US"/>
        </w:rPr>
        <w:t xml:space="preserve"> </w:t>
      </w:r>
      <w:r>
        <w:rPr>
          <w:bCs/>
          <w:iCs/>
          <w:lang w:eastAsia="en-US"/>
        </w:rPr>
        <w:t>данных</w:t>
      </w:r>
      <w:r w:rsidRPr="00CF1BE3">
        <w:rPr>
          <w:bCs/>
          <w:iCs/>
          <w:lang w:val="en-US" w:eastAsia="en-US"/>
        </w:rPr>
        <w:t>.</w:t>
      </w:r>
    </w:p>
    <w:p w14:paraId="1DA7E87F" w14:textId="0DA412A4" w:rsidR="00CF1BE3" w:rsidRPr="00CF1BE3" w:rsidRDefault="00CF1BE3">
      <w:pPr>
        <w:spacing w:after="0" w:line="240" w:lineRule="auto"/>
        <w:ind w:firstLine="709"/>
        <w:contextualSpacing/>
        <w:rPr>
          <w:lang w:val="en-US"/>
        </w:rPr>
      </w:pPr>
      <w:r w:rsidRPr="00CF1BE3">
        <w:rPr>
          <w:shd w:val="clear" w:color="auto" w:fill="FFFFFF"/>
          <w:lang w:val="en-US"/>
        </w:rPr>
        <w:t xml:space="preserve"> </w:t>
      </w:r>
    </w:p>
    <w:p w14:paraId="4D8F1479" w14:textId="77777777" w:rsidR="00CF1BE3" w:rsidRPr="00CF1BE3" w:rsidRDefault="00CF1BE3" w:rsidP="00AB1FF1">
      <w:pPr>
        <w:pStyle w:val="2"/>
        <w:spacing w:before="0" w:line="240" w:lineRule="auto"/>
        <w:contextualSpacing/>
        <w:rPr>
          <w:color w:val="000000" w:themeColor="text1"/>
          <w:szCs w:val="24"/>
          <w:lang w:val="en-US"/>
        </w:rPr>
      </w:pPr>
      <w:bookmarkStart w:id="129" w:name="_Toc120288161"/>
      <w:r>
        <w:rPr>
          <w:color w:val="000000" w:themeColor="text1"/>
          <w:szCs w:val="24"/>
        </w:rPr>
        <w:t>Список</w:t>
      </w:r>
      <w:r w:rsidRPr="00CF1BE3">
        <w:rPr>
          <w:color w:val="000000" w:themeColor="text1"/>
          <w:szCs w:val="24"/>
          <w:lang w:val="en-US"/>
        </w:rPr>
        <w:t xml:space="preserve"> </w:t>
      </w:r>
      <w:r>
        <w:rPr>
          <w:color w:val="000000" w:themeColor="text1"/>
          <w:szCs w:val="24"/>
        </w:rPr>
        <w:t>литературы</w:t>
      </w:r>
      <w:bookmarkEnd w:id="129"/>
    </w:p>
    <w:p w14:paraId="0511329D" w14:textId="77777777" w:rsidR="00CF1BE3" w:rsidRPr="004A300A" w:rsidRDefault="00CF1BE3">
      <w:pPr>
        <w:pStyle w:val="afff2"/>
        <w:contextualSpacing/>
        <w:rPr>
          <w:lang w:val="en-US"/>
        </w:rPr>
      </w:pPr>
      <w:r>
        <w:fldChar w:fldCharType="begin"/>
      </w:r>
      <w:r w:rsidRPr="004A300A">
        <w:rPr>
          <w:lang w:val="en-US"/>
        </w:rPr>
        <w:instrText xml:space="preserve"> ADDIN ZOTERO_BIBL {"uncited":[],"omitted":[],"custom":[]} CSL_BIBLIOGRAPHY </w:instrText>
      </w:r>
      <w:r>
        <w:fldChar w:fldCharType="separate"/>
      </w:r>
      <w:r w:rsidRPr="004A300A">
        <w:rPr>
          <w:lang w:val="en-US"/>
        </w:rPr>
        <w:t>1.</w:t>
      </w:r>
      <w:r w:rsidRPr="004A300A">
        <w:rPr>
          <w:lang w:val="en-US"/>
        </w:rPr>
        <w:tab/>
        <w:t>Australian Public Assessment Report for Baricitinib. Proprietary Product Name: Olumiant. Sponsor: Eli Lilly Australia Pty Ltd. 2019.</w:t>
      </w:r>
    </w:p>
    <w:p w14:paraId="7FCF5D8A" w14:textId="77777777" w:rsidR="00CF1BE3" w:rsidRPr="004A300A" w:rsidRDefault="00CF1BE3">
      <w:pPr>
        <w:pStyle w:val="afff2"/>
        <w:contextualSpacing/>
        <w:rPr>
          <w:lang w:val="en-US"/>
        </w:rPr>
      </w:pPr>
      <w:r w:rsidRPr="004A300A">
        <w:rPr>
          <w:lang w:val="en-US"/>
        </w:rPr>
        <w:t>2.</w:t>
      </w:r>
      <w:r w:rsidRPr="004A300A">
        <w:rPr>
          <w:lang w:val="en-US"/>
        </w:rPr>
        <w:tab/>
        <w:t>Assessment report. Olumiant International non-proprietary name: baricitinib. Procedure No. EMEA/H/C/004085/0000. 2016.</w:t>
      </w:r>
    </w:p>
    <w:p w14:paraId="3952B43D" w14:textId="1B824D52" w:rsidR="0029110D" w:rsidRDefault="00CF1BE3" w:rsidP="0029110D">
      <w:pPr>
        <w:pStyle w:val="afff2"/>
        <w:contextualSpacing/>
      </w:pPr>
      <w:r w:rsidRPr="004A300A">
        <w:rPr>
          <w:lang w:val="en-US"/>
        </w:rPr>
        <w:t>3.</w:t>
      </w:r>
      <w:r w:rsidRPr="004A300A">
        <w:rPr>
          <w:lang w:val="en-US"/>
        </w:rPr>
        <w:tab/>
        <w:t xml:space="preserve">U.S. Food and Drug Administration. </w:t>
      </w:r>
      <w:r w:rsidRPr="00CF1BE3">
        <w:rPr>
          <w:lang w:val="en-US"/>
        </w:rPr>
        <w:t>Drug Approval PackagOLUMIANT® (baricitinib).</w:t>
      </w:r>
      <w:r>
        <w:fldChar w:fldCharType="end"/>
      </w:r>
    </w:p>
    <w:p w14:paraId="0FE67562" w14:textId="210061F7" w:rsidR="00E30437" w:rsidRPr="00AB1FF1" w:rsidRDefault="00E30437" w:rsidP="004C505D">
      <w:pPr>
        <w:pStyle w:val="12"/>
        <w:spacing w:line="240" w:lineRule="auto"/>
        <w:rPr>
          <w:rFonts w:cs="Times New Roman"/>
          <w:color w:val="000000" w:themeColor="text1"/>
          <w:szCs w:val="24"/>
          <w:lang w:val="en-US"/>
        </w:rPr>
      </w:pPr>
      <w:bookmarkStart w:id="130" w:name="_Toc120288162"/>
      <w:r w:rsidRPr="00AB1FF1">
        <w:rPr>
          <w:rFonts w:cs="Times New Roman"/>
          <w:color w:val="000000" w:themeColor="text1"/>
          <w:szCs w:val="24"/>
          <w:lang w:val="en-US"/>
        </w:rPr>
        <w:t xml:space="preserve">4. </w:t>
      </w:r>
      <w:r w:rsidRPr="005E6358">
        <w:rPr>
          <w:rFonts w:cs="Times New Roman"/>
          <w:color w:val="000000" w:themeColor="text1"/>
          <w:szCs w:val="24"/>
        </w:rPr>
        <w:t>ДЕЙСТВИЕ</w:t>
      </w:r>
      <w:r w:rsidRPr="00AB1FF1">
        <w:rPr>
          <w:rFonts w:cs="Times New Roman"/>
          <w:color w:val="000000" w:themeColor="text1"/>
          <w:szCs w:val="24"/>
          <w:lang w:val="en-US"/>
        </w:rPr>
        <w:t xml:space="preserve"> </w:t>
      </w:r>
      <w:r w:rsidRPr="005E6358">
        <w:rPr>
          <w:rFonts w:cs="Times New Roman"/>
          <w:color w:val="000000" w:themeColor="text1"/>
          <w:szCs w:val="24"/>
        </w:rPr>
        <w:t>У</w:t>
      </w:r>
      <w:r w:rsidRPr="00AB1FF1">
        <w:rPr>
          <w:rFonts w:cs="Times New Roman"/>
          <w:color w:val="000000" w:themeColor="text1"/>
          <w:szCs w:val="24"/>
          <w:lang w:val="en-US"/>
        </w:rPr>
        <w:t xml:space="preserve"> </w:t>
      </w:r>
      <w:r w:rsidRPr="005E6358">
        <w:rPr>
          <w:rFonts w:cs="Times New Roman"/>
          <w:color w:val="000000" w:themeColor="text1"/>
          <w:szCs w:val="24"/>
        </w:rPr>
        <w:t>ЧЕЛОВЕКА</w:t>
      </w:r>
      <w:bookmarkEnd w:id="130"/>
    </w:p>
    <w:p w14:paraId="1731F038" w14:textId="77777777" w:rsidR="00E30437" w:rsidRPr="005E6358" w:rsidRDefault="00E30437" w:rsidP="004C505D">
      <w:pPr>
        <w:pStyle w:val="2"/>
        <w:spacing w:line="240" w:lineRule="auto"/>
        <w:rPr>
          <w:color w:val="000000" w:themeColor="text1"/>
          <w:szCs w:val="24"/>
        </w:rPr>
      </w:pPr>
      <w:bookmarkStart w:id="131" w:name="_Toc120288163"/>
      <w:r w:rsidRPr="005E6358">
        <w:rPr>
          <w:color w:val="000000" w:themeColor="text1"/>
          <w:szCs w:val="24"/>
        </w:rPr>
        <w:t>Введение и резюме</w:t>
      </w:r>
      <w:bookmarkEnd w:id="131"/>
    </w:p>
    <w:p w14:paraId="2F82D277" w14:textId="7412FF40" w:rsidR="009B20AA" w:rsidRPr="007F4B68" w:rsidRDefault="00EB77C9" w:rsidP="009B20AA">
      <w:pPr>
        <w:spacing w:after="0" w:line="240" w:lineRule="auto"/>
        <w:ind w:firstLine="709"/>
        <w:rPr>
          <w:bCs/>
          <w:color w:val="000000" w:themeColor="text1"/>
          <w:lang w:bidi="ru-RU"/>
        </w:rPr>
      </w:pPr>
      <w:bookmarkStart w:id="132" w:name="_Hlk119013278"/>
      <w:r>
        <w:t>К</w:t>
      </w:r>
      <w:r w:rsidR="006A5654">
        <w:t xml:space="preserve">линических </w:t>
      </w:r>
      <w:r w:rsidR="009B20AA" w:rsidRPr="007F4B68">
        <w:t xml:space="preserve">исследований препарата </w:t>
      </w:r>
      <w:r w:rsidR="009B20AA" w:rsidRPr="00D6050D">
        <w:rPr>
          <w:color w:val="000000" w:themeColor="text1"/>
          <w:lang w:val="en-US"/>
        </w:rPr>
        <w:t>DT</w:t>
      </w:r>
      <w:r w:rsidR="009B20AA" w:rsidRPr="00D6050D">
        <w:rPr>
          <w:color w:val="000000" w:themeColor="text1"/>
        </w:rPr>
        <w:t>-</w:t>
      </w:r>
      <w:r w:rsidR="009B20AA">
        <w:rPr>
          <w:lang w:val="en-US"/>
        </w:rPr>
        <w:t>BRC</w:t>
      </w:r>
      <w:r w:rsidR="009B20AA" w:rsidRPr="00D6050D">
        <w:rPr>
          <w:color w:val="000000" w:themeColor="text1"/>
        </w:rPr>
        <w:t xml:space="preserve"> </w:t>
      </w:r>
      <w:r w:rsidR="009B20AA" w:rsidRPr="007F4B68">
        <w:t xml:space="preserve">таблетки, покрытые пленочной оболочкой, </w:t>
      </w:r>
      <w:r w:rsidR="009B20AA">
        <w:t>4 мг</w:t>
      </w:r>
      <w:r w:rsidR="009B20AA" w:rsidRPr="007F4B68">
        <w:t xml:space="preserve"> (</w:t>
      </w:r>
      <w:r w:rsidRPr="00D93386">
        <w:t>АО «Р-Фарм», Россия</w:t>
      </w:r>
      <w:r w:rsidR="009B20AA" w:rsidRPr="007F4B68">
        <w:t xml:space="preserve">) не проводилось. Так как препарат </w:t>
      </w:r>
      <w:r w:rsidR="009B20AA" w:rsidRPr="00D6050D">
        <w:rPr>
          <w:color w:val="000000" w:themeColor="text1"/>
          <w:lang w:val="en-US"/>
        </w:rPr>
        <w:t>DT</w:t>
      </w:r>
      <w:r w:rsidR="009B20AA" w:rsidRPr="00D6050D">
        <w:rPr>
          <w:color w:val="000000" w:themeColor="text1"/>
        </w:rPr>
        <w:t>-</w:t>
      </w:r>
      <w:r w:rsidR="009B20AA">
        <w:rPr>
          <w:lang w:val="en-US"/>
        </w:rPr>
        <w:t>BRC</w:t>
      </w:r>
      <w:r w:rsidR="009B20AA" w:rsidRPr="007F4B68">
        <w:t xml:space="preserve"> </w:t>
      </w:r>
      <w:r>
        <w:t>производства</w:t>
      </w:r>
      <w:r w:rsidRPr="007F4B68">
        <w:t xml:space="preserve"> </w:t>
      </w:r>
      <w:r w:rsidR="009B20AA" w:rsidRPr="007F4B68">
        <w:t>АО «</w:t>
      </w:r>
      <w:r w:rsidR="009B20AA">
        <w:t>ОРТАТ</w:t>
      </w:r>
      <w:r w:rsidR="009B20AA" w:rsidRPr="007F4B68">
        <w:t xml:space="preserve">», Россия, представляет собой воспроизведенный препарат </w:t>
      </w:r>
      <w:r w:rsidR="009B20AA">
        <w:t>барицитиниба</w:t>
      </w:r>
      <w:r w:rsidR="009B20AA" w:rsidRPr="007F4B68">
        <w:t xml:space="preserve">, ожидается, что его свойства будут идентичны свойствам оригинального препарата </w:t>
      </w:r>
      <w:r w:rsidR="009B20AA">
        <w:rPr>
          <w:lang w:eastAsia="ru-RU"/>
        </w:rPr>
        <w:t>Олумиант</w:t>
      </w:r>
      <w:r w:rsidR="009B20AA" w:rsidRPr="00A129EA">
        <w:rPr>
          <w:vertAlign w:val="superscript"/>
          <w:lang w:eastAsia="ru-RU"/>
        </w:rPr>
        <w:t>®</w:t>
      </w:r>
      <w:r w:rsidR="009B20AA">
        <w:rPr>
          <w:lang w:eastAsia="ru-RU"/>
        </w:rPr>
        <w:t xml:space="preserve">, </w:t>
      </w:r>
      <w:r w:rsidR="009B20AA" w:rsidRPr="007F4B68">
        <w:t xml:space="preserve">таблетки, покрытые пленочной оболочкой, </w:t>
      </w:r>
      <w:r w:rsidR="009B20AA">
        <w:t>4 мг</w:t>
      </w:r>
      <w:r w:rsidR="009B20AA" w:rsidRPr="00A129EA">
        <w:rPr>
          <w:rFonts w:eastAsia="Calibri"/>
        </w:rPr>
        <w:t xml:space="preserve"> </w:t>
      </w:r>
      <w:r w:rsidR="009B20AA" w:rsidRPr="00A129EA">
        <w:rPr>
          <w:color w:val="000000"/>
        </w:rPr>
        <w:t>(</w:t>
      </w:r>
      <w:r w:rsidR="009B20AA">
        <w:rPr>
          <w:color w:val="000000"/>
        </w:rPr>
        <w:t xml:space="preserve">производитель </w:t>
      </w:r>
      <w:r w:rsidR="009B20AA">
        <w:rPr>
          <w:rFonts w:eastAsia="Calibri"/>
          <w:bCs/>
        </w:rPr>
        <w:t>Лилли дель Карибе, Инк., Пуэрто-Рико</w:t>
      </w:r>
      <w:r w:rsidR="009B20AA" w:rsidRPr="005F2B08">
        <w:rPr>
          <w:rFonts w:eastAsia="Calibri"/>
          <w:bCs/>
        </w:rPr>
        <w:t xml:space="preserve">; </w:t>
      </w:r>
      <w:r w:rsidR="009B20AA">
        <w:rPr>
          <w:rFonts w:eastAsia="Calibri"/>
          <w:bCs/>
        </w:rPr>
        <w:t>держатель</w:t>
      </w:r>
      <w:r w:rsidR="009B20AA" w:rsidRPr="005F2B08">
        <w:rPr>
          <w:rFonts w:eastAsia="Calibri"/>
          <w:bCs/>
        </w:rPr>
        <w:t xml:space="preserve"> РУ: </w:t>
      </w:r>
      <w:r w:rsidR="009B20AA">
        <w:rPr>
          <w:rFonts w:eastAsia="Calibri"/>
          <w:bCs/>
        </w:rPr>
        <w:t>Эли Лилли Восток С.А., Швейцария</w:t>
      </w:r>
      <w:r w:rsidR="009B20AA" w:rsidRPr="00A129EA">
        <w:rPr>
          <w:color w:val="000000"/>
        </w:rPr>
        <w:t>)</w:t>
      </w:r>
      <w:r w:rsidR="009B20AA" w:rsidRPr="007F4B68">
        <w:t xml:space="preserve">, которому </w:t>
      </w:r>
      <w:r w:rsidR="009B20AA" w:rsidRPr="00D6050D">
        <w:rPr>
          <w:color w:val="000000" w:themeColor="text1"/>
          <w:lang w:val="en-US"/>
        </w:rPr>
        <w:t>DT</w:t>
      </w:r>
      <w:r w:rsidR="009B20AA" w:rsidRPr="00D6050D">
        <w:rPr>
          <w:color w:val="000000" w:themeColor="text1"/>
        </w:rPr>
        <w:t>-</w:t>
      </w:r>
      <w:r w:rsidR="009B20AA">
        <w:rPr>
          <w:lang w:val="en-US"/>
        </w:rPr>
        <w:t>BRC</w:t>
      </w:r>
      <w:r w:rsidR="009B20AA" w:rsidRPr="007F4B68">
        <w:t xml:space="preserve"> полностью соответствует по качественному и количественному составу действующих и качественному составу вспомогательных веществ, а также по лекарственной форме и дозировке</w:t>
      </w:r>
      <w:r w:rsidR="009B20AA">
        <w:t>, имея отличия в количественном и качественном составе оболочки таблетки</w:t>
      </w:r>
      <w:r w:rsidR="009B20AA" w:rsidRPr="007F4B68">
        <w:t xml:space="preserve">. В связи с этим ниже приводятся данные </w:t>
      </w:r>
      <w:r w:rsidR="006A5654">
        <w:t xml:space="preserve">клинических </w:t>
      </w:r>
      <w:r w:rsidR="009B20AA" w:rsidRPr="007F4B68">
        <w:t xml:space="preserve">исследований оригинального препарата </w:t>
      </w:r>
      <w:r w:rsidR="009B20AA">
        <w:t>барицитиниба</w:t>
      </w:r>
      <w:r w:rsidR="009B20AA" w:rsidRPr="007F4B68">
        <w:t>.</w:t>
      </w:r>
    </w:p>
    <w:p w14:paraId="4E41FD55" w14:textId="2BBC7E7C" w:rsidR="005E7F5E" w:rsidRDefault="005E7F5E" w:rsidP="005E7F5E">
      <w:pPr>
        <w:spacing w:after="0" w:line="240" w:lineRule="auto"/>
        <w:ind w:firstLine="709"/>
      </w:pPr>
      <w:r w:rsidRPr="005E7F5E">
        <w:rPr>
          <w:color w:val="000000"/>
        </w:rPr>
        <w:t xml:space="preserve">Клиническая эффективность </w:t>
      </w:r>
      <w:r w:rsidR="009B20AA">
        <w:rPr>
          <w:color w:val="000000"/>
        </w:rPr>
        <w:t xml:space="preserve">барицитиниба </w:t>
      </w:r>
      <w:r w:rsidRPr="005E7F5E">
        <w:rPr>
          <w:color w:val="000000"/>
        </w:rPr>
        <w:t>была изучена в 4</w:t>
      </w:r>
      <w:r w:rsidR="009B20AA">
        <w:rPr>
          <w:color w:val="000000"/>
        </w:rPr>
        <w:t>-х регистрационных</w:t>
      </w:r>
      <w:r w:rsidRPr="005E7F5E">
        <w:rPr>
          <w:color w:val="000000"/>
        </w:rPr>
        <w:t xml:space="preserve"> исследованиях II</w:t>
      </w:r>
      <w:r>
        <w:rPr>
          <w:color w:val="000000"/>
          <w:lang w:val="en-US"/>
        </w:rPr>
        <w:t>I</w:t>
      </w:r>
      <w:r w:rsidRPr="005E7F5E">
        <w:rPr>
          <w:color w:val="000000"/>
        </w:rPr>
        <w:t xml:space="preserve"> фазы</w:t>
      </w:r>
      <w:r>
        <w:rPr>
          <w:color w:val="000000"/>
        </w:rPr>
        <w:t xml:space="preserve"> (</w:t>
      </w:r>
      <w:r>
        <w:t>JADZ, 52 недели; JADV, 52 недели; JADX, 24 недели; JADW, 24 недели).</w:t>
      </w:r>
      <w:r w:rsidRPr="005E7F5E">
        <w:rPr>
          <w:color w:val="000000"/>
        </w:rPr>
        <w:t xml:space="preserve"> </w:t>
      </w:r>
      <w:r>
        <w:t xml:space="preserve">В общей сложности 3464 пациента получали барицитиниб в исследованиях РА, </w:t>
      </w:r>
      <w:r>
        <w:lastRenderedPageBreak/>
        <w:t>что составляет 4214,1 пациенто-лет воздействия; 2166 пациентов (62,5%) подвергались воздействию в течение ≥52 недель, а 467 пациентов (13,5%) подвергались воздействию в течение ≥104 недель.</w:t>
      </w:r>
    </w:p>
    <w:p w14:paraId="00628D60" w14:textId="1F3D6902" w:rsidR="00C74C24" w:rsidRDefault="005E7F5E" w:rsidP="00C74C24">
      <w:pPr>
        <w:spacing w:after="0" w:line="240" w:lineRule="auto"/>
        <w:ind w:firstLine="708"/>
      </w:pPr>
      <w:r>
        <w:t xml:space="preserve">Эффективность и безопасность барицитиниба в качестве монотерапии или в комбинации с </w:t>
      </w:r>
      <w:r w:rsidRPr="006D538C">
        <w:t xml:space="preserve">топическими кортикостероидами </w:t>
      </w:r>
      <w:r>
        <w:t xml:space="preserve">в отношении </w:t>
      </w:r>
      <w:r w:rsidR="0039408D">
        <w:t>АД</w:t>
      </w:r>
      <w:r>
        <w:t xml:space="preserve"> оценивались в 3 рандомизированных, двойных слепых, плацебо-контролируемых исследованиях III фазы, продолжительностью 16 недель (BREEZE-AD1, -AD2 и -AD7). По состоянию на дату окончания сбора данных 31 марта 2021 г. 1244 пациента получили барицитиниб, общая экспозиция составила 1362 пациенто-года.</w:t>
      </w:r>
    </w:p>
    <w:p w14:paraId="2F52E4DC" w14:textId="5786D2E3" w:rsidR="005E7F5E" w:rsidRDefault="005E7F5E" w:rsidP="00C74C24">
      <w:pPr>
        <w:spacing w:after="0" w:line="240" w:lineRule="auto"/>
        <w:ind w:firstLine="708"/>
      </w:pPr>
      <w:r w:rsidRPr="000D2BA7">
        <w:rPr>
          <w:color w:val="000000"/>
        </w:rPr>
        <w:t xml:space="preserve">Эффективность и безопасность </w:t>
      </w:r>
      <w:r>
        <w:rPr>
          <w:color w:val="000000"/>
        </w:rPr>
        <w:t xml:space="preserve">применения </w:t>
      </w:r>
      <w:r w:rsidRPr="000D2BA7">
        <w:rPr>
          <w:color w:val="000000"/>
        </w:rPr>
        <w:t xml:space="preserve">барицитиниба </w:t>
      </w:r>
      <w:r>
        <w:rPr>
          <w:color w:val="000000"/>
        </w:rPr>
        <w:t xml:space="preserve">в отношении </w:t>
      </w:r>
      <w:r w:rsidR="0039408D">
        <w:rPr>
          <w:color w:val="000000"/>
        </w:rPr>
        <w:t>ОА</w:t>
      </w:r>
      <w:r>
        <w:rPr>
          <w:color w:val="000000"/>
        </w:rPr>
        <w:t xml:space="preserve"> </w:t>
      </w:r>
      <w:r w:rsidRPr="000D2BA7">
        <w:rPr>
          <w:color w:val="000000"/>
        </w:rPr>
        <w:t xml:space="preserve">оценивали в исследовании фазы II/III </w:t>
      </w:r>
      <w:r>
        <w:rPr>
          <w:color w:val="000000"/>
        </w:rPr>
        <w:t xml:space="preserve">с </w:t>
      </w:r>
      <w:r w:rsidRPr="000D2BA7">
        <w:rPr>
          <w:color w:val="000000"/>
        </w:rPr>
        <w:t>адаптивн</w:t>
      </w:r>
      <w:r>
        <w:rPr>
          <w:color w:val="000000"/>
        </w:rPr>
        <w:t>ы</w:t>
      </w:r>
      <w:r w:rsidRPr="000D2BA7">
        <w:rPr>
          <w:color w:val="000000"/>
        </w:rPr>
        <w:t>м</w:t>
      </w:r>
      <w:r>
        <w:rPr>
          <w:color w:val="000000"/>
        </w:rPr>
        <w:t xml:space="preserve"> дизайном</w:t>
      </w:r>
      <w:r w:rsidRPr="000D2BA7">
        <w:rPr>
          <w:color w:val="000000"/>
        </w:rPr>
        <w:t xml:space="preserve"> (BRAVE-AA1) и в исследовании III фазы (BRAVE-AA2)</w:t>
      </w:r>
      <w:r w:rsidR="00CC7D8F">
        <w:rPr>
          <w:color w:val="000000"/>
        </w:rPr>
        <w:t>, а также исследование</w:t>
      </w:r>
      <w:r w:rsidR="00CC7D8F" w:rsidRPr="00CC7D8F">
        <w:rPr>
          <w:color w:val="000000"/>
        </w:rPr>
        <w:t xml:space="preserve"> BREEZE-AD4 с участием пациентов</w:t>
      </w:r>
      <w:r w:rsidR="00CC7D8F">
        <w:rPr>
          <w:color w:val="000000"/>
        </w:rPr>
        <w:t xml:space="preserve"> с </w:t>
      </w:r>
      <w:r w:rsidR="0039408D">
        <w:rPr>
          <w:color w:val="000000"/>
        </w:rPr>
        <w:t>ОА</w:t>
      </w:r>
      <w:r w:rsidR="00CC7D8F" w:rsidRPr="00CC7D8F">
        <w:rPr>
          <w:color w:val="000000"/>
        </w:rPr>
        <w:t>, получавших циклоспорин или с противопоказаниями к нему</w:t>
      </w:r>
      <w:r w:rsidRPr="000D2BA7">
        <w:rPr>
          <w:color w:val="000000"/>
        </w:rPr>
        <w:t xml:space="preserve">. </w:t>
      </w:r>
      <w:r w:rsidR="00C74C24">
        <w:t xml:space="preserve">В ходе исследований </w:t>
      </w:r>
      <w:r>
        <w:t>были собраны данные о 2531 пациенте, получавшем барицитиниб в течение 2247 пациенто-лет (средняя продолжительность 310 дней).</w:t>
      </w:r>
    </w:p>
    <w:p w14:paraId="00F32DD5" w14:textId="51A1B902" w:rsidR="005E7F5E" w:rsidRDefault="005E7F5E" w:rsidP="005E7F5E">
      <w:pPr>
        <w:spacing w:after="0" w:line="240" w:lineRule="auto"/>
        <w:ind w:firstLine="709"/>
      </w:pPr>
      <w:r>
        <w:t xml:space="preserve">Эффективность и безопасность применения барицитиниба </w:t>
      </w:r>
      <w:r w:rsidR="00C74C24">
        <w:t xml:space="preserve">в отношении </w:t>
      </w:r>
      <w:r w:rsidR="00C74C24">
        <w:rPr>
          <w:lang w:val="en-US"/>
        </w:rPr>
        <w:t>COVID</w:t>
      </w:r>
      <w:r w:rsidR="00C74C24" w:rsidRPr="00C74C24">
        <w:t xml:space="preserve">-19 </w:t>
      </w:r>
      <w:r>
        <w:t xml:space="preserve">оценивались в двух рандомизированных двойных слепых плацебо контролируемых исследованиях </w:t>
      </w:r>
      <w:r>
        <w:rPr>
          <w:lang w:val="en-US"/>
        </w:rPr>
        <w:t>III</w:t>
      </w:r>
      <w:r>
        <w:t xml:space="preserve"> фазы: в исследовании АСТТ-2 оценивали барицитиниб 4 мг в комбинации с ремдесивиром в сравнении с плацебо в комбинации с ремдесивиром; в исследовании </w:t>
      </w:r>
      <w:r>
        <w:rPr>
          <w:lang w:val="en-US"/>
        </w:rPr>
        <w:t>COV</w:t>
      </w:r>
      <w:r w:rsidRPr="00937087">
        <w:t>-</w:t>
      </w:r>
      <w:r>
        <w:rPr>
          <w:lang w:val="en-US"/>
        </w:rPr>
        <w:t>BARRIER</w:t>
      </w:r>
      <w:r>
        <w:t xml:space="preserve"> оценивали барицитиниб 4 мг в режиме монотерапии в сравнении с плацебо. Пациенты могли оставаться на стандартной терапии в соответствии с местными рекомендациями.</w:t>
      </w:r>
      <w:r w:rsidR="00C74C24">
        <w:t xml:space="preserve"> В ходе данных исследований барицитиниб получили 1280 пациентов</w:t>
      </w:r>
      <w:r>
        <w:t>.</w:t>
      </w:r>
    </w:p>
    <w:bookmarkEnd w:id="132"/>
    <w:p w14:paraId="275B26D1" w14:textId="51C1A4D8" w:rsidR="00C74C24" w:rsidRPr="0022557C" w:rsidRDefault="00C74C24" w:rsidP="00C74C24">
      <w:pPr>
        <w:autoSpaceDE w:val="0"/>
        <w:autoSpaceDN w:val="0"/>
        <w:adjustRightInd w:val="0"/>
        <w:spacing w:after="0" w:line="240" w:lineRule="auto"/>
        <w:ind w:firstLine="708"/>
        <w:rPr>
          <w:color w:val="000000"/>
        </w:rPr>
      </w:pPr>
      <w:r w:rsidRPr="0022557C">
        <w:rPr>
          <w:color w:val="000000"/>
        </w:rPr>
        <w:t xml:space="preserve">Влияние почечной недостаточности на фармакокинетику барицитиниба оценивали в клиническом фармакологическом исследовании JADL и последующих исследованиях </w:t>
      </w:r>
      <w:r>
        <w:rPr>
          <w:color w:val="000000"/>
          <w:lang w:val="en-US"/>
        </w:rPr>
        <w:t>II</w:t>
      </w:r>
      <w:r w:rsidRPr="003B4997">
        <w:rPr>
          <w:color w:val="000000"/>
        </w:rPr>
        <w:t xml:space="preserve"> </w:t>
      </w:r>
      <w:r>
        <w:rPr>
          <w:color w:val="000000"/>
        </w:rPr>
        <w:t xml:space="preserve">и </w:t>
      </w:r>
      <w:r>
        <w:rPr>
          <w:color w:val="000000"/>
          <w:lang w:val="en-US"/>
        </w:rPr>
        <w:t>III</w:t>
      </w:r>
      <w:r>
        <w:rPr>
          <w:color w:val="000000"/>
        </w:rPr>
        <w:t xml:space="preserve"> </w:t>
      </w:r>
      <w:r w:rsidRPr="0022557C">
        <w:rPr>
          <w:color w:val="000000"/>
        </w:rPr>
        <w:t>фазы</w:t>
      </w:r>
      <w:r>
        <w:rPr>
          <w:color w:val="000000"/>
        </w:rPr>
        <w:t xml:space="preserve">. В исследовании </w:t>
      </w:r>
      <w:r w:rsidRPr="0022557C">
        <w:rPr>
          <w:color w:val="000000"/>
        </w:rPr>
        <w:t xml:space="preserve">JADL </w:t>
      </w:r>
      <w:r>
        <w:rPr>
          <w:color w:val="000000"/>
        </w:rPr>
        <w:t>(</w:t>
      </w:r>
      <w:r w:rsidRPr="0022557C">
        <w:rPr>
          <w:color w:val="000000"/>
        </w:rPr>
        <w:t>открытое исследование фармакокинетики, фармакодинамически</w:t>
      </w:r>
      <w:r>
        <w:rPr>
          <w:color w:val="000000"/>
        </w:rPr>
        <w:t xml:space="preserve"> </w:t>
      </w:r>
      <w:r w:rsidRPr="0022557C">
        <w:rPr>
          <w:color w:val="000000"/>
        </w:rPr>
        <w:t xml:space="preserve">и безопасности однократной дозы </w:t>
      </w:r>
      <w:r>
        <w:rPr>
          <w:color w:val="000000"/>
        </w:rPr>
        <w:t xml:space="preserve">барицитиниба </w:t>
      </w:r>
      <w:r w:rsidRPr="0022557C">
        <w:rPr>
          <w:color w:val="000000"/>
        </w:rPr>
        <w:t>10 и 5 мг)</w:t>
      </w:r>
      <w:r>
        <w:rPr>
          <w:color w:val="000000"/>
        </w:rPr>
        <w:t xml:space="preserve"> участвовали </w:t>
      </w:r>
      <w:r w:rsidRPr="0022557C">
        <w:rPr>
          <w:color w:val="000000"/>
        </w:rPr>
        <w:t>субъект</w:t>
      </w:r>
      <w:r>
        <w:rPr>
          <w:color w:val="000000"/>
        </w:rPr>
        <w:t>ы</w:t>
      </w:r>
      <w:r w:rsidRPr="0022557C">
        <w:rPr>
          <w:color w:val="000000"/>
        </w:rPr>
        <w:t xml:space="preserve"> с различной степенью почечной недостаточности (легкая, умеренная, тяжелая почечная недостаточность или терминальная стадия почечной недостаточности, требующее гемодиализа</w:t>
      </w:r>
      <w:r>
        <w:rPr>
          <w:color w:val="000000"/>
        </w:rPr>
        <w:t xml:space="preserve">). </w:t>
      </w:r>
      <w:r w:rsidRPr="00C74C24">
        <w:rPr>
          <w:color w:val="000000"/>
        </w:rPr>
        <w:t>Умеренная печеночная недостаточность, возраст (возрастной диапазон от 19 до 83</w:t>
      </w:r>
      <w:r w:rsidRPr="0022557C">
        <w:rPr>
          <w:color w:val="000000"/>
        </w:rPr>
        <w:t xml:space="preserve"> лет) и скорость оседания эритроцитов не оказывали клинически значимого влияния на экспозицию барицитиниба</w:t>
      </w:r>
      <w:r>
        <w:rPr>
          <w:color w:val="000000"/>
        </w:rPr>
        <w:t xml:space="preserve"> </w:t>
      </w:r>
      <w:r w:rsidRPr="0022557C">
        <w:rPr>
          <w:color w:val="000000"/>
        </w:rPr>
        <w:t xml:space="preserve">Снижение почечного </w:t>
      </w:r>
      <w:r>
        <w:t>клиренса</w:t>
      </w:r>
      <w:r w:rsidRPr="0022557C">
        <w:rPr>
          <w:color w:val="000000"/>
        </w:rPr>
        <w:t xml:space="preserve"> барицитиниба и увеличение AUC наблюдались при увеличении тяжести почечной недостаточности</w:t>
      </w:r>
      <w:r>
        <w:rPr>
          <w:color w:val="000000"/>
        </w:rPr>
        <w:t xml:space="preserve">. </w:t>
      </w:r>
      <w:r>
        <w:t xml:space="preserve">У пациентов с </w:t>
      </w:r>
      <w:r w:rsidR="008F28F6">
        <w:rPr>
          <w:lang w:val="en-US"/>
        </w:rPr>
        <w:t>CL</w:t>
      </w:r>
      <w:r>
        <w:t xml:space="preserve"> креатинина от 30 до 60 мл/мин рекомендуемая доза препарата составляет 2 мг один раз в сутки. У пациентов с СКФ от 15 до 30 мл/мин/1,73 м</w:t>
      </w:r>
      <w:r>
        <w:rPr>
          <w:vertAlign w:val="superscript"/>
        </w:rPr>
        <w:t>2</w:t>
      </w:r>
      <w:r>
        <w:t xml:space="preserve"> рекомендуемая доза препарата составляет 2 мг каждые 48 ч. Перед началом применения барицитиниба у пациентов с СКФ от 15 до 30 мл/мин/1,73 м</w:t>
      </w:r>
      <w:r>
        <w:rPr>
          <w:vertAlign w:val="superscript"/>
        </w:rPr>
        <w:t xml:space="preserve">2 </w:t>
      </w:r>
      <w:r>
        <w:t>следует оценить соотношение потенциальной пользы к возможному риску. Пациентам с СКФ менее 15 мл/мин/1,73 м</w:t>
      </w:r>
      <w:r>
        <w:rPr>
          <w:vertAlign w:val="superscript"/>
        </w:rPr>
        <w:t>2</w:t>
      </w:r>
      <w:r>
        <w:t xml:space="preserve"> (терминальная стадия почечной недостаточности) применение барицитиниба противопоказано.</w:t>
      </w:r>
    </w:p>
    <w:p w14:paraId="6EECE78E" w14:textId="09B3A72F" w:rsidR="00C74C24" w:rsidRPr="00C74C24" w:rsidRDefault="00C74C24" w:rsidP="00C74C24">
      <w:pPr>
        <w:pStyle w:val="ab"/>
        <w:shd w:val="clear" w:color="auto" w:fill="FFFFFF"/>
        <w:spacing w:before="0" w:beforeAutospacing="0" w:after="0" w:afterAutospacing="0"/>
        <w:ind w:firstLine="708"/>
        <w:jc w:val="both"/>
      </w:pPr>
      <w:r w:rsidRPr="0022557C">
        <w:rPr>
          <w:color w:val="000000"/>
        </w:rPr>
        <w:t>Клинические исследования барицитиниба у пациентов с тяжелой печеночной недостаточностью не проводились</w:t>
      </w:r>
      <w:r>
        <w:t>.</w:t>
      </w:r>
    </w:p>
    <w:p w14:paraId="117C254E" w14:textId="789F216B" w:rsidR="00C74C24" w:rsidRDefault="00C74C24" w:rsidP="00C74C24">
      <w:pPr>
        <w:pStyle w:val="ab"/>
        <w:shd w:val="clear" w:color="auto" w:fill="FFFFFF"/>
        <w:spacing w:before="0" w:beforeAutospacing="0" w:after="0" w:afterAutospacing="0"/>
        <w:ind w:firstLine="708"/>
        <w:jc w:val="both"/>
      </w:pPr>
      <w:r w:rsidRPr="00915A5D">
        <w:t xml:space="preserve">Фармакокинетика барицитиниба оценивалась у небольшого числа пациентов педиатрического возраста (n=18, средний возраст 12,5 лет, вес 9,2–84,3 кг), получавших препарат в рамках благотворительной программы лечения редких аутовоспалительных заболеваний. Масса тела и функция почек значительно влияли на </w:t>
      </w:r>
      <w:r>
        <w:rPr>
          <w:lang w:val="en-US"/>
        </w:rPr>
        <w:t>Vd</w:t>
      </w:r>
      <w:r w:rsidRPr="00915A5D">
        <w:t xml:space="preserve"> и </w:t>
      </w:r>
      <w:r w:rsidR="008F28F6">
        <w:rPr>
          <w:lang w:val="en-US"/>
        </w:rPr>
        <w:t>CL</w:t>
      </w:r>
      <w:r w:rsidRPr="00915A5D">
        <w:t xml:space="preserve"> соответственно, что указывает на необходимость дозирования в зависимости от массы тела и функции почек. Важно отметить, что </w:t>
      </w:r>
      <w:r w:rsidR="008F28F6">
        <w:rPr>
          <w:lang w:val="en-US"/>
        </w:rPr>
        <w:t>T</w:t>
      </w:r>
      <w:r w:rsidRPr="00AB1FF1">
        <w:rPr>
          <w:vertAlign w:val="subscript"/>
        </w:rPr>
        <w:t xml:space="preserve">1/2 </w:t>
      </w:r>
      <w:r w:rsidRPr="00915A5D">
        <w:t xml:space="preserve">барицитиниба был значительно короче у детей, особенно </w:t>
      </w:r>
      <w:r w:rsidRPr="00915A5D">
        <w:lastRenderedPageBreak/>
        <w:t xml:space="preserve">среди детей с массой тела менее 40 кг, и авторы этого исследования рекомендовали детям принимать </w:t>
      </w:r>
      <w:r>
        <w:t xml:space="preserve">барицитиниба </w:t>
      </w:r>
      <w:r w:rsidRPr="00915A5D">
        <w:t>от двух до четырех раз в день в зависимости от функции почек.</w:t>
      </w:r>
      <w:r>
        <w:t xml:space="preserve"> </w:t>
      </w:r>
    </w:p>
    <w:p w14:paraId="12F9311A" w14:textId="248E6CB3" w:rsidR="00C74C24" w:rsidRPr="00C74C24" w:rsidRDefault="002D423D" w:rsidP="00F5118A">
      <w:pPr>
        <w:spacing w:after="0" w:line="240" w:lineRule="auto"/>
        <w:ind w:firstLine="708"/>
        <w:rPr>
          <w:color w:val="000000" w:themeColor="text1"/>
        </w:rPr>
      </w:pPr>
      <w:bookmarkStart w:id="133" w:name="_Hlk119013297"/>
      <w:r w:rsidRPr="002D423D">
        <w:rPr>
          <w:color w:val="000000" w:themeColor="text1"/>
        </w:rPr>
        <w:t>В ходе исследования JADZ было показано превосходство при применении только барицитиниба или комбинации барицитиниб+MTX по сравнению с монотерапией MTX. В ходе исследования JADV пациенты в качестве дополнительной терапии к стабильному метотрексату включали: 4 мг барицитиниба, плацебо или адалимумаб (ADA). Первичные анализы показали превосходство барицитиниба как над плацебо, так и над ADA. В ходе исследования JADX прием барицитиниба сопровождался развитием клинически значимых улучшений по сравнению с плацебо в отношении первичной конечной точки, а также в отношении ремиссии, физической функции, усталости, боли и показателей шкал качества жизни пациентов. В исследовании JADW уставили превосходство барицитиниба над плацебо по первичной конечной точке и двум основным вторичным точкам.</w:t>
      </w:r>
    </w:p>
    <w:p w14:paraId="27E261DB" w14:textId="4A201C2F" w:rsidR="00CC7D8F" w:rsidRDefault="00CC7D8F" w:rsidP="00CC7D8F">
      <w:pPr>
        <w:spacing w:after="0" w:line="240" w:lineRule="auto"/>
        <w:ind w:firstLine="708"/>
      </w:pPr>
      <w:r w:rsidRPr="00CC7D8F">
        <w:t>В ходе исследований по оценке эффективности барицитиниба</w:t>
      </w:r>
      <w:r>
        <w:t xml:space="preserve"> </w:t>
      </w:r>
      <w:r w:rsidRPr="00CC7D8F">
        <w:t>в лечении АД</w:t>
      </w:r>
      <w:r>
        <w:t xml:space="preserve"> з</w:t>
      </w:r>
      <w:r w:rsidRPr="00CC7D8F">
        <w:t>начительно</w:t>
      </w:r>
      <w:r w:rsidRPr="002E1B72">
        <w:t xml:space="preserve"> большая доля пациентов, рандомизированных в группу барицитиниба в дозе 4 мг, достигла улучшения на ≥ 4 баллов по шкале </w:t>
      </w:r>
      <w:r>
        <w:t>числовой оценки зуда</w:t>
      </w:r>
      <w:r w:rsidRPr="002E1B72">
        <w:t xml:space="preserve"> по сравнению с плацебо</w:t>
      </w:r>
      <w:r>
        <w:t xml:space="preserve">. </w:t>
      </w:r>
    </w:p>
    <w:p w14:paraId="2CD61E27" w14:textId="79F51C5D" w:rsidR="00CC7D8F" w:rsidRDefault="00CC7D8F" w:rsidP="00CC7D8F">
      <w:pPr>
        <w:spacing w:after="0" w:line="240" w:lineRule="auto"/>
        <w:ind w:firstLine="708"/>
        <w:rPr>
          <w:color w:val="000000"/>
        </w:rPr>
      </w:pPr>
      <w:r>
        <w:t>В ходе исследований по оценке эффективности барицитиниба у пациентов с ОА в</w:t>
      </w:r>
      <w:r w:rsidRPr="002E1B72">
        <w:rPr>
          <w:color w:val="000000"/>
        </w:rPr>
        <w:t xml:space="preserve"> обоих исследованиях значительно большая часть пациентов, получавших барицитиниб, достигла ≤ 20</w:t>
      </w:r>
      <w:r>
        <w:rPr>
          <w:color w:val="000000"/>
        </w:rPr>
        <w:t xml:space="preserve"> баллов по </w:t>
      </w:r>
      <w:r>
        <w:t xml:space="preserve">шкале оценки </w:t>
      </w:r>
      <w:r w:rsidRPr="00E42D4D">
        <w:t>степени тяжести алопеции</w:t>
      </w:r>
      <w:r w:rsidRPr="002E1B72">
        <w:rPr>
          <w:color w:val="000000"/>
        </w:rPr>
        <w:t xml:space="preserve"> на 36-й неделе по сравнению с плацебо. Постоянная эффективность наблюдалась </w:t>
      </w:r>
      <w:r>
        <w:rPr>
          <w:color w:val="000000"/>
        </w:rPr>
        <w:t xml:space="preserve">и </w:t>
      </w:r>
      <w:r w:rsidRPr="002E1B72">
        <w:rPr>
          <w:color w:val="000000"/>
        </w:rPr>
        <w:t>по большинству вторичных конечных точек</w:t>
      </w:r>
      <w:r>
        <w:rPr>
          <w:color w:val="000000"/>
        </w:rPr>
        <w:t>.</w:t>
      </w:r>
    </w:p>
    <w:p w14:paraId="1BF67DBD" w14:textId="6C07035A" w:rsidR="009B20AA" w:rsidRDefault="00CC7D8F" w:rsidP="0029110D">
      <w:pPr>
        <w:spacing w:after="0" w:line="240" w:lineRule="auto"/>
        <w:ind w:firstLine="708"/>
        <w:rPr>
          <w:color w:val="000000"/>
        </w:rPr>
      </w:pPr>
      <w:r>
        <w:rPr>
          <w:color w:val="000000"/>
        </w:rPr>
        <w:t xml:space="preserve">В обоих исследованиях эффективности барицитиниба у пациентов с </w:t>
      </w:r>
      <w:r>
        <w:rPr>
          <w:color w:val="000000"/>
          <w:lang w:val="en-US"/>
        </w:rPr>
        <w:t>COVID</w:t>
      </w:r>
      <w:r w:rsidRPr="00CC7D8F">
        <w:rPr>
          <w:color w:val="000000"/>
        </w:rPr>
        <w:t>-19</w:t>
      </w:r>
      <w:r>
        <w:rPr>
          <w:color w:val="000000"/>
        </w:rPr>
        <w:t xml:space="preserve"> н</w:t>
      </w:r>
      <w:r>
        <w:t>аибольшее преимущество от терапии барицитинибом было отмечено у пациентов, нуждающихся в низкопоточной оксигенотерапии, неинвазивной вентиляции легких или высокопоточной оксигенотерапии.</w:t>
      </w:r>
      <w:bookmarkEnd w:id="133"/>
      <w:r w:rsidR="000D72AF" w:rsidRPr="00D152BC">
        <w:rPr>
          <w:color w:val="000000"/>
        </w:rPr>
        <w:t xml:space="preserve"> </w:t>
      </w:r>
      <w:bookmarkStart w:id="134" w:name="_Hlk521885199"/>
    </w:p>
    <w:p w14:paraId="3CDAC45D" w14:textId="3DFC87E7" w:rsidR="00C34E4A" w:rsidRPr="009B20AA" w:rsidRDefault="00C34E4A" w:rsidP="007D730B">
      <w:pPr>
        <w:pStyle w:val="2"/>
      </w:pPr>
      <w:bookmarkStart w:id="135" w:name="_Toc120288164"/>
      <w:r w:rsidRPr="009B20AA">
        <w:t>4.1. Фармакокинетика и фармакодинамика у человека</w:t>
      </w:r>
      <w:bookmarkEnd w:id="135"/>
    </w:p>
    <w:p w14:paraId="2FABF981" w14:textId="77777777" w:rsidR="00C34E4A" w:rsidRDefault="00C34E4A" w:rsidP="007D730B">
      <w:pPr>
        <w:pStyle w:val="3"/>
      </w:pPr>
      <w:bookmarkStart w:id="136" w:name="_Toc120288165"/>
      <w:r w:rsidRPr="002E7351">
        <w:t>4</w:t>
      </w:r>
      <w:r w:rsidRPr="009D7041">
        <w:t>.1.</w:t>
      </w:r>
      <w:r>
        <w:t>1. Фармакокинетика</w:t>
      </w:r>
      <w:bookmarkEnd w:id="136"/>
    </w:p>
    <w:p w14:paraId="49EF31A0" w14:textId="77777777" w:rsidR="007D730B" w:rsidRDefault="007D730B" w:rsidP="00AB1FF1">
      <w:pPr>
        <w:spacing w:after="0" w:line="240" w:lineRule="auto"/>
        <w:ind w:firstLine="708"/>
        <w:rPr>
          <w:b/>
          <w:bCs/>
        </w:rPr>
      </w:pPr>
    </w:p>
    <w:p w14:paraId="738F9BE8" w14:textId="77777777" w:rsidR="00C34E4A" w:rsidRPr="004B37B1" w:rsidRDefault="00C34E4A" w:rsidP="00AB1FF1">
      <w:pPr>
        <w:spacing w:after="0" w:line="240" w:lineRule="auto"/>
        <w:rPr>
          <w:b/>
          <w:bCs/>
        </w:rPr>
      </w:pPr>
      <w:r w:rsidRPr="004B37B1">
        <w:rPr>
          <w:b/>
          <w:bCs/>
        </w:rPr>
        <w:t xml:space="preserve">Всасывание </w:t>
      </w:r>
    </w:p>
    <w:p w14:paraId="030B5A80" w14:textId="77777777" w:rsidR="00E130A1" w:rsidRDefault="00E130A1">
      <w:pPr>
        <w:pStyle w:val="ab"/>
        <w:shd w:val="clear" w:color="auto" w:fill="FFFFFF"/>
        <w:spacing w:before="0" w:beforeAutospacing="0" w:after="0" w:afterAutospacing="0"/>
        <w:ind w:firstLine="708"/>
        <w:jc w:val="both"/>
        <w:rPr>
          <w:color w:val="000000"/>
        </w:rPr>
      </w:pPr>
    </w:p>
    <w:p w14:paraId="675D0F83" w14:textId="0C5A6618" w:rsidR="00C34E4A" w:rsidRPr="004A300A" w:rsidRDefault="00C34E4A">
      <w:pPr>
        <w:pStyle w:val="ab"/>
        <w:shd w:val="clear" w:color="auto" w:fill="FFFFFF"/>
        <w:spacing w:before="0" w:beforeAutospacing="0" w:after="0" w:afterAutospacing="0"/>
        <w:ind w:firstLine="708"/>
        <w:jc w:val="both"/>
        <w:rPr>
          <w:color w:val="000000"/>
        </w:rPr>
      </w:pPr>
      <w:r>
        <w:rPr>
          <w:color w:val="000000"/>
        </w:rPr>
        <w:t>У добровольцев п</w:t>
      </w:r>
      <w:r w:rsidRPr="00CF6559">
        <w:rPr>
          <w:color w:val="000000"/>
        </w:rPr>
        <w:t>осле перорального приема барицитиниба уровни C</w:t>
      </w:r>
      <w:r w:rsidRPr="00AB1FF1">
        <w:rPr>
          <w:color w:val="000000"/>
          <w:vertAlign w:val="subscript"/>
        </w:rPr>
        <w:t>max</w:t>
      </w:r>
      <w:r w:rsidRPr="00CF6559">
        <w:rPr>
          <w:color w:val="000000"/>
        </w:rPr>
        <w:t xml:space="preserve"> достигаются примерно через 1 ч после приема (0,5–3,0 ч). Абсолютная биодоступность после перорального приема барицитиниба составляет 79</w:t>
      </w:r>
      <w:r w:rsidRPr="00737855">
        <w:rPr>
          <w:color w:val="000000"/>
        </w:rPr>
        <w:t>±</w:t>
      </w:r>
      <w:r w:rsidRPr="00CF6559">
        <w:rPr>
          <w:color w:val="000000"/>
        </w:rPr>
        <w:t>3,94%. В клинической дозе 4 мг C</w:t>
      </w:r>
      <w:r w:rsidRPr="00AB1FF1">
        <w:rPr>
          <w:color w:val="000000"/>
          <w:vertAlign w:val="subscript"/>
        </w:rPr>
        <w:t>max</w:t>
      </w:r>
      <w:r w:rsidRPr="00CF6559">
        <w:rPr>
          <w:color w:val="000000"/>
        </w:rPr>
        <w:t xml:space="preserve"> со</w:t>
      </w:r>
      <w:r w:rsidRPr="00CF6559">
        <w:rPr>
          <w:rFonts w:hint="eastAsia"/>
          <w:color w:val="000000"/>
        </w:rPr>
        <w:t>ставляет 112 н</w:t>
      </w:r>
      <w:r>
        <w:rPr>
          <w:rFonts w:hint="eastAsia"/>
          <w:color w:val="000000"/>
        </w:rPr>
        <w:t>м</w:t>
      </w:r>
      <w:r>
        <w:rPr>
          <w:color w:val="000000"/>
        </w:rPr>
        <w:t>оль/л</w:t>
      </w:r>
      <w:r w:rsidRPr="00CF6559">
        <w:rPr>
          <w:rFonts w:hint="eastAsia"/>
          <w:color w:val="000000"/>
        </w:rPr>
        <w:t>, а AUC</w:t>
      </w:r>
      <w:r w:rsidRPr="00737855">
        <w:rPr>
          <w:rFonts w:hint="eastAsia"/>
          <w:color w:val="000000"/>
          <w:vertAlign w:val="subscript"/>
        </w:rPr>
        <w:t>0-∞</w:t>
      </w:r>
      <w:r w:rsidRPr="00CF6559">
        <w:rPr>
          <w:rFonts w:hint="eastAsia"/>
          <w:color w:val="000000"/>
        </w:rPr>
        <w:t xml:space="preserve"> </w:t>
      </w:r>
      <w:r>
        <w:rPr>
          <w:rFonts w:hint="eastAsia"/>
          <w:color w:val="000000"/>
        </w:rPr>
        <w:t>–</w:t>
      </w:r>
      <w:r w:rsidRPr="00737855">
        <w:rPr>
          <w:color w:val="000000"/>
        </w:rPr>
        <w:t xml:space="preserve"> </w:t>
      </w:r>
      <w:r w:rsidRPr="00CF6559">
        <w:rPr>
          <w:rFonts w:hint="eastAsia"/>
          <w:color w:val="000000"/>
        </w:rPr>
        <w:t>740 н</w:t>
      </w:r>
      <w:r>
        <w:rPr>
          <w:rFonts w:hint="eastAsia"/>
          <w:color w:val="000000"/>
        </w:rPr>
        <w:t>м</w:t>
      </w:r>
      <w:r>
        <w:rPr>
          <w:color w:val="000000"/>
        </w:rPr>
        <w:t>оль</w:t>
      </w:r>
      <w:r w:rsidRPr="00737855">
        <w:rPr>
          <w:color w:val="000000"/>
        </w:rPr>
        <w:t>*</w:t>
      </w:r>
      <w:r w:rsidRPr="00CF6559">
        <w:rPr>
          <w:rFonts w:hint="eastAsia"/>
          <w:color w:val="000000"/>
        </w:rPr>
        <w:t>ч</w:t>
      </w:r>
      <w:r>
        <w:rPr>
          <w:color w:val="000000"/>
        </w:rPr>
        <w:t>/л</w:t>
      </w:r>
      <w:r w:rsidRPr="00CF6559">
        <w:rPr>
          <w:rFonts w:hint="eastAsia"/>
          <w:color w:val="000000"/>
        </w:rPr>
        <w:t>. Внутрииндивидуальная вариабельность AUC и C</w:t>
      </w:r>
      <w:r w:rsidRPr="00AB1FF1">
        <w:rPr>
          <w:color w:val="000000"/>
          <w:vertAlign w:val="subscript"/>
        </w:rPr>
        <w:t>max</w:t>
      </w:r>
      <w:r w:rsidRPr="00CF6559">
        <w:rPr>
          <w:rFonts w:hint="eastAsia"/>
          <w:color w:val="000000"/>
        </w:rPr>
        <w:t xml:space="preserve"> низкая (&lt;14%), а межиндивидуальная вариабельность </w:t>
      </w:r>
      <w:r w:rsidRPr="004A300A">
        <w:rPr>
          <w:rFonts w:hint="eastAsia"/>
          <w:color w:val="000000"/>
        </w:rPr>
        <w:t>умеренная (17-26%)</w:t>
      </w:r>
      <w:r w:rsidRPr="004A300A">
        <w:rPr>
          <w:color w:val="000000"/>
        </w:rPr>
        <w:t xml:space="preserve"> </w:t>
      </w:r>
      <w:r w:rsidRPr="004A300A">
        <w:rPr>
          <w:color w:val="000000"/>
        </w:rPr>
        <w:fldChar w:fldCharType="begin"/>
      </w:r>
      <w:r w:rsidRPr="004A300A">
        <w:rPr>
          <w:color w:val="000000"/>
        </w:rPr>
        <w:instrText xml:space="preserve"> ADDIN ZOTERO_ITEM CSL_CITATION {"citationID":"ZBeM4IEU","properties":{"formattedCitation":"[1]","plainCitation":"[1]","noteIndex":0},"citationItems":[{"id":3826,"uris":["http://zotero.org/groups/4514912/items/UB7ESC4C"],"itemData":{"id":3826,"type":"document","title":"Assessment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4A300A">
        <w:rPr>
          <w:color w:val="000000"/>
        </w:rPr>
        <w:fldChar w:fldCharType="separate"/>
      </w:r>
      <w:r w:rsidRPr="004A300A">
        <w:t>[1]</w:t>
      </w:r>
      <w:r w:rsidRPr="004A300A">
        <w:rPr>
          <w:color w:val="000000"/>
        </w:rPr>
        <w:fldChar w:fldCharType="end"/>
      </w:r>
      <w:r w:rsidRPr="004A300A">
        <w:rPr>
          <w:rFonts w:hint="eastAsia"/>
          <w:color w:val="000000"/>
        </w:rPr>
        <w:t>.</w:t>
      </w:r>
    </w:p>
    <w:p w14:paraId="7828F4B8" w14:textId="08DA08FF" w:rsidR="00C34E4A" w:rsidRPr="004A300A" w:rsidRDefault="00C34E4A">
      <w:pPr>
        <w:pStyle w:val="ab"/>
        <w:shd w:val="clear" w:color="auto" w:fill="FFFFFF"/>
        <w:spacing w:before="0" w:beforeAutospacing="0" w:after="0" w:afterAutospacing="0"/>
        <w:ind w:firstLine="708"/>
        <w:jc w:val="both"/>
        <w:rPr>
          <w:color w:val="000000"/>
        </w:rPr>
      </w:pPr>
      <w:r w:rsidRPr="004A300A">
        <w:rPr>
          <w:rFonts w:hint="eastAsia"/>
          <w:color w:val="000000"/>
        </w:rPr>
        <w:t>У субъектов с Р</w:t>
      </w:r>
      <w:r w:rsidRPr="004A300A">
        <w:rPr>
          <w:color w:val="000000"/>
        </w:rPr>
        <w:t>А</w:t>
      </w:r>
      <w:r w:rsidRPr="004A300A">
        <w:rPr>
          <w:rFonts w:hint="eastAsia"/>
          <w:color w:val="000000"/>
        </w:rPr>
        <w:t xml:space="preserve"> C</w:t>
      </w:r>
      <w:r w:rsidRPr="00AB1FF1">
        <w:rPr>
          <w:color w:val="000000"/>
          <w:vertAlign w:val="subscript"/>
        </w:rPr>
        <w:t>max</w:t>
      </w:r>
      <w:r w:rsidRPr="004A300A">
        <w:rPr>
          <w:rFonts w:hint="eastAsia"/>
          <w:color w:val="000000"/>
        </w:rPr>
        <w:t xml:space="preserve"> (</w:t>
      </w:r>
      <w:r w:rsidRPr="004A300A">
        <w:rPr>
          <w:color w:val="000000"/>
        </w:rPr>
        <w:t>≈</w:t>
      </w:r>
      <w:r w:rsidRPr="004A300A">
        <w:rPr>
          <w:rFonts w:hint="eastAsia"/>
          <w:color w:val="000000"/>
        </w:rPr>
        <w:t>135 нм</w:t>
      </w:r>
      <w:r w:rsidRPr="004A300A">
        <w:rPr>
          <w:color w:val="000000"/>
        </w:rPr>
        <w:t>оль/л</w:t>
      </w:r>
      <w:r w:rsidRPr="004A300A">
        <w:rPr>
          <w:rFonts w:hint="eastAsia"/>
          <w:color w:val="000000"/>
        </w:rPr>
        <w:t>) и AUCτ (</w:t>
      </w:r>
      <w:r w:rsidRPr="004A300A">
        <w:rPr>
          <w:color w:val="000000"/>
        </w:rPr>
        <w:t>≈</w:t>
      </w:r>
      <w:r w:rsidRPr="004A300A">
        <w:rPr>
          <w:rFonts w:hint="eastAsia"/>
          <w:color w:val="000000"/>
        </w:rPr>
        <w:t xml:space="preserve">1200 </w:t>
      </w:r>
      <w:r w:rsidRPr="004A300A">
        <w:rPr>
          <w:color w:val="000000"/>
        </w:rPr>
        <w:t xml:space="preserve">нмоль*ч/л) выше по сравнению со здоровыми добровольцами. Кроме того, клиренс вещества при внесосудистом введении (CL/F) на 46% ниже, а </w:t>
      </w:r>
      <w:r w:rsidR="008F28F6">
        <w:rPr>
          <w:color w:val="000000"/>
          <w:lang w:val="en-US"/>
        </w:rPr>
        <w:t>T</w:t>
      </w:r>
      <w:r w:rsidRPr="00AB1FF1">
        <w:rPr>
          <w:color w:val="000000"/>
          <w:vertAlign w:val="subscript"/>
        </w:rPr>
        <w:t xml:space="preserve">1/2 </w:t>
      </w:r>
      <w:r w:rsidRPr="004A300A">
        <w:rPr>
          <w:color w:val="000000"/>
        </w:rPr>
        <w:t xml:space="preserve">на 25% ниже у пациентов с РА по сравнению со здоровыми добровольцами. Межиндивидуальная вариабельность у пациентов с РА выше по сравнению со здоровыми субъектами (41% против 22%) </w:t>
      </w:r>
      <w:r w:rsidRPr="004A300A">
        <w:rPr>
          <w:color w:val="000000"/>
        </w:rPr>
        <w:fldChar w:fldCharType="begin"/>
      </w:r>
      <w:r w:rsidRPr="004A300A">
        <w:rPr>
          <w:color w:val="000000"/>
        </w:rPr>
        <w:instrText xml:space="preserve"> ADDIN ZOTERO_ITEM CSL_CITATION {"citationID":"WMaY1nsk","properties":{"formattedCitation":"[1]","plainCitation":"[1]","noteIndex":0},"citationItems":[{"id":3826,"uris":["http://zotero.org/groups/4514912/items/UB7ESC4C"],"itemData":{"id":3826,"type":"document","title":"Assessment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4A300A">
        <w:rPr>
          <w:color w:val="000000"/>
        </w:rPr>
        <w:fldChar w:fldCharType="separate"/>
      </w:r>
      <w:r w:rsidRPr="004A300A">
        <w:t>[1]</w:t>
      </w:r>
      <w:r w:rsidRPr="004A300A">
        <w:rPr>
          <w:color w:val="000000"/>
        </w:rPr>
        <w:fldChar w:fldCharType="end"/>
      </w:r>
      <w:r w:rsidRPr="004A300A">
        <w:rPr>
          <w:rFonts w:hint="eastAsia"/>
          <w:color w:val="000000"/>
        </w:rPr>
        <w:t>.</w:t>
      </w:r>
      <w:r w:rsidRPr="004A300A">
        <w:rPr>
          <w:color w:val="000000"/>
        </w:rPr>
        <w:t xml:space="preserve"> </w:t>
      </w:r>
    </w:p>
    <w:p w14:paraId="564138C5" w14:textId="77777777" w:rsidR="00C34E4A" w:rsidRPr="004A300A" w:rsidRDefault="00C34E4A">
      <w:pPr>
        <w:pStyle w:val="ab"/>
        <w:shd w:val="clear" w:color="auto" w:fill="FFFFFF"/>
        <w:spacing w:before="0" w:beforeAutospacing="0" w:after="0" w:afterAutospacing="0"/>
        <w:ind w:firstLine="708"/>
        <w:jc w:val="both"/>
      </w:pPr>
      <w:r w:rsidRPr="004A300A">
        <w:rPr>
          <w:color w:val="000000"/>
        </w:rPr>
        <w:t xml:space="preserve">В исследовании </w:t>
      </w:r>
      <w:r w:rsidRPr="004A300A">
        <w:rPr>
          <w:color w:val="000000"/>
          <w:lang w:val="en-US"/>
        </w:rPr>
        <w:t>II</w:t>
      </w:r>
      <w:r w:rsidRPr="004A300A">
        <w:rPr>
          <w:color w:val="000000"/>
        </w:rPr>
        <w:t>/</w:t>
      </w:r>
      <w:r w:rsidRPr="004A300A">
        <w:rPr>
          <w:color w:val="000000"/>
          <w:lang w:val="en-US"/>
        </w:rPr>
        <w:t>III</w:t>
      </w:r>
      <w:r w:rsidRPr="004A300A">
        <w:rPr>
          <w:color w:val="000000"/>
        </w:rPr>
        <w:t xml:space="preserve"> фаза JAHO оценивали фармакокинетику барицитиниба у пациентов с тяжелой ОА (выпадение волос на голове ≥50%). В этом исследовании оценивали фармакокинетику барицитиниба в дозах 1-, 2-, и 4 мг один раз в день в части </w:t>
      </w:r>
      <w:r w:rsidRPr="004A300A">
        <w:rPr>
          <w:color w:val="000000"/>
          <w:lang w:val="en-US"/>
        </w:rPr>
        <w:t>II</w:t>
      </w:r>
      <w:r w:rsidRPr="004A300A">
        <w:rPr>
          <w:color w:val="000000"/>
        </w:rPr>
        <w:t xml:space="preserve"> фазы и 2- и 4 мг в части </w:t>
      </w:r>
      <w:r w:rsidRPr="004A300A">
        <w:rPr>
          <w:color w:val="000000"/>
          <w:lang w:val="en-US"/>
        </w:rPr>
        <w:t>III</w:t>
      </w:r>
      <w:r w:rsidRPr="004A300A">
        <w:rPr>
          <w:color w:val="000000"/>
        </w:rPr>
        <w:t xml:space="preserve"> фазы с первичной конечной точкой доли пациентов, достигших оценки степени тяжести алопеции (SALT) ≤20 в 36 недель. В анализ включили в общей </w:t>
      </w:r>
      <w:r w:rsidRPr="004A300A">
        <w:rPr>
          <w:color w:val="000000"/>
        </w:rPr>
        <w:lastRenderedPageBreak/>
        <w:t xml:space="preserve">сложности 2685 данных о концентрации в плазме от 546 пациентов, получавших барицитиниб, и 725 данных </w:t>
      </w:r>
      <w:r w:rsidRPr="004A300A">
        <w:t xml:space="preserve">по шкале SALT от 725 пациентов, включенных в исследование JAHO </w:t>
      </w:r>
      <w:r w:rsidRPr="004A300A">
        <w:fldChar w:fldCharType="begin"/>
      </w:r>
      <w:r w:rsidRPr="004A300A">
        <w:instrText xml:space="preserve"> ADDIN ZOTERO_ITEM CSL_CITATION {"citationID":"0zj8pQLy","properties":{"formattedCitation":"[2]","plainCitation":"[2]","noteIndex":0},"citationItems":[{"id":3827,"uris":["http://zotero.org/groups/4514912/items/LB74K8KI"],"itemData":{"id":3827,"type":"document","title":"Assessment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4A300A">
        <w:fldChar w:fldCharType="separate"/>
      </w:r>
      <w:r w:rsidRPr="004A300A">
        <w:t>[2]</w:t>
      </w:r>
      <w:r w:rsidRPr="004A300A">
        <w:fldChar w:fldCharType="end"/>
      </w:r>
      <w:r w:rsidRPr="004A300A">
        <w:t>.</w:t>
      </w:r>
    </w:p>
    <w:p w14:paraId="1F2BB635" w14:textId="77777777" w:rsidR="00C34E4A" w:rsidRDefault="00C34E4A">
      <w:pPr>
        <w:pStyle w:val="ab"/>
        <w:shd w:val="clear" w:color="auto" w:fill="FFFFFF"/>
        <w:spacing w:before="0" w:beforeAutospacing="0" w:after="0" w:afterAutospacing="0"/>
        <w:ind w:firstLine="708"/>
        <w:jc w:val="both"/>
      </w:pPr>
      <w:r w:rsidRPr="004A300A">
        <w:t>В Таблице 4-1 резюмированы данные по фармакокинетическим параметрам барицитиниба у пациентов с различной целевой нозологией</w:t>
      </w:r>
      <w:r>
        <w:t xml:space="preserve"> </w:t>
      </w:r>
      <w:r>
        <w:fldChar w:fldCharType="begin"/>
      </w:r>
      <w:r>
        <w:instrText xml:space="preserve"> ADDIN ZOTERO_ITEM CSL_CITATION {"citationID":"B40UUbke","properties":{"formattedCitation":"[2]","plainCitation":"[2]","noteIndex":0},"citationItems":[{"id":3827,"uris":["http://zotero.org/groups/4514912/items/LB74K8KI"],"itemData":{"id":3827,"type":"document","title":"Assessment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4A300A">
        <w:t>[2]</w:t>
      </w:r>
      <w:r>
        <w:fldChar w:fldCharType="end"/>
      </w:r>
      <w:r w:rsidRPr="004A300A">
        <w:t>.</w:t>
      </w:r>
    </w:p>
    <w:p w14:paraId="6AF9E485" w14:textId="77777777" w:rsidR="00C34E4A" w:rsidRDefault="00C34E4A">
      <w:pPr>
        <w:pStyle w:val="ab"/>
        <w:shd w:val="clear" w:color="auto" w:fill="FFFFFF"/>
        <w:spacing w:before="0" w:beforeAutospacing="0" w:after="0" w:afterAutospacing="0"/>
        <w:ind w:firstLine="708"/>
        <w:jc w:val="both"/>
      </w:pPr>
    </w:p>
    <w:p w14:paraId="0FC0B748" w14:textId="15888BFB" w:rsidR="00C34E4A" w:rsidRPr="00915A5D" w:rsidRDefault="009B20AA">
      <w:pPr>
        <w:pStyle w:val="ab"/>
        <w:shd w:val="clear" w:color="auto" w:fill="FFFFFF"/>
        <w:spacing w:before="0" w:beforeAutospacing="0" w:after="0" w:afterAutospacing="0"/>
        <w:jc w:val="both"/>
        <w:rPr>
          <w:b/>
          <w:bCs/>
        </w:rPr>
      </w:pPr>
      <w:r>
        <w:rPr>
          <w:b/>
          <w:bCs/>
        </w:rPr>
        <w:t>Таблица 4-1.</w:t>
      </w:r>
      <w:r w:rsidR="00C34E4A" w:rsidRPr="00915A5D">
        <w:rPr>
          <w:b/>
          <w:bCs/>
        </w:rPr>
        <w:t xml:space="preserve"> </w:t>
      </w:r>
      <w:r w:rsidR="00C34E4A" w:rsidRPr="009B20AA">
        <w:rPr>
          <w:bCs/>
        </w:rPr>
        <w:t>Фармакокинетические параметры барицитиниба, зарегистрированные у пациентов с очаговой алопецией, атопическим дерматитом и ревматоидным артритом</w:t>
      </w:r>
      <w:r w:rsidRPr="009B20AA">
        <w:rPr>
          <w:bCs/>
        </w:rPr>
        <w:t>.</w:t>
      </w:r>
    </w:p>
    <w:tbl>
      <w:tblPr>
        <w:tblStyle w:val="a8"/>
        <w:tblW w:w="4888" w:type="pct"/>
        <w:tblInd w:w="108" w:type="dxa"/>
        <w:tblLook w:val="04A0" w:firstRow="1" w:lastRow="0" w:firstColumn="1" w:lastColumn="0" w:noHBand="0" w:noVBand="1"/>
      </w:tblPr>
      <w:tblGrid>
        <w:gridCol w:w="2422"/>
        <w:gridCol w:w="2392"/>
        <w:gridCol w:w="2394"/>
        <w:gridCol w:w="2150"/>
      </w:tblGrid>
      <w:tr w:rsidR="00C34E4A" w:rsidRPr="00915A5D" w14:paraId="17C5598A" w14:textId="77777777" w:rsidTr="00AB1FF1">
        <w:trPr>
          <w:tblHeader/>
        </w:trPr>
        <w:tc>
          <w:tcPr>
            <w:tcW w:w="2421" w:type="dxa"/>
            <w:shd w:val="clear" w:color="auto" w:fill="D9D9D9" w:themeFill="background1" w:themeFillShade="D9"/>
            <w:vAlign w:val="center"/>
          </w:tcPr>
          <w:p w14:paraId="6F440D76" w14:textId="326EE50D" w:rsidR="00C34E4A" w:rsidRPr="0029110D" w:rsidRDefault="00C34E4A">
            <w:pPr>
              <w:pStyle w:val="ab"/>
              <w:spacing w:before="0" w:beforeAutospacing="0" w:after="0" w:afterAutospacing="0"/>
              <w:jc w:val="center"/>
              <w:rPr>
                <w:b/>
                <w:bCs/>
              </w:rPr>
            </w:pPr>
            <w:r w:rsidRPr="0029110D">
              <w:rPr>
                <w:b/>
                <w:bCs/>
              </w:rPr>
              <w:t>Параметр</w:t>
            </w:r>
          </w:p>
        </w:tc>
        <w:tc>
          <w:tcPr>
            <w:tcW w:w="2392" w:type="dxa"/>
            <w:shd w:val="clear" w:color="auto" w:fill="D9D9D9" w:themeFill="background1" w:themeFillShade="D9"/>
            <w:vAlign w:val="center"/>
          </w:tcPr>
          <w:p w14:paraId="20C54C93" w14:textId="63560324" w:rsidR="00C34E4A" w:rsidRPr="0029110D" w:rsidRDefault="00C34E4A">
            <w:pPr>
              <w:pStyle w:val="ab"/>
              <w:spacing w:before="0" w:beforeAutospacing="0" w:after="0" w:afterAutospacing="0"/>
              <w:jc w:val="center"/>
              <w:rPr>
                <w:b/>
                <w:bCs/>
              </w:rPr>
            </w:pPr>
            <w:r w:rsidRPr="0029110D">
              <w:rPr>
                <w:b/>
                <w:bCs/>
              </w:rPr>
              <w:t>Очаговая алопеция</w:t>
            </w:r>
          </w:p>
        </w:tc>
        <w:tc>
          <w:tcPr>
            <w:tcW w:w="2394" w:type="dxa"/>
            <w:shd w:val="clear" w:color="auto" w:fill="D9D9D9" w:themeFill="background1" w:themeFillShade="D9"/>
            <w:vAlign w:val="center"/>
          </w:tcPr>
          <w:p w14:paraId="4C175BAC" w14:textId="77777777" w:rsidR="00C34E4A" w:rsidRPr="0029110D" w:rsidRDefault="00C34E4A">
            <w:pPr>
              <w:pStyle w:val="ab"/>
              <w:spacing w:before="0" w:beforeAutospacing="0" w:after="0" w:afterAutospacing="0"/>
              <w:jc w:val="center"/>
              <w:rPr>
                <w:b/>
                <w:bCs/>
              </w:rPr>
            </w:pPr>
            <w:r w:rsidRPr="0029110D">
              <w:rPr>
                <w:b/>
                <w:bCs/>
              </w:rPr>
              <w:t>Атопический дерматит</w:t>
            </w:r>
          </w:p>
        </w:tc>
        <w:tc>
          <w:tcPr>
            <w:tcW w:w="2150" w:type="dxa"/>
            <w:shd w:val="clear" w:color="auto" w:fill="D9D9D9" w:themeFill="background1" w:themeFillShade="D9"/>
            <w:vAlign w:val="center"/>
          </w:tcPr>
          <w:p w14:paraId="3724BF22" w14:textId="77777777" w:rsidR="00C34E4A" w:rsidRPr="0029110D" w:rsidRDefault="00C34E4A">
            <w:pPr>
              <w:pStyle w:val="ab"/>
              <w:spacing w:before="0" w:beforeAutospacing="0" w:after="0" w:afterAutospacing="0"/>
              <w:jc w:val="center"/>
              <w:rPr>
                <w:b/>
                <w:bCs/>
              </w:rPr>
            </w:pPr>
            <w:r w:rsidRPr="0029110D">
              <w:rPr>
                <w:b/>
                <w:bCs/>
              </w:rPr>
              <w:t>Ревматоидный артрит</w:t>
            </w:r>
          </w:p>
        </w:tc>
      </w:tr>
      <w:tr w:rsidR="00C34E4A" w:rsidRPr="00915A5D" w14:paraId="0914F7F2" w14:textId="77777777" w:rsidTr="00AB1FF1">
        <w:tc>
          <w:tcPr>
            <w:tcW w:w="2421" w:type="dxa"/>
          </w:tcPr>
          <w:p w14:paraId="0908C2FA" w14:textId="77777777" w:rsidR="00C34E4A" w:rsidRPr="0029110D" w:rsidRDefault="00C34E4A">
            <w:pPr>
              <w:pStyle w:val="ab"/>
              <w:spacing w:before="0" w:beforeAutospacing="0" w:after="0" w:afterAutospacing="0"/>
              <w:jc w:val="both"/>
            </w:pPr>
            <w:r w:rsidRPr="0029110D">
              <w:rPr>
                <w:lang w:val="en-US"/>
              </w:rPr>
              <w:t>CL</w:t>
            </w:r>
            <w:r w:rsidRPr="0029110D">
              <w:t>/</w:t>
            </w:r>
            <w:r w:rsidRPr="0029110D">
              <w:rPr>
                <w:lang w:val="en-US"/>
              </w:rPr>
              <w:t>F</w:t>
            </w:r>
            <w:r w:rsidRPr="0029110D">
              <w:t>, л/ч</w:t>
            </w:r>
          </w:p>
        </w:tc>
        <w:tc>
          <w:tcPr>
            <w:tcW w:w="2392" w:type="dxa"/>
          </w:tcPr>
          <w:p w14:paraId="302C9B02" w14:textId="77777777" w:rsidR="00C34E4A" w:rsidRPr="0029110D" w:rsidRDefault="00C34E4A" w:rsidP="0029110D">
            <w:pPr>
              <w:pStyle w:val="ab"/>
              <w:spacing w:before="0" w:beforeAutospacing="0" w:after="0" w:afterAutospacing="0"/>
              <w:jc w:val="center"/>
            </w:pPr>
            <w:r w:rsidRPr="0029110D">
              <w:t>11.0 (36)</w:t>
            </w:r>
          </w:p>
        </w:tc>
        <w:tc>
          <w:tcPr>
            <w:tcW w:w="2394" w:type="dxa"/>
          </w:tcPr>
          <w:p w14:paraId="3A435951" w14:textId="77777777" w:rsidR="00C34E4A" w:rsidRPr="0029110D" w:rsidRDefault="00C34E4A" w:rsidP="0029110D">
            <w:pPr>
              <w:pStyle w:val="ab"/>
              <w:spacing w:before="0" w:beforeAutospacing="0" w:after="0" w:afterAutospacing="0"/>
              <w:jc w:val="center"/>
            </w:pPr>
            <w:r w:rsidRPr="0029110D">
              <w:t>11.2 (33)</w:t>
            </w:r>
          </w:p>
        </w:tc>
        <w:tc>
          <w:tcPr>
            <w:tcW w:w="2150" w:type="dxa"/>
          </w:tcPr>
          <w:p w14:paraId="44C65E1A" w14:textId="77777777" w:rsidR="00C34E4A" w:rsidRPr="0029110D" w:rsidRDefault="00C34E4A" w:rsidP="0029110D">
            <w:pPr>
              <w:pStyle w:val="ab"/>
              <w:spacing w:before="0" w:beforeAutospacing="0" w:after="0" w:afterAutospacing="0"/>
              <w:jc w:val="center"/>
            </w:pPr>
            <w:r w:rsidRPr="0029110D">
              <w:t>9.42 (34)</w:t>
            </w:r>
          </w:p>
        </w:tc>
      </w:tr>
      <w:tr w:rsidR="00C34E4A" w:rsidRPr="00915A5D" w14:paraId="6A2AE94A" w14:textId="77777777" w:rsidTr="00AB1FF1">
        <w:tc>
          <w:tcPr>
            <w:tcW w:w="2421" w:type="dxa"/>
          </w:tcPr>
          <w:p w14:paraId="0478B2FE" w14:textId="77777777" w:rsidR="00C34E4A" w:rsidRPr="0029110D" w:rsidRDefault="00C34E4A">
            <w:pPr>
              <w:pStyle w:val="ab"/>
              <w:spacing w:before="0" w:beforeAutospacing="0" w:after="0" w:afterAutospacing="0"/>
              <w:jc w:val="both"/>
            </w:pPr>
            <w:r w:rsidRPr="0029110D">
              <w:rPr>
                <w:lang w:val="en-US"/>
              </w:rPr>
              <w:t>V</w:t>
            </w:r>
            <w:r w:rsidRPr="0029110D">
              <w:t>/</w:t>
            </w:r>
            <w:r w:rsidRPr="0029110D">
              <w:rPr>
                <w:lang w:val="en-US"/>
              </w:rPr>
              <w:t>F</w:t>
            </w:r>
            <w:r w:rsidRPr="0029110D">
              <w:t>, л</w:t>
            </w:r>
          </w:p>
        </w:tc>
        <w:tc>
          <w:tcPr>
            <w:tcW w:w="2392" w:type="dxa"/>
          </w:tcPr>
          <w:p w14:paraId="257776F8" w14:textId="77777777" w:rsidR="00C34E4A" w:rsidRPr="0029110D" w:rsidRDefault="00C34E4A" w:rsidP="0029110D">
            <w:pPr>
              <w:pStyle w:val="ab"/>
              <w:spacing w:before="0" w:beforeAutospacing="0" w:after="0" w:afterAutospacing="0"/>
              <w:jc w:val="center"/>
            </w:pPr>
            <w:r w:rsidRPr="0029110D">
              <w:t>127 (19)</w:t>
            </w:r>
          </w:p>
        </w:tc>
        <w:tc>
          <w:tcPr>
            <w:tcW w:w="2394" w:type="dxa"/>
          </w:tcPr>
          <w:p w14:paraId="731BC083" w14:textId="77777777" w:rsidR="00C34E4A" w:rsidRPr="0029110D" w:rsidRDefault="00C34E4A" w:rsidP="0029110D">
            <w:pPr>
              <w:pStyle w:val="ab"/>
              <w:spacing w:before="0" w:beforeAutospacing="0" w:after="0" w:afterAutospacing="0"/>
              <w:jc w:val="center"/>
              <w:rPr>
                <w:lang w:val="en-US"/>
              </w:rPr>
            </w:pPr>
            <w:r w:rsidRPr="0029110D">
              <w:rPr>
                <w:lang w:val="en-US"/>
              </w:rPr>
              <w:t>126 (17)</w:t>
            </w:r>
          </w:p>
        </w:tc>
        <w:tc>
          <w:tcPr>
            <w:tcW w:w="2150" w:type="dxa"/>
          </w:tcPr>
          <w:p w14:paraId="0AB5592E" w14:textId="77777777" w:rsidR="00C34E4A" w:rsidRPr="0029110D" w:rsidRDefault="00C34E4A" w:rsidP="0029110D">
            <w:pPr>
              <w:pStyle w:val="ab"/>
              <w:spacing w:before="0" w:beforeAutospacing="0" w:after="0" w:afterAutospacing="0"/>
              <w:jc w:val="center"/>
              <w:rPr>
                <w:lang w:val="en-US"/>
              </w:rPr>
            </w:pPr>
            <w:r w:rsidRPr="0029110D">
              <w:rPr>
                <w:lang w:val="en-US"/>
              </w:rPr>
              <w:t>108 (19)</w:t>
            </w:r>
          </w:p>
        </w:tc>
      </w:tr>
      <w:tr w:rsidR="00C34E4A" w:rsidRPr="00915A5D" w14:paraId="5F23334E" w14:textId="77777777" w:rsidTr="00AB1FF1">
        <w:tc>
          <w:tcPr>
            <w:tcW w:w="2421" w:type="dxa"/>
          </w:tcPr>
          <w:p w14:paraId="0B44A2D6" w14:textId="43237D1F" w:rsidR="00C34E4A" w:rsidRPr="0029110D" w:rsidRDefault="008F28F6">
            <w:pPr>
              <w:pStyle w:val="ab"/>
              <w:spacing w:before="0" w:beforeAutospacing="0" w:after="0" w:afterAutospacing="0"/>
              <w:jc w:val="both"/>
            </w:pPr>
            <w:r w:rsidRPr="0029110D">
              <w:rPr>
                <w:lang w:val="en-US"/>
              </w:rPr>
              <w:t>T</w:t>
            </w:r>
            <w:r w:rsidR="00C34E4A" w:rsidRPr="0029110D">
              <w:rPr>
                <w:vertAlign w:val="subscript"/>
                <w:lang w:val="en-US"/>
              </w:rPr>
              <w:t>1/2</w:t>
            </w:r>
            <w:r w:rsidR="00C34E4A" w:rsidRPr="0029110D">
              <w:t>, ч</w:t>
            </w:r>
          </w:p>
        </w:tc>
        <w:tc>
          <w:tcPr>
            <w:tcW w:w="2392" w:type="dxa"/>
          </w:tcPr>
          <w:p w14:paraId="6327B53F" w14:textId="77777777" w:rsidR="00C34E4A" w:rsidRPr="0029110D" w:rsidRDefault="00C34E4A" w:rsidP="0029110D">
            <w:pPr>
              <w:pStyle w:val="ab"/>
              <w:spacing w:before="0" w:beforeAutospacing="0" w:after="0" w:afterAutospacing="0"/>
              <w:jc w:val="center"/>
              <w:rPr>
                <w:lang w:val="en-US"/>
              </w:rPr>
            </w:pPr>
            <w:r w:rsidRPr="0029110D">
              <w:rPr>
                <w:lang w:val="en-US"/>
              </w:rPr>
              <w:t>15.8 (35)</w:t>
            </w:r>
          </w:p>
        </w:tc>
        <w:tc>
          <w:tcPr>
            <w:tcW w:w="2394" w:type="dxa"/>
          </w:tcPr>
          <w:p w14:paraId="056112FF" w14:textId="77777777" w:rsidR="00C34E4A" w:rsidRPr="0029110D" w:rsidRDefault="00C34E4A" w:rsidP="0029110D">
            <w:pPr>
              <w:pStyle w:val="ab"/>
              <w:spacing w:before="0" w:beforeAutospacing="0" w:after="0" w:afterAutospacing="0"/>
              <w:jc w:val="center"/>
              <w:rPr>
                <w:lang w:val="en-US"/>
              </w:rPr>
            </w:pPr>
            <w:r w:rsidRPr="0029110D">
              <w:rPr>
                <w:lang w:val="en-US"/>
              </w:rPr>
              <w:t>12.9 (36)</w:t>
            </w:r>
          </w:p>
        </w:tc>
        <w:tc>
          <w:tcPr>
            <w:tcW w:w="2150" w:type="dxa"/>
          </w:tcPr>
          <w:p w14:paraId="782283B2" w14:textId="77777777" w:rsidR="00C34E4A" w:rsidRPr="0029110D" w:rsidRDefault="00C34E4A" w:rsidP="0029110D">
            <w:pPr>
              <w:pStyle w:val="ab"/>
              <w:spacing w:before="0" w:beforeAutospacing="0" w:after="0" w:afterAutospacing="0"/>
              <w:jc w:val="center"/>
              <w:rPr>
                <w:lang w:val="en-US"/>
              </w:rPr>
            </w:pPr>
            <w:r w:rsidRPr="0029110D">
              <w:rPr>
                <w:lang w:val="en-US"/>
              </w:rPr>
              <w:t>12.5 (27)</w:t>
            </w:r>
          </w:p>
        </w:tc>
      </w:tr>
      <w:tr w:rsidR="00C34E4A" w:rsidRPr="00915A5D" w14:paraId="62B6BDF1" w14:textId="77777777" w:rsidTr="00AB1FF1">
        <w:tc>
          <w:tcPr>
            <w:tcW w:w="2421" w:type="dxa"/>
          </w:tcPr>
          <w:p w14:paraId="64742A0D" w14:textId="77777777" w:rsidR="00C34E4A" w:rsidRPr="0029110D" w:rsidRDefault="00C34E4A">
            <w:pPr>
              <w:pStyle w:val="ab"/>
              <w:spacing w:before="0" w:beforeAutospacing="0" w:after="0" w:afterAutospacing="0"/>
              <w:jc w:val="both"/>
            </w:pPr>
            <w:r w:rsidRPr="0029110D">
              <w:rPr>
                <w:lang w:val="en-US"/>
              </w:rPr>
              <w:t>AUC</w:t>
            </w:r>
            <w:r w:rsidRPr="0029110D">
              <w:rPr>
                <w:vertAlign w:val="subscript"/>
                <w:lang w:val="en-US"/>
              </w:rPr>
              <w:t>τ</w:t>
            </w:r>
            <w:r w:rsidRPr="0029110D">
              <w:rPr>
                <w:vertAlign w:val="subscript"/>
              </w:rPr>
              <w:t>,</w:t>
            </w:r>
            <w:r w:rsidRPr="0029110D">
              <w:rPr>
                <w:vertAlign w:val="subscript"/>
                <w:lang w:val="en-US"/>
              </w:rPr>
              <w:t>ss</w:t>
            </w:r>
            <w:r w:rsidRPr="0029110D">
              <w:t xml:space="preserve"> для дозы 4 мг, нг*ч/мл</w:t>
            </w:r>
          </w:p>
        </w:tc>
        <w:tc>
          <w:tcPr>
            <w:tcW w:w="2392" w:type="dxa"/>
          </w:tcPr>
          <w:p w14:paraId="577E1215" w14:textId="77777777" w:rsidR="00C34E4A" w:rsidRPr="0029110D" w:rsidRDefault="00C34E4A" w:rsidP="0029110D">
            <w:pPr>
              <w:pStyle w:val="ab"/>
              <w:spacing w:before="0" w:beforeAutospacing="0" w:after="0" w:afterAutospacing="0"/>
              <w:jc w:val="center"/>
              <w:rPr>
                <w:lang w:val="en-US"/>
              </w:rPr>
            </w:pPr>
            <w:r w:rsidRPr="0029110D">
              <w:rPr>
                <w:lang w:val="en-US"/>
              </w:rPr>
              <w:t>435 (55)</w:t>
            </w:r>
          </w:p>
        </w:tc>
        <w:tc>
          <w:tcPr>
            <w:tcW w:w="2394" w:type="dxa"/>
          </w:tcPr>
          <w:p w14:paraId="1A8895E9" w14:textId="77777777" w:rsidR="00C34E4A" w:rsidRPr="0029110D" w:rsidRDefault="00C34E4A" w:rsidP="0029110D">
            <w:pPr>
              <w:pStyle w:val="ab"/>
              <w:spacing w:before="0" w:beforeAutospacing="0" w:after="0" w:afterAutospacing="0"/>
              <w:jc w:val="center"/>
              <w:rPr>
                <w:lang w:val="en-US"/>
              </w:rPr>
            </w:pPr>
            <w:r w:rsidRPr="0029110D">
              <w:rPr>
                <w:lang w:val="en-US"/>
              </w:rPr>
              <w:t>415 (50)</w:t>
            </w:r>
          </w:p>
        </w:tc>
        <w:tc>
          <w:tcPr>
            <w:tcW w:w="2150" w:type="dxa"/>
          </w:tcPr>
          <w:p w14:paraId="04EBBCCD" w14:textId="77777777" w:rsidR="00C34E4A" w:rsidRPr="0029110D" w:rsidRDefault="00C34E4A" w:rsidP="0029110D">
            <w:pPr>
              <w:pStyle w:val="ab"/>
              <w:spacing w:before="0" w:beforeAutospacing="0" w:after="0" w:afterAutospacing="0"/>
              <w:jc w:val="center"/>
              <w:rPr>
                <w:lang w:val="en-US"/>
              </w:rPr>
            </w:pPr>
            <w:r w:rsidRPr="0029110D">
              <w:rPr>
                <w:lang w:val="en-US"/>
              </w:rPr>
              <w:t>483 (40)</w:t>
            </w:r>
          </w:p>
        </w:tc>
      </w:tr>
      <w:tr w:rsidR="00C34E4A" w:rsidRPr="00915A5D" w14:paraId="49B99D7C" w14:textId="77777777" w:rsidTr="00AB1FF1">
        <w:tc>
          <w:tcPr>
            <w:tcW w:w="2421" w:type="dxa"/>
          </w:tcPr>
          <w:p w14:paraId="17A1AC9B" w14:textId="77777777" w:rsidR="00C34E4A" w:rsidRPr="0029110D" w:rsidRDefault="00C34E4A">
            <w:pPr>
              <w:pStyle w:val="ab"/>
              <w:spacing w:before="0" w:beforeAutospacing="0" w:after="0" w:afterAutospacing="0"/>
              <w:jc w:val="both"/>
            </w:pPr>
            <w:r w:rsidRPr="0029110D">
              <w:rPr>
                <w:lang w:val="en-US"/>
              </w:rPr>
              <w:t>C</w:t>
            </w:r>
            <w:r w:rsidRPr="0029110D">
              <w:rPr>
                <w:vertAlign w:val="subscript"/>
                <w:lang w:val="en-US"/>
              </w:rPr>
              <w:t>maxss</w:t>
            </w:r>
            <w:r w:rsidRPr="0029110D">
              <w:t xml:space="preserve"> для дозы 4 мг, нг/мл</w:t>
            </w:r>
          </w:p>
        </w:tc>
        <w:tc>
          <w:tcPr>
            <w:tcW w:w="2392" w:type="dxa"/>
          </w:tcPr>
          <w:p w14:paraId="306778EC" w14:textId="77777777" w:rsidR="00C34E4A" w:rsidRPr="0029110D" w:rsidRDefault="00C34E4A" w:rsidP="0029110D">
            <w:pPr>
              <w:pStyle w:val="ab"/>
              <w:spacing w:before="0" w:beforeAutospacing="0" w:after="0" w:afterAutospacing="0"/>
              <w:jc w:val="center"/>
              <w:rPr>
                <w:lang w:val="en-US"/>
              </w:rPr>
            </w:pPr>
            <w:r w:rsidRPr="0029110D">
              <w:rPr>
                <w:lang w:val="en-US"/>
              </w:rPr>
              <w:t>47.5 (23)</w:t>
            </w:r>
          </w:p>
        </w:tc>
        <w:tc>
          <w:tcPr>
            <w:tcW w:w="2394" w:type="dxa"/>
          </w:tcPr>
          <w:p w14:paraId="0C96BB92" w14:textId="77777777" w:rsidR="00C34E4A" w:rsidRPr="0029110D" w:rsidRDefault="00C34E4A" w:rsidP="0029110D">
            <w:pPr>
              <w:pStyle w:val="ab"/>
              <w:spacing w:before="0" w:beforeAutospacing="0" w:after="0" w:afterAutospacing="0"/>
              <w:jc w:val="center"/>
              <w:rPr>
                <w:lang w:val="en-US"/>
              </w:rPr>
            </w:pPr>
            <w:r w:rsidRPr="0029110D">
              <w:rPr>
                <w:lang w:val="en-US"/>
              </w:rPr>
              <w:t>45.9 (21)</w:t>
            </w:r>
          </w:p>
        </w:tc>
        <w:tc>
          <w:tcPr>
            <w:tcW w:w="2150" w:type="dxa"/>
          </w:tcPr>
          <w:p w14:paraId="0DA68E9C" w14:textId="77777777" w:rsidR="00C34E4A" w:rsidRPr="0029110D" w:rsidRDefault="00C34E4A" w:rsidP="0029110D">
            <w:pPr>
              <w:pStyle w:val="ab"/>
              <w:spacing w:before="0" w:beforeAutospacing="0" w:after="0" w:afterAutospacing="0"/>
              <w:jc w:val="center"/>
              <w:rPr>
                <w:lang w:val="en-US"/>
              </w:rPr>
            </w:pPr>
            <w:r w:rsidRPr="0029110D">
              <w:rPr>
                <w:lang w:val="en-US"/>
              </w:rPr>
              <w:t>53.3 (22)</w:t>
            </w:r>
          </w:p>
        </w:tc>
      </w:tr>
      <w:tr w:rsidR="00C34E4A" w:rsidRPr="00915A5D" w14:paraId="2F174B30" w14:textId="77777777" w:rsidTr="00AB1FF1">
        <w:tc>
          <w:tcPr>
            <w:tcW w:w="9357" w:type="dxa"/>
            <w:gridSpan w:val="4"/>
          </w:tcPr>
          <w:p w14:paraId="70DB7B54" w14:textId="3120E522" w:rsidR="00C34E4A" w:rsidRPr="009B20AA" w:rsidRDefault="009B20AA" w:rsidP="0029110D">
            <w:pPr>
              <w:pStyle w:val="ab"/>
              <w:spacing w:before="0" w:beforeAutospacing="0" w:after="0"/>
              <w:jc w:val="both"/>
              <w:rPr>
                <w:sz w:val="20"/>
                <w:szCs w:val="20"/>
              </w:rPr>
            </w:pPr>
            <w:r w:rsidRPr="009B20AA">
              <w:rPr>
                <w:b/>
                <w:sz w:val="20"/>
                <w:szCs w:val="20"/>
              </w:rPr>
              <w:t>Примечание:</w:t>
            </w:r>
            <w:r>
              <w:rPr>
                <w:sz w:val="20"/>
                <w:szCs w:val="20"/>
              </w:rPr>
              <w:br/>
            </w:r>
            <w:r w:rsidR="00C34E4A" w:rsidRPr="009B20AA">
              <w:rPr>
                <w:sz w:val="20"/>
                <w:szCs w:val="20"/>
              </w:rPr>
              <w:t xml:space="preserve">CL/F – клиренс вещества при внесосудистом введении; V/F, л – объем распределения вещества при внесосудистом введении; </w:t>
            </w:r>
            <w:r w:rsidR="008F28F6">
              <w:rPr>
                <w:sz w:val="20"/>
                <w:szCs w:val="20"/>
                <w:lang w:val="en-US"/>
              </w:rPr>
              <w:t>T</w:t>
            </w:r>
            <w:r w:rsidR="00C34E4A" w:rsidRPr="00AB1FF1">
              <w:rPr>
                <w:sz w:val="20"/>
                <w:szCs w:val="20"/>
                <w:vertAlign w:val="subscript"/>
              </w:rPr>
              <w:t>1/2</w:t>
            </w:r>
            <w:r w:rsidR="00C34E4A" w:rsidRPr="009B20AA">
              <w:rPr>
                <w:sz w:val="20"/>
                <w:szCs w:val="20"/>
              </w:rPr>
              <w:t>, ч – период полувыведения; AUCτ,ss для дозы 4 мг, нг*ч/мл – площадь под фармакокинетической кривой «плазменная концентрация–время» во время интервала дозирования в стационарном состоянии; C</w:t>
            </w:r>
            <w:r w:rsidR="00C34E4A" w:rsidRPr="00AB1FF1">
              <w:rPr>
                <w:sz w:val="20"/>
                <w:szCs w:val="20"/>
                <w:vertAlign w:val="subscript"/>
              </w:rPr>
              <w:t>maxss</w:t>
            </w:r>
            <w:r w:rsidR="00C34E4A" w:rsidRPr="009B20AA">
              <w:rPr>
                <w:sz w:val="20"/>
                <w:szCs w:val="20"/>
              </w:rPr>
              <w:t xml:space="preserve"> для дозы 4 мг, нг/мл – максимальная концентрация в плазме во время интервала дозирования в равновесном состоянии.</w:t>
            </w:r>
          </w:p>
        </w:tc>
      </w:tr>
    </w:tbl>
    <w:p w14:paraId="2BAC4C14" w14:textId="77777777" w:rsidR="00C34E4A" w:rsidRDefault="00C34E4A">
      <w:pPr>
        <w:pStyle w:val="ab"/>
        <w:shd w:val="clear" w:color="auto" w:fill="FFFFFF"/>
        <w:spacing w:before="0" w:beforeAutospacing="0" w:after="0" w:afterAutospacing="0"/>
        <w:jc w:val="both"/>
      </w:pPr>
    </w:p>
    <w:p w14:paraId="0BEF545D" w14:textId="77777777" w:rsidR="00C34E4A" w:rsidRPr="004A300A" w:rsidRDefault="00C34E4A">
      <w:pPr>
        <w:pStyle w:val="ab"/>
        <w:shd w:val="clear" w:color="auto" w:fill="FFFFFF"/>
        <w:spacing w:before="0" w:beforeAutospacing="0" w:after="0" w:afterAutospacing="0"/>
        <w:ind w:firstLine="708"/>
        <w:jc w:val="both"/>
      </w:pPr>
      <w:r w:rsidRPr="003B63B1">
        <w:t xml:space="preserve">Расчетное среднее значение CL/F, равное 11,0 л/ч, у пациентов с </w:t>
      </w:r>
      <w:r>
        <w:t>ОА</w:t>
      </w:r>
      <w:r w:rsidRPr="003B63B1">
        <w:t xml:space="preserve"> было аналогично таковому у пациентов с </w:t>
      </w:r>
      <w:r>
        <w:t>АД</w:t>
      </w:r>
      <w:r w:rsidRPr="003B63B1">
        <w:t xml:space="preserve"> (11,2 л/ч) и примерно на 17% выше, чем у пациентов с </w:t>
      </w:r>
      <w:r>
        <w:t>РА</w:t>
      </w:r>
      <w:r w:rsidRPr="003B63B1">
        <w:t xml:space="preserve"> (9,42 л/ч). Вероятно, это было связано с общей лучшей функцией почек у пациентов с </w:t>
      </w:r>
      <w:r>
        <w:t>ОА</w:t>
      </w:r>
      <w:r w:rsidRPr="003B63B1">
        <w:t xml:space="preserve"> и </w:t>
      </w:r>
      <w:r>
        <w:t>АД</w:t>
      </w:r>
      <w:r w:rsidRPr="003B63B1">
        <w:t xml:space="preserve"> по сравнению с пациентами с </w:t>
      </w:r>
      <w:r>
        <w:t>РА</w:t>
      </w:r>
      <w:r w:rsidRPr="003B63B1">
        <w:t>. Медиана исходного уровня</w:t>
      </w:r>
      <w:r>
        <w:t xml:space="preserve"> </w:t>
      </w:r>
      <w:r w:rsidRPr="00F92A13">
        <w:t>скорости клубочковой фильтрации (СКФ</w:t>
      </w:r>
      <w:r>
        <w:t>)</w:t>
      </w:r>
      <w:r w:rsidRPr="003B63B1">
        <w:t xml:space="preserve"> была одинаковой у пациентов с </w:t>
      </w:r>
      <w:r>
        <w:t>ОА</w:t>
      </w:r>
      <w:r w:rsidRPr="003B63B1">
        <w:t xml:space="preserve"> (СКФ</w:t>
      </w:r>
      <w:r>
        <w:t xml:space="preserve"> </w:t>
      </w:r>
      <w:r w:rsidRPr="003B63B1">
        <w:t xml:space="preserve">106,2 </w:t>
      </w:r>
      <w:r w:rsidRPr="004A300A">
        <w:t>мл/мин/1,73 м</w:t>
      </w:r>
      <w:r w:rsidRPr="004A300A">
        <w:rPr>
          <w:vertAlign w:val="superscript"/>
        </w:rPr>
        <w:t>2</w:t>
      </w:r>
      <w:r w:rsidRPr="004A300A">
        <w:t>) по сравнению с пациентами с АД (СКФ 108 мл/мин/1,73 м</w:t>
      </w:r>
      <w:r w:rsidRPr="004A300A">
        <w:rPr>
          <w:vertAlign w:val="superscript"/>
        </w:rPr>
        <w:t>2</w:t>
      </w:r>
      <w:r w:rsidRPr="004A300A">
        <w:t>) и была выше, чем у пациентов с РА (СКФ 90,8 мл/мин/1,73 м</w:t>
      </w:r>
      <w:r w:rsidRPr="004A300A">
        <w:rPr>
          <w:vertAlign w:val="superscript"/>
        </w:rPr>
        <w:t>2</w:t>
      </w:r>
      <w:r w:rsidRPr="004A300A">
        <w:t xml:space="preserve">) </w:t>
      </w:r>
      <w:r w:rsidRPr="004A300A">
        <w:fldChar w:fldCharType="begin"/>
      </w:r>
      <w:r w:rsidRPr="004A300A">
        <w:instrText xml:space="preserve"> ADDIN ZOTERO_ITEM CSL_CITATION {"citationID":"VrQhcx7U","properties":{"formattedCitation":"[2]","plainCitation":"[2]","noteIndex":0},"citationItems":[{"id":3827,"uris":["http://zotero.org/groups/4514912/items/LB74K8KI"],"itemData":{"id":3827,"type":"document","title":"Assessment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4A300A">
        <w:fldChar w:fldCharType="separate"/>
      </w:r>
      <w:r w:rsidRPr="004A300A">
        <w:t>[2]</w:t>
      </w:r>
      <w:r w:rsidRPr="004A300A">
        <w:fldChar w:fldCharType="end"/>
      </w:r>
      <w:r w:rsidRPr="004A300A">
        <w:t>.</w:t>
      </w:r>
    </w:p>
    <w:p w14:paraId="778436FE" w14:textId="66242D2D" w:rsidR="00C34E4A" w:rsidRPr="004A300A" w:rsidRDefault="00C34E4A">
      <w:pPr>
        <w:pStyle w:val="ab"/>
        <w:shd w:val="clear" w:color="auto" w:fill="FFFFFF"/>
        <w:spacing w:before="0" w:beforeAutospacing="0" w:after="0" w:afterAutospacing="0"/>
        <w:ind w:firstLine="709"/>
        <w:contextualSpacing/>
        <w:jc w:val="both"/>
        <w:rPr>
          <w:color w:val="000000"/>
        </w:rPr>
      </w:pPr>
      <w:r w:rsidRPr="004A300A">
        <w:rPr>
          <w:rFonts w:hint="eastAsia"/>
          <w:color w:val="000000"/>
        </w:rPr>
        <w:t>Нежирная пища приводила к снижению AUC</w:t>
      </w:r>
      <w:r w:rsidRPr="004A300A">
        <w:rPr>
          <w:rFonts w:hint="eastAsia"/>
          <w:color w:val="000000"/>
          <w:vertAlign w:val="subscript"/>
        </w:rPr>
        <w:t>0-∞</w:t>
      </w:r>
      <w:r w:rsidRPr="004A300A">
        <w:rPr>
          <w:rFonts w:hint="eastAsia"/>
          <w:color w:val="000000"/>
        </w:rPr>
        <w:t xml:space="preserve"> на 14% и снижению C</w:t>
      </w:r>
      <w:r w:rsidRPr="00AB1FF1">
        <w:rPr>
          <w:color w:val="000000"/>
          <w:vertAlign w:val="subscript"/>
        </w:rPr>
        <w:t>max</w:t>
      </w:r>
      <w:r w:rsidRPr="004A300A">
        <w:rPr>
          <w:rFonts w:hint="eastAsia"/>
          <w:color w:val="000000"/>
        </w:rPr>
        <w:t xml:space="preserve"> на 11%, что не приводило к значимому влиянию на фармакокинетику </w:t>
      </w:r>
      <w:r w:rsidR="00BC3CE5" w:rsidRPr="004A300A">
        <w:rPr>
          <w:color w:val="000000"/>
        </w:rPr>
        <w:t>бари</w:t>
      </w:r>
      <w:r w:rsidR="00BC3CE5">
        <w:rPr>
          <w:color w:val="000000"/>
        </w:rPr>
        <w:t>ци</w:t>
      </w:r>
      <w:r w:rsidR="00BC3CE5" w:rsidRPr="004A300A">
        <w:rPr>
          <w:color w:val="000000"/>
        </w:rPr>
        <w:t>тиниба</w:t>
      </w:r>
      <w:r w:rsidRPr="004A300A">
        <w:rPr>
          <w:rFonts w:hint="eastAsia"/>
          <w:color w:val="000000"/>
        </w:rPr>
        <w:t xml:space="preserve">. Пища с высоким содержанием жиров снижала AUC на </w:t>
      </w:r>
      <w:r w:rsidRPr="004A300A">
        <w:rPr>
          <w:color w:val="000000"/>
        </w:rPr>
        <w:t>4–11</w:t>
      </w:r>
      <w:r w:rsidRPr="004A300A">
        <w:rPr>
          <w:rFonts w:hint="eastAsia"/>
          <w:color w:val="000000"/>
        </w:rPr>
        <w:t>% и C</w:t>
      </w:r>
      <w:r w:rsidRPr="00AB1FF1">
        <w:rPr>
          <w:color w:val="000000"/>
          <w:vertAlign w:val="subscript"/>
        </w:rPr>
        <w:t>max</w:t>
      </w:r>
      <w:r w:rsidRPr="004A300A">
        <w:rPr>
          <w:rFonts w:hint="eastAsia"/>
          <w:color w:val="000000"/>
        </w:rPr>
        <w:t xml:space="preserve"> на 10–18%. Снижение C</w:t>
      </w:r>
      <w:r w:rsidRPr="00AB1FF1">
        <w:rPr>
          <w:color w:val="000000"/>
          <w:vertAlign w:val="subscript"/>
        </w:rPr>
        <w:t>max</w:t>
      </w:r>
      <w:r w:rsidRPr="004A300A">
        <w:rPr>
          <w:rFonts w:hint="eastAsia"/>
          <w:color w:val="000000"/>
        </w:rPr>
        <w:t xml:space="preserve"> и AUC считалось клинически </w:t>
      </w:r>
      <w:r w:rsidRPr="004A300A">
        <w:rPr>
          <w:color w:val="000000"/>
        </w:rPr>
        <w:t xml:space="preserve">не значимым </w:t>
      </w:r>
      <w:r w:rsidRPr="004A300A">
        <w:rPr>
          <w:color w:val="000000"/>
        </w:rPr>
        <w:fldChar w:fldCharType="begin"/>
      </w:r>
      <w:r w:rsidRPr="004A300A">
        <w:rPr>
          <w:color w:val="000000"/>
        </w:rPr>
        <w:instrText xml:space="preserve"> ADDIN ZOTERO_ITEM CSL_CITATION {"citationID":"AdHIonAd","properties":{"formattedCitation":"[1]","plainCitation":"[1]","noteIndex":0},"citationItems":[{"id":3826,"uris":["http://zotero.org/groups/4514912/items/UB7ESC4C"],"itemData":{"id":3826,"type":"document","title":"Assessment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4A300A">
        <w:rPr>
          <w:color w:val="000000"/>
        </w:rPr>
        <w:fldChar w:fldCharType="separate"/>
      </w:r>
      <w:r w:rsidRPr="004A300A">
        <w:t>[1]</w:t>
      </w:r>
      <w:r w:rsidRPr="004A300A">
        <w:rPr>
          <w:color w:val="000000"/>
        </w:rPr>
        <w:fldChar w:fldCharType="end"/>
      </w:r>
      <w:r w:rsidRPr="004A300A">
        <w:rPr>
          <w:rFonts w:hint="eastAsia"/>
          <w:color w:val="000000"/>
        </w:rPr>
        <w:t>.</w:t>
      </w:r>
    </w:p>
    <w:p w14:paraId="4E7A6049" w14:textId="77777777" w:rsidR="00E130A1" w:rsidRDefault="00E130A1" w:rsidP="00AB1FF1">
      <w:pPr>
        <w:pStyle w:val="OT"/>
        <w:contextualSpacing/>
      </w:pPr>
      <w:bookmarkStart w:id="137" w:name="_Toc52190578"/>
    </w:p>
    <w:p w14:paraId="52BC47D0" w14:textId="77777777" w:rsidR="009B20AA" w:rsidRPr="007D730B" w:rsidRDefault="00C34E4A" w:rsidP="00AB1FF1">
      <w:pPr>
        <w:pStyle w:val="OT"/>
        <w:contextualSpacing/>
        <w:rPr>
          <w:b/>
        </w:rPr>
      </w:pPr>
      <w:r w:rsidRPr="007D730B">
        <w:rPr>
          <w:b/>
        </w:rPr>
        <w:t>Распределение</w:t>
      </w:r>
      <w:bookmarkStart w:id="138" w:name="_Toc52190579"/>
      <w:bookmarkEnd w:id="137"/>
    </w:p>
    <w:p w14:paraId="2F0E6E4B" w14:textId="77777777" w:rsidR="00E130A1" w:rsidRDefault="00E130A1">
      <w:pPr>
        <w:pStyle w:val="OT"/>
        <w:ind w:firstLine="709"/>
        <w:contextualSpacing/>
        <w:rPr>
          <w:color w:val="000000"/>
        </w:rPr>
      </w:pPr>
    </w:p>
    <w:p w14:paraId="5E0B1119" w14:textId="15E937CD" w:rsidR="009B20AA" w:rsidRPr="007D730B" w:rsidRDefault="00C34E4A">
      <w:pPr>
        <w:pStyle w:val="OT"/>
        <w:ind w:firstLine="709"/>
        <w:contextualSpacing/>
        <w:rPr>
          <w:color w:val="000000"/>
        </w:rPr>
      </w:pPr>
      <w:r w:rsidRPr="007D730B">
        <w:rPr>
          <w:color w:val="000000"/>
        </w:rPr>
        <w:t xml:space="preserve">Связывание барицитиниба (10 мкмоль/л) с белками плазмы крови определяли </w:t>
      </w:r>
      <w:r w:rsidRPr="007D730B">
        <w:rPr>
          <w:i/>
          <w:iCs/>
          <w:color w:val="000000"/>
        </w:rPr>
        <w:t>in vitro</w:t>
      </w:r>
      <w:r w:rsidRPr="007D730B">
        <w:rPr>
          <w:color w:val="000000"/>
        </w:rPr>
        <w:t xml:space="preserve"> методом равновесного диализа в плазме и сыворотке человека. Связывание барицитиниба с белками в плазме крови составляло 49% при 10 мкмоль/л и 50% при 1 мкмоль/л, при этом общая средняя несвязанная доля в плазме составила 50±2%. Связывание барицитиниба с белками в сыворотке составляло 53% при 10 мкмоль/л, 55% при 3 мкмоль/л и 57% при 1 мкмоль/л, при этом общая средняя несвязанная фракция в сыворотке составила 55±3% </w:t>
      </w:r>
      <w:r w:rsidRPr="007D730B">
        <w:rPr>
          <w:color w:val="000000"/>
        </w:rPr>
        <w:fldChar w:fldCharType="begin"/>
      </w:r>
      <w:r w:rsidRPr="007D730B">
        <w:rPr>
          <w:color w:val="000000"/>
        </w:rPr>
        <w:instrText xml:space="preserve"> ADDIN ZOTERO_ITEM CSL_CITATION {"citationID":"o04tdycs","properties":{"formattedCitation":"[1]","plainCitation":"[1]","noteIndex":0},"citationItems":[{"id":3826,"uris":["http://zotero.org/groups/4514912/items/UB7ESC4C"],"itemData":{"id":3826,"type":"document","title":"Assessment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7D730B">
        <w:rPr>
          <w:color w:val="000000"/>
        </w:rPr>
        <w:fldChar w:fldCharType="separate"/>
      </w:r>
      <w:r w:rsidRPr="007D730B">
        <w:t>[1]</w:t>
      </w:r>
      <w:r w:rsidRPr="007D730B">
        <w:rPr>
          <w:color w:val="000000"/>
        </w:rPr>
        <w:fldChar w:fldCharType="end"/>
      </w:r>
      <w:r w:rsidRPr="007D730B">
        <w:rPr>
          <w:rFonts w:hint="eastAsia"/>
          <w:color w:val="000000"/>
        </w:rPr>
        <w:t>.</w:t>
      </w:r>
    </w:p>
    <w:p w14:paraId="4EE1A233" w14:textId="77777777" w:rsidR="009B20AA" w:rsidRPr="007D730B" w:rsidRDefault="00C34E4A">
      <w:pPr>
        <w:pStyle w:val="OT"/>
        <w:ind w:firstLine="709"/>
        <w:contextualSpacing/>
        <w:rPr>
          <w:color w:val="000000"/>
        </w:rPr>
      </w:pPr>
      <w:r w:rsidRPr="007D730B">
        <w:rPr>
          <w:color w:val="000000"/>
        </w:rPr>
        <w:t xml:space="preserve">Соотношение барицитиниба в крови и плазме </w:t>
      </w:r>
      <w:r w:rsidRPr="007D730B">
        <w:rPr>
          <w:i/>
          <w:iCs/>
          <w:color w:val="000000"/>
        </w:rPr>
        <w:t>in vitro</w:t>
      </w:r>
      <w:r w:rsidRPr="007D730B">
        <w:rPr>
          <w:color w:val="000000"/>
        </w:rPr>
        <w:t xml:space="preserve"> не исследовалось. Клиническое исследование JADG показало, что средние отношения AUC</w:t>
      </w:r>
      <w:r w:rsidRPr="007D730B">
        <w:rPr>
          <w:color w:val="000000"/>
          <w:vertAlign w:val="subscript"/>
        </w:rPr>
        <w:t xml:space="preserve">0-12 </w:t>
      </w:r>
      <w:r w:rsidRPr="007D730B">
        <w:rPr>
          <w:color w:val="000000"/>
        </w:rPr>
        <w:t>и C</w:t>
      </w:r>
      <w:r w:rsidRPr="00AB1FF1">
        <w:rPr>
          <w:color w:val="000000"/>
          <w:vertAlign w:val="subscript"/>
        </w:rPr>
        <w:t>max</w:t>
      </w:r>
      <w:r w:rsidRPr="007D730B">
        <w:rPr>
          <w:color w:val="000000"/>
        </w:rPr>
        <w:t xml:space="preserve"> для общей радиоактивности в цельной крови к плазме были немного выше единицы (1,14 для AUC и C</w:t>
      </w:r>
      <w:r w:rsidRPr="00AB1FF1">
        <w:rPr>
          <w:color w:val="000000"/>
          <w:vertAlign w:val="subscript"/>
        </w:rPr>
        <w:t>max</w:t>
      </w:r>
      <w:r w:rsidRPr="007D730B">
        <w:rPr>
          <w:color w:val="000000"/>
        </w:rPr>
        <w:t xml:space="preserve">) </w:t>
      </w:r>
      <w:r w:rsidRPr="007D730B">
        <w:rPr>
          <w:color w:val="000000"/>
        </w:rPr>
        <w:fldChar w:fldCharType="begin"/>
      </w:r>
      <w:r w:rsidRPr="007D730B">
        <w:rPr>
          <w:color w:val="000000"/>
        </w:rPr>
        <w:instrText xml:space="preserve"> ADDIN ZOTERO_ITEM CSL_CITATION {"citationID":"Grs0ekGO","properties":{"formattedCitation":"[1]","plainCitation":"[1]","noteIndex":0},"citationItems":[{"id":3826,"uris":["http://zotero.org/groups/4514912/items/UB7ESC4C"],"itemData":{"id":3826,"type":"document","title":"Assessment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7D730B">
        <w:rPr>
          <w:color w:val="000000"/>
        </w:rPr>
        <w:fldChar w:fldCharType="separate"/>
      </w:r>
      <w:r w:rsidRPr="007D730B">
        <w:t>[1]</w:t>
      </w:r>
      <w:r w:rsidRPr="007D730B">
        <w:rPr>
          <w:color w:val="000000"/>
        </w:rPr>
        <w:fldChar w:fldCharType="end"/>
      </w:r>
      <w:r w:rsidRPr="007D730B">
        <w:rPr>
          <w:rFonts w:hint="eastAsia"/>
          <w:color w:val="000000"/>
        </w:rPr>
        <w:t>.</w:t>
      </w:r>
    </w:p>
    <w:p w14:paraId="20D4FCE3" w14:textId="4118621B" w:rsidR="00C34E4A" w:rsidRPr="007D730B" w:rsidRDefault="00C34E4A">
      <w:pPr>
        <w:pStyle w:val="OT"/>
        <w:ind w:firstLine="709"/>
        <w:contextualSpacing/>
      </w:pPr>
      <w:r w:rsidRPr="007D730B">
        <w:rPr>
          <w:color w:val="000000"/>
        </w:rPr>
        <w:lastRenderedPageBreak/>
        <w:t xml:space="preserve">Распределение барицитиниба у человека </w:t>
      </w:r>
      <w:r w:rsidRPr="007D730B">
        <w:rPr>
          <w:i/>
          <w:iCs/>
          <w:color w:val="000000"/>
        </w:rPr>
        <w:t>in vivo</w:t>
      </w:r>
      <w:r w:rsidRPr="007D730B">
        <w:rPr>
          <w:color w:val="000000"/>
        </w:rPr>
        <w:t xml:space="preserve"> изучалось в исследовании JAGM после внутривенного введения 4 мкг (13C4D3 15N)-барицитиниба в течение 1,5 ч. Средний объем распределения (Vd) составил 75,7 л (коэффициент вариации 21%), что свидетельствует о распределении барицитиниба в тканях. Средняя масса тела составляла 70 кг, в результате чего Vd составлял 1,08 л/кг. Связывание барицитиниба с белками плазмы составило около 50% и не зависело от концентрации (включая клинически значимые концентрации). Отношение крови к плазме составляет 1,14, а Vd 1,1 л/кг </w:t>
      </w:r>
      <w:r w:rsidRPr="007D730B">
        <w:rPr>
          <w:color w:val="000000"/>
        </w:rPr>
        <w:fldChar w:fldCharType="begin"/>
      </w:r>
      <w:r w:rsidRPr="007D730B">
        <w:rPr>
          <w:color w:val="000000"/>
        </w:rPr>
        <w:instrText xml:space="preserve"> ADDIN ZOTERO_ITEM CSL_CITATION {"citationID":"pOovP5L0","properties":{"formattedCitation":"[1]","plainCitation":"[1]","noteIndex":0},"citationItems":[{"id":3826,"uris":["http://zotero.org/groups/4514912/items/UB7ESC4C"],"itemData":{"id":3826,"type":"document","title":"Assessment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7D730B">
        <w:rPr>
          <w:color w:val="000000"/>
        </w:rPr>
        <w:fldChar w:fldCharType="separate"/>
      </w:r>
      <w:r w:rsidRPr="007D730B">
        <w:t>[1]</w:t>
      </w:r>
      <w:r w:rsidRPr="007D730B">
        <w:rPr>
          <w:color w:val="000000"/>
        </w:rPr>
        <w:fldChar w:fldCharType="end"/>
      </w:r>
      <w:r w:rsidRPr="007D730B">
        <w:rPr>
          <w:rFonts w:hint="eastAsia"/>
          <w:color w:val="000000"/>
        </w:rPr>
        <w:t>.</w:t>
      </w:r>
    </w:p>
    <w:p w14:paraId="4BCC31BB" w14:textId="77777777" w:rsidR="00E130A1" w:rsidRDefault="00E130A1" w:rsidP="00AB1FF1">
      <w:pPr>
        <w:pStyle w:val="OT"/>
        <w:contextualSpacing/>
      </w:pPr>
    </w:p>
    <w:p w14:paraId="3D63F631" w14:textId="77777777" w:rsidR="009B20AA" w:rsidRPr="007D730B" w:rsidRDefault="00C34E4A" w:rsidP="00AB1FF1">
      <w:pPr>
        <w:pStyle w:val="OT"/>
        <w:contextualSpacing/>
        <w:rPr>
          <w:b/>
        </w:rPr>
      </w:pPr>
      <w:r w:rsidRPr="007D730B">
        <w:rPr>
          <w:b/>
        </w:rPr>
        <w:t>Метаболизм</w:t>
      </w:r>
      <w:bookmarkStart w:id="139" w:name="_Toc52190580"/>
      <w:bookmarkEnd w:id="138"/>
    </w:p>
    <w:p w14:paraId="733D0ADA" w14:textId="77777777" w:rsidR="00E130A1" w:rsidRDefault="00E130A1">
      <w:pPr>
        <w:pStyle w:val="OT"/>
        <w:ind w:firstLine="709"/>
        <w:contextualSpacing/>
      </w:pPr>
    </w:p>
    <w:p w14:paraId="6DBF081D" w14:textId="3D98F6C8" w:rsidR="009B20AA" w:rsidRPr="007D730B" w:rsidRDefault="00C34E4A">
      <w:pPr>
        <w:pStyle w:val="OT"/>
        <w:ind w:firstLine="709"/>
        <w:contextualSpacing/>
      </w:pPr>
      <w:r w:rsidRPr="007D730B">
        <w:t xml:space="preserve">Биотрансформация барицитиниба у животных (мышь CD1, крыса Sprague-Dawley, новозеландский белый кролик, собака бигль) и человека была представлена моноокислением (М9, М10) и бис-окислением (М22) либо в пиразольном, либо в пиримидиновом кольце, окислительное раскрытие пиррольного кольца (М13, М3, М12) и глюкуронирование (М6) </w:t>
      </w:r>
      <w:r w:rsidRPr="007D730B">
        <w:fldChar w:fldCharType="begin"/>
      </w:r>
      <w:r w:rsidRPr="007D730B">
        <w:instrText xml:space="preserve"> ADDIN ZOTERO_ITEM CSL_CITATION {"citationID":"q1b80uds","properties":{"formattedCitation":"[1]","plainCitation":"[1]","noteIndex":0},"citationItems":[{"id":3826,"uris":["http://zotero.org/groups/4514912/items/UB7ESC4C"],"itemData":{"id":3826,"type":"document","title":"Assessment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7D730B">
        <w:fldChar w:fldCharType="separate"/>
      </w:r>
      <w:r w:rsidRPr="007D730B">
        <w:t>[1]</w:t>
      </w:r>
      <w:r w:rsidRPr="007D730B">
        <w:fldChar w:fldCharType="end"/>
      </w:r>
      <w:r w:rsidRPr="007D730B">
        <w:t>.</w:t>
      </w:r>
    </w:p>
    <w:p w14:paraId="5D972B0A" w14:textId="77777777" w:rsidR="009B20AA" w:rsidRPr="007D730B" w:rsidRDefault="00C34E4A">
      <w:pPr>
        <w:pStyle w:val="OT"/>
        <w:ind w:firstLine="709"/>
        <w:contextualSpacing/>
        <w:rPr>
          <w:color w:val="000000"/>
        </w:rPr>
      </w:pPr>
      <w:r w:rsidRPr="007D730B">
        <w:rPr>
          <w:color w:val="000000"/>
        </w:rPr>
        <w:t xml:space="preserve">Исследования </w:t>
      </w:r>
      <w:r w:rsidRPr="007D730B">
        <w:rPr>
          <w:i/>
          <w:iCs/>
          <w:color w:val="000000"/>
        </w:rPr>
        <w:t>in vitro</w:t>
      </w:r>
      <w:r w:rsidRPr="007D730B">
        <w:rPr>
          <w:color w:val="000000"/>
        </w:rPr>
        <w:t xml:space="preserve"> показывают, что барицитиниб является субстратом для P-гликопротеина, BCRP (белок устойчивости к раку молочной железы), OAT3 и MATE2-K. Барицитниб не является субстратом для OATP1B1, OATP1B3, OAT1, OCT1, OCT2 и MATE1.</w:t>
      </w:r>
    </w:p>
    <w:p w14:paraId="58C77F41" w14:textId="0B5AFFE5" w:rsidR="00C34E4A" w:rsidRPr="007D730B" w:rsidRDefault="00C34E4A">
      <w:pPr>
        <w:pStyle w:val="OT"/>
        <w:ind w:firstLine="709"/>
        <w:contextualSpacing/>
      </w:pPr>
      <w:r w:rsidRPr="007D730B">
        <w:t xml:space="preserve">По данным исследований биоматериалов человека </w:t>
      </w:r>
      <w:r w:rsidRPr="007D730B">
        <w:rPr>
          <w:i/>
          <w:iCs/>
        </w:rPr>
        <w:t>in vitro</w:t>
      </w:r>
      <w:r w:rsidRPr="007D730B">
        <w:t xml:space="preserve">, барицитиниб подвергается ограниченному (от 10 до 16%) окислению, опосредованному изоферментом CYP3A4, до 3 основных метаболитов: М3, М4 и М10. У людей 3,2% от дозы при пероральном приеме выводится с мочой в виде метаболита М22 </w:t>
      </w:r>
      <w:r w:rsidRPr="007D730B">
        <w:fldChar w:fldCharType="begin"/>
      </w:r>
      <w:r w:rsidRPr="007D730B">
        <w:instrText xml:space="preserve"> ADDIN ZOTERO_ITEM CSL_CITATION {"citationID":"iemLNfLn","properties":{"formattedCitation":"[3]","plainCitation":"[3]","noteIndex":0},"citationItems":[{"id":3825,"uris":["http://zotero.org/groups/4514912/items/7R9UX5LD"],"itemData":{"id":3825,"type":"document","title":"Australian Public Assessment Report for Baricitinib. Proprietary Product Name: Olumiant. Sponsor: Eli Lilly Australia Pty Ltd. 2019"}}],"schema":"https://github.com/citation-style-language/schema/raw/master/csl-citation.json"} </w:instrText>
      </w:r>
      <w:r w:rsidRPr="007D730B">
        <w:fldChar w:fldCharType="separate"/>
      </w:r>
      <w:r w:rsidRPr="007D730B">
        <w:t>[3]</w:t>
      </w:r>
      <w:r w:rsidRPr="007D730B">
        <w:fldChar w:fldCharType="end"/>
      </w:r>
      <w:r w:rsidRPr="007D730B">
        <w:t xml:space="preserve">. </w:t>
      </w:r>
    </w:p>
    <w:p w14:paraId="127D8F91" w14:textId="77777777" w:rsidR="00E130A1" w:rsidRDefault="00E130A1" w:rsidP="00AB1FF1">
      <w:pPr>
        <w:pStyle w:val="OT"/>
        <w:contextualSpacing/>
      </w:pPr>
    </w:p>
    <w:p w14:paraId="0E817B14" w14:textId="77777777" w:rsidR="009B20AA" w:rsidRPr="007D730B" w:rsidRDefault="00C34E4A" w:rsidP="00AB1FF1">
      <w:pPr>
        <w:pStyle w:val="OT"/>
        <w:contextualSpacing/>
        <w:rPr>
          <w:b/>
        </w:rPr>
      </w:pPr>
      <w:r w:rsidRPr="007D730B">
        <w:rPr>
          <w:b/>
        </w:rPr>
        <w:t>Выведение</w:t>
      </w:r>
      <w:bookmarkStart w:id="140" w:name="_Toc83655951"/>
      <w:bookmarkEnd w:id="139"/>
    </w:p>
    <w:p w14:paraId="6ED34491" w14:textId="77777777" w:rsidR="00E130A1" w:rsidRDefault="00E130A1">
      <w:pPr>
        <w:pStyle w:val="OT"/>
        <w:ind w:firstLine="709"/>
        <w:contextualSpacing/>
        <w:rPr>
          <w:color w:val="000000"/>
        </w:rPr>
      </w:pPr>
    </w:p>
    <w:p w14:paraId="6AEED742" w14:textId="06907488" w:rsidR="009B20AA" w:rsidRPr="007D730B" w:rsidRDefault="00C34E4A">
      <w:pPr>
        <w:pStyle w:val="OT"/>
        <w:ind w:firstLine="709"/>
        <w:contextualSpacing/>
        <w:rPr>
          <w:color w:val="000000"/>
        </w:rPr>
      </w:pPr>
      <w:r w:rsidRPr="007D730B">
        <w:rPr>
          <w:color w:val="000000"/>
        </w:rPr>
        <w:t xml:space="preserve">Только барицитиниб был обнаружен в плазме крови человека. Метаболиты составляли 4–7% дозы в моче и ≈1% в фекалиях. </w:t>
      </w:r>
    </w:p>
    <w:p w14:paraId="04FA1E25" w14:textId="1E55EFE9" w:rsidR="00C34E4A" w:rsidRPr="007D730B" w:rsidRDefault="00C34E4A">
      <w:pPr>
        <w:pStyle w:val="OT"/>
        <w:ind w:firstLine="709"/>
        <w:contextualSpacing/>
      </w:pPr>
      <w:r w:rsidRPr="007D730B">
        <w:rPr>
          <w:color w:val="000000"/>
        </w:rPr>
        <w:t xml:space="preserve">Период полувыведения барицитиниба у здоровых добровольцев составляет 8 ч. Барицитиниб в основном выводится с мочой и преимущественно в виде исходного соединения. Около 20% дозы выводится с фекалиями. Общий </w:t>
      </w:r>
      <w:r w:rsidR="008F28F6">
        <w:rPr>
          <w:lang w:val="en-US"/>
        </w:rPr>
        <w:t>CL</w:t>
      </w:r>
      <w:r w:rsidRPr="007D730B">
        <w:rPr>
          <w:color w:val="000000"/>
        </w:rPr>
        <w:t xml:space="preserve"> составляет примерно 17 л/ч, а почечный </w:t>
      </w:r>
      <w:r w:rsidR="008F28F6">
        <w:rPr>
          <w:lang w:val="en-US"/>
        </w:rPr>
        <w:t>CL</w:t>
      </w:r>
      <w:r w:rsidRPr="007D730B">
        <w:rPr>
          <w:color w:val="000000"/>
        </w:rPr>
        <w:t xml:space="preserve"> - примерно 13,4 л/ч у здоровых людей </w:t>
      </w:r>
      <w:r w:rsidRPr="007D730B">
        <w:rPr>
          <w:color w:val="000000"/>
        </w:rPr>
        <w:fldChar w:fldCharType="begin"/>
      </w:r>
      <w:r w:rsidRPr="007D730B">
        <w:rPr>
          <w:color w:val="000000"/>
        </w:rPr>
        <w:instrText xml:space="preserve"> ADDIN ZOTERO_ITEM CSL_CITATION {"citationID":"rQfawF4c","properties":{"formattedCitation":"[1]","plainCitation":"[1]","noteIndex":0},"citationItems":[{"id":3826,"uris":["http://zotero.org/groups/4514912/items/UB7ESC4C"],"itemData":{"id":3826,"type":"document","title":"Assessment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7D730B">
        <w:rPr>
          <w:color w:val="000000"/>
        </w:rPr>
        <w:fldChar w:fldCharType="separate"/>
      </w:r>
      <w:r w:rsidRPr="007D730B">
        <w:t>[1]</w:t>
      </w:r>
      <w:r w:rsidRPr="007D730B">
        <w:rPr>
          <w:color w:val="000000"/>
        </w:rPr>
        <w:fldChar w:fldCharType="end"/>
      </w:r>
      <w:r w:rsidRPr="007D730B">
        <w:rPr>
          <w:color w:val="000000"/>
        </w:rPr>
        <w:t>.</w:t>
      </w:r>
    </w:p>
    <w:p w14:paraId="4C12C499" w14:textId="77777777" w:rsidR="00E130A1" w:rsidRDefault="00E130A1" w:rsidP="00AB1FF1">
      <w:pPr>
        <w:pStyle w:val="OT"/>
        <w:contextualSpacing/>
      </w:pPr>
    </w:p>
    <w:p w14:paraId="5D00FDF3" w14:textId="77777777" w:rsidR="007952C2" w:rsidRPr="007D730B" w:rsidRDefault="00C34E4A" w:rsidP="00AB1FF1">
      <w:pPr>
        <w:pStyle w:val="OT"/>
        <w:contextualSpacing/>
        <w:rPr>
          <w:b/>
        </w:rPr>
      </w:pPr>
      <w:r w:rsidRPr="007D730B">
        <w:rPr>
          <w:b/>
        </w:rPr>
        <w:t>Линейность фармакокинетики</w:t>
      </w:r>
      <w:bookmarkEnd w:id="140"/>
    </w:p>
    <w:p w14:paraId="02629CBF" w14:textId="77777777" w:rsidR="00E130A1" w:rsidRDefault="00E130A1">
      <w:pPr>
        <w:pStyle w:val="OT"/>
        <w:ind w:firstLine="709"/>
        <w:contextualSpacing/>
        <w:rPr>
          <w:color w:val="000000"/>
        </w:rPr>
      </w:pPr>
    </w:p>
    <w:p w14:paraId="186BAD58" w14:textId="47AE3CE3" w:rsidR="007952C2" w:rsidRPr="007D730B" w:rsidRDefault="00C34E4A">
      <w:pPr>
        <w:pStyle w:val="OT"/>
        <w:ind w:firstLine="709"/>
        <w:contextualSpacing/>
        <w:rPr>
          <w:color w:val="000000"/>
        </w:rPr>
      </w:pPr>
      <w:r w:rsidRPr="007D730B">
        <w:rPr>
          <w:color w:val="000000"/>
        </w:rPr>
        <w:t>C</w:t>
      </w:r>
      <w:r w:rsidRPr="00AB1FF1">
        <w:rPr>
          <w:color w:val="000000"/>
          <w:vertAlign w:val="subscript"/>
        </w:rPr>
        <w:t>max</w:t>
      </w:r>
      <w:r w:rsidRPr="007D730B">
        <w:rPr>
          <w:color w:val="000000"/>
        </w:rPr>
        <w:t xml:space="preserve"> и AUC</w:t>
      </w:r>
      <w:r w:rsidRPr="007D730B">
        <w:rPr>
          <w:color w:val="000000"/>
          <w:vertAlign w:val="subscript"/>
        </w:rPr>
        <w:t>0-∞</w:t>
      </w:r>
      <w:r w:rsidRPr="007D730B">
        <w:rPr>
          <w:color w:val="000000"/>
        </w:rPr>
        <w:t xml:space="preserve"> увеличиваются пропорционально дозе у здоровых добровольцев в диапазоне однократных доз от 1 до 30 мг (немного больше в диапазоне доз от 30 до 40 мг).</w:t>
      </w:r>
    </w:p>
    <w:p w14:paraId="190A43B8" w14:textId="75E5D624" w:rsidR="00C34E4A" w:rsidRPr="007D730B" w:rsidRDefault="00C34E4A">
      <w:pPr>
        <w:pStyle w:val="OT"/>
        <w:ind w:firstLine="709"/>
        <w:contextualSpacing/>
      </w:pPr>
      <w:r w:rsidRPr="007D730B">
        <w:rPr>
          <w:color w:val="000000"/>
        </w:rPr>
        <w:t>Кинетика барицитиниба была пропорциональна дозе от 2 до 4 мг. После многократного приема один раз в день равновесное состояние достигалось между второй и третьей дозой. Накопление после многократного введения барицитиниба минимально; коэффициент накопления варьировал от 0,89–1,25-кратного и 1,02–1,24-кратного в зависимости от C</w:t>
      </w:r>
      <w:r w:rsidRPr="00AB1FF1">
        <w:rPr>
          <w:color w:val="000000"/>
          <w:vertAlign w:val="subscript"/>
        </w:rPr>
        <w:t>max</w:t>
      </w:r>
      <w:r w:rsidRPr="007D730B">
        <w:rPr>
          <w:color w:val="000000"/>
        </w:rPr>
        <w:t xml:space="preserve"> и AUC соответственно. Фармакокинетика барицитиниба была предсказуема на основании данных об однократном приеме, что позволяет предположить, что барицитиниб обладает линейной фармакокинетикой во времени </w:t>
      </w:r>
      <w:r w:rsidRPr="007D730B">
        <w:rPr>
          <w:color w:val="000000"/>
        </w:rPr>
        <w:fldChar w:fldCharType="begin"/>
      </w:r>
      <w:r w:rsidRPr="007D730B">
        <w:rPr>
          <w:color w:val="000000"/>
        </w:rPr>
        <w:instrText xml:space="preserve"> ADDIN ZOTERO_ITEM CSL_CITATION {"citationID":"pbAaRra6","properties":{"formattedCitation":"[1]","plainCitation":"[1]","noteIndex":0},"citationItems":[{"id":3826,"uris":["http://zotero.org/groups/4514912/items/UB7ESC4C"],"itemData":{"id":3826,"type":"document","title":"Assessment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7D730B">
        <w:rPr>
          <w:color w:val="000000"/>
        </w:rPr>
        <w:fldChar w:fldCharType="separate"/>
      </w:r>
      <w:r w:rsidRPr="007D730B">
        <w:t>[1]</w:t>
      </w:r>
      <w:r w:rsidRPr="007D730B">
        <w:rPr>
          <w:color w:val="000000"/>
        </w:rPr>
        <w:fldChar w:fldCharType="end"/>
      </w:r>
      <w:r w:rsidRPr="007D730B">
        <w:rPr>
          <w:color w:val="000000"/>
        </w:rPr>
        <w:t>.</w:t>
      </w:r>
    </w:p>
    <w:p w14:paraId="02994549" w14:textId="77777777" w:rsidR="00E130A1" w:rsidRDefault="00E130A1" w:rsidP="00AB1FF1">
      <w:pPr>
        <w:pStyle w:val="OT"/>
        <w:contextualSpacing/>
      </w:pPr>
      <w:bookmarkStart w:id="141" w:name="_Toc52190581"/>
    </w:p>
    <w:p w14:paraId="39D4A88F" w14:textId="77777777" w:rsidR="00C34E4A" w:rsidRPr="007D730B" w:rsidRDefault="00C34E4A" w:rsidP="00AB1FF1">
      <w:pPr>
        <w:pStyle w:val="OT"/>
        <w:contextualSpacing/>
        <w:rPr>
          <w:b/>
        </w:rPr>
      </w:pPr>
      <w:r w:rsidRPr="007D730B">
        <w:rPr>
          <w:b/>
        </w:rPr>
        <w:t>Фармакокинетика у особых групп пациентов</w:t>
      </w:r>
      <w:bookmarkEnd w:id="141"/>
    </w:p>
    <w:p w14:paraId="43CC43ED" w14:textId="77777777" w:rsidR="007D730B" w:rsidRDefault="007D730B">
      <w:pPr>
        <w:pStyle w:val="OT"/>
        <w:ind w:firstLine="709"/>
        <w:contextualSpacing/>
        <w:rPr>
          <w:color w:val="000000" w:themeColor="text1"/>
        </w:rPr>
      </w:pPr>
      <w:bookmarkStart w:id="142" w:name="_Toc52190582"/>
    </w:p>
    <w:p w14:paraId="4056C44A" w14:textId="77777777" w:rsidR="007952C2" w:rsidRPr="00AB1FF1" w:rsidRDefault="00C34E4A" w:rsidP="00AB1FF1">
      <w:pPr>
        <w:pStyle w:val="OT"/>
        <w:contextualSpacing/>
        <w:rPr>
          <w:b/>
          <w:i/>
          <w:color w:val="000000" w:themeColor="text1"/>
        </w:rPr>
      </w:pPr>
      <w:r w:rsidRPr="00AB1FF1">
        <w:rPr>
          <w:b/>
          <w:i/>
          <w:color w:val="000000" w:themeColor="text1"/>
        </w:rPr>
        <w:t>Влияние возраста, массы тела, пола и рас</w:t>
      </w:r>
      <w:bookmarkEnd w:id="142"/>
      <w:r w:rsidRPr="00AB1FF1">
        <w:rPr>
          <w:b/>
          <w:i/>
          <w:color w:val="000000" w:themeColor="text1"/>
        </w:rPr>
        <w:t>ы</w:t>
      </w:r>
    </w:p>
    <w:p w14:paraId="4D59A7DB" w14:textId="5BB51CEE" w:rsidR="00C34E4A" w:rsidRPr="007D730B" w:rsidRDefault="00C34E4A">
      <w:pPr>
        <w:pStyle w:val="OT"/>
        <w:ind w:firstLine="709"/>
        <w:contextualSpacing/>
        <w:rPr>
          <w:color w:val="000000" w:themeColor="text1"/>
        </w:rPr>
      </w:pPr>
      <w:r w:rsidRPr="007D730B">
        <w:lastRenderedPageBreak/>
        <w:t>На основании ковариантного тестирования значимыми предикторами фармакокинетики барицитиниба были функция почек (по CL/F), масса тела и пол (по</w:t>
      </w:r>
      <w:r w:rsidRPr="007D730B">
        <w:rPr>
          <w:color w:val="000000"/>
        </w:rPr>
        <w:t xml:space="preserve"> V/F). Влияние функции почек на фармакокинетику барицитиниба у пациентов с ОА было сходно с таковым, характерным для пациентов с РА и АД. Хотя ковариаты массы тела и пола были статистически значимы для V/F, размер эффекта был меньше, чем межиндивидуальная вариабельность AUCτ,ss (55%) и C</w:t>
      </w:r>
      <w:r w:rsidRPr="00AB1FF1">
        <w:rPr>
          <w:color w:val="000000"/>
          <w:vertAlign w:val="subscript"/>
        </w:rPr>
        <w:t xml:space="preserve">max,ss </w:t>
      </w:r>
      <w:r w:rsidRPr="007D730B">
        <w:rPr>
          <w:color w:val="000000"/>
        </w:rPr>
        <w:t xml:space="preserve">(23%) барицитиниба. Было показано, что пол и раса влияют на фармакокинетику барицитиниба, но не считаются клинически значимыми </w:t>
      </w:r>
      <w:r w:rsidRPr="007D730B">
        <w:fldChar w:fldCharType="begin"/>
      </w:r>
      <w:r w:rsidRPr="007D730B">
        <w:instrText xml:space="preserve"> ADDIN ZOTERO_ITEM CSL_CITATION {"citationID":"2UjP3bZN","properties":{"formattedCitation":"[2]","plainCitation":"[2]","noteIndex":0},"citationItems":[{"id":3827,"uris":["http://zotero.org/groups/4514912/items/LB74K8KI"],"itemData":{"id":3827,"type":"document","title":"Assessment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7D730B">
        <w:fldChar w:fldCharType="separate"/>
      </w:r>
      <w:r w:rsidRPr="007D730B">
        <w:t>[2]</w:t>
      </w:r>
      <w:r w:rsidRPr="007D730B">
        <w:fldChar w:fldCharType="end"/>
      </w:r>
      <w:r w:rsidRPr="007D730B">
        <w:t>.</w:t>
      </w:r>
    </w:p>
    <w:p w14:paraId="4E23AC54" w14:textId="77777777" w:rsidR="007952C2" w:rsidRDefault="007952C2">
      <w:pPr>
        <w:pStyle w:val="OT"/>
        <w:ind w:firstLine="709"/>
        <w:contextualSpacing/>
        <w:rPr>
          <w:color w:val="000000" w:themeColor="text1"/>
        </w:rPr>
      </w:pPr>
      <w:bookmarkStart w:id="143" w:name="_Toc52190583"/>
    </w:p>
    <w:p w14:paraId="6C47EDFF" w14:textId="77777777" w:rsidR="007952C2" w:rsidRPr="00AB1FF1" w:rsidRDefault="00C34E4A" w:rsidP="00AB1FF1">
      <w:pPr>
        <w:pStyle w:val="OT"/>
        <w:contextualSpacing/>
        <w:rPr>
          <w:b/>
          <w:i/>
          <w:color w:val="000000" w:themeColor="text1"/>
        </w:rPr>
      </w:pPr>
      <w:r w:rsidRPr="00AB1FF1">
        <w:rPr>
          <w:b/>
          <w:i/>
          <w:color w:val="000000" w:themeColor="text1"/>
        </w:rPr>
        <w:t>Пациенты с нарушением функции почек</w:t>
      </w:r>
      <w:bookmarkStart w:id="144" w:name="_Toc52190584"/>
      <w:bookmarkEnd w:id="143"/>
    </w:p>
    <w:p w14:paraId="25E094C4" w14:textId="77777777" w:rsidR="007952C2" w:rsidRPr="007D730B" w:rsidRDefault="00C34E4A">
      <w:pPr>
        <w:pStyle w:val="OT"/>
        <w:ind w:firstLine="709"/>
        <w:contextualSpacing/>
      </w:pPr>
      <w:r w:rsidRPr="007D730B">
        <w:rPr>
          <w:color w:val="000000"/>
        </w:rPr>
        <w:t xml:space="preserve">Умеренная печеночная недостаточность, возраст (возрастной диапазон от 19 до 83 лет) и скорость оседания эритроцитов не оказывали клинически значимого влияния на экспозицию барицитиниба </w:t>
      </w:r>
      <w:r w:rsidRPr="007D730B">
        <w:fldChar w:fldCharType="begin"/>
      </w:r>
      <w:r w:rsidRPr="007D730B">
        <w:instrText xml:space="preserve"> ADDIN ZOTERO_ITEM CSL_CITATION {"citationID":"0ichBujj","properties":{"formattedCitation":"[2]","plainCitation":"[2]","noteIndex":0},"citationItems":[{"id":3827,"uris":["http://zotero.org/groups/4514912/items/LB74K8KI"],"itemData":{"id":3827,"type":"document","title":"Assessment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7D730B">
        <w:fldChar w:fldCharType="separate"/>
      </w:r>
      <w:r w:rsidRPr="007D730B">
        <w:t>[2]</w:t>
      </w:r>
      <w:r w:rsidRPr="007D730B">
        <w:fldChar w:fldCharType="end"/>
      </w:r>
      <w:r w:rsidRPr="007D730B">
        <w:t>.</w:t>
      </w:r>
    </w:p>
    <w:p w14:paraId="63BD85D6" w14:textId="35C08BAB" w:rsidR="007952C2" w:rsidRPr="007D730B" w:rsidRDefault="00C34E4A">
      <w:pPr>
        <w:pStyle w:val="OT"/>
        <w:ind w:firstLine="709"/>
        <w:contextualSpacing/>
      </w:pPr>
      <w:r w:rsidRPr="007D730B">
        <w:rPr>
          <w:color w:val="000000"/>
        </w:rPr>
        <w:t xml:space="preserve">Снижение почечного </w:t>
      </w:r>
      <w:r w:rsidR="008C6732">
        <w:t>клиренса (</w:t>
      </w:r>
      <w:r w:rsidR="008C6732">
        <w:rPr>
          <w:lang w:val="en-US"/>
        </w:rPr>
        <w:t>CL</w:t>
      </w:r>
      <w:r w:rsidR="008C6732" w:rsidRPr="00AB1FF1">
        <w:t>)</w:t>
      </w:r>
      <w:r w:rsidR="00DB46DB" w:rsidRPr="007D730B">
        <w:rPr>
          <w:color w:val="000000"/>
        </w:rPr>
        <w:t xml:space="preserve"> </w:t>
      </w:r>
      <w:r w:rsidRPr="007D730B">
        <w:rPr>
          <w:color w:val="000000"/>
        </w:rPr>
        <w:t xml:space="preserve">барицитиниба и увеличение AUC наблюдались при увеличении тяжести почечной недостаточности </w:t>
      </w:r>
      <w:r w:rsidRPr="007D730B">
        <w:fldChar w:fldCharType="begin"/>
      </w:r>
      <w:r w:rsidRPr="007D730B">
        <w:instrText xml:space="preserve"> ADDIN ZOTERO_ITEM CSL_CITATION {"citationID":"NHXIoznY","properties":{"formattedCitation":"[2]","plainCitation":"[2]","noteIndex":0},"citationItems":[{"id":3827,"uris":["http://zotero.org/groups/4514912/items/LB74K8KI"],"itemData":{"id":3827,"type":"document","title":"Assessment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7D730B">
        <w:fldChar w:fldCharType="separate"/>
      </w:r>
      <w:r w:rsidRPr="007D730B">
        <w:t>[2]</w:t>
      </w:r>
      <w:r w:rsidRPr="007D730B">
        <w:fldChar w:fldCharType="end"/>
      </w:r>
      <w:r w:rsidRPr="007D730B">
        <w:t>.</w:t>
      </w:r>
    </w:p>
    <w:p w14:paraId="6F49C9EB" w14:textId="57B7FD9D" w:rsidR="007952C2" w:rsidRDefault="00C34E4A">
      <w:pPr>
        <w:pStyle w:val="OT"/>
        <w:ind w:firstLine="709"/>
        <w:contextualSpacing/>
        <w:rPr>
          <w:color w:val="000000"/>
        </w:rPr>
      </w:pPr>
      <w:r w:rsidRPr="007D730B">
        <w:rPr>
          <w:color w:val="000000"/>
        </w:rPr>
        <w:t xml:space="preserve">Влияние почечной недостаточности на фармакокинетику барицитиниба оценивали в клиническом фармакологическом исследовании JADL и последующих исследованиях </w:t>
      </w:r>
      <w:r w:rsidRPr="007D730B">
        <w:rPr>
          <w:color w:val="000000"/>
          <w:lang w:val="en-US"/>
        </w:rPr>
        <w:t>II</w:t>
      </w:r>
      <w:r w:rsidRPr="007D730B">
        <w:rPr>
          <w:color w:val="000000"/>
        </w:rPr>
        <w:t xml:space="preserve"> и </w:t>
      </w:r>
      <w:r w:rsidRPr="007D730B">
        <w:rPr>
          <w:color w:val="000000"/>
          <w:lang w:val="en-US"/>
        </w:rPr>
        <w:t>III</w:t>
      </w:r>
      <w:r w:rsidRPr="007D730B">
        <w:rPr>
          <w:color w:val="000000"/>
        </w:rPr>
        <w:t xml:space="preserve"> фазы. В исследовании JADL (открытое исследование фармакокинетики, фармакодинамически и безопасности однократной дозы барицитиниба 10 и 5 мг) участвовали субъекты с различной степенью почечной недостаточности (легкая, умеренная, тяжелая почечная недостаточность или терминальная стадия почечной недостаточности, требующее гемодиализа) </w:t>
      </w:r>
      <w:r w:rsidRPr="007D730B">
        <w:fldChar w:fldCharType="begin"/>
      </w:r>
      <w:r w:rsidRPr="007D730B">
        <w:instrText xml:space="preserve"> ADDIN ZOTERO_ITEM CSL_CITATION {"citationID":"djz1dshZ","properties":{"formattedCitation":"[2]","plainCitation":"[2]","noteIndex":0},"citationItems":[{"id":3827,"uris":["http://zotero.org/groups/4514912/items/LB74K8KI"],"itemData":{"id":3827,"type":"document","title":"Assessment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7D730B">
        <w:fldChar w:fldCharType="separate"/>
      </w:r>
      <w:r w:rsidRPr="007D730B">
        <w:t>[2]</w:t>
      </w:r>
      <w:r w:rsidRPr="007D730B">
        <w:fldChar w:fldCharType="end"/>
      </w:r>
      <w:r w:rsidRPr="007D730B">
        <w:rPr>
          <w:color w:val="000000"/>
        </w:rPr>
        <w:t>.</w:t>
      </w:r>
    </w:p>
    <w:p w14:paraId="659CD643" w14:textId="77777777" w:rsidR="0029110D" w:rsidRDefault="0029110D">
      <w:pPr>
        <w:pStyle w:val="OT"/>
        <w:contextualSpacing/>
        <w:rPr>
          <w:b/>
          <w:color w:val="000000"/>
        </w:rPr>
      </w:pPr>
    </w:p>
    <w:p w14:paraId="176F8AAC" w14:textId="0E68CD68" w:rsidR="00C34E4A" w:rsidRPr="007D730B" w:rsidRDefault="007952C2">
      <w:pPr>
        <w:pStyle w:val="OT"/>
        <w:contextualSpacing/>
        <w:rPr>
          <w:iCs/>
        </w:rPr>
      </w:pPr>
      <w:r w:rsidRPr="007D730B">
        <w:rPr>
          <w:b/>
          <w:color w:val="000000"/>
        </w:rPr>
        <w:t>Таблица 4-2.</w:t>
      </w:r>
      <w:r w:rsidR="00C34E4A" w:rsidRPr="007D730B">
        <w:rPr>
          <w:color w:val="000000"/>
        </w:rPr>
        <w:t xml:space="preserve"> Фармакокинетические параметры барицитиниба у пациентов с различной степенью почечной недостаточности</w:t>
      </w:r>
      <w:r w:rsidRPr="007D730B">
        <w:rPr>
          <w:color w:val="000000"/>
        </w:rPr>
        <w:t>.</w:t>
      </w:r>
    </w:p>
    <w:tbl>
      <w:tblPr>
        <w:tblStyle w:val="a8"/>
        <w:tblW w:w="4873" w:type="pct"/>
        <w:tblInd w:w="136" w:type="dxa"/>
        <w:tblLayout w:type="fixed"/>
        <w:tblLook w:val="04A0" w:firstRow="1" w:lastRow="0" w:firstColumn="1" w:lastColumn="0" w:noHBand="0" w:noVBand="1"/>
      </w:tblPr>
      <w:tblGrid>
        <w:gridCol w:w="1990"/>
        <w:gridCol w:w="1526"/>
        <w:gridCol w:w="1986"/>
        <w:gridCol w:w="1842"/>
        <w:gridCol w:w="1985"/>
      </w:tblGrid>
      <w:tr w:rsidR="008C6732" w:rsidRPr="004A300A" w14:paraId="397FE255" w14:textId="77777777" w:rsidTr="0029110D">
        <w:trPr>
          <w:tblHeader/>
        </w:trPr>
        <w:tc>
          <w:tcPr>
            <w:tcW w:w="1990" w:type="dxa"/>
            <w:shd w:val="clear" w:color="auto" w:fill="D9D9D9" w:themeFill="background1" w:themeFillShade="D9"/>
            <w:vAlign w:val="center"/>
          </w:tcPr>
          <w:p w14:paraId="2D27A51A" w14:textId="77777777" w:rsidR="00C34E4A" w:rsidRPr="0029110D" w:rsidRDefault="00C34E4A">
            <w:pPr>
              <w:pStyle w:val="OT"/>
              <w:contextualSpacing/>
              <w:rPr>
                <w:b/>
                <w:color w:val="000000"/>
                <w:sz w:val="20"/>
              </w:rPr>
            </w:pPr>
          </w:p>
        </w:tc>
        <w:tc>
          <w:tcPr>
            <w:tcW w:w="1526" w:type="dxa"/>
            <w:shd w:val="clear" w:color="auto" w:fill="D9D9D9" w:themeFill="background1" w:themeFillShade="D9"/>
            <w:vAlign w:val="center"/>
          </w:tcPr>
          <w:p w14:paraId="64F5AE42" w14:textId="77777777" w:rsidR="00C34E4A" w:rsidRPr="0029110D" w:rsidRDefault="00C34E4A" w:rsidP="00AB1FF1">
            <w:pPr>
              <w:pStyle w:val="OT"/>
              <w:contextualSpacing/>
              <w:jc w:val="center"/>
              <w:rPr>
                <w:b/>
                <w:color w:val="000000"/>
                <w:sz w:val="20"/>
              </w:rPr>
            </w:pPr>
            <w:r w:rsidRPr="0029110D">
              <w:rPr>
                <w:b/>
                <w:color w:val="000000"/>
                <w:sz w:val="20"/>
              </w:rPr>
              <w:t>&lt;65 лет (число субъектов/общее число субъектов)</w:t>
            </w:r>
          </w:p>
        </w:tc>
        <w:tc>
          <w:tcPr>
            <w:tcW w:w="1986" w:type="dxa"/>
            <w:shd w:val="clear" w:color="auto" w:fill="D9D9D9" w:themeFill="background1" w:themeFillShade="D9"/>
            <w:vAlign w:val="center"/>
          </w:tcPr>
          <w:p w14:paraId="402B15AF" w14:textId="77777777" w:rsidR="00C34E4A" w:rsidRPr="0029110D" w:rsidRDefault="00C34E4A" w:rsidP="00AB1FF1">
            <w:pPr>
              <w:pStyle w:val="OT"/>
              <w:contextualSpacing/>
              <w:jc w:val="center"/>
              <w:rPr>
                <w:b/>
                <w:color w:val="000000"/>
                <w:sz w:val="20"/>
              </w:rPr>
            </w:pPr>
            <w:r w:rsidRPr="0029110D">
              <w:rPr>
                <w:b/>
                <w:color w:val="000000"/>
                <w:sz w:val="20"/>
              </w:rPr>
              <w:t>65–74 года (число субъектов/общее число субъектов)</w:t>
            </w:r>
          </w:p>
        </w:tc>
        <w:tc>
          <w:tcPr>
            <w:tcW w:w="1842" w:type="dxa"/>
            <w:shd w:val="clear" w:color="auto" w:fill="D9D9D9" w:themeFill="background1" w:themeFillShade="D9"/>
            <w:vAlign w:val="center"/>
          </w:tcPr>
          <w:p w14:paraId="4FEBB024" w14:textId="77777777" w:rsidR="00C34E4A" w:rsidRPr="0029110D" w:rsidRDefault="00C34E4A" w:rsidP="00AB1FF1">
            <w:pPr>
              <w:pStyle w:val="OT"/>
              <w:contextualSpacing/>
              <w:jc w:val="center"/>
              <w:rPr>
                <w:b/>
                <w:color w:val="000000"/>
                <w:sz w:val="20"/>
              </w:rPr>
            </w:pPr>
            <w:r w:rsidRPr="0029110D">
              <w:rPr>
                <w:b/>
                <w:color w:val="000000"/>
                <w:sz w:val="20"/>
              </w:rPr>
              <w:t>75–84 (число субъектов/общее число субъектов)</w:t>
            </w:r>
          </w:p>
        </w:tc>
        <w:tc>
          <w:tcPr>
            <w:tcW w:w="1985" w:type="dxa"/>
            <w:shd w:val="clear" w:color="auto" w:fill="D9D9D9" w:themeFill="background1" w:themeFillShade="D9"/>
            <w:vAlign w:val="center"/>
          </w:tcPr>
          <w:p w14:paraId="1FD13F8E" w14:textId="77777777" w:rsidR="00C34E4A" w:rsidRPr="0029110D" w:rsidRDefault="00C34E4A" w:rsidP="00AB1FF1">
            <w:pPr>
              <w:pStyle w:val="OT"/>
              <w:contextualSpacing/>
              <w:jc w:val="center"/>
              <w:rPr>
                <w:b/>
                <w:color w:val="000000"/>
                <w:sz w:val="20"/>
              </w:rPr>
            </w:pPr>
            <w:r w:rsidRPr="0029110D">
              <w:rPr>
                <w:b/>
                <w:color w:val="000000"/>
                <w:sz w:val="20"/>
              </w:rPr>
              <w:t>85+ (число субъектов/общее число субъектов)</w:t>
            </w:r>
          </w:p>
        </w:tc>
      </w:tr>
      <w:tr w:rsidR="008C6732" w:rsidRPr="004A300A" w14:paraId="288A8AE9" w14:textId="77777777" w:rsidTr="0029110D">
        <w:tc>
          <w:tcPr>
            <w:tcW w:w="1990" w:type="dxa"/>
          </w:tcPr>
          <w:p w14:paraId="7A1AB61C" w14:textId="77777777" w:rsidR="00C34E4A" w:rsidRPr="0029110D" w:rsidRDefault="00C34E4A">
            <w:pPr>
              <w:pStyle w:val="OT"/>
              <w:contextualSpacing/>
              <w:rPr>
                <w:color w:val="000000"/>
                <w:sz w:val="20"/>
              </w:rPr>
            </w:pPr>
            <w:r w:rsidRPr="0029110D">
              <w:rPr>
                <w:color w:val="000000"/>
                <w:sz w:val="20"/>
              </w:rPr>
              <w:t xml:space="preserve">Исследование </w:t>
            </w:r>
            <w:r w:rsidRPr="0029110D">
              <w:rPr>
                <w:color w:val="000000"/>
                <w:sz w:val="20"/>
                <w:lang w:val="en-US"/>
              </w:rPr>
              <w:t>I</w:t>
            </w:r>
            <w:r w:rsidRPr="0029110D">
              <w:rPr>
                <w:color w:val="000000"/>
                <w:sz w:val="20"/>
              </w:rPr>
              <w:t xml:space="preserve"> фазы JADL</w:t>
            </w:r>
          </w:p>
        </w:tc>
        <w:tc>
          <w:tcPr>
            <w:tcW w:w="1526" w:type="dxa"/>
          </w:tcPr>
          <w:p w14:paraId="6DC94B34" w14:textId="77777777" w:rsidR="00C34E4A" w:rsidRPr="0029110D" w:rsidRDefault="00C34E4A" w:rsidP="00AB1FF1">
            <w:pPr>
              <w:pStyle w:val="OT"/>
              <w:contextualSpacing/>
              <w:jc w:val="center"/>
              <w:rPr>
                <w:color w:val="000000"/>
                <w:sz w:val="20"/>
              </w:rPr>
            </w:pPr>
            <w:r w:rsidRPr="0029110D">
              <w:rPr>
                <w:color w:val="000000"/>
                <w:sz w:val="20"/>
              </w:rPr>
              <w:t>539/557 (96,8%)</w:t>
            </w:r>
          </w:p>
        </w:tc>
        <w:tc>
          <w:tcPr>
            <w:tcW w:w="1986" w:type="dxa"/>
          </w:tcPr>
          <w:p w14:paraId="5E56ED9E" w14:textId="18DAA692" w:rsidR="00C34E4A" w:rsidRPr="0029110D" w:rsidRDefault="00C34E4A" w:rsidP="00AB1FF1">
            <w:pPr>
              <w:pStyle w:val="OT"/>
              <w:contextualSpacing/>
              <w:jc w:val="center"/>
              <w:rPr>
                <w:color w:val="000000"/>
                <w:sz w:val="20"/>
              </w:rPr>
            </w:pPr>
            <w:r w:rsidRPr="0029110D">
              <w:rPr>
                <w:color w:val="000000"/>
                <w:sz w:val="20"/>
              </w:rPr>
              <w:t>14 / 557 (2</w:t>
            </w:r>
            <w:r w:rsidR="008C6732" w:rsidRPr="0029110D">
              <w:rPr>
                <w:color w:val="000000"/>
                <w:sz w:val="20"/>
              </w:rPr>
              <w:t>,</w:t>
            </w:r>
            <w:r w:rsidRPr="0029110D">
              <w:rPr>
                <w:color w:val="000000"/>
                <w:sz w:val="20"/>
              </w:rPr>
              <w:t>5%)</w:t>
            </w:r>
          </w:p>
        </w:tc>
        <w:tc>
          <w:tcPr>
            <w:tcW w:w="1842" w:type="dxa"/>
          </w:tcPr>
          <w:p w14:paraId="47E6BD9C" w14:textId="6823DB65" w:rsidR="00C34E4A" w:rsidRPr="0029110D" w:rsidRDefault="00C34E4A" w:rsidP="00AB1FF1">
            <w:pPr>
              <w:pStyle w:val="OT"/>
              <w:contextualSpacing/>
              <w:jc w:val="center"/>
              <w:rPr>
                <w:color w:val="000000"/>
                <w:sz w:val="20"/>
              </w:rPr>
            </w:pPr>
            <w:r w:rsidRPr="0029110D">
              <w:rPr>
                <w:color w:val="000000"/>
                <w:sz w:val="20"/>
              </w:rPr>
              <w:t>4 / 557 (0</w:t>
            </w:r>
            <w:r w:rsidR="008C6732" w:rsidRPr="0029110D">
              <w:rPr>
                <w:color w:val="000000"/>
                <w:sz w:val="20"/>
              </w:rPr>
              <w:t>,</w:t>
            </w:r>
            <w:r w:rsidRPr="0029110D">
              <w:rPr>
                <w:color w:val="000000"/>
                <w:sz w:val="20"/>
              </w:rPr>
              <w:t>7%)</w:t>
            </w:r>
          </w:p>
        </w:tc>
        <w:tc>
          <w:tcPr>
            <w:tcW w:w="1985" w:type="dxa"/>
          </w:tcPr>
          <w:p w14:paraId="7A04E322" w14:textId="613B1127" w:rsidR="00C34E4A" w:rsidRPr="0029110D" w:rsidRDefault="00C34E4A" w:rsidP="00AB1FF1">
            <w:pPr>
              <w:pStyle w:val="OT"/>
              <w:contextualSpacing/>
              <w:jc w:val="center"/>
              <w:rPr>
                <w:color w:val="000000"/>
                <w:sz w:val="20"/>
              </w:rPr>
            </w:pPr>
            <w:r w:rsidRPr="0029110D">
              <w:rPr>
                <w:color w:val="000000"/>
                <w:sz w:val="20"/>
              </w:rPr>
              <w:t>0 / 557 (0</w:t>
            </w:r>
            <w:r w:rsidR="008C6732" w:rsidRPr="0029110D">
              <w:rPr>
                <w:color w:val="000000"/>
                <w:sz w:val="20"/>
              </w:rPr>
              <w:t>,</w:t>
            </w:r>
            <w:r w:rsidRPr="0029110D">
              <w:rPr>
                <w:color w:val="000000"/>
                <w:sz w:val="20"/>
              </w:rPr>
              <w:t>0%)</w:t>
            </w:r>
          </w:p>
        </w:tc>
      </w:tr>
      <w:tr w:rsidR="008C6732" w:rsidRPr="004A300A" w14:paraId="6C29E62F" w14:textId="77777777" w:rsidTr="0029110D">
        <w:tc>
          <w:tcPr>
            <w:tcW w:w="1990" w:type="dxa"/>
          </w:tcPr>
          <w:p w14:paraId="65FFD459" w14:textId="77777777" w:rsidR="00C34E4A" w:rsidRPr="0029110D" w:rsidRDefault="00C34E4A">
            <w:pPr>
              <w:pStyle w:val="OT"/>
              <w:contextualSpacing/>
              <w:rPr>
                <w:color w:val="000000"/>
                <w:sz w:val="20"/>
              </w:rPr>
            </w:pPr>
            <w:r w:rsidRPr="0029110D">
              <w:rPr>
                <w:color w:val="000000"/>
                <w:sz w:val="20"/>
              </w:rPr>
              <w:t xml:space="preserve">Исследования </w:t>
            </w:r>
            <w:r w:rsidRPr="0029110D">
              <w:rPr>
                <w:color w:val="000000"/>
                <w:sz w:val="20"/>
                <w:lang w:val="en-US"/>
              </w:rPr>
              <w:t>II</w:t>
            </w:r>
            <w:r w:rsidRPr="0029110D">
              <w:rPr>
                <w:color w:val="000000"/>
                <w:sz w:val="20"/>
              </w:rPr>
              <w:t xml:space="preserve"> фазы (JADC, JADA, JADN)</w:t>
            </w:r>
          </w:p>
        </w:tc>
        <w:tc>
          <w:tcPr>
            <w:tcW w:w="1526" w:type="dxa"/>
          </w:tcPr>
          <w:p w14:paraId="22825405" w14:textId="77777777" w:rsidR="00C34E4A" w:rsidRPr="0029110D" w:rsidRDefault="00C34E4A" w:rsidP="00AB1FF1">
            <w:pPr>
              <w:pStyle w:val="OT"/>
              <w:contextualSpacing/>
              <w:jc w:val="center"/>
              <w:rPr>
                <w:color w:val="000000"/>
                <w:sz w:val="20"/>
              </w:rPr>
            </w:pPr>
            <w:r w:rsidRPr="0029110D">
              <w:rPr>
                <w:color w:val="000000"/>
                <w:sz w:val="20"/>
              </w:rPr>
              <w:t>485 / 571 (84,9%)</w:t>
            </w:r>
          </w:p>
        </w:tc>
        <w:tc>
          <w:tcPr>
            <w:tcW w:w="1986" w:type="dxa"/>
          </w:tcPr>
          <w:p w14:paraId="7CDDF6B0" w14:textId="7594D5D8" w:rsidR="00C34E4A" w:rsidRPr="0029110D" w:rsidRDefault="00C34E4A" w:rsidP="00AB1FF1">
            <w:pPr>
              <w:pStyle w:val="OT"/>
              <w:contextualSpacing/>
              <w:jc w:val="center"/>
              <w:rPr>
                <w:color w:val="000000"/>
                <w:sz w:val="20"/>
              </w:rPr>
            </w:pPr>
            <w:r w:rsidRPr="0029110D">
              <w:rPr>
                <w:color w:val="000000"/>
                <w:sz w:val="20"/>
              </w:rPr>
              <w:t>76 / 571 (13</w:t>
            </w:r>
            <w:r w:rsidR="008C6732" w:rsidRPr="0029110D">
              <w:rPr>
                <w:color w:val="000000"/>
                <w:sz w:val="20"/>
              </w:rPr>
              <w:t>,</w:t>
            </w:r>
            <w:r w:rsidRPr="0029110D">
              <w:rPr>
                <w:color w:val="000000"/>
                <w:sz w:val="20"/>
              </w:rPr>
              <w:t>3%)</w:t>
            </w:r>
          </w:p>
        </w:tc>
        <w:tc>
          <w:tcPr>
            <w:tcW w:w="1842" w:type="dxa"/>
          </w:tcPr>
          <w:p w14:paraId="6A4DCAF3" w14:textId="08FF04B3" w:rsidR="00C34E4A" w:rsidRPr="0029110D" w:rsidRDefault="00C34E4A" w:rsidP="00AB1FF1">
            <w:pPr>
              <w:pStyle w:val="OT"/>
              <w:contextualSpacing/>
              <w:jc w:val="center"/>
              <w:rPr>
                <w:color w:val="000000"/>
                <w:sz w:val="20"/>
              </w:rPr>
            </w:pPr>
            <w:r w:rsidRPr="0029110D">
              <w:rPr>
                <w:color w:val="000000"/>
                <w:sz w:val="20"/>
              </w:rPr>
              <w:t>10 / 571 (1</w:t>
            </w:r>
            <w:r w:rsidR="008C6732" w:rsidRPr="0029110D">
              <w:rPr>
                <w:color w:val="000000"/>
                <w:sz w:val="20"/>
              </w:rPr>
              <w:t>,</w:t>
            </w:r>
            <w:r w:rsidRPr="0029110D">
              <w:rPr>
                <w:color w:val="000000"/>
                <w:sz w:val="20"/>
              </w:rPr>
              <w:t>8%)</w:t>
            </w:r>
          </w:p>
        </w:tc>
        <w:tc>
          <w:tcPr>
            <w:tcW w:w="1985" w:type="dxa"/>
          </w:tcPr>
          <w:p w14:paraId="456FC6C9" w14:textId="0163529E" w:rsidR="00C34E4A" w:rsidRPr="0029110D" w:rsidRDefault="00C34E4A" w:rsidP="00AB1FF1">
            <w:pPr>
              <w:pStyle w:val="OT"/>
              <w:contextualSpacing/>
              <w:jc w:val="center"/>
              <w:rPr>
                <w:color w:val="000000"/>
                <w:sz w:val="20"/>
              </w:rPr>
            </w:pPr>
            <w:r w:rsidRPr="0029110D">
              <w:rPr>
                <w:color w:val="000000"/>
                <w:sz w:val="20"/>
              </w:rPr>
              <w:t>0 / 571 (0</w:t>
            </w:r>
            <w:r w:rsidR="008C6732" w:rsidRPr="0029110D">
              <w:rPr>
                <w:color w:val="000000"/>
                <w:sz w:val="20"/>
              </w:rPr>
              <w:t>,</w:t>
            </w:r>
            <w:r w:rsidRPr="0029110D">
              <w:rPr>
                <w:color w:val="000000"/>
                <w:sz w:val="20"/>
              </w:rPr>
              <w:t>0%)</w:t>
            </w:r>
          </w:p>
        </w:tc>
      </w:tr>
      <w:tr w:rsidR="008C6732" w:rsidRPr="004A300A" w14:paraId="3AAF69B6" w14:textId="77777777" w:rsidTr="0029110D">
        <w:tc>
          <w:tcPr>
            <w:tcW w:w="1990" w:type="dxa"/>
          </w:tcPr>
          <w:p w14:paraId="1E7078C3" w14:textId="77777777" w:rsidR="00C34E4A" w:rsidRPr="0029110D" w:rsidRDefault="00C34E4A">
            <w:pPr>
              <w:pStyle w:val="OT"/>
              <w:contextualSpacing/>
              <w:rPr>
                <w:color w:val="000000"/>
                <w:sz w:val="20"/>
              </w:rPr>
            </w:pPr>
            <w:r w:rsidRPr="0029110D">
              <w:rPr>
                <w:color w:val="000000"/>
                <w:sz w:val="20"/>
              </w:rPr>
              <w:t xml:space="preserve">Исследования </w:t>
            </w:r>
            <w:r w:rsidRPr="0029110D">
              <w:rPr>
                <w:color w:val="000000"/>
                <w:sz w:val="20"/>
                <w:lang w:val="en-US"/>
              </w:rPr>
              <w:t>III</w:t>
            </w:r>
            <w:r w:rsidRPr="0029110D">
              <w:rPr>
                <w:color w:val="000000"/>
                <w:sz w:val="20"/>
              </w:rPr>
              <w:t xml:space="preserve"> фазы (JADZ, JADV, JADX, JADW)</w:t>
            </w:r>
          </w:p>
        </w:tc>
        <w:tc>
          <w:tcPr>
            <w:tcW w:w="1526" w:type="dxa"/>
          </w:tcPr>
          <w:p w14:paraId="5BD582AA" w14:textId="77777777" w:rsidR="00C34E4A" w:rsidRPr="0029110D" w:rsidRDefault="00C34E4A" w:rsidP="00AB1FF1">
            <w:pPr>
              <w:pStyle w:val="OT"/>
              <w:contextualSpacing/>
              <w:jc w:val="center"/>
              <w:rPr>
                <w:color w:val="000000"/>
                <w:sz w:val="20"/>
              </w:rPr>
            </w:pPr>
            <w:r w:rsidRPr="0029110D">
              <w:rPr>
                <w:color w:val="000000"/>
                <w:sz w:val="20"/>
              </w:rPr>
              <w:t>2563 / 3100 (82,7%)</w:t>
            </w:r>
          </w:p>
        </w:tc>
        <w:tc>
          <w:tcPr>
            <w:tcW w:w="1986" w:type="dxa"/>
          </w:tcPr>
          <w:p w14:paraId="2902ABF2" w14:textId="708FBC1E" w:rsidR="00C34E4A" w:rsidRPr="0029110D" w:rsidRDefault="00C34E4A" w:rsidP="00AB1FF1">
            <w:pPr>
              <w:pStyle w:val="OT"/>
              <w:contextualSpacing/>
              <w:jc w:val="center"/>
              <w:rPr>
                <w:color w:val="000000"/>
                <w:sz w:val="20"/>
              </w:rPr>
            </w:pPr>
            <w:r w:rsidRPr="0029110D">
              <w:rPr>
                <w:color w:val="000000"/>
                <w:sz w:val="20"/>
              </w:rPr>
              <w:t>466 / 3100 (15</w:t>
            </w:r>
            <w:r w:rsidR="008C6732" w:rsidRPr="0029110D">
              <w:rPr>
                <w:color w:val="000000"/>
                <w:sz w:val="20"/>
              </w:rPr>
              <w:t>,</w:t>
            </w:r>
            <w:r w:rsidRPr="0029110D">
              <w:rPr>
                <w:color w:val="000000"/>
                <w:sz w:val="20"/>
              </w:rPr>
              <w:t>0%)</w:t>
            </w:r>
          </w:p>
        </w:tc>
        <w:tc>
          <w:tcPr>
            <w:tcW w:w="1842" w:type="dxa"/>
          </w:tcPr>
          <w:p w14:paraId="668B23E0" w14:textId="6DC365CF" w:rsidR="00C34E4A" w:rsidRPr="0029110D" w:rsidRDefault="00C34E4A" w:rsidP="00AB1FF1">
            <w:pPr>
              <w:pStyle w:val="OT"/>
              <w:contextualSpacing/>
              <w:jc w:val="center"/>
              <w:rPr>
                <w:color w:val="000000"/>
                <w:sz w:val="20"/>
              </w:rPr>
            </w:pPr>
            <w:r w:rsidRPr="0029110D">
              <w:rPr>
                <w:color w:val="000000"/>
                <w:sz w:val="20"/>
              </w:rPr>
              <w:t>70 / 3100 (2</w:t>
            </w:r>
            <w:r w:rsidR="008C6732" w:rsidRPr="0029110D">
              <w:rPr>
                <w:color w:val="000000"/>
                <w:sz w:val="20"/>
              </w:rPr>
              <w:t>,</w:t>
            </w:r>
            <w:r w:rsidRPr="0029110D">
              <w:rPr>
                <w:color w:val="000000"/>
                <w:sz w:val="20"/>
              </w:rPr>
              <w:t>3%)</w:t>
            </w:r>
          </w:p>
        </w:tc>
        <w:tc>
          <w:tcPr>
            <w:tcW w:w="1985" w:type="dxa"/>
          </w:tcPr>
          <w:p w14:paraId="02EC34BA" w14:textId="4CAF9A7D" w:rsidR="00C34E4A" w:rsidRPr="0029110D" w:rsidRDefault="00C34E4A" w:rsidP="00AB1FF1">
            <w:pPr>
              <w:pStyle w:val="OT"/>
              <w:contextualSpacing/>
              <w:jc w:val="center"/>
              <w:rPr>
                <w:color w:val="000000"/>
                <w:sz w:val="20"/>
              </w:rPr>
            </w:pPr>
            <w:r w:rsidRPr="0029110D">
              <w:rPr>
                <w:color w:val="000000"/>
                <w:sz w:val="20"/>
              </w:rPr>
              <w:t>1 / 3100 (&lt;0</w:t>
            </w:r>
            <w:r w:rsidR="008C6732" w:rsidRPr="0029110D">
              <w:rPr>
                <w:color w:val="000000"/>
                <w:sz w:val="20"/>
              </w:rPr>
              <w:t>,</w:t>
            </w:r>
            <w:r w:rsidRPr="0029110D">
              <w:rPr>
                <w:color w:val="000000"/>
                <w:sz w:val="20"/>
              </w:rPr>
              <w:t>1%)</w:t>
            </w:r>
          </w:p>
        </w:tc>
      </w:tr>
      <w:tr w:rsidR="008C6732" w:rsidRPr="004A300A" w14:paraId="45FE735A" w14:textId="77777777" w:rsidTr="0029110D">
        <w:tc>
          <w:tcPr>
            <w:tcW w:w="1990" w:type="dxa"/>
          </w:tcPr>
          <w:p w14:paraId="7677300D" w14:textId="77777777" w:rsidR="00C34E4A" w:rsidRPr="0029110D" w:rsidRDefault="00C34E4A">
            <w:pPr>
              <w:pStyle w:val="OT"/>
              <w:contextualSpacing/>
              <w:rPr>
                <w:color w:val="000000"/>
                <w:sz w:val="20"/>
              </w:rPr>
            </w:pPr>
            <w:r w:rsidRPr="0029110D">
              <w:rPr>
                <w:color w:val="000000"/>
                <w:sz w:val="20"/>
              </w:rPr>
              <w:t>Неконтролируемое исследование (</w:t>
            </w:r>
            <w:r w:rsidRPr="0029110D">
              <w:rPr>
                <w:color w:val="000000"/>
                <w:sz w:val="20"/>
                <w:lang w:val="en-US"/>
              </w:rPr>
              <w:t>JADY</w:t>
            </w:r>
            <w:r w:rsidRPr="0029110D">
              <w:rPr>
                <w:color w:val="000000"/>
                <w:sz w:val="20"/>
              </w:rPr>
              <w:t>)</w:t>
            </w:r>
          </w:p>
        </w:tc>
        <w:tc>
          <w:tcPr>
            <w:tcW w:w="1526" w:type="dxa"/>
          </w:tcPr>
          <w:p w14:paraId="557B57C2" w14:textId="77777777" w:rsidR="00C34E4A" w:rsidRPr="0029110D" w:rsidRDefault="00C34E4A" w:rsidP="00AB1FF1">
            <w:pPr>
              <w:pStyle w:val="OT"/>
              <w:contextualSpacing/>
              <w:jc w:val="center"/>
              <w:rPr>
                <w:color w:val="000000"/>
                <w:sz w:val="20"/>
              </w:rPr>
            </w:pPr>
            <w:r w:rsidRPr="0029110D">
              <w:rPr>
                <w:color w:val="000000"/>
                <w:sz w:val="20"/>
              </w:rPr>
              <w:t>2058 / 2534 (81,2%)</w:t>
            </w:r>
          </w:p>
        </w:tc>
        <w:tc>
          <w:tcPr>
            <w:tcW w:w="1986" w:type="dxa"/>
          </w:tcPr>
          <w:p w14:paraId="77E2A330" w14:textId="446EC1C6" w:rsidR="00C34E4A" w:rsidRPr="0029110D" w:rsidRDefault="00C34E4A" w:rsidP="00AB1FF1">
            <w:pPr>
              <w:pStyle w:val="OT"/>
              <w:contextualSpacing/>
              <w:jc w:val="center"/>
              <w:rPr>
                <w:color w:val="000000"/>
                <w:sz w:val="20"/>
              </w:rPr>
            </w:pPr>
            <w:r w:rsidRPr="0029110D">
              <w:rPr>
                <w:color w:val="000000"/>
                <w:sz w:val="20"/>
              </w:rPr>
              <w:t>413 / 2534 (16</w:t>
            </w:r>
            <w:r w:rsidR="008C6732" w:rsidRPr="0029110D">
              <w:rPr>
                <w:color w:val="000000"/>
                <w:sz w:val="20"/>
              </w:rPr>
              <w:t>,</w:t>
            </w:r>
            <w:r w:rsidRPr="0029110D">
              <w:rPr>
                <w:color w:val="000000"/>
                <w:sz w:val="20"/>
              </w:rPr>
              <w:t>3%)</w:t>
            </w:r>
          </w:p>
        </w:tc>
        <w:tc>
          <w:tcPr>
            <w:tcW w:w="1842" w:type="dxa"/>
          </w:tcPr>
          <w:p w14:paraId="4C9B4FFD" w14:textId="0D27009C" w:rsidR="00C34E4A" w:rsidRPr="0029110D" w:rsidRDefault="00C34E4A" w:rsidP="00AB1FF1">
            <w:pPr>
              <w:pStyle w:val="OT"/>
              <w:contextualSpacing/>
              <w:jc w:val="center"/>
              <w:rPr>
                <w:color w:val="000000"/>
                <w:sz w:val="20"/>
              </w:rPr>
            </w:pPr>
            <w:r w:rsidRPr="0029110D">
              <w:rPr>
                <w:color w:val="000000"/>
                <w:sz w:val="20"/>
              </w:rPr>
              <w:t>62 / 2534 (2</w:t>
            </w:r>
            <w:r w:rsidR="008C6732" w:rsidRPr="0029110D">
              <w:rPr>
                <w:color w:val="000000"/>
                <w:sz w:val="20"/>
              </w:rPr>
              <w:t>,</w:t>
            </w:r>
            <w:r w:rsidRPr="0029110D">
              <w:rPr>
                <w:color w:val="000000"/>
                <w:sz w:val="20"/>
              </w:rPr>
              <w:t>4%)</w:t>
            </w:r>
          </w:p>
        </w:tc>
        <w:tc>
          <w:tcPr>
            <w:tcW w:w="1985" w:type="dxa"/>
          </w:tcPr>
          <w:p w14:paraId="7D5877F2" w14:textId="4A929806" w:rsidR="00C34E4A" w:rsidRPr="0029110D" w:rsidRDefault="00C34E4A" w:rsidP="00AB1FF1">
            <w:pPr>
              <w:pStyle w:val="OT"/>
              <w:contextualSpacing/>
              <w:jc w:val="center"/>
              <w:rPr>
                <w:color w:val="000000"/>
                <w:sz w:val="20"/>
              </w:rPr>
            </w:pPr>
            <w:r w:rsidRPr="0029110D">
              <w:rPr>
                <w:color w:val="000000"/>
                <w:sz w:val="20"/>
              </w:rPr>
              <w:t>1 / 3100 (&lt;0</w:t>
            </w:r>
            <w:r w:rsidR="008C6732" w:rsidRPr="0029110D">
              <w:rPr>
                <w:color w:val="000000"/>
                <w:sz w:val="20"/>
              </w:rPr>
              <w:t>,</w:t>
            </w:r>
            <w:r w:rsidRPr="0029110D">
              <w:rPr>
                <w:color w:val="000000"/>
                <w:sz w:val="20"/>
              </w:rPr>
              <w:t>1%)</w:t>
            </w:r>
          </w:p>
        </w:tc>
      </w:tr>
    </w:tbl>
    <w:p w14:paraId="4D9C2806" w14:textId="77777777" w:rsidR="00C34E4A" w:rsidRPr="004A300A" w:rsidRDefault="00C34E4A">
      <w:pPr>
        <w:pStyle w:val="OT"/>
        <w:ind w:firstLine="709"/>
        <w:contextualSpacing/>
        <w:rPr>
          <w:color w:val="000000"/>
        </w:rPr>
      </w:pPr>
    </w:p>
    <w:p w14:paraId="7AB85055" w14:textId="77777777" w:rsidR="00C34E4A" w:rsidRPr="004A300A" w:rsidRDefault="00C34E4A">
      <w:pPr>
        <w:pStyle w:val="OT"/>
        <w:ind w:firstLine="709"/>
        <w:contextualSpacing/>
      </w:pPr>
      <w:r w:rsidRPr="004A300A">
        <w:rPr>
          <w:color w:val="000000"/>
        </w:rPr>
        <w:t>У пациентов с РА наблюдалось менее выраженное влияние функции почек на экспозицию барицитиниба</w:t>
      </w:r>
      <w:r w:rsidRPr="004A300A">
        <w:t xml:space="preserve"> </w:t>
      </w:r>
      <w:r w:rsidRPr="004A300A">
        <w:fldChar w:fldCharType="begin"/>
      </w:r>
      <w:r w:rsidRPr="004A300A">
        <w:instrText xml:space="preserve"> ADDIN ZOTERO_ITEM CSL_CITATION {"citationID":"xZhD8XR4","properties":{"formattedCitation":"[2]","plainCitation":"[2]","noteIndex":0},"citationItems":[{"id":3827,"uris":["http://zotero.org/groups/4514912/items/LB74K8KI"],"itemData":{"id":3827,"type":"document","title":"Assessment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4A300A">
        <w:fldChar w:fldCharType="separate"/>
      </w:r>
      <w:r w:rsidRPr="004A300A">
        <w:t>[2]</w:t>
      </w:r>
      <w:r w:rsidRPr="004A300A">
        <w:fldChar w:fldCharType="end"/>
      </w:r>
      <w:r>
        <w:t>.</w:t>
      </w:r>
    </w:p>
    <w:p w14:paraId="512F4900" w14:textId="3D676AE3" w:rsidR="007952C2" w:rsidRDefault="00C34E4A">
      <w:pPr>
        <w:pStyle w:val="OT"/>
        <w:ind w:firstLine="709"/>
        <w:contextualSpacing/>
      </w:pPr>
      <w:r w:rsidRPr="004A300A">
        <w:t xml:space="preserve">У пациентов с </w:t>
      </w:r>
      <w:r w:rsidR="008F28F6">
        <w:rPr>
          <w:lang w:val="en-US"/>
        </w:rPr>
        <w:t>CL</w:t>
      </w:r>
      <w:r w:rsidRPr="004A300A">
        <w:t xml:space="preserve"> креатинина от 30 до 60 мл/мин рекомендуемая доза препарата составляет 2 мг один раз в сутки. У пациентов с СКФ от 15 до 30 мл/мин/1,73 м</w:t>
      </w:r>
      <w:r w:rsidRPr="004A300A">
        <w:rPr>
          <w:vertAlign w:val="superscript"/>
        </w:rPr>
        <w:t>2</w:t>
      </w:r>
      <w:r w:rsidRPr="004A300A">
        <w:t xml:space="preserve"> рекомендуемая доза препарата составляет 2 мг каждые 48 ч. Перед началом применения барицитиниба у пациентов с СКФ от 15 до 30 мл/мин/1,73 м</w:t>
      </w:r>
      <w:r w:rsidRPr="004A300A">
        <w:rPr>
          <w:vertAlign w:val="superscript"/>
        </w:rPr>
        <w:t xml:space="preserve">2 </w:t>
      </w:r>
      <w:r w:rsidRPr="004A300A">
        <w:t>следует оценить соотношение потенциальной пользы к возможному риску. Пациентам с СКФ менее 15 мл/мин/1,73 м</w:t>
      </w:r>
      <w:r w:rsidRPr="004A300A">
        <w:rPr>
          <w:vertAlign w:val="superscript"/>
        </w:rPr>
        <w:t>2</w:t>
      </w:r>
      <w:r w:rsidRPr="004A300A">
        <w:t xml:space="preserve"> (терминальная стадия почечной недостаточности) применение барицитиниба противопоказано </w:t>
      </w:r>
      <w:r w:rsidRPr="004A300A">
        <w:fldChar w:fldCharType="begin"/>
      </w:r>
      <w:r w:rsidRPr="004A300A">
        <w:instrText xml:space="preserve"> ADDIN ZOTERO_ITEM CSL_CITATION {"citationID":"VqlDF5pc","properties":{"formattedCitation":"[4]","plainCitation":"[4]","noteIndex":0},"citationItems":[{"id":3828,"uris":["http://zotero.org/groups/4514912/items/5WXJVLDT"],"itemData":{"id":3828,"type":"document","title":"Инструкция по медицинскому применению препарата Олюмиант. 2022"}}],"schema":"https://github.com/citation-style-language/schema/raw/master/csl-citation.json"} </w:instrText>
      </w:r>
      <w:r w:rsidRPr="004A300A">
        <w:fldChar w:fldCharType="separate"/>
      </w:r>
      <w:r w:rsidRPr="004A300A">
        <w:t>[4]</w:t>
      </w:r>
      <w:r w:rsidRPr="004A300A">
        <w:fldChar w:fldCharType="end"/>
      </w:r>
      <w:r w:rsidRPr="004A300A">
        <w:t>.</w:t>
      </w:r>
    </w:p>
    <w:p w14:paraId="62F3B3BD" w14:textId="1E106A61" w:rsidR="00C34E4A" w:rsidRPr="00AB1FF1" w:rsidRDefault="00C34E4A" w:rsidP="00AB1FF1">
      <w:pPr>
        <w:pStyle w:val="OT"/>
        <w:contextualSpacing/>
        <w:rPr>
          <w:b/>
          <w:i/>
        </w:rPr>
      </w:pPr>
      <w:r w:rsidRPr="00AB1FF1">
        <w:rPr>
          <w:b/>
          <w:i/>
          <w:color w:val="000000" w:themeColor="text1"/>
        </w:rPr>
        <w:lastRenderedPageBreak/>
        <w:t>Пациенты с нарушением функции печени</w:t>
      </w:r>
      <w:bookmarkEnd w:id="144"/>
    </w:p>
    <w:p w14:paraId="3A433214" w14:textId="77777777" w:rsidR="00C34E4A" w:rsidRPr="004A300A" w:rsidRDefault="00C34E4A">
      <w:pPr>
        <w:pStyle w:val="OT"/>
        <w:ind w:firstLine="709"/>
        <w:contextualSpacing/>
      </w:pPr>
      <w:r w:rsidRPr="004A300A">
        <w:rPr>
          <w:color w:val="000000"/>
        </w:rPr>
        <w:t>Клинические исследования барицитиниба у пациентов с тяжелой печеночной недостаточностью не проводились</w:t>
      </w:r>
      <w:r w:rsidRPr="004A300A">
        <w:t xml:space="preserve"> </w:t>
      </w:r>
      <w:r w:rsidRPr="004A300A">
        <w:fldChar w:fldCharType="begin"/>
      </w:r>
      <w:r w:rsidRPr="004A300A">
        <w:instrText xml:space="preserve"> ADDIN ZOTERO_ITEM CSL_CITATION {"citationID":"APvVEigm","properties":{"formattedCitation":"[2]","plainCitation":"[2]","noteIndex":0},"citationItems":[{"id":3827,"uris":["http://zotero.org/groups/4514912/items/LB74K8KI"],"itemData":{"id":3827,"type":"document","title":"Assessment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4A300A">
        <w:fldChar w:fldCharType="separate"/>
      </w:r>
      <w:r w:rsidRPr="004A300A">
        <w:t>[2]</w:t>
      </w:r>
      <w:r w:rsidRPr="004A300A">
        <w:fldChar w:fldCharType="end"/>
      </w:r>
      <w:r>
        <w:t>.</w:t>
      </w:r>
    </w:p>
    <w:p w14:paraId="0E56C071" w14:textId="77777777" w:rsidR="007D730B" w:rsidRDefault="007D730B">
      <w:pPr>
        <w:pStyle w:val="OT"/>
        <w:ind w:firstLine="709"/>
        <w:contextualSpacing/>
        <w:rPr>
          <w:color w:val="000000" w:themeColor="text1"/>
        </w:rPr>
      </w:pPr>
    </w:p>
    <w:p w14:paraId="71B44D19" w14:textId="77777777" w:rsidR="007952C2" w:rsidRPr="00AB1FF1" w:rsidRDefault="00C34E4A" w:rsidP="00AB1FF1">
      <w:pPr>
        <w:pStyle w:val="OT"/>
        <w:contextualSpacing/>
        <w:rPr>
          <w:b/>
          <w:i/>
          <w:color w:val="000000" w:themeColor="text1"/>
        </w:rPr>
      </w:pPr>
      <w:r w:rsidRPr="00AB1FF1">
        <w:rPr>
          <w:b/>
          <w:i/>
          <w:color w:val="000000" w:themeColor="text1"/>
        </w:rPr>
        <w:t>Дети</w:t>
      </w:r>
    </w:p>
    <w:p w14:paraId="6EE3A073" w14:textId="0CCDB8D0" w:rsidR="00C34E4A" w:rsidRPr="007D730B" w:rsidRDefault="00C34E4A">
      <w:pPr>
        <w:pStyle w:val="OT"/>
        <w:ind w:firstLine="709"/>
        <w:contextualSpacing/>
        <w:rPr>
          <w:color w:val="000000" w:themeColor="text1"/>
        </w:rPr>
      </w:pPr>
      <w:r w:rsidRPr="007D730B">
        <w:t xml:space="preserve">Фармакокинетика барицитиниба оценивалась у небольшого числа пациентов педиатрического возраста (n=18, средний возраст 12,5 лет, вес 9,2–84,3 кг), получавших препарат в рамках благотворительной программы лечения редких аутовоспалительных заболеваний. Масса тела и функция почек значительно влияли на </w:t>
      </w:r>
      <w:r w:rsidRPr="007D730B">
        <w:rPr>
          <w:lang w:val="en-US"/>
        </w:rPr>
        <w:t>Vd</w:t>
      </w:r>
      <w:r w:rsidRPr="007D730B">
        <w:t xml:space="preserve"> и </w:t>
      </w:r>
      <w:r w:rsidR="008F28F6">
        <w:rPr>
          <w:lang w:val="en-US"/>
        </w:rPr>
        <w:t>CL</w:t>
      </w:r>
      <w:r w:rsidRPr="007D730B">
        <w:t xml:space="preserve"> соответственно, что указывает на необходимость дозирования в зависимости от массы тела и функции почек. </w:t>
      </w:r>
      <w:r w:rsidR="007F72CA" w:rsidRPr="007D730B">
        <w:t xml:space="preserve">Важно отметить, что </w:t>
      </w:r>
      <w:r w:rsidR="007F72CA">
        <w:rPr>
          <w:lang w:val="en-US"/>
        </w:rPr>
        <w:t>T</w:t>
      </w:r>
      <w:r w:rsidR="007F72CA" w:rsidRPr="00AB1FF1">
        <w:rPr>
          <w:vertAlign w:val="subscript"/>
        </w:rPr>
        <w:t>1/2</w:t>
      </w:r>
      <w:r w:rsidR="007F72CA" w:rsidRPr="007D730B">
        <w:t xml:space="preserve"> барицитиниба был значительно короче у детей, особенно среди детей с массой тела менее 40 кг, и авторы этого исследования рекомендовали детям принимать барицитиниба от двух до четырех раз в день в зависимости от функции почек </w:t>
      </w:r>
      <w:r w:rsidR="007F72CA" w:rsidRPr="007D730B">
        <w:fldChar w:fldCharType="begin"/>
      </w:r>
      <w:r w:rsidR="007F72CA" w:rsidRPr="007D730B">
        <w:instrText xml:space="preserve"> ADDIN ZOTERO_ITEM CSL_CITATION {"citationID":"q6uHo686","properties":{"formattedCitation":"[5]","plainCitation":"[5]","noteIndex":0},"citationItems":[{"id":3871,"uris":["http://zotero.org/groups/4514912/items/YGRMP49U"],"itemData":{"id":3871,"type":"document","title":"Lin Z, Niu J, Xu Y, Qin L, Ding J, Zhou L. Clinical efficacy and adverse events of baricitinib treatment for coronavirus disease-2019 (COVID-19): A systematic review and meta-analysis. J Med Virol. 2022 Apr;94(4):1523-1534. doi: 10.1002/jmv.27482. Epub 2021 Dec 13. PMID: 34846766; PMCID: PMC9015594."}}],"schema":"https://github.com/citation-style-language/schema/raw/master/csl-citation.json"} </w:instrText>
      </w:r>
      <w:r w:rsidR="007F72CA" w:rsidRPr="007D730B">
        <w:fldChar w:fldCharType="separate"/>
      </w:r>
      <w:r w:rsidR="007F72CA" w:rsidRPr="007D730B">
        <w:t>[5]</w:t>
      </w:r>
      <w:r w:rsidR="007F72CA" w:rsidRPr="007D730B">
        <w:fldChar w:fldCharType="end"/>
      </w:r>
      <w:r w:rsidR="007F72CA" w:rsidRPr="007D730B">
        <w:t xml:space="preserve">. </w:t>
      </w:r>
    </w:p>
    <w:p w14:paraId="41164F88" w14:textId="77777777" w:rsidR="007952C2" w:rsidRDefault="007952C2">
      <w:pPr>
        <w:pStyle w:val="OT"/>
        <w:ind w:firstLine="709"/>
        <w:contextualSpacing/>
        <w:rPr>
          <w:color w:val="000000" w:themeColor="text1"/>
        </w:rPr>
      </w:pPr>
    </w:p>
    <w:p w14:paraId="671B2B91" w14:textId="77777777" w:rsidR="007952C2" w:rsidRPr="00AB1FF1" w:rsidRDefault="00C34E4A" w:rsidP="00AB1FF1">
      <w:pPr>
        <w:pStyle w:val="OT"/>
        <w:contextualSpacing/>
        <w:rPr>
          <w:b/>
          <w:i/>
          <w:color w:val="000000" w:themeColor="text1"/>
        </w:rPr>
      </w:pPr>
      <w:r w:rsidRPr="00AB1FF1">
        <w:rPr>
          <w:b/>
          <w:i/>
          <w:color w:val="000000" w:themeColor="text1"/>
        </w:rPr>
        <w:t>Беременные и кормящие женщины</w:t>
      </w:r>
    </w:p>
    <w:p w14:paraId="6CF9DE42" w14:textId="1863516A" w:rsidR="00C34E4A" w:rsidRPr="007D730B" w:rsidRDefault="00C34E4A">
      <w:pPr>
        <w:pStyle w:val="OT"/>
        <w:ind w:firstLine="709"/>
        <w:contextualSpacing/>
        <w:rPr>
          <w:color w:val="000000" w:themeColor="text1"/>
        </w:rPr>
      </w:pPr>
      <w:r w:rsidRPr="007D730B">
        <w:t xml:space="preserve">Фармакокинетические параметры у беременных или кормящих грудью женщин в настоящее время не зарегистрировано. Неизвестно, проникает ли барицитиниб через плаценту у человека </w:t>
      </w:r>
      <w:r w:rsidRPr="007D730B">
        <w:fldChar w:fldCharType="begin"/>
      </w:r>
      <w:r w:rsidRPr="007D730B">
        <w:instrText xml:space="preserve"> ADDIN ZOTERO_ITEM CSL_CITATION {"citationID":"OG3xz4Oi","properties":{"formattedCitation":"[2]","plainCitation":"[2]","noteIndex":0},"citationItems":[{"id":3827,"uris":["http://zotero.org/groups/4514912/items/LB74K8KI"],"itemData":{"id":3827,"type":"document","title":"Assessment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7D730B">
        <w:fldChar w:fldCharType="separate"/>
      </w:r>
      <w:r w:rsidRPr="007D730B">
        <w:t>[2]</w:t>
      </w:r>
      <w:r w:rsidRPr="007D730B">
        <w:fldChar w:fldCharType="end"/>
      </w:r>
      <w:r w:rsidRPr="007D730B">
        <w:t>.</w:t>
      </w:r>
    </w:p>
    <w:p w14:paraId="3121690C" w14:textId="77777777" w:rsidR="007D730B" w:rsidRDefault="007D730B">
      <w:pPr>
        <w:pStyle w:val="OT"/>
        <w:ind w:firstLine="709"/>
        <w:contextualSpacing/>
        <w:rPr>
          <w:b/>
        </w:rPr>
      </w:pPr>
    </w:p>
    <w:p w14:paraId="48D08B27" w14:textId="77777777" w:rsidR="00C34E4A" w:rsidRPr="007D730B" w:rsidRDefault="00C34E4A" w:rsidP="00AB1FF1">
      <w:pPr>
        <w:pStyle w:val="OT"/>
        <w:contextualSpacing/>
        <w:rPr>
          <w:b/>
          <w:i/>
        </w:rPr>
      </w:pPr>
      <w:r w:rsidRPr="007D730B">
        <w:rPr>
          <w:b/>
          <w:i/>
        </w:rPr>
        <w:t>Фармакокинетические лекарственные взаимодействия</w:t>
      </w:r>
    </w:p>
    <w:p w14:paraId="037736B5" w14:textId="143BEFC6" w:rsidR="00C34E4A" w:rsidRPr="004A300A" w:rsidRDefault="00C34E4A">
      <w:pPr>
        <w:pStyle w:val="OT"/>
        <w:ind w:firstLine="709"/>
        <w:contextualSpacing/>
        <w:rPr>
          <w:iCs/>
          <w:lang w:eastAsia="en-US"/>
        </w:rPr>
      </w:pPr>
      <w:r w:rsidRPr="004A300A">
        <w:rPr>
          <w:iCs/>
          <w:lang w:eastAsia="en-US"/>
        </w:rPr>
        <w:t xml:space="preserve">Барицитиниб не является ингибитором CYP1A2, 2B6, 2C8, 2C9, 2C19, 2D6, 3A4 и 3A5 в клинически значимых концентрациях. Барицитиниб не является индуктором ядерных рецепторов (AhR, PXR и CAR) при клинически значимых максимальных концентрациях в плазме, воротной вене и кишечнике. Кроме того, барицитиниб не является ингибитором транспортеров P-гликопротеина, BCRP, OATP1B1, OATP1B3, OCT1, OCT2, OAT1, OAT3, MATE-1 и MATE2-K в клинически значимых концентрациях. Барицитиниб может быть ингибитором OCT1 при максимальных концентрациях в воротной вене. В клинических исследованиях фармакокинетических взаимодействий изучалась способность барицитиниба влиять на фармакокинетику пероральных контрацептивов (через CYP3A), симвастатина (через CYP3A и OATP1B1) и дигоксина (через P-гликопротеин). Полученные результаты клинических исследований подтверждают данные </w:t>
      </w:r>
      <w:r w:rsidRPr="004A300A">
        <w:rPr>
          <w:i/>
          <w:lang w:eastAsia="en-US"/>
        </w:rPr>
        <w:t>in vitro</w:t>
      </w:r>
      <w:r w:rsidRPr="004A300A">
        <w:rPr>
          <w:iCs/>
          <w:lang w:eastAsia="en-US"/>
        </w:rPr>
        <w:t xml:space="preserve"> о том, что барицитиниб не является ингибитором или индуктором CYP3A и не является ингибитором Р-гликопротеина. Одновременное применение с симвастатином приводило к (не значимому клинически) снижению AUC и C</w:t>
      </w:r>
      <w:r w:rsidRPr="00AB1FF1">
        <w:rPr>
          <w:iCs/>
          <w:vertAlign w:val="subscript"/>
          <w:lang w:eastAsia="en-US"/>
        </w:rPr>
        <w:t>max</w:t>
      </w:r>
      <w:r w:rsidRPr="004A300A">
        <w:rPr>
          <w:iCs/>
          <w:lang w:eastAsia="en-US"/>
        </w:rPr>
        <w:t xml:space="preserve"> симвастатина. Основной механизм действия неизвестен. Барицитиниб не влияет на фармакокинетику метотрексата, часто назначаемого одновременно препарата у пациентов с РА</w:t>
      </w:r>
      <w:r>
        <w:rPr>
          <w:iCs/>
          <w:lang w:eastAsia="en-US"/>
        </w:rPr>
        <w:t xml:space="preserve"> </w:t>
      </w:r>
      <w:r>
        <w:rPr>
          <w:iCs/>
          <w:lang w:eastAsia="en-US"/>
        </w:rPr>
        <w:fldChar w:fldCharType="begin"/>
      </w:r>
      <w:r>
        <w:rPr>
          <w:iCs/>
          <w:lang w:eastAsia="en-US"/>
        </w:rPr>
        <w:instrText xml:space="preserve"> ADDIN ZOTERO_ITEM CSL_CITATION {"citationID":"Y16jxDg2","properties":{"formattedCitation":"[1]","plainCitation":"[1]","noteIndex":0},"citationItems":[{"id":3826,"uris":["http://zotero.org/groups/4514912/items/UB7ESC4C"],"itemData":{"id":3826,"type":"document","title":"Assessment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Pr>
          <w:iCs/>
          <w:lang w:eastAsia="en-US"/>
        </w:rPr>
        <w:fldChar w:fldCharType="separate"/>
      </w:r>
      <w:r w:rsidRPr="002F4447">
        <w:t>[1]</w:t>
      </w:r>
      <w:r>
        <w:rPr>
          <w:iCs/>
          <w:lang w:eastAsia="en-US"/>
        </w:rPr>
        <w:fldChar w:fldCharType="end"/>
      </w:r>
      <w:r w:rsidRPr="004A300A">
        <w:rPr>
          <w:iCs/>
          <w:lang w:eastAsia="en-US"/>
        </w:rPr>
        <w:t>.</w:t>
      </w:r>
    </w:p>
    <w:p w14:paraId="0F7A6193" w14:textId="3628EAC0" w:rsidR="00C34E4A" w:rsidRDefault="00C34E4A">
      <w:pPr>
        <w:pStyle w:val="OT"/>
        <w:ind w:firstLine="709"/>
        <w:contextualSpacing/>
        <w:rPr>
          <w:iCs/>
          <w:lang w:eastAsia="en-US"/>
        </w:rPr>
      </w:pPr>
      <w:r w:rsidRPr="004A300A">
        <w:rPr>
          <w:iCs/>
          <w:lang w:eastAsia="en-US"/>
        </w:rPr>
        <w:t xml:space="preserve">В клинических исследованиях фармакокинетических взаимодействий изучалась способность других препаратов влиять на фармакокинетику барицитиниба. Клинически значимое взаимодействие наблюдалось при совместном применении барицитиниба с пробенецидом (сильным ингибитором ОАТ3). Пролекарство лефлуномид, которое быстро превращается в терифлуномид и терифлуномид, является ингибитором ОАТ3 (экспозиция фуросемида увеличивалась у пациентов, одновременно принимавших терифлуномид и фуросемид). Совместное применение кетоконазола (сильное ингибирование CYP3A), флуконазола (сильное ингибирование CYP2C19 и умеренное ингибирование CYP2C9 и 3A), рифампицина (индуктор через CAR/PXR, среди прочего, CYP3A и P-гликопротеин) и циклоспорина (ингибирование P-гликопротеина) с барицитинибом не приводило к </w:t>
      </w:r>
      <w:r w:rsidRPr="004A300A">
        <w:rPr>
          <w:iCs/>
          <w:lang w:eastAsia="en-US"/>
        </w:rPr>
        <w:lastRenderedPageBreak/>
        <w:t>клинически значимым изменения фармакокинетики барицитиниба</w:t>
      </w:r>
      <w:r>
        <w:rPr>
          <w:iCs/>
          <w:lang w:eastAsia="en-US"/>
        </w:rPr>
        <w:t xml:space="preserve"> </w:t>
      </w:r>
      <w:r>
        <w:rPr>
          <w:iCs/>
          <w:lang w:eastAsia="en-US"/>
        </w:rPr>
        <w:fldChar w:fldCharType="begin"/>
      </w:r>
      <w:r>
        <w:rPr>
          <w:iCs/>
          <w:lang w:eastAsia="en-US"/>
        </w:rPr>
        <w:instrText xml:space="preserve"> ADDIN ZOTERO_ITEM CSL_CITATION {"citationID":"ZvVTF8vI","properties":{"formattedCitation":"[1]","plainCitation":"[1]","noteIndex":0},"citationItems":[{"id":3826,"uris":["http://zotero.org/groups/4514912/items/UB7ESC4C"],"itemData":{"id":3826,"type":"document","title":"Assessment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Pr>
          <w:iCs/>
          <w:lang w:eastAsia="en-US"/>
        </w:rPr>
        <w:fldChar w:fldCharType="separate"/>
      </w:r>
      <w:r w:rsidRPr="002F4447">
        <w:t>[1]</w:t>
      </w:r>
      <w:r>
        <w:rPr>
          <w:iCs/>
          <w:lang w:eastAsia="en-US"/>
        </w:rPr>
        <w:fldChar w:fldCharType="end"/>
      </w:r>
      <w:r w:rsidRPr="004A300A">
        <w:rPr>
          <w:iCs/>
          <w:lang w:eastAsia="en-US"/>
        </w:rPr>
        <w:t>.</w:t>
      </w:r>
    </w:p>
    <w:p w14:paraId="5AC286B0" w14:textId="77777777" w:rsidR="00F4400C" w:rsidRPr="004A300A" w:rsidRDefault="00F4400C">
      <w:pPr>
        <w:pStyle w:val="OT"/>
        <w:ind w:firstLine="709"/>
        <w:contextualSpacing/>
        <w:rPr>
          <w:iCs/>
          <w:lang w:eastAsia="en-US"/>
        </w:rPr>
      </w:pPr>
    </w:p>
    <w:p w14:paraId="77D35E6B" w14:textId="0AA359DE" w:rsidR="00F4400C" w:rsidRDefault="00C34E4A" w:rsidP="00AB1FF1">
      <w:pPr>
        <w:pStyle w:val="3"/>
        <w:spacing w:before="0"/>
      </w:pPr>
      <w:bookmarkStart w:id="145" w:name="_Toc120288166"/>
      <w:r w:rsidRPr="004A300A">
        <w:t>4.1.2. Фармакодинамика у человека</w:t>
      </w:r>
      <w:bookmarkEnd w:id="145"/>
    </w:p>
    <w:p w14:paraId="37BB55AB" w14:textId="77777777" w:rsidR="004056B3" w:rsidRPr="008A378F" w:rsidRDefault="004056B3" w:rsidP="00AB1FF1">
      <w:pPr>
        <w:spacing w:after="0"/>
      </w:pPr>
    </w:p>
    <w:p w14:paraId="7D18900C" w14:textId="77777777" w:rsidR="00C34E4A" w:rsidRPr="004A300A" w:rsidRDefault="00C34E4A" w:rsidP="00AB1FF1">
      <w:pPr>
        <w:pStyle w:val="4"/>
        <w:spacing w:before="0"/>
        <w:rPr>
          <w:color w:val="000000" w:themeColor="text1"/>
        </w:rPr>
      </w:pPr>
      <w:bookmarkStart w:id="146" w:name="_Toc120288167"/>
      <w:r w:rsidRPr="004A300A">
        <w:rPr>
          <w:color w:val="000000" w:themeColor="text1"/>
          <w:szCs w:val="24"/>
        </w:rPr>
        <w:t>4.1.2.1. Первичная фармакодинамика и механизм действия</w:t>
      </w:r>
      <w:bookmarkEnd w:id="146"/>
    </w:p>
    <w:p w14:paraId="787CA5B6" w14:textId="77777777" w:rsidR="004056B3" w:rsidRDefault="004056B3" w:rsidP="00AB1FF1">
      <w:pPr>
        <w:spacing w:after="0" w:line="240" w:lineRule="auto"/>
        <w:ind w:firstLine="708"/>
      </w:pPr>
    </w:p>
    <w:p w14:paraId="325B0F60" w14:textId="26D878DF" w:rsidR="00C34E4A" w:rsidRDefault="00C34E4A" w:rsidP="00AB1FF1">
      <w:pPr>
        <w:spacing w:after="0" w:line="240" w:lineRule="auto"/>
        <w:ind w:firstLine="708"/>
      </w:pPr>
      <w:r w:rsidRPr="004A300A">
        <w:t>Согласно предоставленным данным, продолжительность воздействия выше IC</w:t>
      </w:r>
      <w:r w:rsidRPr="004A300A">
        <w:rPr>
          <w:vertAlign w:val="subscript"/>
        </w:rPr>
        <w:t>50</w:t>
      </w:r>
      <w:r w:rsidRPr="004A300A">
        <w:t xml:space="preserve"> для передачи сигнала, опосредованного обычными цитокинами ℽ-цепи, которые используют гетеродимер JAK1/JAK3, включая IL-15 и IL-21, короче для барицитиниба, чем сообщалось для тофацитиниба, на основе данных </w:t>
      </w:r>
      <w:r w:rsidRPr="004A300A">
        <w:rPr>
          <w:i/>
          <w:iCs/>
        </w:rPr>
        <w:t>in vitro</w:t>
      </w:r>
      <w:r w:rsidRPr="004A300A">
        <w:t xml:space="preserve"> с препаратами PBMC здоровых доноров. Следует отметить, что барицитиниб назначают один раз в день, тогда как обычная доза тофацитиниба составляет 5 мг два раза в день при РА</w:t>
      </w:r>
      <w:r>
        <w:t xml:space="preserve"> </w:t>
      </w:r>
      <w:r>
        <w:fldChar w:fldCharType="begin"/>
      </w:r>
      <w:r>
        <w:instrText xml:space="preserve"> ADDIN ZOTERO_ITEM CSL_CITATION {"citationID":"E2HBQcnc","properties":{"formattedCitation":"[1]","plainCitation":"[1]","noteIndex":0},"citationItems":[{"id":3826,"uris":["http://zotero.org/groups/4514912/items/UB7ESC4C"],"itemData":{"id":3826,"type":"document","title":"Assessment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4A300A">
        <w:t>.</w:t>
      </w:r>
    </w:p>
    <w:p w14:paraId="03474EC8" w14:textId="77777777" w:rsidR="0029110D" w:rsidRDefault="0029110D" w:rsidP="00AB1FF1">
      <w:pPr>
        <w:spacing w:after="0" w:line="240" w:lineRule="auto"/>
        <w:rPr>
          <w:b/>
          <w:bCs/>
          <w:lang w:eastAsia="ru-RU"/>
        </w:rPr>
      </w:pPr>
    </w:p>
    <w:p w14:paraId="727E5D0C" w14:textId="0A65ED25" w:rsidR="00C34E4A" w:rsidRPr="004A300A" w:rsidRDefault="007952C2" w:rsidP="00AB1FF1">
      <w:pPr>
        <w:spacing w:after="0" w:line="240" w:lineRule="auto"/>
      </w:pPr>
      <w:r>
        <w:rPr>
          <w:b/>
          <w:bCs/>
          <w:lang w:eastAsia="ru-RU"/>
        </w:rPr>
        <w:t xml:space="preserve">Рисунок 4-1. </w:t>
      </w:r>
      <w:r w:rsidR="00C34E4A" w:rsidRPr="007952C2">
        <w:rPr>
          <w:bCs/>
          <w:lang w:eastAsia="ru-RU"/>
        </w:rPr>
        <w:t>Ингибирование передачи сигналов цитокинов IL-15 и IL-21 барицитинибом и тофацитинибом: продолжительность воздействия сверх расчетных значений IC</w:t>
      </w:r>
      <w:r w:rsidR="00C34E4A" w:rsidRPr="007952C2">
        <w:rPr>
          <w:bCs/>
          <w:vertAlign w:val="subscript"/>
          <w:lang w:eastAsia="ru-RU"/>
        </w:rPr>
        <w:t>50</w:t>
      </w:r>
      <w:r w:rsidR="00C34E4A" w:rsidRPr="007952C2">
        <w:rPr>
          <w:bCs/>
          <w:lang w:eastAsia="ru-RU"/>
        </w:rPr>
        <w:t xml:space="preserve"> в NK-клетках</w:t>
      </w:r>
      <w:r>
        <w:rPr>
          <w:bCs/>
          <w:lang w:eastAsia="ru-RU"/>
        </w:rPr>
        <w:t>.</w:t>
      </w:r>
    </w:p>
    <w:p w14:paraId="74C4909D" w14:textId="77777777" w:rsidR="00C34E4A" w:rsidRPr="004A300A" w:rsidRDefault="00C34E4A">
      <w:pPr>
        <w:spacing w:line="240" w:lineRule="auto"/>
        <w:contextualSpacing/>
        <w:rPr>
          <w:lang w:eastAsia="ru-RU"/>
        </w:rPr>
      </w:pPr>
      <w:r w:rsidRPr="004A300A">
        <w:rPr>
          <w:noProof/>
          <w:lang w:eastAsia="ru-RU"/>
        </w:rPr>
        <w:drawing>
          <wp:inline distT="0" distB="0" distL="0" distR="0" wp14:anchorId="072C2A6A" wp14:editId="694EB762">
            <wp:extent cx="5919106" cy="22860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extLst>
                        <a:ext uri="{28A0092B-C50C-407E-A947-70E740481C1C}">
                          <a14:useLocalDpi xmlns:a14="http://schemas.microsoft.com/office/drawing/2010/main" val="0"/>
                        </a:ext>
                      </a:extLst>
                    </a:blip>
                    <a:stretch>
                      <a:fillRect/>
                    </a:stretch>
                  </pic:blipFill>
                  <pic:spPr>
                    <a:xfrm>
                      <a:off x="0" y="0"/>
                      <a:ext cx="5933933" cy="2291726"/>
                    </a:xfrm>
                    <a:prstGeom prst="rect">
                      <a:avLst/>
                    </a:prstGeom>
                  </pic:spPr>
                </pic:pic>
              </a:graphicData>
            </a:graphic>
          </wp:inline>
        </w:drawing>
      </w:r>
    </w:p>
    <w:p w14:paraId="0E313363" w14:textId="77777777" w:rsidR="007952C2" w:rsidRPr="007952C2" w:rsidRDefault="007952C2">
      <w:pPr>
        <w:spacing w:line="240" w:lineRule="auto"/>
        <w:contextualSpacing/>
        <w:rPr>
          <w:b/>
          <w:sz w:val="20"/>
          <w:szCs w:val="20"/>
          <w:lang w:eastAsia="ru-RU"/>
        </w:rPr>
      </w:pPr>
      <w:r w:rsidRPr="007952C2">
        <w:rPr>
          <w:b/>
          <w:sz w:val="20"/>
          <w:szCs w:val="20"/>
          <w:lang w:eastAsia="ru-RU"/>
        </w:rPr>
        <w:t>Примечание:</w:t>
      </w:r>
    </w:p>
    <w:p w14:paraId="33ECCF99" w14:textId="571110A0" w:rsidR="00C34E4A" w:rsidRPr="007952C2" w:rsidRDefault="00C34E4A">
      <w:pPr>
        <w:spacing w:line="240" w:lineRule="auto"/>
        <w:contextualSpacing/>
        <w:rPr>
          <w:sz w:val="20"/>
          <w:szCs w:val="20"/>
          <w:lang w:eastAsia="ru-RU"/>
        </w:rPr>
      </w:pPr>
      <w:r w:rsidRPr="007952C2">
        <w:rPr>
          <w:sz w:val="20"/>
          <w:szCs w:val="20"/>
          <w:lang w:eastAsia="ru-RU"/>
        </w:rPr>
        <w:t>слева на каждой панели: барицитиниб 2/4 мг; справа – тофацитиниб. IC</w:t>
      </w:r>
      <w:r w:rsidRPr="007952C2">
        <w:rPr>
          <w:sz w:val="20"/>
          <w:szCs w:val="20"/>
          <w:vertAlign w:val="subscript"/>
          <w:lang w:eastAsia="ru-RU"/>
        </w:rPr>
        <w:t>50</w:t>
      </w:r>
      <w:r w:rsidRPr="007952C2">
        <w:rPr>
          <w:sz w:val="20"/>
          <w:szCs w:val="20"/>
          <w:lang w:eastAsia="ru-RU"/>
        </w:rPr>
        <w:t xml:space="preserve"> – медианная ингибирующая концентрация; IL-15 – интерлейкин-15; IL-21 – интерлейкин-21; JAK – янус-киназа; NK – натуральные киллеры; pSTAT3 – фосфо-STAT3; pSTAT5 – фосфо-STAT5; STAT – преобразователи сигналов и активаторы транскрипции. Значение IC</w:t>
      </w:r>
      <w:r w:rsidRPr="007952C2">
        <w:rPr>
          <w:sz w:val="20"/>
          <w:szCs w:val="20"/>
          <w:vertAlign w:val="subscript"/>
          <w:lang w:eastAsia="ru-RU"/>
        </w:rPr>
        <w:t xml:space="preserve">50 </w:t>
      </w:r>
      <w:r w:rsidRPr="007952C2">
        <w:rPr>
          <w:sz w:val="20"/>
          <w:szCs w:val="20"/>
          <w:lang w:eastAsia="ru-RU"/>
        </w:rPr>
        <w:t>представляет собой средне</w:t>
      </w:r>
      <w:r w:rsidR="007952C2" w:rsidRPr="007952C2">
        <w:rPr>
          <w:sz w:val="20"/>
          <w:szCs w:val="20"/>
          <w:lang w:eastAsia="ru-RU"/>
        </w:rPr>
        <w:t>е геометрическое для 6 доноров.</w:t>
      </w:r>
    </w:p>
    <w:p w14:paraId="44B7BD11" w14:textId="77777777" w:rsidR="007952C2" w:rsidRPr="004A300A" w:rsidRDefault="007952C2">
      <w:pPr>
        <w:spacing w:line="240" w:lineRule="auto"/>
        <w:contextualSpacing/>
        <w:rPr>
          <w:lang w:eastAsia="ru-RU"/>
        </w:rPr>
      </w:pPr>
    </w:p>
    <w:p w14:paraId="1EE4DE1A" w14:textId="77777777" w:rsidR="00C34E4A" w:rsidRPr="004A300A" w:rsidRDefault="00C34E4A">
      <w:pPr>
        <w:spacing w:line="240" w:lineRule="auto"/>
        <w:ind w:firstLine="708"/>
        <w:contextualSpacing/>
        <w:rPr>
          <w:lang w:eastAsia="ru-RU"/>
        </w:rPr>
      </w:pPr>
      <w:r w:rsidRPr="004A300A">
        <w:rPr>
          <w:lang w:eastAsia="ru-RU"/>
        </w:rPr>
        <w:t>Поскольку барицитиниб является ингибитором JAK1/JAK2, а IL-6 передает сигналы через гетеродимер JAK1/JAK2, был разработан анализ активности pSTAT, на основании которого определяли ингибирование синтеза IL-6. Фармакокинетическое моделирование показало, что применение барицитиниба в дозе 4 мг с 12-часовым интервалом в течение 24-часового периода, приведет к тому, что концентрация барицитиниба в сыворотке будет ниже 50% порога ингибирования IL-6 (Рисунок 4-2)</w:t>
      </w:r>
      <w:r>
        <w:rPr>
          <w:lang w:eastAsia="ru-RU"/>
        </w:rPr>
        <w:t xml:space="preserve"> </w:t>
      </w:r>
      <w:r>
        <w:fldChar w:fldCharType="begin"/>
      </w:r>
      <w:r>
        <w:instrText xml:space="preserve"> ADDIN ZOTERO_ITEM CSL_CITATION {"citationID":"obJe4Mth","properties":{"formattedCitation":"[1]","plainCitation":"[1]","noteIndex":0},"citationItems":[{"id":3826,"uris":["http://zotero.org/groups/4514912/items/UB7ESC4C"],"itemData":{"id":3826,"type":"document","title":"Assessment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4A300A">
        <w:rPr>
          <w:lang w:eastAsia="ru-RU"/>
        </w:rPr>
        <w:t>.</w:t>
      </w:r>
    </w:p>
    <w:p w14:paraId="2F4E5B5A" w14:textId="77777777" w:rsidR="007952C2" w:rsidRDefault="007952C2">
      <w:pPr>
        <w:spacing w:line="240" w:lineRule="auto"/>
        <w:contextualSpacing/>
        <w:rPr>
          <w:b/>
          <w:bCs/>
          <w:lang w:eastAsia="ru-RU"/>
        </w:rPr>
      </w:pPr>
    </w:p>
    <w:p w14:paraId="75C55C68" w14:textId="77777777" w:rsidR="0029110D" w:rsidRDefault="0029110D">
      <w:pPr>
        <w:spacing w:line="240" w:lineRule="auto"/>
        <w:contextualSpacing/>
        <w:rPr>
          <w:b/>
          <w:bCs/>
          <w:lang w:eastAsia="ru-RU"/>
        </w:rPr>
        <w:sectPr w:rsidR="0029110D" w:rsidSect="00AB01E2">
          <w:pgSz w:w="11906" w:h="16838"/>
          <w:pgMar w:top="1134" w:right="849" w:bottom="1134" w:left="1701" w:header="708" w:footer="709" w:gutter="0"/>
          <w:cols w:space="708"/>
          <w:docGrid w:linePitch="360"/>
        </w:sectPr>
      </w:pPr>
    </w:p>
    <w:p w14:paraId="4D2943CA" w14:textId="14860D9F" w:rsidR="00C34E4A" w:rsidRPr="004A300A" w:rsidRDefault="007952C2">
      <w:pPr>
        <w:spacing w:line="240" w:lineRule="auto"/>
        <w:contextualSpacing/>
        <w:rPr>
          <w:b/>
          <w:bCs/>
          <w:lang w:eastAsia="ru-RU"/>
        </w:rPr>
      </w:pPr>
      <w:r>
        <w:rPr>
          <w:b/>
          <w:bCs/>
          <w:lang w:eastAsia="ru-RU"/>
        </w:rPr>
        <w:lastRenderedPageBreak/>
        <w:t>Рисунок 4-2.</w:t>
      </w:r>
      <w:r w:rsidR="00C34E4A" w:rsidRPr="004A300A">
        <w:rPr>
          <w:b/>
          <w:bCs/>
          <w:lang w:eastAsia="ru-RU"/>
        </w:rPr>
        <w:t xml:space="preserve"> </w:t>
      </w:r>
      <w:r w:rsidR="00C34E4A" w:rsidRPr="007952C2">
        <w:rPr>
          <w:bCs/>
          <w:lang w:eastAsia="ru-RU"/>
        </w:rPr>
        <w:t>Профили концентрации в плазме от времени при приеме барицитиниба один раз в сутки в течение интервала дозирования в дозах 2 мг и 4 мг по сравнению с IC</w:t>
      </w:r>
      <w:r w:rsidR="00C34E4A" w:rsidRPr="007952C2">
        <w:rPr>
          <w:bCs/>
          <w:vertAlign w:val="subscript"/>
          <w:lang w:eastAsia="ru-RU"/>
        </w:rPr>
        <w:t>50</w:t>
      </w:r>
      <w:r w:rsidR="00C34E4A" w:rsidRPr="007952C2">
        <w:rPr>
          <w:bCs/>
          <w:lang w:eastAsia="ru-RU"/>
        </w:rPr>
        <w:t xml:space="preserve"> для стимулированного IL-6 образования pSTAT3, оцененного по результатам исследований </w:t>
      </w:r>
      <w:r w:rsidR="00C34E4A" w:rsidRPr="007952C2">
        <w:rPr>
          <w:bCs/>
          <w:lang w:val="en-US" w:eastAsia="ru-RU"/>
        </w:rPr>
        <w:t>I</w:t>
      </w:r>
      <w:r w:rsidR="00C34E4A" w:rsidRPr="007952C2">
        <w:rPr>
          <w:bCs/>
          <w:lang w:eastAsia="ru-RU"/>
        </w:rPr>
        <w:t xml:space="preserve"> фазы (JADF и JADE)</w:t>
      </w:r>
      <w:r w:rsidRPr="007952C2">
        <w:rPr>
          <w:bCs/>
          <w:lang w:eastAsia="ru-RU"/>
        </w:rPr>
        <w:t>.</w:t>
      </w:r>
    </w:p>
    <w:p w14:paraId="431A8D00" w14:textId="77777777" w:rsidR="00C34E4A" w:rsidRPr="004A300A" w:rsidRDefault="00C34E4A">
      <w:pPr>
        <w:spacing w:line="240" w:lineRule="auto"/>
        <w:contextualSpacing/>
        <w:rPr>
          <w:lang w:eastAsia="ru-RU"/>
        </w:rPr>
      </w:pPr>
      <w:r w:rsidRPr="004A300A">
        <w:rPr>
          <w:noProof/>
          <w:lang w:eastAsia="ru-RU"/>
        </w:rPr>
        <w:drawing>
          <wp:inline distT="0" distB="0" distL="0" distR="0" wp14:anchorId="446D5B36" wp14:editId="4B84980E">
            <wp:extent cx="4458025" cy="26914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6">
                      <a:extLst>
                        <a:ext uri="{28A0092B-C50C-407E-A947-70E740481C1C}">
                          <a14:useLocalDpi xmlns:a14="http://schemas.microsoft.com/office/drawing/2010/main" val="0"/>
                        </a:ext>
                      </a:extLst>
                    </a:blip>
                    <a:stretch>
                      <a:fillRect/>
                    </a:stretch>
                  </pic:blipFill>
                  <pic:spPr>
                    <a:xfrm>
                      <a:off x="0" y="0"/>
                      <a:ext cx="4486427" cy="2708589"/>
                    </a:xfrm>
                    <a:prstGeom prst="rect">
                      <a:avLst/>
                    </a:prstGeom>
                  </pic:spPr>
                </pic:pic>
              </a:graphicData>
            </a:graphic>
          </wp:inline>
        </w:drawing>
      </w:r>
    </w:p>
    <w:p w14:paraId="6CA01310" w14:textId="42440526" w:rsidR="00C34E4A" w:rsidRPr="007952C2" w:rsidRDefault="00C34E4A">
      <w:pPr>
        <w:spacing w:line="240" w:lineRule="auto"/>
        <w:contextualSpacing/>
        <w:rPr>
          <w:sz w:val="20"/>
          <w:szCs w:val="20"/>
          <w:lang w:eastAsia="ru-RU"/>
        </w:rPr>
      </w:pPr>
      <w:r w:rsidRPr="007952C2">
        <w:rPr>
          <w:b/>
          <w:sz w:val="20"/>
          <w:szCs w:val="20"/>
          <w:lang w:eastAsia="ru-RU"/>
        </w:rPr>
        <w:t>Пр</w:t>
      </w:r>
      <w:r w:rsidR="007952C2" w:rsidRPr="007952C2">
        <w:rPr>
          <w:b/>
          <w:sz w:val="20"/>
          <w:szCs w:val="20"/>
          <w:lang w:eastAsia="ru-RU"/>
        </w:rPr>
        <w:t>имечание:</w:t>
      </w:r>
      <w:r w:rsidR="007952C2">
        <w:rPr>
          <w:sz w:val="20"/>
          <w:szCs w:val="20"/>
          <w:lang w:eastAsia="ru-RU"/>
        </w:rPr>
        <w:br/>
      </w:r>
      <w:r w:rsidRPr="007952C2">
        <w:rPr>
          <w:sz w:val="20"/>
          <w:szCs w:val="20"/>
          <w:lang w:eastAsia="ru-RU"/>
        </w:rPr>
        <w:t>IC</w:t>
      </w:r>
      <w:r w:rsidRPr="007952C2">
        <w:rPr>
          <w:sz w:val="20"/>
          <w:szCs w:val="20"/>
          <w:vertAlign w:val="subscript"/>
          <w:lang w:eastAsia="ru-RU"/>
        </w:rPr>
        <w:t>50</w:t>
      </w:r>
      <w:r w:rsidRPr="007952C2">
        <w:rPr>
          <w:sz w:val="20"/>
          <w:szCs w:val="20"/>
          <w:lang w:eastAsia="ru-RU"/>
        </w:rPr>
        <w:t xml:space="preserve"> – медианная ингибирующая концентрация; IL–6 – интерлейкин-6; PI – интервал прогнозирования; QD – один раз в день; </w:t>
      </w:r>
      <w:r w:rsidRPr="007952C2">
        <w:rPr>
          <w:sz w:val="20"/>
          <w:szCs w:val="20"/>
          <w:lang w:val="en-US" w:eastAsia="ru-RU"/>
        </w:rPr>
        <w:t>baricitinib</w:t>
      </w:r>
      <w:r w:rsidRPr="007952C2">
        <w:rPr>
          <w:sz w:val="20"/>
          <w:szCs w:val="20"/>
          <w:lang w:eastAsia="ru-RU"/>
        </w:rPr>
        <w:t xml:space="preserve"> </w:t>
      </w:r>
      <w:r w:rsidRPr="007952C2">
        <w:rPr>
          <w:sz w:val="20"/>
          <w:szCs w:val="20"/>
          <w:lang w:val="en-US" w:eastAsia="ru-RU"/>
        </w:rPr>
        <w:t>concentration</w:t>
      </w:r>
      <w:r w:rsidRPr="007952C2">
        <w:rPr>
          <w:sz w:val="20"/>
          <w:szCs w:val="20"/>
          <w:lang w:eastAsia="ru-RU"/>
        </w:rPr>
        <w:t xml:space="preserve"> (</w:t>
      </w:r>
      <w:r w:rsidRPr="007952C2">
        <w:rPr>
          <w:sz w:val="20"/>
          <w:szCs w:val="20"/>
          <w:lang w:val="en-US" w:eastAsia="ru-RU"/>
        </w:rPr>
        <w:t>ng</w:t>
      </w:r>
      <w:r w:rsidRPr="007952C2">
        <w:rPr>
          <w:sz w:val="20"/>
          <w:szCs w:val="20"/>
          <w:lang w:eastAsia="ru-RU"/>
        </w:rPr>
        <w:t>/</w:t>
      </w:r>
      <w:r w:rsidRPr="007952C2">
        <w:rPr>
          <w:sz w:val="20"/>
          <w:szCs w:val="20"/>
          <w:lang w:val="en-US" w:eastAsia="ru-RU"/>
        </w:rPr>
        <w:t>ml</w:t>
      </w:r>
      <w:r w:rsidRPr="007952C2">
        <w:rPr>
          <w:sz w:val="20"/>
          <w:szCs w:val="20"/>
          <w:lang w:eastAsia="ru-RU"/>
        </w:rPr>
        <w:t xml:space="preserve">) – концентрация барицитиниба; </w:t>
      </w:r>
      <w:r w:rsidRPr="007952C2">
        <w:rPr>
          <w:sz w:val="20"/>
          <w:szCs w:val="20"/>
          <w:lang w:val="en-US" w:eastAsia="ru-RU"/>
        </w:rPr>
        <w:t>time</w:t>
      </w:r>
      <w:r w:rsidRPr="007952C2">
        <w:rPr>
          <w:sz w:val="20"/>
          <w:szCs w:val="20"/>
          <w:lang w:eastAsia="ru-RU"/>
        </w:rPr>
        <w:t xml:space="preserve"> (</w:t>
      </w:r>
      <w:r w:rsidRPr="007952C2">
        <w:rPr>
          <w:sz w:val="20"/>
          <w:szCs w:val="20"/>
          <w:lang w:val="en-US" w:eastAsia="ru-RU"/>
        </w:rPr>
        <w:t>hr</w:t>
      </w:r>
      <w:r w:rsidR="007952C2" w:rsidRPr="007952C2">
        <w:rPr>
          <w:sz w:val="20"/>
          <w:szCs w:val="20"/>
          <w:lang w:eastAsia="ru-RU"/>
        </w:rPr>
        <w:t>) – время, ч.</w:t>
      </w:r>
    </w:p>
    <w:p w14:paraId="6C9081B9" w14:textId="77777777" w:rsidR="007952C2" w:rsidRPr="004A300A" w:rsidRDefault="007952C2">
      <w:pPr>
        <w:spacing w:line="240" w:lineRule="auto"/>
        <w:contextualSpacing/>
        <w:rPr>
          <w:lang w:eastAsia="ru-RU"/>
        </w:rPr>
      </w:pPr>
    </w:p>
    <w:p w14:paraId="54083363" w14:textId="77777777" w:rsidR="00C34E4A" w:rsidRPr="004A300A" w:rsidRDefault="00C34E4A">
      <w:pPr>
        <w:spacing w:line="240" w:lineRule="auto"/>
        <w:ind w:firstLine="708"/>
        <w:contextualSpacing/>
        <w:rPr>
          <w:lang w:eastAsia="ru-RU"/>
        </w:rPr>
      </w:pPr>
      <w:r w:rsidRPr="004A300A">
        <w:rPr>
          <w:lang w:eastAsia="ru-RU"/>
        </w:rPr>
        <w:t>Барицитиниб ингибирует индуцированное JAK фосфорилирование STAT3 дозозависимым образом. Максимальное ингибирование фосфорилирования STAT3 происходит через 1–2 ч после введения дозы и совпадает с C</w:t>
      </w:r>
      <w:r w:rsidRPr="00AB1FF1">
        <w:rPr>
          <w:vertAlign w:val="subscript"/>
          <w:lang w:eastAsia="ru-RU"/>
        </w:rPr>
        <w:t>max</w:t>
      </w:r>
      <w:r w:rsidRPr="004A300A">
        <w:rPr>
          <w:lang w:eastAsia="ru-RU"/>
        </w:rPr>
        <w:t>. Уровни рSTAT3 возвращались к норме примерно через 24 ч после однократного или многократного приема, даже при приеме в течение 10 дней</w:t>
      </w:r>
      <w:r>
        <w:rPr>
          <w:lang w:eastAsia="ru-RU"/>
        </w:rPr>
        <w:t xml:space="preserve"> </w:t>
      </w:r>
      <w:r>
        <w:fldChar w:fldCharType="begin"/>
      </w:r>
      <w:r>
        <w:instrText xml:space="preserve"> ADDIN ZOTERO_ITEM CSL_CITATION {"citationID":"WvvybrbE","properties":{"formattedCitation":"[1]","plainCitation":"[1]","noteIndex":0},"citationItems":[{"id":3826,"uris":["http://zotero.org/groups/4514912/items/UB7ESC4C"],"itemData":{"id":3826,"type":"document","title":"Assessment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4A300A">
        <w:rPr>
          <w:lang w:eastAsia="ru-RU"/>
        </w:rPr>
        <w:t>.</w:t>
      </w:r>
    </w:p>
    <w:p w14:paraId="59A8506E" w14:textId="77777777" w:rsidR="00C34E4A" w:rsidRPr="004A300A" w:rsidRDefault="00C34E4A" w:rsidP="00AB1FF1">
      <w:pPr>
        <w:pStyle w:val="4"/>
        <w:spacing w:before="0" w:after="240"/>
        <w:contextualSpacing/>
        <w:rPr>
          <w:color w:val="000000" w:themeColor="text1"/>
          <w:szCs w:val="24"/>
        </w:rPr>
      </w:pPr>
      <w:bookmarkStart w:id="147" w:name="_Toc120288168"/>
      <w:r w:rsidRPr="004A300A">
        <w:rPr>
          <w:color w:val="000000" w:themeColor="text1"/>
          <w:szCs w:val="24"/>
        </w:rPr>
        <w:t>4.1.2.2. Вторичная фармакодинамика</w:t>
      </w:r>
      <w:bookmarkEnd w:id="147"/>
      <w:r w:rsidRPr="004A300A">
        <w:rPr>
          <w:color w:val="000000" w:themeColor="text1"/>
          <w:szCs w:val="24"/>
        </w:rPr>
        <w:t xml:space="preserve"> </w:t>
      </w:r>
    </w:p>
    <w:p w14:paraId="4686523B" w14:textId="6686682C" w:rsidR="007952C2" w:rsidRDefault="00C34E4A" w:rsidP="00AB1FF1">
      <w:pPr>
        <w:spacing w:line="240" w:lineRule="auto"/>
        <w:ind w:firstLine="708"/>
        <w:contextualSpacing/>
      </w:pPr>
      <w:r w:rsidRPr="004A300A">
        <w:t>Нет данных.</w:t>
      </w:r>
    </w:p>
    <w:p w14:paraId="2721213A" w14:textId="77777777" w:rsidR="00C34E4A" w:rsidRPr="004A300A" w:rsidRDefault="00C34E4A" w:rsidP="00AB1FF1">
      <w:pPr>
        <w:pStyle w:val="4"/>
        <w:spacing w:before="0"/>
      </w:pPr>
      <w:bookmarkStart w:id="148" w:name="_Toc120288169"/>
      <w:r w:rsidRPr="004A300A">
        <w:t>4.1.2.3. Фармакодинамические лекарственные взаимодействия</w:t>
      </w:r>
      <w:bookmarkEnd w:id="148"/>
    </w:p>
    <w:p w14:paraId="37220CD9" w14:textId="77777777" w:rsidR="007D730B" w:rsidRDefault="007D730B">
      <w:pPr>
        <w:pStyle w:val="ab"/>
        <w:shd w:val="clear" w:color="auto" w:fill="FFFFFF"/>
        <w:spacing w:before="0" w:beforeAutospacing="0" w:after="0" w:afterAutospacing="0"/>
        <w:ind w:firstLine="709"/>
        <w:contextualSpacing/>
        <w:jc w:val="both"/>
      </w:pPr>
    </w:p>
    <w:p w14:paraId="3D0462F8" w14:textId="77777777" w:rsidR="00C34E4A" w:rsidRPr="004A300A" w:rsidRDefault="00C34E4A">
      <w:pPr>
        <w:pStyle w:val="ab"/>
        <w:shd w:val="clear" w:color="auto" w:fill="FFFFFF"/>
        <w:spacing w:before="0" w:beforeAutospacing="0" w:after="0" w:afterAutospacing="0"/>
        <w:ind w:firstLine="709"/>
        <w:contextualSpacing/>
        <w:jc w:val="both"/>
      </w:pPr>
      <w:r w:rsidRPr="004A300A">
        <w:t>Нет данных.</w:t>
      </w:r>
    </w:p>
    <w:p w14:paraId="6C55A712" w14:textId="77777777" w:rsidR="00C34E4A" w:rsidRPr="004A300A" w:rsidRDefault="00C34E4A">
      <w:pPr>
        <w:pStyle w:val="ab"/>
        <w:shd w:val="clear" w:color="auto" w:fill="FFFFFF"/>
        <w:spacing w:before="0" w:beforeAutospacing="0" w:after="0" w:afterAutospacing="0"/>
        <w:ind w:firstLine="709"/>
        <w:contextualSpacing/>
        <w:jc w:val="both"/>
      </w:pPr>
    </w:p>
    <w:p w14:paraId="2CF75BB8" w14:textId="60ACBBBC" w:rsidR="00C34E4A" w:rsidRPr="004A300A" w:rsidRDefault="007D730B">
      <w:pPr>
        <w:pStyle w:val="2"/>
        <w:spacing w:before="0" w:after="0" w:line="240" w:lineRule="auto"/>
        <w:contextualSpacing/>
        <w:rPr>
          <w:color w:val="000000" w:themeColor="text1"/>
          <w:szCs w:val="24"/>
        </w:rPr>
      </w:pPr>
      <w:bookmarkStart w:id="149" w:name="_Toc120288170"/>
      <w:r>
        <w:rPr>
          <w:color w:val="000000" w:themeColor="text1"/>
          <w:szCs w:val="24"/>
        </w:rPr>
        <w:t>4.2</w:t>
      </w:r>
      <w:r w:rsidR="00C34E4A" w:rsidRPr="004A300A">
        <w:rPr>
          <w:color w:val="000000" w:themeColor="text1"/>
          <w:szCs w:val="24"/>
        </w:rPr>
        <w:t>. Безопасность и эффективность</w:t>
      </w:r>
      <w:bookmarkEnd w:id="149"/>
    </w:p>
    <w:p w14:paraId="28867730" w14:textId="77777777" w:rsidR="00C34E4A" w:rsidRPr="004A300A" w:rsidRDefault="00C34E4A">
      <w:pPr>
        <w:spacing w:after="0" w:line="240" w:lineRule="auto"/>
        <w:contextualSpacing/>
      </w:pPr>
    </w:p>
    <w:p w14:paraId="49974201" w14:textId="58A00877" w:rsidR="00C34E4A" w:rsidRPr="004A300A" w:rsidRDefault="007D730B">
      <w:pPr>
        <w:pStyle w:val="3"/>
        <w:spacing w:before="0"/>
        <w:contextualSpacing/>
        <w:rPr>
          <w:szCs w:val="24"/>
        </w:rPr>
      </w:pPr>
      <w:bookmarkStart w:id="150" w:name="_Toc52190587"/>
      <w:bookmarkStart w:id="151" w:name="_Toc120288171"/>
      <w:r>
        <w:rPr>
          <w:szCs w:val="24"/>
        </w:rPr>
        <w:t>4.2</w:t>
      </w:r>
      <w:r w:rsidR="00C34E4A" w:rsidRPr="004A300A">
        <w:rPr>
          <w:szCs w:val="24"/>
        </w:rPr>
        <w:t>.1</w:t>
      </w:r>
      <w:bookmarkEnd w:id="150"/>
      <w:r w:rsidR="00C34E4A" w:rsidRPr="004A300A">
        <w:rPr>
          <w:szCs w:val="24"/>
        </w:rPr>
        <w:t>. Клиническая эффективность</w:t>
      </w:r>
      <w:bookmarkEnd w:id="151"/>
    </w:p>
    <w:p w14:paraId="4ACC0AD6" w14:textId="77777777" w:rsidR="00C34E4A" w:rsidRPr="004A300A" w:rsidRDefault="00C34E4A">
      <w:pPr>
        <w:spacing w:after="0" w:line="240" w:lineRule="auto"/>
        <w:contextualSpacing/>
      </w:pPr>
    </w:p>
    <w:p w14:paraId="10C891DB" w14:textId="0067136F" w:rsidR="00C34E4A" w:rsidRPr="00BA2D96" w:rsidRDefault="007D730B">
      <w:pPr>
        <w:pStyle w:val="4"/>
        <w:spacing w:before="0"/>
        <w:contextualSpacing/>
      </w:pPr>
      <w:bookmarkStart w:id="152" w:name="_Ref118485791"/>
      <w:bookmarkStart w:id="153" w:name="_Toc120288172"/>
      <w:r>
        <w:rPr>
          <w:szCs w:val="24"/>
        </w:rPr>
        <w:t>4.2</w:t>
      </w:r>
      <w:r w:rsidR="00C34E4A" w:rsidRPr="004A300A">
        <w:rPr>
          <w:szCs w:val="24"/>
        </w:rPr>
        <w:t>.1.1. Ревматоидный артрит</w:t>
      </w:r>
      <w:bookmarkEnd w:id="152"/>
      <w:bookmarkEnd w:id="153"/>
      <w:r w:rsidR="00C34E4A" w:rsidRPr="00BA2D96">
        <w:rPr>
          <w:szCs w:val="24"/>
        </w:rPr>
        <w:t xml:space="preserve"> </w:t>
      </w:r>
    </w:p>
    <w:p w14:paraId="7990376D" w14:textId="77777777" w:rsidR="00C34E4A" w:rsidRPr="003C3091" w:rsidRDefault="00C34E4A">
      <w:pPr>
        <w:spacing w:after="0" w:line="240" w:lineRule="auto"/>
        <w:contextualSpacing/>
        <w:rPr>
          <w:b/>
          <w:i/>
          <w:color w:val="000000"/>
        </w:rPr>
      </w:pPr>
    </w:p>
    <w:p w14:paraId="2CAB4BA2" w14:textId="77777777" w:rsidR="00C34E4A" w:rsidRPr="00CC569A" w:rsidRDefault="00C34E4A">
      <w:pPr>
        <w:spacing w:after="0" w:line="240" w:lineRule="auto"/>
        <w:ind w:firstLine="708"/>
        <w:contextualSpacing/>
      </w:pPr>
      <w:r w:rsidRPr="001D1352">
        <w:t xml:space="preserve">Эффективность и безопасность барицитиниба </w:t>
      </w:r>
      <w:r>
        <w:t>в отношении РА</w:t>
      </w:r>
      <w:r w:rsidRPr="001D1352">
        <w:t xml:space="preserve"> оценивали в 4 рандомизированных двойных слепых многоцентровых исследованиях III фазы у взрослых пациентов с активным </w:t>
      </w:r>
      <w:r>
        <w:t>РА</w:t>
      </w:r>
      <w:r w:rsidRPr="001D1352">
        <w:t xml:space="preserve"> средней и тяжелой степени, диагностированным в соответствии с критериями </w:t>
      </w:r>
      <w:r w:rsidRPr="00710384">
        <w:t>ACR (</w:t>
      </w:r>
      <w:r w:rsidRPr="00710384">
        <w:rPr>
          <w:rFonts w:eastAsia="Times New Roman"/>
        </w:rPr>
        <w:t xml:space="preserve">критерии ревматоидного артрита, разработанные </w:t>
      </w:r>
      <w:r w:rsidRPr="00710384">
        <w:rPr>
          <w:rFonts w:eastAsia="Times New Roman"/>
          <w:lang w:val="en-US"/>
        </w:rPr>
        <w:t>American</w:t>
      </w:r>
      <w:r w:rsidRPr="00710384">
        <w:rPr>
          <w:rFonts w:eastAsia="Times New Roman"/>
        </w:rPr>
        <w:t xml:space="preserve"> </w:t>
      </w:r>
      <w:r w:rsidRPr="00710384">
        <w:rPr>
          <w:rFonts w:eastAsia="Times New Roman"/>
          <w:lang w:val="en-US"/>
        </w:rPr>
        <w:t>College</w:t>
      </w:r>
      <w:r w:rsidRPr="00710384">
        <w:rPr>
          <w:rFonts w:eastAsia="Times New Roman"/>
        </w:rPr>
        <w:t xml:space="preserve"> </w:t>
      </w:r>
      <w:r w:rsidRPr="00710384">
        <w:rPr>
          <w:rFonts w:eastAsia="Times New Roman"/>
          <w:lang w:val="en-US"/>
        </w:rPr>
        <w:t>of</w:t>
      </w:r>
      <w:r w:rsidRPr="00710384">
        <w:rPr>
          <w:rFonts w:eastAsia="Times New Roman"/>
        </w:rPr>
        <w:t xml:space="preserve"> </w:t>
      </w:r>
      <w:r w:rsidRPr="00710384">
        <w:rPr>
          <w:rFonts w:eastAsia="Times New Roman"/>
          <w:lang w:val="en-US"/>
        </w:rPr>
        <w:t>Rheumatology</w:t>
      </w:r>
      <w:r w:rsidRPr="00710384">
        <w:t>)/EULAR 2010</w:t>
      </w:r>
      <w:r>
        <w:t xml:space="preserve"> (</w:t>
      </w:r>
      <w:r w:rsidRPr="00700121">
        <w:rPr>
          <w:rFonts w:eastAsia="Times New Roman"/>
        </w:rPr>
        <w:t>критерии ревматоидного артрита Европейской</w:t>
      </w:r>
      <w:r>
        <w:rPr>
          <w:rFonts w:eastAsia="Times New Roman"/>
        </w:rPr>
        <w:t xml:space="preserve"> </w:t>
      </w:r>
      <w:r w:rsidRPr="00700121">
        <w:rPr>
          <w:rFonts w:eastAsia="Times New Roman"/>
        </w:rPr>
        <w:t>антиревматической лиги</w:t>
      </w:r>
      <w:r>
        <w:t>)</w:t>
      </w:r>
      <w:r w:rsidRPr="001D1352">
        <w:t xml:space="preserve"> (</w:t>
      </w:r>
      <w:r w:rsidRPr="00710384">
        <w:t>Таблица 4-3</w:t>
      </w:r>
      <w:r w:rsidRPr="001D1352">
        <w:t xml:space="preserve">). Исходно требовалось наличие не менее 6 </w:t>
      </w:r>
      <w:r w:rsidRPr="001D1352">
        <w:lastRenderedPageBreak/>
        <w:t>болезненных и 6 опухших суставов. Все пациенты, завершившие эти исследования, имели право на участие в долгосрочном расширенном исследовании с продолжением лечения до 4 лет</w:t>
      </w:r>
      <w:r>
        <w:t xml:space="preserve"> </w:t>
      </w:r>
      <w:r>
        <w:fldChar w:fldCharType="begin"/>
      </w:r>
      <w:r>
        <w:instrText xml:space="preserve"> ADDIN ZOTERO_ITEM CSL_CITATION {"citationID":"FTvfaJ5i","properties":{"formattedCitation":"[1]","plainCitation":"[1]","noteIndex":0},"citationItems":[{"id":3826,"uris":["http://zotero.org/groups/4514912/items/UB7ESC4C"],"itemData":{"id":3826,"type":"document","title":"Assessment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4A300A">
        <w:rPr>
          <w:lang w:eastAsia="ru-RU"/>
        </w:rPr>
        <w:t>.</w:t>
      </w:r>
    </w:p>
    <w:p w14:paraId="42814338" w14:textId="77777777" w:rsidR="00C34E4A" w:rsidRDefault="00C34E4A">
      <w:pPr>
        <w:spacing w:after="0" w:line="240" w:lineRule="auto"/>
        <w:ind w:firstLine="708"/>
        <w:rPr>
          <w:color w:val="000000"/>
        </w:rPr>
      </w:pPr>
      <w:r>
        <w:rPr>
          <w:color w:val="000000"/>
        </w:rPr>
        <w:t xml:space="preserve">В ходе клинических исследований изучали </w:t>
      </w:r>
      <w:r w:rsidRPr="0085037B">
        <w:rPr>
          <w:color w:val="000000"/>
        </w:rPr>
        <w:t>эффективность и безопасность</w:t>
      </w:r>
      <w:r>
        <w:rPr>
          <w:color w:val="000000"/>
        </w:rPr>
        <w:t xml:space="preserve"> барицитиниба</w:t>
      </w:r>
      <w:r w:rsidRPr="0085037B">
        <w:rPr>
          <w:color w:val="000000"/>
        </w:rPr>
        <w:t xml:space="preserve"> в трех целевых популяциях</w:t>
      </w:r>
      <w:r>
        <w:rPr>
          <w:color w:val="000000"/>
        </w:rPr>
        <w:t xml:space="preserve"> пациентов: (1) </w:t>
      </w:r>
      <w:r w:rsidRPr="0085037B">
        <w:rPr>
          <w:color w:val="000000"/>
        </w:rPr>
        <w:t>не принимавшие ранее</w:t>
      </w:r>
      <w:r>
        <w:rPr>
          <w:color w:val="000000"/>
        </w:rPr>
        <w:t xml:space="preserve"> </w:t>
      </w:r>
      <w:r>
        <w:rPr>
          <w:rFonts w:eastAsia="Times New Roman"/>
          <w:iCs/>
          <w:lang w:eastAsia="ru-RU"/>
        </w:rPr>
        <w:t>БМАРП</w:t>
      </w:r>
      <w:r w:rsidRPr="0085037B">
        <w:rPr>
          <w:color w:val="000000"/>
        </w:rPr>
        <w:t xml:space="preserve"> (</w:t>
      </w:r>
      <w:r>
        <w:rPr>
          <w:color w:val="000000"/>
        </w:rPr>
        <w:t xml:space="preserve">в качестве </w:t>
      </w:r>
      <w:r w:rsidRPr="0085037B">
        <w:rPr>
          <w:color w:val="000000"/>
        </w:rPr>
        <w:t>перв</w:t>
      </w:r>
      <w:r>
        <w:rPr>
          <w:color w:val="000000"/>
        </w:rPr>
        <w:t>ой</w:t>
      </w:r>
      <w:r w:rsidRPr="0085037B">
        <w:rPr>
          <w:color w:val="000000"/>
        </w:rPr>
        <w:t xml:space="preserve"> лини</w:t>
      </w:r>
      <w:r>
        <w:rPr>
          <w:color w:val="000000"/>
        </w:rPr>
        <w:t>и</w:t>
      </w:r>
      <w:r w:rsidRPr="0085037B">
        <w:rPr>
          <w:color w:val="000000"/>
        </w:rPr>
        <w:t>)</w:t>
      </w:r>
      <w:r>
        <w:rPr>
          <w:color w:val="000000"/>
        </w:rPr>
        <w:t>;</w:t>
      </w:r>
      <w:r w:rsidRPr="0085037B">
        <w:rPr>
          <w:color w:val="000000"/>
        </w:rPr>
        <w:t xml:space="preserve"> </w:t>
      </w:r>
      <w:r>
        <w:rPr>
          <w:color w:val="000000"/>
        </w:rPr>
        <w:t xml:space="preserve">(2) </w:t>
      </w:r>
      <w:r w:rsidRPr="0085037B">
        <w:rPr>
          <w:color w:val="000000"/>
        </w:rPr>
        <w:t xml:space="preserve">не реагирующие/не переносящие стандартные </w:t>
      </w:r>
      <w:r>
        <w:rPr>
          <w:rFonts w:eastAsia="Times New Roman"/>
          <w:iCs/>
          <w:lang w:eastAsia="ru-RU"/>
        </w:rPr>
        <w:t>БМАРП</w:t>
      </w:r>
      <w:r w:rsidRPr="0085037B">
        <w:rPr>
          <w:color w:val="000000"/>
        </w:rPr>
        <w:t xml:space="preserve"> (</w:t>
      </w:r>
      <w:r>
        <w:rPr>
          <w:color w:val="000000"/>
        </w:rPr>
        <w:t xml:space="preserve">в качестве </w:t>
      </w:r>
      <w:r w:rsidRPr="0085037B">
        <w:rPr>
          <w:color w:val="000000"/>
        </w:rPr>
        <w:t>втор</w:t>
      </w:r>
      <w:r>
        <w:rPr>
          <w:color w:val="000000"/>
        </w:rPr>
        <w:t>ой</w:t>
      </w:r>
      <w:r w:rsidRPr="0085037B">
        <w:rPr>
          <w:color w:val="000000"/>
        </w:rPr>
        <w:t xml:space="preserve"> лини</w:t>
      </w:r>
      <w:r>
        <w:rPr>
          <w:color w:val="000000"/>
        </w:rPr>
        <w:t>и</w:t>
      </w:r>
      <w:r w:rsidRPr="0085037B">
        <w:rPr>
          <w:color w:val="000000"/>
        </w:rPr>
        <w:t>) и</w:t>
      </w:r>
      <w:r>
        <w:rPr>
          <w:color w:val="000000"/>
        </w:rPr>
        <w:t xml:space="preserve"> (3)</w:t>
      </w:r>
      <w:r w:rsidRPr="0085037B">
        <w:rPr>
          <w:color w:val="000000"/>
        </w:rPr>
        <w:t xml:space="preserve"> пациенты, не реагирующие на биологические </w:t>
      </w:r>
      <w:r>
        <w:rPr>
          <w:rFonts w:eastAsia="Times New Roman"/>
          <w:iCs/>
          <w:lang w:eastAsia="ru-RU"/>
        </w:rPr>
        <w:t>БМАРП</w:t>
      </w:r>
      <w:r w:rsidRPr="0085037B">
        <w:rPr>
          <w:color w:val="000000"/>
        </w:rPr>
        <w:t xml:space="preserve"> (</w:t>
      </w:r>
      <w:r>
        <w:rPr>
          <w:color w:val="000000"/>
        </w:rPr>
        <w:t xml:space="preserve">в качестве </w:t>
      </w:r>
      <w:r w:rsidRPr="0085037B">
        <w:rPr>
          <w:color w:val="000000"/>
        </w:rPr>
        <w:t>трет</w:t>
      </w:r>
      <w:r>
        <w:rPr>
          <w:color w:val="000000"/>
        </w:rPr>
        <w:t>ьей</w:t>
      </w:r>
      <w:r w:rsidRPr="0085037B">
        <w:rPr>
          <w:color w:val="000000"/>
        </w:rPr>
        <w:t xml:space="preserve"> лини</w:t>
      </w:r>
      <w:r>
        <w:rPr>
          <w:color w:val="000000"/>
        </w:rPr>
        <w:t>и</w:t>
      </w:r>
      <w:r w:rsidRPr="0085037B">
        <w:rPr>
          <w:color w:val="000000"/>
        </w:rPr>
        <w:t>)</w:t>
      </w:r>
      <w:r>
        <w:rPr>
          <w:color w:val="000000"/>
        </w:rPr>
        <w:t xml:space="preserve"> </w:t>
      </w:r>
      <w:r w:rsidRPr="002F4447">
        <w:rPr>
          <w:color w:val="000000"/>
        </w:rPr>
        <w:fldChar w:fldCharType="begin"/>
      </w:r>
      <w:r w:rsidRPr="002F4447">
        <w:rPr>
          <w:color w:val="000000"/>
        </w:rPr>
        <w:instrText xml:space="preserve"> ADDIN ZOTERO_ITEM CSL_CITATION {"citationID":"iXc1thvg","properties":{"formattedCitation":"[6]","plainCitation":"[6]","noteIndex":0},"citationItems":[{"id":3829,"uris":["http://zotero.org/groups/4514912/items/H2A4BXNT"],"itemData":{"id":3829,"type":"document","title":"Summary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rPr>
          <w:color w:val="000000"/>
        </w:rPr>
        <w:fldChar w:fldCharType="separate"/>
      </w:r>
      <w:r w:rsidRPr="002F4447">
        <w:t>[6]</w:t>
      </w:r>
      <w:r w:rsidRPr="002F4447">
        <w:rPr>
          <w:color w:val="000000"/>
        </w:rPr>
        <w:fldChar w:fldCharType="end"/>
      </w:r>
      <w:r>
        <w:rPr>
          <w:color w:val="000000"/>
        </w:rPr>
        <w:t xml:space="preserve">. </w:t>
      </w:r>
    </w:p>
    <w:p w14:paraId="73FC8C1D" w14:textId="616891C3" w:rsidR="00C34E4A" w:rsidRDefault="00C34E4A">
      <w:pPr>
        <w:spacing w:after="0" w:line="240" w:lineRule="auto"/>
        <w:ind w:firstLine="708"/>
        <w:rPr>
          <w:color w:val="000000"/>
        </w:rPr>
      </w:pPr>
      <w:r>
        <w:rPr>
          <w:color w:val="000000"/>
        </w:rPr>
        <w:t xml:space="preserve">Перечень исследований и конечных точек представлен в </w:t>
      </w:r>
      <w:r w:rsidRPr="00710384">
        <w:rPr>
          <w:color w:val="000000"/>
        </w:rPr>
        <w:t>Таблице 4-3</w:t>
      </w:r>
      <w:r w:rsidR="007952C2">
        <w:rPr>
          <w:color w:val="000000"/>
        </w:rPr>
        <w:t>.</w:t>
      </w:r>
    </w:p>
    <w:p w14:paraId="03ACCEE5" w14:textId="77777777" w:rsidR="007952C2" w:rsidRDefault="007952C2">
      <w:pPr>
        <w:spacing w:after="0" w:line="240" w:lineRule="auto"/>
        <w:rPr>
          <w:b/>
          <w:bCs/>
          <w:color w:val="000000"/>
        </w:rPr>
      </w:pPr>
    </w:p>
    <w:p w14:paraId="3A982D65" w14:textId="331548CA" w:rsidR="00C34E4A" w:rsidRDefault="007952C2">
      <w:pPr>
        <w:spacing w:after="0" w:line="240" w:lineRule="auto"/>
        <w:rPr>
          <w:color w:val="000000"/>
        </w:rPr>
      </w:pPr>
      <w:r>
        <w:rPr>
          <w:b/>
          <w:bCs/>
          <w:color w:val="000000"/>
        </w:rPr>
        <w:t>Таблица 4-3.</w:t>
      </w:r>
      <w:r w:rsidR="00C34E4A" w:rsidRPr="00710384">
        <w:rPr>
          <w:b/>
          <w:bCs/>
          <w:color w:val="000000"/>
        </w:rPr>
        <w:t xml:space="preserve"> </w:t>
      </w:r>
      <w:r w:rsidR="00C34E4A" w:rsidRPr="007952C2">
        <w:rPr>
          <w:bCs/>
          <w:color w:val="000000"/>
        </w:rPr>
        <w:t>Перечень регистрационных клинических исследований барицитиниба у пациентов с ревматоидным артритом</w:t>
      </w:r>
      <w:r w:rsidRPr="007952C2">
        <w:rPr>
          <w:color w:val="000000"/>
        </w:rPr>
        <w:t>.</w:t>
      </w:r>
    </w:p>
    <w:tbl>
      <w:tblPr>
        <w:tblStyle w:val="a8"/>
        <w:tblW w:w="4873" w:type="pct"/>
        <w:tblInd w:w="136" w:type="dxa"/>
        <w:tblLook w:val="04A0" w:firstRow="1" w:lastRow="0" w:firstColumn="1" w:lastColumn="0" w:noHBand="0" w:noVBand="1"/>
      </w:tblPr>
      <w:tblGrid>
        <w:gridCol w:w="1716"/>
        <w:gridCol w:w="2084"/>
        <w:gridCol w:w="2268"/>
        <w:gridCol w:w="3261"/>
      </w:tblGrid>
      <w:tr w:rsidR="00C34E4A" w:rsidRPr="0029110D" w14:paraId="07F0CE85" w14:textId="77777777" w:rsidTr="0029110D">
        <w:trPr>
          <w:trHeight w:val="20"/>
          <w:tblHeader/>
        </w:trPr>
        <w:tc>
          <w:tcPr>
            <w:tcW w:w="1716" w:type="dxa"/>
            <w:shd w:val="clear" w:color="auto" w:fill="D9D9D9" w:themeFill="background1" w:themeFillShade="D9"/>
            <w:vAlign w:val="center"/>
          </w:tcPr>
          <w:p w14:paraId="7B125514" w14:textId="3D009885" w:rsidR="00C34E4A" w:rsidRPr="0029110D" w:rsidRDefault="00C34E4A">
            <w:pPr>
              <w:jc w:val="center"/>
              <w:rPr>
                <w:b/>
                <w:bCs/>
                <w:color w:val="000000"/>
                <w:sz w:val="20"/>
                <w:szCs w:val="20"/>
              </w:rPr>
            </w:pPr>
            <w:r w:rsidRPr="0029110D">
              <w:rPr>
                <w:b/>
                <w:bCs/>
                <w:color w:val="000000"/>
                <w:sz w:val="20"/>
                <w:szCs w:val="20"/>
              </w:rPr>
              <w:t>Название исследования, длительность</w:t>
            </w:r>
          </w:p>
        </w:tc>
        <w:tc>
          <w:tcPr>
            <w:tcW w:w="2084" w:type="dxa"/>
            <w:shd w:val="clear" w:color="auto" w:fill="D9D9D9" w:themeFill="background1" w:themeFillShade="D9"/>
            <w:vAlign w:val="center"/>
          </w:tcPr>
          <w:p w14:paraId="0956D4DC" w14:textId="77777777" w:rsidR="00C34E4A" w:rsidRPr="0029110D" w:rsidRDefault="00C34E4A">
            <w:pPr>
              <w:jc w:val="center"/>
              <w:rPr>
                <w:b/>
                <w:bCs/>
                <w:color w:val="000000"/>
                <w:sz w:val="20"/>
                <w:szCs w:val="20"/>
              </w:rPr>
            </w:pPr>
            <w:r w:rsidRPr="0029110D">
              <w:rPr>
                <w:b/>
                <w:bCs/>
                <w:color w:val="000000"/>
                <w:sz w:val="20"/>
                <w:szCs w:val="20"/>
              </w:rPr>
              <w:t>Популяция, количество участников</w:t>
            </w:r>
          </w:p>
        </w:tc>
        <w:tc>
          <w:tcPr>
            <w:tcW w:w="2268" w:type="dxa"/>
            <w:shd w:val="clear" w:color="auto" w:fill="D9D9D9" w:themeFill="background1" w:themeFillShade="D9"/>
            <w:vAlign w:val="center"/>
          </w:tcPr>
          <w:p w14:paraId="6330A14F" w14:textId="77777777" w:rsidR="00C34E4A" w:rsidRPr="0029110D" w:rsidRDefault="00C34E4A">
            <w:pPr>
              <w:jc w:val="center"/>
              <w:rPr>
                <w:b/>
                <w:bCs/>
                <w:color w:val="000000"/>
                <w:sz w:val="20"/>
                <w:szCs w:val="20"/>
              </w:rPr>
            </w:pPr>
            <w:r w:rsidRPr="0029110D">
              <w:rPr>
                <w:b/>
                <w:bCs/>
                <w:color w:val="000000"/>
                <w:sz w:val="20"/>
                <w:szCs w:val="20"/>
              </w:rPr>
              <w:t>Группы пациентов</w:t>
            </w:r>
          </w:p>
        </w:tc>
        <w:tc>
          <w:tcPr>
            <w:tcW w:w="3261" w:type="dxa"/>
            <w:shd w:val="clear" w:color="auto" w:fill="D9D9D9" w:themeFill="background1" w:themeFillShade="D9"/>
            <w:vAlign w:val="center"/>
          </w:tcPr>
          <w:p w14:paraId="5BA9460A" w14:textId="5AE7E9D3" w:rsidR="00C34E4A" w:rsidRPr="0029110D" w:rsidRDefault="00C34E4A">
            <w:pPr>
              <w:jc w:val="center"/>
              <w:rPr>
                <w:b/>
                <w:bCs/>
                <w:color w:val="000000"/>
                <w:sz w:val="20"/>
                <w:szCs w:val="20"/>
              </w:rPr>
            </w:pPr>
            <w:r w:rsidRPr="0029110D">
              <w:rPr>
                <w:b/>
                <w:bCs/>
                <w:color w:val="000000"/>
                <w:sz w:val="20"/>
                <w:szCs w:val="20"/>
              </w:rPr>
              <w:t>Первичные конечные точки</w:t>
            </w:r>
          </w:p>
        </w:tc>
      </w:tr>
      <w:tr w:rsidR="00C34E4A" w:rsidRPr="0029110D" w14:paraId="5BFF08E4" w14:textId="77777777" w:rsidTr="0029110D">
        <w:trPr>
          <w:trHeight w:val="20"/>
        </w:trPr>
        <w:tc>
          <w:tcPr>
            <w:tcW w:w="1716" w:type="dxa"/>
          </w:tcPr>
          <w:p w14:paraId="3C2F7279" w14:textId="77777777" w:rsidR="00C34E4A" w:rsidRPr="0029110D" w:rsidRDefault="00C34E4A">
            <w:pPr>
              <w:rPr>
                <w:sz w:val="20"/>
                <w:szCs w:val="20"/>
              </w:rPr>
            </w:pPr>
            <w:r w:rsidRPr="0029110D">
              <w:rPr>
                <w:sz w:val="20"/>
                <w:szCs w:val="20"/>
              </w:rPr>
              <w:t>JADZ</w:t>
            </w:r>
          </w:p>
          <w:p w14:paraId="0347619B" w14:textId="77777777" w:rsidR="00C34E4A" w:rsidRPr="0029110D" w:rsidRDefault="00C34E4A">
            <w:pPr>
              <w:rPr>
                <w:color w:val="000000"/>
                <w:sz w:val="20"/>
                <w:szCs w:val="20"/>
              </w:rPr>
            </w:pPr>
            <w:r w:rsidRPr="0029110D">
              <w:rPr>
                <w:sz w:val="20"/>
                <w:szCs w:val="20"/>
              </w:rPr>
              <w:t xml:space="preserve">(52 </w:t>
            </w:r>
            <w:r w:rsidRPr="0029110D">
              <w:rPr>
                <w:color w:val="000000"/>
                <w:sz w:val="20"/>
                <w:szCs w:val="20"/>
              </w:rPr>
              <w:t>недели)</w:t>
            </w:r>
          </w:p>
        </w:tc>
        <w:tc>
          <w:tcPr>
            <w:tcW w:w="2084" w:type="dxa"/>
          </w:tcPr>
          <w:p w14:paraId="64781C06" w14:textId="77777777" w:rsidR="00C34E4A" w:rsidRPr="0029110D" w:rsidRDefault="00C34E4A">
            <w:pPr>
              <w:rPr>
                <w:color w:val="000000"/>
                <w:sz w:val="20"/>
                <w:szCs w:val="20"/>
              </w:rPr>
            </w:pPr>
            <w:r w:rsidRPr="0029110D">
              <w:rPr>
                <w:color w:val="000000"/>
                <w:sz w:val="20"/>
                <w:szCs w:val="20"/>
              </w:rPr>
              <w:t xml:space="preserve">Пациенты, получившие менее 3 доз МТХ; наивный к другим обычным или биологическим БМАРП, </w:t>
            </w:r>
            <w:r w:rsidRPr="0029110D">
              <w:rPr>
                <w:color w:val="000000"/>
                <w:sz w:val="20"/>
                <w:szCs w:val="20"/>
                <w:lang w:val="en-US"/>
              </w:rPr>
              <w:t>n</w:t>
            </w:r>
            <w:r w:rsidRPr="0029110D">
              <w:rPr>
                <w:color w:val="000000"/>
                <w:sz w:val="20"/>
                <w:szCs w:val="20"/>
              </w:rPr>
              <w:t>=584</w:t>
            </w:r>
          </w:p>
        </w:tc>
        <w:tc>
          <w:tcPr>
            <w:tcW w:w="2268" w:type="dxa"/>
          </w:tcPr>
          <w:p w14:paraId="6ED7EC2B" w14:textId="77777777" w:rsidR="00C34E4A" w:rsidRPr="0029110D" w:rsidRDefault="00C34E4A">
            <w:pPr>
              <w:rPr>
                <w:color w:val="000000"/>
                <w:sz w:val="20"/>
                <w:szCs w:val="20"/>
              </w:rPr>
            </w:pPr>
            <w:r w:rsidRPr="0029110D">
              <w:rPr>
                <w:color w:val="000000"/>
                <w:sz w:val="20"/>
                <w:szCs w:val="20"/>
              </w:rPr>
              <w:t>Барицитиниб 4 мг 1р/сут</w:t>
            </w:r>
          </w:p>
          <w:p w14:paraId="6C8C243B" w14:textId="77777777" w:rsidR="00C34E4A" w:rsidRPr="0029110D" w:rsidRDefault="00C34E4A">
            <w:pPr>
              <w:rPr>
                <w:color w:val="000000"/>
                <w:sz w:val="20"/>
                <w:szCs w:val="20"/>
              </w:rPr>
            </w:pPr>
            <w:r w:rsidRPr="0029110D">
              <w:rPr>
                <w:color w:val="000000"/>
                <w:sz w:val="20"/>
                <w:szCs w:val="20"/>
              </w:rPr>
              <w:t>Барицитиниб 4 мг 1 р/сут + МТХ</w:t>
            </w:r>
          </w:p>
        </w:tc>
        <w:tc>
          <w:tcPr>
            <w:tcW w:w="3261" w:type="dxa"/>
          </w:tcPr>
          <w:p w14:paraId="5756D9F4" w14:textId="77777777" w:rsidR="00C34E4A" w:rsidRPr="0029110D" w:rsidRDefault="00C34E4A">
            <w:pPr>
              <w:rPr>
                <w:color w:val="000000"/>
                <w:sz w:val="20"/>
                <w:szCs w:val="20"/>
              </w:rPr>
            </w:pPr>
            <w:r w:rsidRPr="0029110D">
              <w:rPr>
                <w:color w:val="000000"/>
                <w:sz w:val="20"/>
                <w:szCs w:val="20"/>
              </w:rPr>
              <w:t>• Первичная конечная точка: ACR20 на 24 неделе.</w:t>
            </w:r>
          </w:p>
          <w:p w14:paraId="39F43C7C" w14:textId="77777777" w:rsidR="00C34E4A" w:rsidRPr="0029110D" w:rsidRDefault="00C34E4A">
            <w:pPr>
              <w:rPr>
                <w:color w:val="000000"/>
                <w:sz w:val="20"/>
                <w:szCs w:val="20"/>
              </w:rPr>
            </w:pPr>
            <w:r w:rsidRPr="0029110D">
              <w:rPr>
                <w:color w:val="000000"/>
                <w:sz w:val="20"/>
                <w:szCs w:val="20"/>
              </w:rPr>
              <w:t>• Физическая функция (HAQ-DI)</w:t>
            </w:r>
          </w:p>
          <w:p w14:paraId="69C12887" w14:textId="77777777" w:rsidR="00C34E4A" w:rsidRPr="0029110D" w:rsidRDefault="00C34E4A">
            <w:pPr>
              <w:rPr>
                <w:color w:val="000000"/>
                <w:sz w:val="20"/>
                <w:szCs w:val="20"/>
              </w:rPr>
            </w:pPr>
            <w:r w:rsidRPr="0029110D">
              <w:rPr>
                <w:color w:val="000000"/>
                <w:sz w:val="20"/>
                <w:szCs w:val="20"/>
              </w:rPr>
              <w:t>• Рентгенологическое прогрессирование (mTSS)</w:t>
            </w:r>
          </w:p>
          <w:p w14:paraId="323CA7D3" w14:textId="77777777" w:rsidR="00C34E4A" w:rsidRPr="0029110D" w:rsidRDefault="00C34E4A">
            <w:pPr>
              <w:rPr>
                <w:color w:val="000000"/>
                <w:sz w:val="20"/>
                <w:szCs w:val="20"/>
              </w:rPr>
            </w:pPr>
            <w:r w:rsidRPr="0029110D">
              <w:rPr>
                <w:color w:val="000000"/>
                <w:sz w:val="20"/>
                <w:szCs w:val="20"/>
              </w:rPr>
              <w:t>• Низкая активность заболевания и ремиссия (SDAI)</w:t>
            </w:r>
          </w:p>
        </w:tc>
      </w:tr>
      <w:tr w:rsidR="00C34E4A" w:rsidRPr="0029110D" w14:paraId="24CA3685" w14:textId="77777777" w:rsidTr="0029110D">
        <w:trPr>
          <w:trHeight w:val="20"/>
        </w:trPr>
        <w:tc>
          <w:tcPr>
            <w:tcW w:w="1716" w:type="dxa"/>
          </w:tcPr>
          <w:p w14:paraId="6204F85B" w14:textId="048290D2" w:rsidR="00C34E4A" w:rsidRPr="0029110D" w:rsidRDefault="00C34E4A">
            <w:pPr>
              <w:rPr>
                <w:color w:val="000000"/>
                <w:sz w:val="20"/>
                <w:szCs w:val="20"/>
              </w:rPr>
            </w:pPr>
            <w:r w:rsidRPr="0029110D">
              <w:rPr>
                <w:color w:val="000000"/>
                <w:sz w:val="20"/>
                <w:szCs w:val="20"/>
              </w:rPr>
              <w:t>JADV</w:t>
            </w:r>
          </w:p>
          <w:p w14:paraId="73B8999E" w14:textId="77777777" w:rsidR="00C34E4A" w:rsidRPr="0029110D" w:rsidRDefault="00C34E4A">
            <w:pPr>
              <w:rPr>
                <w:color w:val="000000"/>
                <w:sz w:val="20"/>
                <w:szCs w:val="20"/>
              </w:rPr>
            </w:pPr>
            <w:r w:rsidRPr="0029110D">
              <w:rPr>
                <w:sz w:val="20"/>
                <w:szCs w:val="20"/>
              </w:rPr>
              <w:t xml:space="preserve">(52 </w:t>
            </w:r>
            <w:r w:rsidRPr="0029110D">
              <w:rPr>
                <w:color w:val="000000"/>
                <w:sz w:val="20"/>
                <w:szCs w:val="20"/>
              </w:rPr>
              <w:t>недели)</w:t>
            </w:r>
          </w:p>
        </w:tc>
        <w:tc>
          <w:tcPr>
            <w:tcW w:w="2084" w:type="dxa"/>
          </w:tcPr>
          <w:p w14:paraId="0BEA2515" w14:textId="77777777" w:rsidR="00C34E4A" w:rsidRPr="0029110D" w:rsidRDefault="00C34E4A">
            <w:pPr>
              <w:rPr>
                <w:color w:val="000000"/>
                <w:sz w:val="20"/>
                <w:szCs w:val="20"/>
              </w:rPr>
            </w:pPr>
            <w:r w:rsidRPr="0029110D">
              <w:rPr>
                <w:color w:val="000000"/>
                <w:sz w:val="20"/>
                <w:szCs w:val="20"/>
              </w:rPr>
              <w:t xml:space="preserve">Пациенты с неадекватным ответом на МТХ (или другие </w:t>
            </w:r>
            <w:r w:rsidRPr="0029110D">
              <w:rPr>
                <w:iCs/>
                <w:sz w:val="20"/>
                <w:szCs w:val="20"/>
                <w:lang w:eastAsia="ru-RU"/>
              </w:rPr>
              <w:t>БМАРП</w:t>
            </w:r>
            <w:r w:rsidRPr="0029110D">
              <w:rPr>
                <w:color w:val="000000"/>
                <w:sz w:val="20"/>
                <w:szCs w:val="20"/>
              </w:rPr>
              <w:t xml:space="preserve">); наивные к биологическим </w:t>
            </w:r>
            <w:r w:rsidRPr="0029110D">
              <w:rPr>
                <w:iCs/>
                <w:sz w:val="20"/>
                <w:szCs w:val="20"/>
                <w:lang w:eastAsia="ru-RU"/>
              </w:rPr>
              <w:t>БМАРП</w:t>
            </w:r>
            <w:r w:rsidRPr="0029110D">
              <w:rPr>
                <w:color w:val="000000"/>
                <w:sz w:val="20"/>
                <w:szCs w:val="20"/>
              </w:rPr>
              <w:t xml:space="preserve">, </w:t>
            </w:r>
            <w:r w:rsidRPr="0029110D">
              <w:rPr>
                <w:color w:val="000000"/>
                <w:sz w:val="20"/>
                <w:szCs w:val="20"/>
                <w:lang w:val="en-US"/>
              </w:rPr>
              <w:t>n</w:t>
            </w:r>
            <w:r w:rsidRPr="0029110D">
              <w:rPr>
                <w:color w:val="000000"/>
                <w:sz w:val="20"/>
                <w:szCs w:val="20"/>
              </w:rPr>
              <w:t>=1305</w:t>
            </w:r>
          </w:p>
        </w:tc>
        <w:tc>
          <w:tcPr>
            <w:tcW w:w="2268" w:type="dxa"/>
          </w:tcPr>
          <w:p w14:paraId="309D52A6" w14:textId="77777777" w:rsidR="00C34E4A" w:rsidRPr="0029110D" w:rsidRDefault="00C34E4A">
            <w:pPr>
              <w:rPr>
                <w:color w:val="000000"/>
                <w:sz w:val="20"/>
                <w:szCs w:val="20"/>
              </w:rPr>
            </w:pPr>
            <w:r w:rsidRPr="0029110D">
              <w:rPr>
                <w:color w:val="000000"/>
                <w:sz w:val="20"/>
                <w:szCs w:val="20"/>
              </w:rPr>
              <w:t>Барицитиниб 4 мг 1р/сут</w:t>
            </w:r>
          </w:p>
          <w:p w14:paraId="1E7870BD" w14:textId="77777777" w:rsidR="00C34E4A" w:rsidRPr="0029110D" w:rsidRDefault="00C34E4A">
            <w:pPr>
              <w:rPr>
                <w:color w:val="000000"/>
                <w:sz w:val="20"/>
                <w:szCs w:val="20"/>
              </w:rPr>
            </w:pPr>
            <w:r w:rsidRPr="0029110D">
              <w:rPr>
                <w:color w:val="000000"/>
                <w:sz w:val="20"/>
                <w:szCs w:val="20"/>
              </w:rPr>
              <w:t>Адалимумаб 40 мг, подкожно 1 раз в 2 недели</w:t>
            </w:r>
          </w:p>
          <w:p w14:paraId="0D89D29D" w14:textId="77777777" w:rsidR="00C34E4A" w:rsidRPr="0029110D" w:rsidRDefault="00C34E4A">
            <w:pPr>
              <w:rPr>
                <w:color w:val="000000"/>
                <w:sz w:val="20"/>
                <w:szCs w:val="20"/>
              </w:rPr>
            </w:pPr>
            <w:r w:rsidRPr="0029110D">
              <w:rPr>
                <w:color w:val="000000"/>
                <w:sz w:val="20"/>
                <w:szCs w:val="20"/>
              </w:rPr>
              <w:t>Плацебо</w:t>
            </w:r>
          </w:p>
          <w:p w14:paraId="7B617D3D" w14:textId="77777777" w:rsidR="00C34E4A" w:rsidRPr="0029110D" w:rsidRDefault="00C34E4A">
            <w:pPr>
              <w:rPr>
                <w:color w:val="000000"/>
                <w:sz w:val="20"/>
                <w:szCs w:val="20"/>
              </w:rPr>
            </w:pPr>
          </w:p>
          <w:p w14:paraId="660E93CE" w14:textId="77777777" w:rsidR="00C34E4A" w:rsidRPr="0029110D" w:rsidRDefault="00C34E4A">
            <w:pPr>
              <w:rPr>
                <w:color w:val="000000"/>
                <w:sz w:val="20"/>
                <w:szCs w:val="20"/>
              </w:rPr>
            </w:pPr>
            <w:r w:rsidRPr="0029110D">
              <w:rPr>
                <w:color w:val="000000"/>
                <w:sz w:val="20"/>
                <w:szCs w:val="20"/>
              </w:rPr>
              <w:t>Все пациенты получали МТХ</w:t>
            </w:r>
          </w:p>
        </w:tc>
        <w:tc>
          <w:tcPr>
            <w:tcW w:w="3261" w:type="dxa"/>
          </w:tcPr>
          <w:p w14:paraId="58492F69" w14:textId="77777777" w:rsidR="00C34E4A" w:rsidRPr="0029110D" w:rsidRDefault="00C34E4A">
            <w:pPr>
              <w:rPr>
                <w:color w:val="000000"/>
                <w:sz w:val="20"/>
                <w:szCs w:val="20"/>
              </w:rPr>
            </w:pPr>
            <w:r w:rsidRPr="0029110D">
              <w:rPr>
                <w:color w:val="000000"/>
                <w:sz w:val="20"/>
                <w:szCs w:val="20"/>
              </w:rPr>
              <w:t>• Первичная конечная точка: ACR20 на 12 неделе.</w:t>
            </w:r>
          </w:p>
          <w:p w14:paraId="0AACA65D" w14:textId="77777777" w:rsidR="00C34E4A" w:rsidRPr="0029110D" w:rsidRDefault="00C34E4A">
            <w:pPr>
              <w:rPr>
                <w:color w:val="000000"/>
                <w:sz w:val="20"/>
                <w:szCs w:val="20"/>
              </w:rPr>
            </w:pPr>
            <w:r w:rsidRPr="0029110D">
              <w:rPr>
                <w:color w:val="000000"/>
                <w:sz w:val="20"/>
                <w:szCs w:val="20"/>
              </w:rPr>
              <w:t>• Физическая функция (HAQ-DI)</w:t>
            </w:r>
          </w:p>
          <w:p w14:paraId="1C7701BF" w14:textId="77777777" w:rsidR="00C34E4A" w:rsidRPr="0029110D" w:rsidRDefault="00C34E4A">
            <w:pPr>
              <w:rPr>
                <w:color w:val="000000"/>
                <w:sz w:val="20"/>
                <w:szCs w:val="20"/>
              </w:rPr>
            </w:pPr>
            <w:r w:rsidRPr="0029110D">
              <w:rPr>
                <w:color w:val="000000"/>
                <w:sz w:val="20"/>
                <w:szCs w:val="20"/>
              </w:rPr>
              <w:t>• Рентгенологическое прогрессирование (mTSS)</w:t>
            </w:r>
          </w:p>
          <w:p w14:paraId="1C8ACC90" w14:textId="77777777" w:rsidR="00C34E4A" w:rsidRPr="0029110D" w:rsidRDefault="00C34E4A">
            <w:pPr>
              <w:rPr>
                <w:color w:val="000000"/>
                <w:sz w:val="20"/>
                <w:szCs w:val="20"/>
              </w:rPr>
            </w:pPr>
            <w:r w:rsidRPr="0029110D">
              <w:rPr>
                <w:color w:val="000000"/>
                <w:sz w:val="20"/>
                <w:szCs w:val="20"/>
              </w:rPr>
              <w:t>• Низкая активность заболевания и ремиссия (SDAI)</w:t>
            </w:r>
          </w:p>
          <w:p w14:paraId="13D6716E" w14:textId="77777777" w:rsidR="00C34E4A" w:rsidRPr="0029110D" w:rsidRDefault="00C34E4A">
            <w:pPr>
              <w:rPr>
                <w:color w:val="000000"/>
                <w:sz w:val="20"/>
                <w:szCs w:val="20"/>
              </w:rPr>
            </w:pPr>
            <w:r w:rsidRPr="0029110D">
              <w:rPr>
                <w:color w:val="000000"/>
                <w:sz w:val="20"/>
                <w:szCs w:val="20"/>
              </w:rPr>
              <w:t>• Утренняя скованность в суставах</w:t>
            </w:r>
          </w:p>
        </w:tc>
      </w:tr>
      <w:tr w:rsidR="00C34E4A" w:rsidRPr="0029110D" w14:paraId="42072273" w14:textId="77777777" w:rsidTr="0029110D">
        <w:trPr>
          <w:trHeight w:val="20"/>
        </w:trPr>
        <w:tc>
          <w:tcPr>
            <w:tcW w:w="1716" w:type="dxa"/>
          </w:tcPr>
          <w:p w14:paraId="7C9A5093" w14:textId="77777777" w:rsidR="00C34E4A" w:rsidRPr="0029110D" w:rsidRDefault="00C34E4A">
            <w:pPr>
              <w:rPr>
                <w:color w:val="000000"/>
                <w:sz w:val="20"/>
                <w:szCs w:val="20"/>
              </w:rPr>
            </w:pPr>
            <w:r w:rsidRPr="0029110D">
              <w:rPr>
                <w:color w:val="000000"/>
                <w:sz w:val="20"/>
                <w:szCs w:val="20"/>
              </w:rPr>
              <w:t>JADX (24 недели)</w:t>
            </w:r>
          </w:p>
          <w:p w14:paraId="47120373" w14:textId="77777777" w:rsidR="00C34E4A" w:rsidRPr="0029110D" w:rsidRDefault="00C34E4A">
            <w:pPr>
              <w:rPr>
                <w:color w:val="000000"/>
                <w:sz w:val="20"/>
                <w:szCs w:val="20"/>
              </w:rPr>
            </w:pPr>
          </w:p>
        </w:tc>
        <w:tc>
          <w:tcPr>
            <w:tcW w:w="2084" w:type="dxa"/>
          </w:tcPr>
          <w:p w14:paraId="191B29EC" w14:textId="77777777" w:rsidR="00C34E4A" w:rsidRPr="0029110D" w:rsidRDefault="00C34E4A">
            <w:pPr>
              <w:rPr>
                <w:color w:val="000000"/>
                <w:sz w:val="20"/>
                <w:szCs w:val="20"/>
              </w:rPr>
            </w:pPr>
            <w:r w:rsidRPr="0029110D">
              <w:rPr>
                <w:sz w:val="20"/>
                <w:szCs w:val="20"/>
              </w:rPr>
              <w:t xml:space="preserve">Пациенты с неадекватным ответом или непереносимостью ≥ 1 </w:t>
            </w:r>
            <w:r w:rsidRPr="0029110D">
              <w:rPr>
                <w:iCs/>
                <w:sz w:val="20"/>
                <w:szCs w:val="20"/>
                <w:lang w:eastAsia="ru-RU"/>
              </w:rPr>
              <w:t>БМАРП</w:t>
            </w:r>
            <w:r w:rsidRPr="0029110D">
              <w:rPr>
                <w:sz w:val="20"/>
                <w:szCs w:val="20"/>
              </w:rPr>
              <w:t>;</w:t>
            </w:r>
            <w:r w:rsidRPr="0029110D">
              <w:rPr>
                <w:color w:val="000000"/>
                <w:sz w:val="20"/>
                <w:szCs w:val="20"/>
              </w:rPr>
              <w:t xml:space="preserve"> наивные к биологическим </w:t>
            </w:r>
            <w:r w:rsidRPr="0029110D">
              <w:rPr>
                <w:iCs/>
                <w:sz w:val="20"/>
                <w:szCs w:val="20"/>
                <w:lang w:eastAsia="ru-RU"/>
              </w:rPr>
              <w:t>БМАРП</w:t>
            </w:r>
            <w:r w:rsidRPr="0029110D">
              <w:rPr>
                <w:sz w:val="20"/>
                <w:szCs w:val="20"/>
              </w:rPr>
              <w:t xml:space="preserve">, </w:t>
            </w:r>
            <w:r w:rsidRPr="0029110D">
              <w:rPr>
                <w:sz w:val="20"/>
                <w:szCs w:val="20"/>
                <w:lang w:val="en-US"/>
              </w:rPr>
              <w:t>n</w:t>
            </w:r>
            <w:r w:rsidRPr="0029110D">
              <w:rPr>
                <w:color w:val="000000"/>
                <w:sz w:val="20"/>
                <w:szCs w:val="20"/>
              </w:rPr>
              <w:t>=684</w:t>
            </w:r>
          </w:p>
          <w:p w14:paraId="4223FFBA" w14:textId="77777777" w:rsidR="00C34E4A" w:rsidRPr="0029110D" w:rsidRDefault="00C34E4A">
            <w:pPr>
              <w:rPr>
                <w:color w:val="000000"/>
                <w:sz w:val="20"/>
                <w:szCs w:val="20"/>
              </w:rPr>
            </w:pPr>
          </w:p>
        </w:tc>
        <w:tc>
          <w:tcPr>
            <w:tcW w:w="2268" w:type="dxa"/>
          </w:tcPr>
          <w:p w14:paraId="7A1656DD" w14:textId="77777777" w:rsidR="00C34E4A" w:rsidRPr="0029110D" w:rsidRDefault="00C34E4A">
            <w:pPr>
              <w:rPr>
                <w:color w:val="000000"/>
                <w:sz w:val="20"/>
                <w:szCs w:val="20"/>
              </w:rPr>
            </w:pPr>
            <w:r w:rsidRPr="0029110D">
              <w:rPr>
                <w:color w:val="000000"/>
                <w:sz w:val="20"/>
                <w:szCs w:val="20"/>
              </w:rPr>
              <w:t>Барицитиниб 4 мг 1р/сут</w:t>
            </w:r>
          </w:p>
          <w:p w14:paraId="460F4363" w14:textId="77777777" w:rsidR="00C34E4A" w:rsidRPr="0029110D" w:rsidRDefault="00C34E4A">
            <w:pPr>
              <w:rPr>
                <w:color w:val="000000"/>
                <w:sz w:val="20"/>
                <w:szCs w:val="20"/>
              </w:rPr>
            </w:pPr>
            <w:r w:rsidRPr="0029110D">
              <w:rPr>
                <w:color w:val="000000"/>
                <w:sz w:val="20"/>
                <w:szCs w:val="20"/>
              </w:rPr>
              <w:t>Барицитиниб 2 мг 1 р/сут</w:t>
            </w:r>
          </w:p>
          <w:p w14:paraId="52990468" w14:textId="77777777" w:rsidR="00C34E4A" w:rsidRPr="0029110D" w:rsidRDefault="00C34E4A">
            <w:pPr>
              <w:rPr>
                <w:color w:val="000000"/>
                <w:sz w:val="20"/>
                <w:szCs w:val="20"/>
              </w:rPr>
            </w:pPr>
            <w:r w:rsidRPr="0029110D">
              <w:rPr>
                <w:color w:val="000000"/>
                <w:sz w:val="20"/>
                <w:szCs w:val="20"/>
              </w:rPr>
              <w:t>Плацебо</w:t>
            </w:r>
          </w:p>
          <w:p w14:paraId="534AE2A5" w14:textId="77777777" w:rsidR="00C34E4A" w:rsidRPr="0029110D" w:rsidRDefault="00C34E4A">
            <w:pPr>
              <w:rPr>
                <w:color w:val="000000"/>
                <w:sz w:val="20"/>
                <w:szCs w:val="20"/>
              </w:rPr>
            </w:pPr>
            <w:r w:rsidRPr="0029110D">
              <w:rPr>
                <w:color w:val="000000"/>
                <w:sz w:val="20"/>
                <w:szCs w:val="20"/>
              </w:rPr>
              <w:t xml:space="preserve">На фоне </w:t>
            </w:r>
            <w:r w:rsidRPr="0029110D">
              <w:rPr>
                <w:iCs/>
                <w:sz w:val="20"/>
                <w:szCs w:val="20"/>
                <w:lang w:eastAsia="ru-RU"/>
              </w:rPr>
              <w:t>БМАРП</w:t>
            </w:r>
            <w:r w:rsidRPr="0029110D">
              <w:rPr>
                <w:color w:val="000000"/>
                <w:sz w:val="20"/>
                <w:szCs w:val="20"/>
              </w:rPr>
              <w:t xml:space="preserve">* при стабильном использовании </w:t>
            </w:r>
            <w:r w:rsidRPr="0029110D">
              <w:rPr>
                <w:iCs/>
                <w:sz w:val="20"/>
                <w:szCs w:val="20"/>
                <w:lang w:eastAsia="ru-RU"/>
              </w:rPr>
              <w:t>БМАРП</w:t>
            </w:r>
            <w:r w:rsidRPr="0029110D">
              <w:rPr>
                <w:color w:val="000000"/>
                <w:sz w:val="20"/>
                <w:szCs w:val="20"/>
              </w:rPr>
              <w:t xml:space="preserve"> в начале исследования</w:t>
            </w:r>
          </w:p>
          <w:p w14:paraId="7AE5BE1D" w14:textId="77777777" w:rsidR="00C34E4A" w:rsidRPr="0029110D" w:rsidRDefault="00C34E4A">
            <w:pPr>
              <w:rPr>
                <w:color w:val="000000"/>
                <w:sz w:val="20"/>
                <w:szCs w:val="20"/>
              </w:rPr>
            </w:pPr>
          </w:p>
        </w:tc>
        <w:tc>
          <w:tcPr>
            <w:tcW w:w="3261" w:type="dxa"/>
          </w:tcPr>
          <w:p w14:paraId="5ABB4722" w14:textId="77777777" w:rsidR="00C34E4A" w:rsidRPr="0029110D" w:rsidRDefault="00C34E4A">
            <w:pPr>
              <w:rPr>
                <w:color w:val="000000"/>
                <w:sz w:val="20"/>
                <w:szCs w:val="20"/>
              </w:rPr>
            </w:pPr>
            <w:r w:rsidRPr="0029110D">
              <w:rPr>
                <w:color w:val="000000"/>
                <w:sz w:val="20"/>
                <w:szCs w:val="20"/>
              </w:rPr>
              <w:t>• Первичная конечная точка: ACR20 на 12 неделе.</w:t>
            </w:r>
          </w:p>
          <w:p w14:paraId="5DA4D311" w14:textId="77777777" w:rsidR="00C34E4A" w:rsidRPr="0029110D" w:rsidRDefault="00C34E4A">
            <w:pPr>
              <w:rPr>
                <w:color w:val="000000"/>
                <w:sz w:val="20"/>
                <w:szCs w:val="20"/>
              </w:rPr>
            </w:pPr>
            <w:r w:rsidRPr="0029110D">
              <w:rPr>
                <w:color w:val="000000"/>
                <w:sz w:val="20"/>
                <w:szCs w:val="20"/>
              </w:rPr>
              <w:t>• Физическая функция (HAQ-DI)</w:t>
            </w:r>
          </w:p>
          <w:p w14:paraId="17422CB6" w14:textId="77777777" w:rsidR="00C34E4A" w:rsidRPr="0029110D" w:rsidRDefault="00C34E4A">
            <w:pPr>
              <w:rPr>
                <w:color w:val="000000"/>
                <w:sz w:val="20"/>
                <w:szCs w:val="20"/>
              </w:rPr>
            </w:pPr>
            <w:r w:rsidRPr="0029110D">
              <w:rPr>
                <w:color w:val="000000"/>
                <w:sz w:val="20"/>
                <w:szCs w:val="20"/>
              </w:rPr>
              <w:t>• Низкая активность заболевания и ремиссия (SDAI)</w:t>
            </w:r>
          </w:p>
          <w:p w14:paraId="60BA0D6B" w14:textId="77777777" w:rsidR="00C34E4A" w:rsidRPr="0029110D" w:rsidRDefault="00C34E4A">
            <w:pPr>
              <w:rPr>
                <w:color w:val="000000"/>
                <w:sz w:val="20"/>
                <w:szCs w:val="20"/>
              </w:rPr>
            </w:pPr>
            <w:r w:rsidRPr="0029110D">
              <w:rPr>
                <w:color w:val="000000"/>
                <w:sz w:val="20"/>
                <w:szCs w:val="20"/>
              </w:rPr>
              <w:t>• Рентгенологическое прогрессирование (mTSS)</w:t>
            </w:r>
          </w:p>
          <w:p w14:paraId="5CA1B0C3" w14:textId="77777777" w:rsidR="00C34E4A" w:rsidRPr="0029110D" w:rsidRDefault="00C34E4A">
            <w:pPr>
              <w:rPr>
                <w:color w:val="000000"/>
                <w:sz w:val="20"/>
                <w:szCs w:val="20"/>
              </w:rPr>
            </w:pPr>
            <w:r w:rsidRPr="0029110D">
              <w:rPr>
                <w:color w:val="000000"/>
                <w:sz w:val="20"/>
                <w:szCs w:val="20"/>
              </w:rPr>
              <w:t>• Утренняя скованность в суставах</w:t>
            </w:r>
          </w:p>
        </w:tc>
      </w:tr>
      <w:tr w:rsidR="00C34E4A" w:rsidRPr="0029110D" w14:paraId="05565864" w14:textId="77777777" w:rsidTr="0029110D">
        <w:trPr>
          <w:trHeight w:val="20"/>
        </w:trPr>
        <w:tc>
          <w:tcPr>
            <w:tcW w:w="1716" w:type="dxa"/>
          </w:tcPr>
          <w:p w14:paraId="26C1680D" w14:textId="77777777" w:rsidR="00C34E4A" w:rsidRPr="0029110D" w:rsidRDefault="00C34E4A">
            <w:pPr>
              <w:rPr>
                <w:color w:val="000000"/>
                <w:sz w:val="20"/>
                <w:szCs w:val="20"/>
              </w:rPr>
            </w:pPr>
            <w:r w:rsidRPr="0029110D">
              <w:rPr>
                <w:color w:val="000000"/>
                <w:sz w:val="20"/>
                <w:szCs w:val="20"/>
              </w:rPr>
              <w:t>JADW</w:t>
            </w:r>
          </w:p>
          <w:p w14:paraId="64C17F21" w14:textId="77777777" w:rsidR="00C34E4A" w:rsidRPr="0029110D" w:rsidRDefault="00C34E4A">
            <w:pPr>
              <w:rPr>
                <w:color w:val="000000"/>
                <w:sz w:val="20"/>
                <w:szCs w:val="20"/>
              </w:rPr>
            </w:pPr>
            <w:r w:rsidRPr="0029110D">
              <w:rPr>
                <w:color w:val="000000"/>
                <w:sz w:val="20"/>
                <w:szCs w:val="20"/>
              </w:rPr>
              <w:t>(24 недели)</w:t>
            </w:r>
          </w:p>
          <w:p w14:paraId="6E370EF8" w14:textId="77777777" w:rsidR="00C34E4A" w:rsidRPr="0029110D" w:rsidRDefault="00C34E4A">
            <w:pPr>
              <w:rPr>
                <w:color w:val="000000"/>
                <w:sz w:val="20"/>
                <w:szCs w:val="20"/>
              </w:rPr>
            </w:pPr>
          </w:p>
          <w:p w14:paraId="51463535" w14:textId="77777777" w:rsidR="00C34E4A" w:rsidRPr="0029110D" w:rsidRDefault="00C34E4A">
            <w:pPr>
              <w:rPr>
                <w:color w:val="000000"/>
                <w:sz w:val="20"/>
                <w:szCs w:val="20"/>
              </w:rPr>
            </w:pPr>
          </w:p>
        </w:tc>
        <w:tc>
          <w:tcPr>
            <w:tcW w:w="2084" w:type="dxa"/>
          </w:tcPr>
          <w:p w14:paraId="0D740880" w14:textId="77777777" w:rsidR="00C34E4A" w:rsidRPr="0029110D" w:rsidRDefault="00C34E4A">
            <w:pPr>
              <w:rPr>
                <w:color w:val="000000"/>
                <w:sz w:val="20"/>
                <w:szCs w:val="20"/>
              </w:rPr>
            </w:pPr>
            <w:r w:rsidRPr="0029110D">
              <w:rPr>
                <w:color w:val="000000"/>
                <w:sz w:val="20"/>
                <w:szCs w:val="20"/>
              </w:rPr>
              <w:t xml:space="preserve">Пациенты с неадекватным ответом или непереносимостью ≥ 1 </w:t>
            </w:r>
            <w:r w:rsidRPr="0029110D">
              <w:rPr>
                <w:iCs/>
                <w:sz w:val="20"/>
                <w:szCs w:val="20"/>
                <w:lang w:eastAsia="ru-RU"/>
              </w:rPr>
              <w:t>БМАРП</w:t>
            </w:r>
            <w:r w:rsidRPr="0029110D">
              <w:rPr>
                <w:color w:val="000000"/>
                <w:sz w:val="20"/>
                <w:szCs w:val="20"/>
              </w:rPr>
              <w:t xml:space="preserve">; включая по крайней мере один ингибитор </w:t>
            </w:r>
            <w:r w:rsidRPr="0029110D">
              <w:rPr>
                <w:color w:val="000000"/>
                <w:sz w:val="20"/>
                <w:szCs w:val="20"/>
                <w:lang w:val="en-US"/>
              </w:rPr>
              <w:t>TNF</w:t>
            </w:r>
            <w:r w:rsidRPr="0029110D">
              <w:rPr>
                <w:color w:val="000000"/>
                <w:sz w:val="20"/>
                <w:szCs w:val="20"/>
              </w:rPr>
              <w:t xml:space="preserve"> (n=527)</w:t>
            </w:r>
          </w:p>
          <w:p w14:paraId="3776CC99" w14:textId="77777777" w:rsidR="00C34E4A" w:rsidRPr="0029110D" w:rsidRDefault="00C34E4A">
            <w:pPr>
              <w:rPr>
                <w:color w:val="000000"/>
                <w:sz w:val="20"/>
                <w:szCs w:val="20"/>
              </w:rPr>
            </w:pPr>
          </w:p>
        </w:tc>
        <w:tc>
          <w:tcPr>
            <w:tcW w:w="2268" w:type="dxa"/>
          </w:tcPr>
          <w:p w14:paraId="6393E8F7" w14:textId="77777777" w:rsidR="00C34E4A" w:rsidRPr="0029110D" w:rsidRDefault="00C34E4A">
            <w:pPr>
              <w:rPr>
                <w:color w:val="000000"/>
                <w:sz w:val="20"/>
                <w:szCs w:val="20"/>
              </w:rPr>
            </w:pPr>
            <w:r w:rsidRPr="0029110D">
              <w:rPr>
                <w:color w:val="000000"/>
                <w:sz w:val="20"/>
                <w:szCs w:val="20"/>
              </w:rPr>
              <w:t>Барицитиниб 4 мг 1р/сут</w:t>
            </w:r>
          </w:p>
          <w:p w14:paraId="3C5D2E56" w14:textId="77777777" w:rsidR="00C34E4A" w:rsidRPr="0029110D" w:rsidRDefault="00C34E4A">
            <w:pPr>
              <w:rPr>
                <w:color w:val="000000"/>
                <w:sz w:val="20"/>
                <w:szCs w:val="20"/>
              </w:rPr>
            </w:pPr>
            <w:r w:rsidRPr="0029110D">
              <w:rPr>
                <w:color w:val="000000"/>
                <w:sz w:val="20"/>
                <w:szCs w:val="20"/>
              </w:rPr>
              <w:t>Барицитиниб 2 мг 1 р/сут</w:t>
            </w:r>
          </w:p>
          <w:p w14:paraId="5DC77494" w14:textId="77777777" w:rsidR="00C34E4A" w:rsidRPr="0029110D" w:rsidRDefault="00C34E4A">
            <w:pPr>
              <w:rPr>
                <w:color w:val="000000"/>
                <w:sz w:val="20"/>
                <w:szCs w:val="20"/>
              </w:rPr>
            </w:pPr>
            <w:r w:rsidRPr="0029110D">
              <w:rPr>
                <w:color w:val="000000"/>
                <w:sz w:val="20"/>
                <w:szCs w:val="20"/>
              </w:rPr>
              <w:t>Плацебо</w:t>
            </w:r>
          </w:p>
          <w:p w14:paraId="47D03BB7" w14:textId="77777777" w:rsidR="00C34E4A" w:rsidRPr="0029110D" w:rsidRDefault="00C34E4A">
            <w:pPr>
              <w:rPr>
                <w:color w:val="000000"/>
                <w:sz w:val="20"/>
                <w:szCs w:val="20"/>
              </w:rPr>
            </w:pPr>
          </w:p>
          <w:p w14:paraId="1A8FAF2E" w14:textId="77777777" w:rsidR="00C34E4A" w:rsidRPr="0029110D" w:rsidRDefault="00C34E4A">
            <w:pPr>
              <w:rPr>
                <w:color w:val="000000"/>
                <w:sz w:val="20"/>
                <w:szCs w:val="20"/>
              </w:rPr>
            </w:pPr>
            <w:r w:rsidRPr="0029110D">
              <w:rPr>
                <w:color w:val="000000"/>
                <w:sz w:val="20"/>
                <w:szCs w:val="20"/>
              </w:rPr>
              <w:t>Все пациенты получали БМАРП</w:t>
            </w:r>
          </w:p>
        </w:tc>
        <w:tc>
          <w:tcPr>
            <w:tcW w:w="3261" w:type="dxa"/>
          </w:tcPr>
          <w:p w14:paraId="15402712" w14:textId="77777777" w:rsidR="00C34E4A" w:rsidRPr="0029110D" w:rsidRDefault="00C34E4A">
            <w:pPr>
              <w:rPr>
                <w:color w:val="000000"/>
                <w:sz w:val="20"/>
                <w:szCs w:val="20"/>
              </w:rPr>
            </w:pPr>
            <w:r w:rsidRPr="0029110D">
              <w:rPr>
                <w:color w:val="000000"/>
                <w:sz w:val="20"/>
                <w:szCs w:val="20"/>
              </w:rPr>
              <w:t>• Первичная конечная точка: ACR20 на 12 неделе.</w:t>
            </w:r>
          </w:p>
          <w:p w14:paraId="59278939" w14:textId="77777777" w:rsidR="00C34E4A" w:rsidRPr="0029110D" w:rsidRDefault="00C34E4A">
            <w:pPr>
              <w:rPr>
                <w:color w:val="000000"/>
                <w:sz w:val="20"/>
                <w:szCs w:val="20"/>
              </w:rPr>
            </w:pPr>
            <w:r w:rsidRPr="0029110D">
              <w:rPr>
                <w:color w:val="000000"/>
                <w:sz w:val="20"/>
                <w:szCs w:val="20"/>
              </w:rPr>
              <w:t>• Физическая функция (HAQ-DI)</w:t>
            </w:r>
          </w:p>
          <w:p w14:paraId="5CC82593" w14:textId="77777777" w:rsidR="00C34E4A" w:rsidRPr="0029110D" w:rsidRDefault="00C34E4A">
            <w:pPr>
              <w:rPr>
                <w:color w:val="000000"/>
                <w:sz w:val="20"/>
                <w:szCs w:val="20"/>
              </w:rPr>
            </w:pPr>
            <w:r w:rsidRPr="0029110D">
              <w:rPr>
                <w:color w:val="000000"/>
                <w:sz w:val="20"/>
                <w:szCs w:val="20"/>
              </w:rPr>
              <w:t>• Низкая активность заболевания и ремиссия (SDAI)</w:t>
            </w:r>
          </w:p>
        </w:tc>
      </w:tr>
      <w:tr w:rsidR="00C34E4A" w:rsidRPr="0029110D" w14:paraId="2622D097" w14:textId="77777777" w:rsidTr="0029110D">
        <w:trPr>
          <w:trHeight w:val="20"/>
        </w:trPr>
        <w:tc>
          <w:tcPr>
            <w:tcW w:w="9329" w:type="dxa"/>
            <w:gridSpan w:val="4"/>
          </w:tcPr>
          <w:p w14:paraId="5C899B97" w14:textId="02C53D9B" w:rsidR="00C34E4A" w:rsidRPr="0029110D" w:rsidRDefault="007952C2" w:rsidP="0029110D">
            <w:pPr>
              <w:pStyle w:val="af6"/>
            </w:pPr>
            <w:r w:rsidRPr="0029110D">
              <w:rPr>
                <w:b/>
                <w:color w:val="000000"/>
              </w:rPr>
              <w:t>Примечание:</w:t>
            </w:r>
            <w:r w:rsidRPr="0029110D">
              <w:rPr>
                <w:color w:val="000000"/>
              </w:rPr>
              <w:br/>
            </w:r>
            <w:r w:rsidR="00C34E4A" w:rsidRPr="0029110D">
              <w:rPr>
                <w:color w:val="000000"/>
              </w:rPr>
              <w:t>МТХ – метотрексат;  ACR20 – у</w:t>
            </w:r>
            <w:r w:rsidR="00C34E4A" w:rsidRPr="0029110D">
              <w:t xml:space="preserve">лучшение на 20% по данным критерия Американского колледжа ревматологии; </w:t>
            </w:r>
            <w:r w:rsidR="00C34E4A" w:rsidRPr="0029110D">
              <w:rPr>
                <w:color w:val="000000"/>
              </w:rPr>
              <w:t>HAQ-DI</w:t>
            </w:r>
            <w:r w:rsidR="00C34E4A" w:rsidRPr="0029110D">
              <w:t xml:space="preserve"> – анкета оценки состояния здоровья – индекс инвалидности;</w:t>
            </w:r>
            <w:r w:rsidR="00C34E4A" w:rsidRPr="0029110D">
              <w:rPr>
                <w:color w:val="000000"/>
              </w:rPr>
              <w:t xml:space="preserve"> mTSS –</w:t>
            </w:r>
            <w:r w:rsidR="00C34E4A" w:rsidRPr="0029110D">
              <w:t xml:space="preserve"> </w:t>
            </w:r>
            <w:r w:rsidR="00C34E4A" w:rsidRPr="0029110D">
              <w:rPr>
                <w:color w:val="000000"/>
              </w:rPr>
              <w:t xml:space="preserve">модифицированная общая оценка Sharp; SDAI – упрощенный индекс активности болезни; </w:t>
            </w:r>
            <w:r w:rsidR="00C34E4A" w:rsidRPr="0029110D">
              <w:rPr>
                <w:color w:val="000000"/>
                <w:lang w:val="en-US"/>
              </w:rPr>
              <w:t>TNF</w:t>
            </w:r>
            <w:r w:rsidR="00C34E4A" w:rsidRPr="0029110D">
              <w:rPr>
                <w:color w:val="000000"/>
              </w:rPr>
              <w:t xml:space="preserve"> – фактор некроза опухоли; * – Наиболее распространенные сопутствующие </w:t>
            </w:r>
            <w:r w:rsidR="00C34E4A" w:rsidRPr="0029110D">
              <w:rPr>
                <w:iCs/>
                <w:lang w:eastAsia="ru-RU"/>
              </w:rPr>
              <w:t>БМАРП</w:t>
            </w:r>
            <w:r w:rsidR="00C34E4A" w:rsidRPr="0029110D">
              <w:rPr>
                <w:color w:val="000000"/>
              </w:rPr>
              <w:t xml:space="preserve"> включали метотрексат, </w:t>
            </w:r>
            <w:r w:rsidR="00C34E4A" w:rsidRPr="0029110D">
              <w:rPr>
                <w:color w:val="000000"/>
              </w:rPr>
              <w:lastRenderedPageBreak/>
              <w:t xml:space="preserve">гидроксихлорохин, лефлуномид и сульфасалазин. </w:t>
            </w:r>
          </w:p>
        </w:tc>
      </w:tr>
    </w:tbl>
    <w:p w14:paraId="20A8F771" w14:textId="77777777" w:rsidR="00C34E4A" w:rsidRDefault="00C34E4A">
      <w:pPr>
        <w:spacing w:after="0" w:line="240" w:lineRule="auto"/>
        <w:rPr>
          <w:color w:val="000000"/>
        </w:rPr>
      </w:pPr>
    </w:p>
    <w:p w14:paraId="0D296193" w14:textId="5F7DA175" w:rsidR="00C34E4A" w:rsidRPr="001451CD" w:rsidRDefault="00C34E4A">
      <w:pPr>
        <w:spacing w:after="0" w:line="240" w:lineRule="auto"/>
        <w:ind w:firstLine="708"/>
        <w:rPr>
          <w:color w:val="000000"/>
        </w:rPr>
      </w:pPr>
      <w:r w:rsidRPr="0085037B">
        <w:rPr>
          <w:color w:val="000000"/>
        </w:rPr>
        <w:t xml:space="preserve">Исходные характеристики исследуемых популяций в основных </w:t>
      </w:r>
      <w:r>
        <w:rPr>
          <w:color w:val="000000"/>
        </w:rPr>
        <w:t>клинических исследованиях</w:t>
      </w:r>
      <w:r w:rsidRPr="0085037B">
        <w:rPr>
          <w:color w:val="000000"/>
        </w:rPr>
        <w:t xml:space="preserve"> резюмированы </w:t>
      </w:r>
      <w:r>
        <w:rPr>
          <w:color w:val="000000"/>
        </w:rPr>
        <w:t xml:space="preserve">в </w:t>
      </w:r>
      <w:r w:rsidRPr="00AE5464">
        <w:rPr>
          <w:color w:val="000000"/>
        </w:rPr>
        <w:t>Таблице 4-4</w:t>
      </w:r>
      <w:r w:rsidR="008C6732" w:rsidRPr="001451CD">
        <w:rPr>
          <w:color w:val="000000"/>
        </w:rPr>
        <w:t>.</w:t>
      </w:r>
    </w:p>
    <w:p w14:paraId="63D91DD3" w14:textId="77777777" w:rsidR="007952C2" w:rsidRDefault="007952C2">
      <w:pPr>
        <w:spacing w:after="0" w:line="240" w:lineRule="auto"/>
        <w:rPr>
          <w:b/>
          <w:bCs/>
          <w:color w:val="000000"/>
        </w:rPr>
      </w:pPr>
    </w:p>
    <w:p w14:paraId="07910EBC" w14:textId="1DF083CF" w:rsidR="00C34E4A" w:rsidRPr="00D21480" w:rsidRDefault="007952C2">
      <w:pPr>
        <w:spacing w:after="0" w:line="240" w:lineRule="auto"/>
        <w:rPr>
          <w:color w:val="000000"/>
        </w:rPr>
      </w:pPr>
      <w:r>
        <w:rPr>
          <w:b/>
          <w:bCs/>
          <w:color w:val="000000"/>
        </w:rPr>
        <w:t>Таблица 4-4.</w:t>
      </w:r>
      <w:r w:rsidR="00C34E4A" w:rsidRPr="00AE5464">
        <w:rPr>
          <w:b/>
          <w:bCs/>
          <w:color w:val="000000"/>
        </w:rPr>
        <w:t xml:space="preserve"> </w:t>
      </w:r>
      <w:r w:rsidR="00C34E4A" w:rsidRPr="007952C2">
        <w:rPr>
          <w:bCs/>
          <w:color w:val="000000"/>
        </w:rPr>
        <w:t>Демографические характеристики</w:t>
      </w:r>
      <w:r w:rsidR="00C34E4A" w:rsidRPr="007952C2">
        <w:rPr>
          <w:color w:val="000000"/>
        </w:rPr>
        <w:t xml:space="preserve"> </w:t>
      </w:r>
      <w:r w:rsidR="00C34E4A" w:rsidRPr="007952C2">
        <w:rPr>
          <w:bCs/>
          <w:color w:val="000000"/>
        </w:rPr>
        <w:t xml:space="preserve">пациентов с ревматоидным артритом, принявших участие </w:t>
      </w:r>
      <w:r w:rsidRPr="007952C2">
        <w:rPr>
          <w:bCs/>
          <w:color w:val="000000"/>
        </w:rPr>
        <w:t>в регистрационных исследованиях.</w:t>
      </w:r>
    </w:p>
    <w:tbl>
      <w:tblPr>
        <w:tblStyle w:val="a8"/>
        <w:tblW w:w="4873" w:type="pct"/>
        <w:tblInd w:w="136" w:type="dxa"/>
        <w:tblLook w:val="04A0" w:firstRow="1" w:lastRow="0" w:firstColumn="1" w:lastColumn="0" w:noHBand="0" w:noVBand="1"/>
      </w:tblPr>
      <w:tblGrid>
        <w:gridCol w:w="2612"/>
        <w:gridCol w:w="1744"/>
        <w:gridCol w:w="1738"/>
        <w:gridCol w:w="1771"/>
        <w:gridCol w:w="1464"/>
      </w:tblGrid>
      <w:tr w:rsidR="00C34E4A" w:rsidRPr="0029110D" w14:paraId="21EE9352" w14:textId="77777777" w:rsidTr="00AB1FF1">
        <w:trPr>
          <w:tblHeader/>
        </w:trPr>
        <w:tc>
          <w:tcPr>
            <w:tcW w:w="2611" w:type="dxa"/>
            <w:shd w:val="clear" w:color="auto" w:fill="D9D9D9" w:themeFill="background1" w:themeFillShade="D9"/>
            <w:vAlign w:val="center"/>
          </w:tcPr>
          <w:p w14:paraId="62EEFCF7" w14:textId="77777777" w:rsidR="00C34E4A" w:rsidRPr="0029110D" w:rsidRDefault="00C34E4A">
            <w:pPr>
              <w:jc w:val="center"/>
              <w:rPr>
                <w:b/>
                <w:bCs/>
                <w:color w:val="000000"/>
              </w:rPr>
            </w:pPr>
          </w:p>
        </w:tc>
        <w:tc>
          <w:tcPr>
            <w:tcW w:w="1744" w:type="dxa"/>
            <w:shd w:val="clear" w:color="auto" w:fill="D9D9D9" w:themeFill="background1" w:themeFillShade="D9"/>
            <w:vAlign w:val="center"/>
          </w:tcPr>
          <w:p w14:paraId="056B7231" w14:textId="77777777" w:rsidR="00C34E4A" w:rsidRPr="0029110D" w:rsidRDefault="00C34E4A">
            <w:pPr>
              <w:jc w:val="center"/>
              <w:rPr>
                <w:b/>
                <w:bCs/>
                <w:color w:val="000000"/>
              </w:rPr>
            </w:pPr>
            <w:r w:rsidRPr="0029110D">
              <w:rPr>
                <w:b/>
                <w:bCs/>
              </w:rPr>
              <w:t>JADZ (n=584) MTX-naïve</w:t>
            </w:r>
          </w:p>
        </w:tc>
        <w:tc>
          <w:tcPr>
            <w:tcW w:w="1738" w:type="dxa"/>
            <w:shd w:val="clear" w:color="auto" w:fill="D9D9D9" w:themeFill="background1" w:themeFillShade="D9"/>
            <w:vAlign w:val="center"/>
          </w:tcPr>
          <w:p w14:paraId="060868D8" w14:textId="77777777" w:rsidR="00C34E4A" w:rsidRPr="0029110D" w:rsidRDefault="00C34E4A">
            <w:pPr>
              <w:jc w:val="center"/>
              <w:rPr>
                <w:b/>
                <w:bCs/>
                <w:color w:val="000000"/>
              </w:rPr>
            </w:pPr>
            <w:r w:rsidRPr="0029110D">
              <w:rPr>
                <w:b/>
                <w:bCs/>
                <w:color w:val="000000"/>
              </w:rPr>
              <w:t>JADV</w:t>
            </w:r>
          </w:p>
          <w:p w14:paraId="0BAACBF0" w14:textId="77777777" w:rsidR="00C34E4A" w:rsidRPr="0029110D" w:rsidRDefault="00C34E4A">
            <w:pPr>
              <w:jc w:val="center"/>
              <w:rPr>
                <w:b/>
                <w:bCs/>
                <w:color w:val="000000"/>
              </w:rPr>
            </w:pPr>
            <w:r w:rsidRPr="0029110D">
              <w:rPr>
                <w:b/>
                <w:bCs/>
                <w:color w:val="000000"/>
              </w:rPr>
              <w:t>(n=1305)</w:t>
            </w:r>
          </w:p>
          <w:p w14:paraId="325E62C5" w14:textId="77777777" w:rsidR="00C34E4A" w:rsidRPr="0029110D" w:rsidRDefault="00C34E4A">
            <w:pPr>
              <w:jc w:val="center"/>
              <w:rPr>
                <w:b/>
                <w:bCs/>
                <w:color w:val="000000"/>
              </w:rPr>
            </w:pPr>
            <w:r w:rsidRPr="0029110D">
              <w:rPr>
                <w:b/>
                <w:bCs/>
                <w:color w:val="000000"/>
              </w:rPr>
              <w:t>MTX-IR</w:t>
            </w:r>
          </w:p>
        </w:tc>
        <w:tc>
          <w:tcPr>
            <w:tcW w:w="1771" w:type="dxa"/>
            <w:shd w:val="clear" w:color="auto" w:fill="D9D9D9" w:themeFill="background1" w:themeFillShade="D9"/>
            <w:vAlign w:val="center"/>
          </w:tcPr>
          <w:p w14:paraId="69FFFC53" w14:textId="77777777" w:rsidR="00C34E4A" w:rsidRPr="0029110D" w:rsidRDefault="00C34E4A">
            <w:pPr>
              <w:jc w:val="center"/>
              <w:rPr>
                <w:b/>
                <w:bCs/>
                <w:color w:val="000000"/>
              </w:rPr>
            </w:pPr>
            <w:r w:rsidRPr="0029110D">
              <w:rPr>
                <w:b/>
                <w:bCs/>
                <w:color w:val="000000"/>
              </w:rPr>
              <w:t>JADX</w:t>
            </w:r>
          </w:p>
          <w:p w14:paraId="1C7FF769" w14:textId="77777777" w:rsidR="00C34E4A" w:rsidRPr="0029110D" w:rsidRDefault="00C34E4A">
            <w:pPr>
              <w:jc w:val="center"/>
              <w:rPr>
                <w:b/>
                <w:bCs/>
                <w:color w:val="000000"/>
              </w:rPr>
            </w:pPr>
            <w:r w:rsidRPr="0029110D">
              <w:rPr>
                <w:b/>
                <w:bCs/>
                <w:color w:val="000000"/>
              </w:rPr>
              <w:t>(n=684)</w:t>
            </w:r>
          </w:p>
          <w:p w14:paraId="74434943" w14:textId="77777777" w:rsidR="00C34E4A" w:rsidRPr="0029110D" w:rsidRDefault="00C34E4A">
            <w:pPr>
              <w:jc w:val="center"/>
              <w:rPr>
                <w:b/>
                <w:bCs/>
                <w:color w:val="000000"/>
              </w:rPr>
            </w:pPr>
            <w:r w:rsidRPr="0029110D">
              <w:rPr>
                <w:b/>
                <w:bCs/>
                <w:color w:val="000000"/>
              </w:rPr>
              <w:t>cDMARD-IR</w:t>
            </w:r>
          </w:p>
        </w:tc>
        <w:tc>
          <w:tcPr>
            <w:tcW w:w="1464" w:type="dxa"/>
            <w:shd w:val="clear" w:color="auto" w:fill="D9D9D9" w:themeFill="background1" w:themeFillShade="D9"/>
            <w:vAlign w:val="center"/>
          </w:tcPr>
          <w:p w14:paraId="545E928A" w14:textId="77777777" w:rsidR="00C34E4A" w:rsidRPr="0029110D" w:rsidRDefault="00C34E4A">
            <w:pPr>
              <w:jc w:val="center"/>
              <w:rPr>
                <w:b/>
                <w:bCs/>
                <w:color w:val="000000"/>
              </w:rPr>
            </w:pPr>
            <w:r w:rsidRPr="0029110D">
              <w:rPr>
                <w:b/>
                <w:bCs/>
                <w:color w:val="000000"/>
              </w:rPr>
              <w:t>JADW</w:t>
            </w:r>
          </w:p>
          <w:p w14:paraId="4B289412" w14:textId="77777777" w:rsidR="00C34E4A" w:rsidRPr="0029110D" w:rsidRDefault="00C34E4A">
            <w:pPr>
              <w:jc w:val="center"/>
              <w:rPr>
                <w:b/>
                <w:bCs/>
                <w:color w:val="000000"/>
              </w:rPr>
            </w:pPr>
            <w:r w:rsidRPr="0029110D">
              <w:rPr>
                <w:b/>
                <w:bCs/>
                <w:color w:val="000000"/>
              </w:rPr>
              <w:t>(n=527)</w:t>
            </w:r>
          </w:p>
          <w:p w14:paraId="6EC54B81" w14:textId="77777777" w:rsidR="00C34E4A" w:rsidRPr="0029110D" w:rsidRDefault="00C34E4A">
            <w:pPr>
              <w:jc w:val="center"/>
              <w:rPr>
                <w:b/>
                <w:bCs/>
                <w:color w:val="000000"/>
              </w:rPr>
            </w:pPr>
            <w:r w:rsidRPr="0029110D">
              <w:rPr>
                <w:b/>
                <w:bCs/>
                <w:color w:val="000000"/>
              </w:rPr>
              <w:t>TNF-IR</w:t>
            </w:r>
          </w:p>
        </w:tc>
      </w:tr>
      <w:tr w:rsidR="00C34E4A" w:rsidRPr="0029110D" w14:paraId="46D90F44" w14:textId="77777777" w:rsidTr="00AB1FF1">
        <w:tc>
          <w:tcPr>
            <w:tcW w:w="2611" w:type="dxa"/>
          </w:tcPr>
          <w:p w14:paraId="58966337" w14:textId="77777777" w:rsidR="00C34E4A" w:rsidRPr="0029110D" w:rsidRDefault="00C34E4A">
            <w:pPr>
              <w:rPr>
                <w:color w:val="000000"/>
              </w:rPr>
            </w:pPr>
            <w:r w:rsidRPr="0029110D">
              <w:rPr>
                <w:color w:val="000000"/>
              </w:rPr>
              <w:t>Средний возраст</w:t>
            </w:r>
          </w:p>
        </w:tc>
        <w:tc>
          <w:tcPr>
            <w:tcW w:w="1744" w:type="dxa"/>
          </w:tcPr>
          <w:p w14:paraId="1C691830" w14:textId="36AA53A9" w:rsidR="00C34E4A" w:rsidRPr="0029110D" w:rsidRDefault="00C34E4A" w:rsidP="00AB1FF1">
            <w:pPr>
              <w:jc w:val="center"/>
              <w:rPr>
                <w:color w:val="000000"/>
              </w:rPr>
            </w:pPr>
            <w:r w:rsidRPr="0029110D">
              <w:t>49</w:t>
            </w:r>
            <w:r w:rsidR="008C6732" w:rsidRPr="0029110D">
              <w:t>,</w:t>
            </w:r>
            <w:r w:rsidRPr="0029110D">
              <w:t>9 (13</w:t>
            </w:r>
            <w:r w:rsidR="008C6732" w:rsidRPr="0029110D">
              <w:t>,</w:t>
            </w:r>
            <w:r w:rsidRPr="0029110D">
              <w:t>4)</w:t>
            </w:r>
          </w:p>
        </w:tc>
        <w:tc>
          <w:tcPr>
            <w:tcW w:w="1738" w:type="dxa"/>
          </w:tcPr>
          <w:p w14:paraId="06D1AFCD" w14:textId="76B73F25" w:rsidR="00C34E4A" w:rsidRPr="0029110D" w:rsidRDefault="00C34E4A" w:rsidP="00AB1FF1">
            <w:pPr>
              <w:jc w:val="center"/>
              <w:rPr>
                <w:color w:val="000000"/>
              </w:rPr>
            </w:pPr>
            <w:r w:rsidRPr="0029110D">
              <w:t>53</w:t>
            </w:r>
            <w:r w:rsidR="008C6732" w:rsidRPr="0029110D">
              <w:t>,</w:t>
            </w:r>
            <w:r w:rsidRPr="0029110D">
              <w:t>3 (12</w:t>
            </w:r>
            <w:r w:rsidR="008C6732" w:rsidRPr="0029110D">
              <w:t>,</w:t>
            </w:r>
            <w:r w:rsidRPr="0029110D">
              <w:t>1)</w:t>
            </w:r>
          </w:p>
        </w:tc>
        <w:tc>
          <w:tcPr>
            <w:tcW w:w="1771" w:type="dxa"/>
          </w:tcPr>
          <w:p w14:paraId="3551EE17" w14:textId="0BBAB2E2" w:rsidR="00C34E4A" w:rsidRPr="0029110D" w:rsidRDefault="00C34E4A" w:rsidP="00AB1FF1">
            <w:pPr>
              <w:jc w:val="center"/>
              <w:rPr>
                <w:color w:val="000000"/>
              </w:rPr>
            </w:pPr>
            <w:r w:rsidRPr="0029110D">
              <w:t>51</w:t>
            </w:r>
            <w:r w:rsidR="008C6732" w:rsidRPr="0029110D">
              <w:t>,</w:t>
            </w:r>
            <w:r w:rsidRPr="0029110D">
              <w:t>8 (12</w:t>
            </w:r>
            <w:r w:rsidR="008C6732" w:rsidRPr="0029110D">
              <w:t>,</w:t>
            </w:r>
            <w:r w:rsidRPr="0029110D">
              <w:t>3)</w:t>
            </w:r>
          </w:p>
        </w:tc>
        <w:tc>
          <w:tcPr>
            <w:tcW w:w="1464" w:type="dxa"/>
          </w:tcPr>
          <w:p w14:paraId="2327BF0D" w14:textId="029A0693" w:rsidR="00C34E4A" w:rsidRPr="0029110D" w:rsidRDefault="00C34E4A" w:rsidP="00AB1FF1">
            <w:pPr>
              <w:jc w:val="center"/>
              <w:rPr>
                <w:color w:val="000000"/>
              </w:rPr>
            </w:pPr>
            <w:r w:rsidRPr="0029110D">
              <w:t>55</w:t>
            </w:r>
            <w:r w:rsidR="008C6732" w:rsidRPr="0029110D">
              <w:t>,</w:t>
            </w:r>
            <w:r w:rsidRPr="0029110D">
              <w:t>7 (11</w:t>
            </w:r>
            <w:r w:rsidR="008C6732" w:rsidRPr="0029110D">
              <w:t>,</w:t>
            </w:r>
            <w:r w:rsidRPr="0029110D">
              <w:t>0)</w:t>
            </w:r>
          </w:p>
        </w:tc>
      </w:tr>
      <w:tr w:rsidR="00C34E4A" w:rsidRPr="0029110D" w14:paraId="725BEE0F" w14:textId="77777777" w:rsidTr="00AB1FF1">
        <w:tc>
          <w:tcPr>
            <w:tcW w:w="9328" w:type="dxa"/>
            <w:gridSpan w:val="5"/>
          </w:tcPr>
          <w:p w14:paraId="102B90BA" w14:textId="77777777" w:rsidR="00C34E4A" w:rsidRPr="0029110D" w:rsidRDefault="00C34E4A" w:rsidP="00AB1FF1">
            <w:pPr>
              <w:jc w:val="center"/>
              <w:rPr>
                <w:color w:val="000000"/>
              </w:rPr>
            </w:pPr>
            <w:r w:rsidRPr="0029110D">
              <w:rPr>
                <w:color w:val="000000"/>
              </w:rPr>
              <w:t>Возрастные группы</w:t>
            </w:r>
          </w:p>
        </w:tc>
      </w:tr>
      <w:tr w:rsidR="00C34E4A" w:rsidRPr="0029110D" w14:paraId="3810025D" w14:textId="77777777" w:rsidTr="00AB1FF1">
        <w:tc>
          <w:tcPr>
            <w:tcW w:w="2611" w:type="dxa"/>
          </w:tcPr>
          <w:p w14:paraId="4BC8A205" w14:textId="77777777" w:rsidR="00C34E4A" w:rsidRPr="0029110D" w:rsidRDefault="00C34E4A">
            <w:pPr>
              <w:rPr>
                <w:color w:val="000000"/>
              </w:rPr>
            </w:pPr>
            <w:r w:rsidRPr="0029110D">
              <w:rPr>
                <w:color w:val="000000"/>
              </w:rPr>
              <w:t>&lt;65</w:t>
            </w:r>
          </w:p>
        </w:tc>
        <w:tc>
          <w:tcPr>
            <w:tcW w:w="1744" w:type="dxa"/>
          </w:tcPr>
          <w:p w14:paraId="6AFC7B4C" w14:textId="369C0551" w:rsidR="00C34E4A" w:rsidRPr="0029110D" w:rsidRDefault="00C34E4A" w:rsidP="00AB1FF1">
            <w:pPr>
              <w:jc w:val="center"/>
              <w:rPr>
                <w:color w:val="000000"/>
              </w:rPr>
            </w:pPr>
            <w:r w:rsidRPr="0029110D">
              <w:t>501 (85</w:t>
            </w:r>
            <w:r w:rsidR="008C6732" w:rsidRPr="0029110D">
              <w:t>,</w:t>
            </w:r>
            <w:r w:rsidRPr="0029110D">
              <w:t>8)</w:t>
            </w:r>
          </w:p>
        </w:tc>
        <w:tc>
          <w:tcPr>
            <w:tcW w:w="1738" w:type="dxa"/>
          </w:tcPr>
          <w:p w14:paraId="7312F882" w14:textId="2B12F608" w:rsidR="00C34E4A" w:rsidRPr="0029110D" w:rsidRDefault="00C34E4A" w:rsidP="00AB1FF1">
            <w:pPr>
              <w:jc w:val="center"/>
              <w:rPr>
                <w:color w:val="000000"/>
              </w:rPr>
            </w:pPr>
            <w:r w:rsidRPr="0029110D">
              <w:t>1064 (81</w:t>
            </w:r>
            <w:r w:rsidR="008C6732" w:rsidRPr="0029110D">
              <w:t>,</w:t>
            </w:r>
            <w:r w:rsidRPr="0029110D">
              <w:t>5)</w:t>
            </w:r>
          </w:p>
        </w:tc>
        <w:tc>
          <w:tcPr>
            <w:tcW w:w="1771" w:type="dxa"/>
          </w:tcPr>
          <w:p w14:paraId="39D494A1" w14:textId="25782E00" w:rsidR="00C34E4A" w:rsidRPr="0029110D" w:rsidRDefault="00C34E4A" w:rsidP="00AB1FF1">
            <w:pPr>
              <w:jc w:val="center"/>
              <w:rPr>
                <w:color w:val="000000"/>
              </w:rPr>
            </w:pPr>
            <w:r w:rsidRPr="0029110D">
              <w:t>587 (85</w:t>
            </w:r>
            <w:r w:rsidR="008C6732" w:rsidRPr="0029110D">
              <w:t>,</w:t>
            </w:r>
            <w:r w:rsidRPr="0029110D">
              <w:t>8)</w:t>
            </w:r>
          </w:p>
        </w:tc>
        <w:tc>
          <w:tcPr>
            <w:tcW w:w="1464" w:type="dxa"/>
          </w:tcPr>
          <w:p w14:paraId="2B56B2A4" w14:textId="4201DD2D" w:rsidR="00C34E4A" w:rsidRPr="0029110D" w:rsidRDefault="00C34E4A" w:rsidP="00AB1FF1">
            <w:pPr>
              <w:jc w:val="center"/>
              <w:rPr>
                <w:color w:val="000000"/>
              </w:rPr>
            </w:pPr>
            <w:r w:rsidRPr="0029110D">
              <w:t>411 (78</w:t>
            </w:r>
            <w:r w:rsidR="008C6732" w:rsidRPr="0029110D">
              <w:t>,</w:t>
            </w:r>
            <w:r w:rsidRPr="0029110D">
              <w:t>0)</w:t>
            </w:r>
          </w:p>
        </w:tc>
      </w:tr>
      <w:tr w:rsidR="00C34E4A" w:rsidRPr="0029110D" w14:paraId="0D3C564C" w14:textId="77777777" w:rsidTr="00AB1FF1">
        <w:tc>
          <w:tcPr>
            <w:tcW w:w="2611" w:type="dxa"/>
          </w:tcPr>
          <w:p w14:paraId="593779E2" w14:textId="77777777" w:rsidR="00C34E4A" w:rsidRPr="0029110D" w:rsidRDefault="00C34E4A">
            <w:pPr>
              <w:rPr>
                <w:color w:val="000000"/>
              </w:rPr>
            </w:pPr>
            <w:r w:rsidRPr="0029110D">
              <w:rPr>
                <w:color w:val="000000"/>
              </w:rPr>
              <w:t>≥65</w:t>
            </w:r>
          </w:p>
        </w:tc>
        <w:tc>
          <w:tcPr>
            <w:tcW w:w="1744" w:type="dxa"/>
          </w:tcPr>
          <w:p w14:paraId="404BB39C" w14:textId="62EE3503" w:rsidR="00C34E4A" w:rsidRPr="0029110D" w:rsidRDefault="00C34E4A" w:rsidP="00AB1FF1">
            <w:pPr>
              <w:jc w:val="center"/>
              <w:rPr>
                <w:color w:val="000000"/>
              </w:rPr>
            </w:pPr>
            <w:r w:rsidRPr="0029110D">
              <w:t>83 (14</w:t>
            </w:r>
            <w:r w:rsidR="008C6732" w:rsidRPr="0029110D">
              <w:t>,</w:t>
            </w:r>
            <w:r w:rsidRPr="0029110D">
              <w:t>2)</w:t>
            </w:r>
          </w:p>
        </w:tc>
        <w:tc>
          <w:tcPr>
            <w:tcW w:w="1738" w:type="dxa"/>
          </w:tcPr>
          <w:p w14:paraId="33363FB7" w14:textId="3666EA77" w:rsidR="00C34E4A" w:rsidRPr="0029110D" w:rsidRDefault="00C34E4A" w:rsidP="00AB1FF1">
            <w:pPr>
              <w:jc w:val="center"/>
              <w:rPr>
                <w:color w:val="000000"/>
              </w:rPr>
            </w:pPr>
            <w:r w:rsidRPr="0029110D">
              <w:t>241 (18</w:t>
            </w:r>
            <w:r w:rsidR="008C6732" w:rsidRPr="0029110D">
              <w:t>,</w:t>
            </w:r>
            <w:r w:rsidRPr="0029110D">
              <w:t>5)</w:t>
            </w:r>
          </w:p>
        </w:tc>
        <w:tc>
          <w:tcPr>
            <w:tcW w:w="1771" w:type="dxa"/>
          </w:tcPr>
          <w:p w14:paraId="4337135E" w14:textId="7929A72E" w:rsidR="00C34E4A" w:rsidRPr="0029110D" w:rsidRDefault="00C34E4A" w:rsidP="00AB1FF1">
            <w:pPr>
              <w:jc w:val="center"/>
              <w:rPr>
                <w:color w:val="000000"/>
              </w:rPr>
            </w:pPr>
            <w:r w:rsidRPr="0029110D">
              <w:t>97 (14</w:t>
            </w:r>
            <w:r w:rsidR="008C6732" w:rsidRPr="0029110D">
              <w:t>,</w:t>
            </w:r>
            <w:r w:rsidRPr="0029110D">
              <w:t>2)</w:t>
            </w:r>
          </w:p>
        </w:tc>
        <w:tc>
          <w:tcPr>
            <w:tcW w:w="1464" w:type="dxa"/>
          </w:tcPr>
          <w:p w14:paraId="32EEC65B" w14:textId="17B24175" w:rsidR="00C34E4A" w:rsidRPr="0029110D" w:rsidRDefault="00C34E4A" w:rsidP="00AB1FF1">
            <w:pPr>
              <w:jc w:val="center"/>
              <w:rPr>
                <w:color w:val="000000"/>
              </w:rPr>
            </w:pPr>
            <w:r w:rsidRPr="0029110D">
              <w:t>116 (22</w:t>
            </w:r>
            <w:r w:rsidR="008C6732" w:rsidRPr="0029110D">
              <w:t>,</w:t>
            </w:r>
            <w:r w:rsidRPr="0029110D">
              <w:t>0)</w:t>
            </w:r>
          </w:p>
        </w:tc>
      </w:tr>
      <w:tr w:rsidR="00C34E4A" w:rsidRPr="0029110D" w14:paraId="27C7EE4F" w14:textId="77777777" w:rsidTr="00AB1FF1">
        <w:tc>
          <w:tcPr>
            <w:tcW w:w="2611" w:type="dxa"/>
          </w:tcPr>
          <w:p w14:paraId="5EC74ECA" w14:textId="77777777" w:rsidR="00C34E4A" w:rsidRPr="0029110D" w:rsidRDefault="00C34E4A">
            <w:pPr>
              <w:rPr>
                <w:color w:val="000000"/>
              </w:rPr>
            </w:pPr>
            <w:r w:rsidRPr="0029110D">
              <w:rPr>
                <w:color w:val="000000"/>
              </w:rPr>
              <w:t>≥75</w:t>
            </w:r>
          </w:p>
        </w:tc>
        <w:tc>
          <w:tcPr>
            <w:tcW w:w="1744" w:type="dxa"/>
          </w:tcPr>
          <w:p w14:paraId="1F268988" w14:textId="4D3676AE" w:rsidR="00C34E4A" w:rsidRPr="0029110D" w:rsidRDefault="00C34E4A" w:rsidP="00AB1FF1">
            <w:pPr>
              <w:jc w:val="center"/>
              <w:rPr>
                <w:color w:val="000000"/>
              </w:rPr>
            </w:pPr>
            <w:r w:rsidRPr="0029110D">
              <w:t>9 (1</w:t>
            </w:r>
            <w:r w:rsidR="008C6732" w:rsidRPr="0029110D">
              <w:t>,</w:t>
            </w:r>
            <w:r w:rsidRPr="0029110D">
              <w:t>5)</w:t>
            </w:r>
          </w:p>
        </w:tc>
        <w:tc>
          <w:tcPr>
            <w:tcW w:w="1738" w:type="dxa"/>
          </w:tcPr>
          <w:p w14:paraId="2476DA55" w14:textId="50E25A7E" w:rsidR="00C34E4A" w:rsidRPr="0029110D" w:rsidRDefault="00C34E4A" w:rsidP="00AB1FF1">
            <w:pPr>
              <w:jc w:val="center"/>
              <w:rPr>
                <w:color w:val="000000"/>
              </w:rPr>
            </w:pPr>
            <w:r w:rsidRPr="0029110D">
              <w:t>33 (2</w:t>
            </w:r>
            <w:r w:rsidR="008C6732" w:rsidRPr="0029110D">
              <w:t>,</w:t>
            </w:r>
            <w:r w:rsidRPr="0029110D">
              <w:t>5)</w:t>
            </w:r>
          </w:p>
        </w:tc>
        <w:tc>
          <w:tcPr>
            <w:tcW w:w="1771" w:type="dxa"/>
          </w:tcPr>
          <w:p w14:paraId="7EA2C3FE" w14:textId="505800E3" w:rsidR="00C34E4A" w:rsidRPr="0029110D" w:rsidRDefault="00C34E4A" w:rsidP="00AB1FF1">
            <w:pPr>
              <w:jc w:val="center"/>
              <w:rPr>
                <w:color w:val="000000"/>
              </w:rPr>
            </w:pPr>
            <w:r w:rsidRPr="0029110D">
              <w:t>14 (2</w:t>
            </w:r>
            <w:r w:rsidR="008C6732" w:rsidRPr="0029110D">
              <w:t>,</w:t>
            </w:r>
            <w:r w:rsidRPr="0029110D">
              <w:t>0)</w:t>
            </w:r>
          </w:p>
        </w:tc>
        <w:tc>
          <w:tcPr>
            <w:tcW w:w="1464" w:type="dxa"/>
          </w:tcPr>
          <w:p w14:paraId="4545F4AA" w14:textId="5BCA5F2A" w:rsidR="00C34E4A" w:rsidRPr="0029110D" w:rsidRDefault="00C34E4A" w:rsidP="00AB1FF1">
            <w:pPr>
              <w:jc w:val="center"/>
              <w:rPr>
                <w:color w:val="000000"/>
              </w:rPr>
            </w:pPr>
            <w:r w:rsidRPr="0029110D">
              <w:t>15 (2</w:t>
            </w:r>
            <w:r w:rsidR="008C6732" w:rsidRPr="0029110D">
              <w:t>,</w:t>
            </w:r>
            <w:r w:rsidRPr="0029110D">
              <w:t>8)</w:t>
            </w:r>
          </w:p>
        </w:tc>
      </w:tr>
      <w:tr w:rsidR="00C34E4A" w:rsidRPr="0029110D" w14:paraId="7B68EB67" w14:textId="77777777" w:rsidTr="00AB1FF1">
        <w:tc>
          <w:tcPr>
            <w:tcW w:w="2611" w:type="dxa"/>
          </w:tcPr>
          <w:p w14:paraId="3C0E0A4A" w14:textId="77777777" w:rsidR="00C34E4A" w:rsidRPr="0029110D" w:rsidRDefault="00C34E4A">
            <w:pPr>
              <w:rPr>
                <w:color w:val="000000"/>
              </w:rPr>
            </w:pPr>
            <w:r w:rsidRPr="0029110D">
              <w:rPr>
                <w:color w:val="000000"/>
              </w:rPr>
              <w:t xml:space="preserve">Женщины, </w:t>
            </w:r>
            <w:r w:rsidRPr="0029110D">
              <w:rPr>
                <w:color w:val="000000"/>
                <w:lang w:val="en-US"/>
              </w:rPr>
              <w:t>n (</w:t>
            </w:r>
            <w:r w:rsidRPr="0029110D">
              <w:rPr>
                <w:color w:val="000000"/>
              </w:rPr>
              <w:t>%)</w:t>
            </w:r>
          </w:p>
        </w:tc>
        <w:tc>
          <w:tcPr>
            <w:tcW w:w="1744" w:type="dxa"/>
          </w:tcPr>
          <w:p w14:paraId="01AD9E91" w14:textId="4F17F1CD" w:rsidR="00C34E4A" w:rsidRPr="0029110D" w:rsidRDefault="00C34E4A" w:rsidP="00AB1FF1">
            <w:pPr>
              <w:jc w:val="center"/>
              <w:rPr>
                <w:color w:val="000000"/>
              </w:rPr>
            </w:pPr>
            <w:r w:rsidRPr="0029110D">
              <w:t>425 (72</w:t>
            </w:r>
            <w:r w:rsidR="008C6732" w:rsidRPr="0029110D">
              <w:t>,</w:t>
            </w:r>
            <w:r w:rsidRPr="0029110D">
              <w:t>8)</w:t>
            </w:r>
          </w:p>
        </w:tc>
        <w:tc>
          <w:tcPr>
            <w:tcW w:w="1738" w:type="dxa"/>
          </w:tcPr>
          <w:p w14:paraId="7CA8C071" w14:textId="055553FE" w:rsidR="00C34E4A" w:rsidRPr="0029110D" w:rsidRDefault="00C34E4A" w:rsidP="00AB1FF1">
            <w:pPr>
              <w:jc w:val="center"/>
              <w:rPr>
                <w:color w:val="000000"/>
              </w:rPr>
            </w:pPr>
            <w:r w:rsidRPr="0029110D">
              <w:t>1008 (77</w:t>
            </w:r>
            <w:r w:rsidR="008C6732" w:rsidRPr="0029110D">
              <w:t>,</w:t>
            </w:r>
            <w:r w:rsidRPr="0029110D">
              <w:t>2)</w:t>
            </w:r>
          </w:p>
        </w:tc>
        <w:tc>
          <w:tcPr>
            <w:tcW w:w="1771" w:type="dxa"/>
          </w:tcPr>
          <w:p w14:paraId="70EBAFDA" w14:textId="5A9B17DC" w:rsidR="00C34E4A" w:rsidRPr="0029110D" w:rsidRDefault="00C34E4A" w:rsidP="00AB1FF1">
            <w:pPr>
              <w:jc w:val="center"/>
              <w:rPr>
                <w:color w:val="000000"/>
              </w:rPr>
            </w:pPr>
            <w:r w:rsidRPr="0029110D">
              <w:t>560 (81</w:t>
            </w:r>
            <w:r w:rsidR="008C6732" w:rsidRPr="0029110D">
              <w:t>,</w:t>
            </w:r>
            <w:r w:rsidRPr="0029110D">
              <w:t>9)</w:t>
            </w:r>
          </w:p>
        </w:tc>
        <w:tc>
          <w:tcPr>
            <w:tcW w:w="1464" w:type="dxa"/>
          </w:tcPr>
          <w:p w14:paraId="1CC63842" w14:textId="430BAB34" w:rsidR="00C34E4A" w:rsidRPr="0029110D" w:rsidRDefault="00C34E4A" w:rsidP="00AB1FF1">
            <w:pPr>
              <w:jc w:val="center"/>
              <w:rPr>
                <w:color w:val="000000"/>
              </w:rPr>
            </w:pPr>
            <w:r w:rsidRPr="0029110D">
              <w:t>431 (81</w:t>
            </w:r>
            <w:r w:rsidR="008C6732" w:rsidRPr="0029110D">
              <w:t>,</w:t>
            </w:r>
            <w:r w:rsidRPr="0029110D">
              <w:t>8)</w:t>
            </w:r>
          </w:p>
        </w:tc>
      </w:tr>
      <w:tr w:rsidR="00C34E4A" w:rsidRPr="0029110D" w14:paraId="1AF51EAB" w14:textId="77777777" w:rsidTr="00AB1FF1">
        <w:tc>
          <w:tcPr>
            <w:tcW w:w="2611" w:type="dxa"/>
          </w:tcPr>
          <w:p w14:paraId="031BCDCD" w14:textId="77777777" w:rsidR="00C34E4A" w:rsidRPr="0029110D" w:rsidRDefault="00C34E4A">
            <w:pPr>
              <w:rPr>
                <w:color w:val="000000"/>
              </w:rPr>
            </w:pPr>
            <w:r w:rsidRPr="0029110D">
              <w:rPr>
                <w:color w:val="000000"/>
              </w:rPr>
              <w:t>Масса тела, кг</w:t>
            </w:r>
          </w:p>
        </w:tc>
        <w:tc>
          <w:tcPr>
            <w:tcW w:w="1744" w:type="dxa"/>
          </w:tcPr>
          <w:p w14:paraId="5CB2DCDB" w14:textId="4BEBBB68" w:rsidR="00C34E4A" w:rsidRPr="0029110D" w:rsidRDefault="00C34E4A" w:rsidP="00AB1FF1">
            <w:pPr>
              <w:jc w:val="center"/>
              <w:rPr>
                <w:color w:val="000000"/>
              </w:rPr>
            </w:pPr>
            <w:r w:rsidRPr="0029110D">
              <w:t>71</w:t>
            </w:r>
            <w:r w:rsidR="008C6732" w:rsidRPr="0029110D">
              <w:t>,</w:t>
            </w:r>
            <w:r w:rsidRPr="0029110D">
              <w:t>0(19</w:t>
            </w:r>
            <w:r w:rsidR="008C6732" w:rsidRPr="0029110D">
              <w:t>,</w:t>
            </w:r>
            <w:r w:rsidRPr="0029110D">
              <w:t>1)</w:t>
            </w:r>
          </w:p>
        </w:tc>
        <w:tc>
          <w:tcPr>
            <w:tcW w:w="1738" w:type="dxa"/>
          </w:tcPr>
          <w:p w14:paraId="54CF9DEB" w14:textId="6D075D81" w:rsidR="00C34E4A" w:rsidRPr="0029110D" w:rsidRDefault="00C34E4A" w:rsidP="00AB1FF1">
            <w:pPr>
              <w:jc w:val="center"/>
              <w:rPr>
                <w:color w:val="000000"/>
              </w:rPr>
            </w:pPr>
            <w:r w:rsidRPr="0029110D">
              <w:t>70</w:t>
            </w:r>
            <w:r w:rsidR="008C6732" w:rsidRPr="0029110D">
              <w:t>,</w:t>
            </w:r>
            <w:r w:rsidRPr="0029110D">
              <w:t>0 (17</w:t>
            </w:r>
            <w:r w:rsidR="008C6732" w:rsidRPr="0029110D">
              <w:t>,</w:t>
            </w:r>
            <w:r w:rsidRPr="0029110D">
              <w:t>6)</w:t>
            </w:r>
          </w:p>
        </w:tc>
        <w:tc>
          <w:tcPr>
            <w:tcW w:w="1771" w:type="dxa"/>
          </w:tcPr>
          <w:p w14:paraId="3BEA217B" w14:textId="07B6783E" w:rsidR="00C34E4A" w:rsidRPr="0029110D" w:rsidRDefault="00C34E4A" w:rsidP="00AB1FF1">
            <w:pPr>
              <w:jc w:val="center"/>
              <w:rPr>
                <w:color w:val="000000"/>
              </w:rPr>
            </w:pPr>
            <w:r w:rsidRPr="0029110D">
              <w:t>76</w:t>
            </w:r>
            <w:r w:rsidR="008C6732" w:rsidRPr="0029110D">
              <w:t>,</w:t>
            </w:r>
            <w:r w:rsidRPr="0029110D">
              <w:t>1 (21</w:t>
            </w:r>
            <w:r w:rsidR="008C6732" w:rsidRPr="0029110D">
              <w:t>,</w:t>
            </w:r>
            <w:r w:rsidRPr="0029110D">
              <w:t>8)</w:t>
            </w:r>
          </w:p>
        </w:tc>
        <w:tc>
          <w:tcPr>
            <w:tcW w:w="1464" w:type="dxa"/>
          </w:tcPr>
          <w:p w14:paraId="20132EBF" w14:textId="27C42947" w:rsidR="00C34E4A" w:rsidRPr="0029110D" w:rsidRDefault="00C34E4A" w:rsidP="00AB1FF1">
            <w:pPr>
              <w:jc w:val="center"/>
              <w:rPr>
                <w:color w:val="000000"/>
              </w:rPr>
            </w:pPr>
            <w:r w:rsidRPr="0029110D">
              <w:t>81</w:t>
            </w:r>
            <w:r w:rsidR="008C6732" w:rsidRPr="0029110D">
              <w:t>,</w:t>
            </w:r>
            <w:r w:rsidRPr="0029110D">
              <w:t>9 (21</w:t>
            </w:r>
            <w:r w:rsidR="008C6732" w:rsidRPr="0029110D">
              <w:t>,</w:t>
            </w:r>
            <w:r w:rsidRPr="0029110D">
              <w:t>8)</w:t>
            </w:r>
          </w:p>
        </w:tc>
      </w:tr>
      <w:tr w:rsidR="00C34E4A" w:rsidRPr="0029110D" w14:paraId="045BE2C7" w14:textId="77777777" w:rsidTr="00AB1FF1">
        <w:tc>
          <w:tcPr>
            <w:tcW w:w="2611" w:type="dxa"/>
          </w:tcPr>
          <w:p w14:paraId="48A65253" w14:textId="77777777" w:rsidR="00C34E4A" w:rsidRPr="0029110D" w:rsidRDefault="00C34E4A">
            <w:pPr>
              <w:rPr>
                <w:color w:val="000000"/>
              </w:rPr>
            </w:pPr>
            <w:r w:rsidRPr="0029110D">
              <w:rPr>
                <w:color w:val="000000"/>
              </w:rPr>
              <w:t>Раса, азиаты</w:t>
            </w:r>
          </w:p>
        </w:tc>
        <w:tc>
          <w:tcPr>
            <w:tcW w:w="1744" w:type="dxa"/>
          </w:tcPr>
          <w:p w14:paraId="2FB10994" w14:textId="22530A62" w:rsidR="00C34E4A" w:rsidRPr="0029110D" w:rsidRDefault="00C34E4A" w:rsidP="00AB1FF1">
            <w:pPr>
              <w:jc w:val="center"/>
              <w:rPr>
                <w:color w:val="000000"/>
              </w:rPr>
            </w:pPr>
            <w:r w:rsidRPr="0029110D">
              <w:t>165 (28</w:t>
            </w:r>
            <w:r w:rsidR="008C6732" w:rsidRPr="0029110D">
              <w:t>,</w:t>
            </w:r>
            <w:r w:rsidRPr="0029110D">
              <w:t>3)</w:t>
            </w:r>
          </w:p>
        </w:tc>
        <w:tc>
          <w:tcPr>
            <w:tcW w:w="1738" w:type="dxa"/>
          </w:tcPr>
          <w:p w14:paraId="35C93AEC" w14:textId="71B1B388" w:rsidR="00C34E4A" w:rsidRPr="0029110D" w:rsidRDefault="00C34E4A" w:rsidP="00AB1FF1">
            <w:pPr>
              <w:jc w:val="center"/>
              <w:rPr>
                <w:color w:val="000000"/>
              </w:rPr>
            </w:pPr>
            <w:r w:rsidRPr="0029110D">
              <w:t>392 (30</w:t>
            </w:r>
            <w:r w:rsidR="008C6732" w:rsidRPr="0029110D">
              <w:t>,</w:t>
            </w:r>
            <w:r w:rsidRPr="0029110D">
              <w:t>1)</w:t>
            </w:r>
          </w:p>
        </w:tc>
        <w:tc>
          <w:tcPr>
            <w:tcW w:w="1771" w:type="dxa"/>
          </w:tcPr>
          <w:p w14:paraId="03E64681" w14:textId="7267C6AB" w:rsidR="00C34E4A" w:rsidRPr="0029110D" w:rsidRDefault="00C34E4A" w:rsidP="00AB1FF1">
            <w:pPr>
              <w:jc w:val="center"/>
              <w:rPr>
                <w:color w:val="000000"/>
              </w:rPr>
            </w:pPr>
            <w:r w:rsidRPr="0029110D">
              <w:t>180 (26</w:t>
            </w:r>
            <w:r w:rsidR="008C6732" w:rsidRPr="0029110D">
              <w:t>,</w:t>
            </w:r>
            <w:r w:rsidRPr="0029110D">
              <w:t>4)</w:t>
            </w:r>
          </w:p>
        </w:tc>
        <w:tc>
          <w:tcPr>
            <w:tcW w:w="1464" w:type="dxa"/>
          </w:tcPr>
          <w:p w14:paraId="342B8361" w14:textId="123D858F" w:rsidR="00C34E4A" w:rsidRPr="0029110D" w:rsidRDefault="00C34E4A" w:rsidP="00AB1FF1">
            <w:pPr>
              <w:jc w:val="center"/>
              <w:rPr>
                <w:color w:val="000000"/>
              </w:rPr>
            </w:pPr>
            <w:r w:rsidRPr="0029110D">
              <w:t>32 (6</w:t>
            </w:r>
            <w:r w:rsidR="008C6732" w:rsidRPr="0029110D">
              <w:t>,</w:t>
            </w:r>
            <w:r w:rsidRPr="0029110D">
              <w:t>1)</w:t>
            </w:r>
          </w:p>
        </w:tc>
      </w:tr>
      <w:tr w:rsidR="00C34E4A" w:rsidRPr="0029110D" w14:paraId="2A2D442A" w14:textId="77777777" w:rsidTr="00AB1FF1">
        <w:tc>
          <w:tcPr>
            <w:tcW w:w="2611" w:type="dxa"/>
          </w:tcPr>
          <w:p w14:paraId="5417AB28" w14:textId="77777777" w:rsidR="00C34E4A" w:rsidRPr="0029110D" w:rsidRDefault="00C34E4A">
            <w:pPr>
              <w:rPr>
                <w:color w:val="000000"/>
              </w:rPr>
            </w:pPr>
            <w:r w:rsidRPr="0029110D">
              <w:rPr>
                <w:color w:val="000000"/>
              </w:rPr>
              <w:t>Раса, европейцы</w:t>
            </w:r>
          </w:p>
        </w:tc>
        <w:tc>
          <w:tcPr>
            <w:tcW w:w="1744" w:type="dxa"/>
          </w:tcPr>
          <w:p w14:paraId="2B0E0695" w14:textId="5D39871B" w:rsidR="00C34E4A" w:rsidRPr="0029110D" w:rsidRDefault="00C34E4A" w:rsidP="00AB1FF1">
            <w:pPr>
              <w:jc w:val="center"/>
              <w:rPr>
                <w:color w:val="000000"/>
              </w:rPr>
            </w:pPr>
            <w:r w:rsidRPr="0029110D">
              <w:t>349 (59</w:t>
            </w:r>
            <w:r w:rsidR="008C6732" w:rsidRPr="0029110D">
              <w:t>,</w:t>
            </w:r>
            <w:r w:rsidRPr="0029110D">
              <w:t>8)</w:t>
            </w:r>
          </w:p>
        </w:tc>
        <w:tc>
          <w:tcPr>
            <w:tcW w:w="1738" w:type="dxa"/>
          </w:tcPr>
          <w:p w14:paraId="541F4EEE" w14:textId="0300ED94" w:rsidR="00C34E4A" w:rsidRPr="0029110D" w:rsidRDefault="00C34E4A" w:rsidP="00AB1FF1">
            <w:pPr>
              <w:jc w:val="center"/>
              <w:rPr>
                <w:color w:val="000000"/>
              </w:rPr>
            </w:pPr>
            <w:r w:rsidRPr="0029110D">
              <w:t>818 (62</w:t>
            </w:r>
            <w:r w:rsidR="008C6732" w:rsidRPr="0029110D">
              <w:t>,</w:t>
            </w:r>
            <w:r w:rsidRPr="0029110D">
              <w:t>7)</w:t>
            </w:r>
          </w:p>
        </w:tc>
        <w:tc>
          <w:tcPr>
            <w:tcW w:w="1771" w:type="dxa"/>
          </w:tcPr>
          <w:p w14:paraId="5023E145" w14:textId="55A70747" w:rsidR="00C34E4A" w:rsidRPr="0029110D" w:rsidRDefault="00C34E4A" w:rsidP="00AB1FF1">
            <w:pPr>
              <w:jc w:val="center"/>
              <w:rPr>
                <w:color w:val="000000"/>
              </w:rPr>
            </w:pPr>
            <w:r w:rsidRPr="0029110D">
              <w:t>457 (66</w:t>
            </w:r>
            <w:r w:rsidR="008C6732" w:rsidRPr="0029110D">
              <w:t>,</w:t>
            </w:r>
            <w:r w:rsidRPr="0029110D">
              <w:t>9)</w:t>
            </w:r>
          </w:p>
        </w:tc>
        <w:tc>
          <w:tcPr>
            <w:tcW w:w="1464" w:type="dxa"/>
          </w:tcPr>
          <w:p w14:paraId="0B85E19F" w14:textId="03CF17B3" w:rsidR="00C34E4A" w:rsidRPr="0029110D" w:rsidRDefault="00C34E4A" w:rsidP="00AB1FF1">
            <w:pPr>
              <w:jc w:val="center"/>
              <w:rPr>
                <w:color w:val="000000"/>
              </w:rPr>
            </w:pPr>
            <w:r w:rsidRPr="0029110D">
              <w:t>435 (83</w:t>
            </w:r>
            <w:r w:rsidR="008C6732" w:rsidRPr="0029110D">
              <w:t>,</w:t>
            </w:r>
            <w:r w:rsidRPr="0029110D">
              <w:t>0)</w:t>
            </w:r>
          </w:p>
        </w:tc>
      </w:tr>
      <w:tr w:rsidR="00C34E4A" w:rsidRPr="0029110D" w14:paraId="0AFCBFE2" w14:textId="77777777" w:rsidTr="00AB1FF1">
        <w:tc>
          <w:tcPr>
            <w:tcW w:w="9328" w:type="dxa"/>
            <w:gridSpan w:val="5"/>
          </w:tcPr>
          <w:p w14:paraId="259CC9F7" w14:textId="77777777" w:rsidR="00C34E4A" w:rsidRPr="0029110D" w:rsidRDefault="00C34E4A" w:rsidP="00AB1FF1">
            <w:pPr>
              <w:jc w:val="center"/>
              <w:rPr>
                <w:color w:val="000000"/>
              </w:rPr>
            </w:pPr>
            <w:r w:rsidRPr="0029110D">
              <w:rPr>
                <w:color w:val="000000"/>
              </w:rPr>
              <w:t>Географический регион</w:t>
            </w:r>
          </w:p>
        </w:tc>
      </w:tr>
      <w:tr w:rsidR="00C34E4A" w:rsidRPr="0029110D" w14:paraId="29EE40FE" w14:textId="77777777" w:rsidTr="00AB1FF1">
        <w:tc>
          <w:tcPr>
            <w:tcW w:w="2611" w:type="dxa"/>
          </w:tcPr>
          <w:p w14:paraId="1D59E897" w14:textId="77777777" w:rsidR="00C34E4A" w:rsidRPr="0029110D" w:rsidRDefault="00C34E4A">
            <w:pPr>
              <w:rPr>
                <w:color w:val="000000"/>
              </w:rPr>
            </w:pPr>
            <w:r w:rsidRPr="0029110D">
              <w:rPr>
                <w:color w:val="000000"/>
              </w:rPr>
              <w:t xml:space="preserve">США/Канада </w:t>
            </w:r>
          </w:p>
        </w:tc>
        <w:tc>
          <w:tcPr>
            <w:tcW w:w="1744" w:type="dxa"/>
          </w:tcPr>
          <w:p w14:paraId="1D3CB822" w14:textId="3ACCDD88" w:rsidR="00C34E4A" w:rsidRPr="0029110D" w:rsidRDefault="00C34E4A" w:rsidP="00AB1FF1">
            <w:pPr>
              <w:jc w:val="center"/>
              <w:rPr>
                <w:color w:val="000000"/>
              </w:rPr>
            </w:pPr>
            <w:r w:rsidRPr="0029110D">
              <w:t>121 (20</w:t>
            </w:r>
            <w:r w:rsidR="008C6732" w:rsidRPr="0029110D">
              <w:t>,</w:t>
            </w:r>
            <w:r w:rsidRPr="0029110D">
              <w:t>7)</w:t>
            </w:r>
          </w:p>
        </w:tc>
        <w:tc>
          <w:tcPr>
            <w:tcW w:w="1738" w:type="dxa"/>
          </w:tcPr>
          <w:p w14:paraId="3D70AA92" w14:textId="605B8A63" w:rsidR="00C34E4A" w:rsidRPr="0029110D" w:rsidRDefault="00C34E4A" w:rsidP="00AB1FF1">
            <w:pPr>
              <w:jc w:val="center"/>
              <w:rPr>
                <w:color w:val="000000"/>
              </w:rPr>
            </w:pPr>
            <w:r w:rsidRPr="0029110D">
              <w:t>105 (8</w:t>
            </w:r>
            <w:r w:rsidR="008C6732" w:rsidRPr="0029110D">
              <w:t>,</w:t>
            </w:r>
            <w:r w:rsidRPr="0029110D">
              <w:t>0)</w:t>
            </w:r>
          </w:p>
        </w:tc>
        <w:tc>
          <w:tcPr>
            <w:tcW w:w="1771" w:type="dxa"/>
          </w:tcPr>
          <w:p w14:paraId="264C820D" w14:textId="32D8EBF4" w:rsidR="00C34E4A" w:rsidRPr="0029110D" w:rsidRDefault="00C34E4A" w:rsidP="00AB1FF1">
            <w:pPr>
              <w:jc w:val="center"/>
              <w:rPr>
                <w:color w:val="000000"/>
              </w:rPr>
            </w:pPr>
            <w:r w:rsidRPr="0029110D">
              <w:t>204 (29</w:t>
            </w:r>
            <w:r w:rsidR="008C6732" w:rsidRPr="0029110D">
              <w:t>,</w:t>
            </w:r>
            <w:r w:rsidRPr="0029110D">
              <w:t>8)</w:t>
            </w:r>
          </w:p>
        </w:tc>
        <w:tc>
          <w:tcPr>
            <w:tcW w:w="1464" w:type="dxa"/>
          </w:tcPr>
          <w:p w14:paraId="6025EC7C" w14:textId="46E0D05F" w:rsidR="00C34E4A" w:rsidRPr="0029110D" w:rsidRDefault="00C34E4A" w:rsidP="00AB1FF1">
            <w:pPr>
              <w:jc w:val="center"/>
              <w:rPr>
                <w:color w:val="000000"/>
              </w:rPr>
            </w:pPr>
            <w:r w:rsidRPr="0029110D">
              <w:t>234 (44</w:t>
            </w:r>
            <w:r w:rsidR="008C6732" w:rsidRPr="0029110D">
              <w:t>,</w:t>
            </w:r>
            <w:r w:rsidRPr="0029110D">
              <w:t>4)</w:t>
            </w:r>
          </w:p>
        </w:tc>
      </w:tr>
      <w:tr w:rsidR="00C34E4A" w:rsidRPr="0029110D" w14:paraId="47C615FA" w14:textId="77777777" w:rsidTr="00AB1FF1">
        <w:tc>
          <w:tcPr>
            <w:tcW w:w="2611" w:type="dxa"/>
          </w:tcPr>
          <w:p w14:paraId="344011FD" w14:textId="77777777" w:rsidR="00C34E4A" w:rsidRPr="0029110D" w:rsidRDefault="00C34E4A">
            <w:pPr>
              <w:rPr>
                <w:color w:val="000000"/>
              </w:rPr>
            </w:pPr>
            <w:r w:rsidRPr="0029110D">
              <w:rPr>
                <w:color w:val="000000"/>
              </w:rPr>
              <w:t>Центральная/Северная Америка или Мексика</w:t>
            </w:r>
          </w:p>
        </w:tc>
        <w:tc>
          <w:tcPr>
            <w:tcW w:w="1744" w:type="dxa"/>
          </w:tcPr>
          <w:p w14:paraId="18FED5DA" w14:textId="39A6B975" w:rsidR="00C34E4A" w:rsidRPr="0029110D" w:rsidRDefault="00C34E4A" w:rsidP="00AB1FF1">
            <w:pPr>
              <w:jc w:val="center"/>
              <w:rPr>
                <w:color w:val="000000"/>
              </w:rPr>
            </w:pPr>
            <w:r w:rsidRPr="0029110D">
              <w:rPr>
                <w:color w:val="000000"/>
              </w:rPr>
              <w:t>169 (28</w:t>
            </w:r>
            <w:r w:rsidR="008C6732" w:rsidRPr="0029110D">
              <w:rPr>
                <w:color w:val="000000"/>
              </w:rPr>
              <w:t>,</w:t>
            </w:r>
            <w:r w:rsidRPr="0029110D">
              <w:rPr>
                <w:color w:val="000000"/>
              </w:rPr>
              <w:t>9)</w:t>
            </w:r>
          </w:p>
        </w:tc>
        <w:tc>
          <w:tcPr>
            <w:tcW w:w="1738" w:type="dxa"/>
          </w:tcPr>
          <w:p w14:paraId="035ED5DB" w14:textId="4C259B63" w:rsidR="00C34E4A" w:rsidRPr="0029110D" w:rsidRDefault="00C34E4A" w:rsidP="00AB1FF1">
            <w:pPr>
              <w:jc w:val="center"/>
              <w:rPr>
                <w:color w:val="000000"/>
              </w:rPr>
            </w:pPr>
            <w:r w:rsidRPr="0029110D">
              <w:rPr>
                <w:color w:val="000000"/>
              </w:rPr>
              <w:t>380 (29</w:t>
            </w:r>
            <w:r w:rsidR="008C6732" w:rsidRPr="0029110D">
              <w:rPr>
                <w:color w:val="000000"/>
              </w:rPr>
              <w:t>,</w:t>
            </w:r>
            <w:r w:rsidRPr="0029110D">
              <w:rPr>
                <w:color w:val="000000"/>
              </w:rPr>
              <w:t>1)</w:t>
            </w:r>
          </w:p>
        </w:tc>
        <w:tc>
          <w:tcPr>
            <w:tcW w:w="1771" w:type="dxa"/>
          </w:tcPr>
          <w:p w14:paraId="683ED4E0" w14:textId="59C715A8" w:rsidR="00C34E4A" w:rsidRPr="0029110D" w:rsidRDefault="00C34E4A" w:rsidP="00AB1FF1">
            <w:pPr>
              <w:jc w:val="center"/>
              <w:rPr>
                <w:color w:val="000000"/>
              </w:rPr>
            </w:pPr>
            <w:r w:rsidRPr="0029110D">
              <w:rPr>
                <w:color w:val="000000"/>
              </w:rPr>
              <w:t>86 (12</w:t>
            </w:r>
            <w:r w:rsidR="008C6732" w:rsidRPr="0029110D">
              <w:rPr>
                <w:color w:val="000000"/>
              </w:rPr>
              <w:t>,</w:t>
            </w:r>
            <w:r w:rsidRPr="0029110D">
              <w:rPr>
                <w:color w:val="000000"/>
              </w:rPr>
              <w:t>6)</w:t>
            </w:r>
          </w:p>
        </w:tc>
        <w:tc>
          <w:tcPr>
            <w:tcW w:w="1464" w:type="dxa"/>
          </w:tcPr>
          <w:p w14:paraId="4D79768E" w14:textId="4596AF10" w:rsidR="00C34E4A" w:rsidRPr="0029110D" w:rsidRDefault="00C34E4A" w:rsidP="00AB1FF1">
            <w:pPr>
              <w:jc w:val="center"/>
              <w:rPr>
                <w:color w:val="000000"/>
              </w:rPr>
            </w:pPr>
            <w:r w:rsidRPr="0029110D">
              <w:rPr>
                <w:color w:val="000000"/>
              </w:rPr>
              <w:t>52 (9</w:t>
            </w:r>
            <w:r w:rsidR="008C6732" w:rsidRPr="0029110D">
              <w:rPr>
                <w:color w:val="000000"/>
              </w:rPr>
              <w:t>,</w:t>
            </w:r>
            <w:r w:rsidRPr="0029110D">
              <w:rPr>
                <w:color w:val="000000"/>
              </w:rPr>
              <w:t>9)</w:t>
            </w:r>
          </w:p>
        </w:tc>
      </w:tr>
      <w:tr w:rsidR="00C34E4A" w:rsidRPr="0029110D" w14:paraId="54B87861" w14:textId="77777777" w:rsidTr="00AB1FF1">
        <w:tc>
          <w:tcPr>
            <w:tcW w:w="2611" w:type="dxa"/>
          </w:tcPr>
          <w:p w14:paraId="15460358" w14:textId="77777777" w:rsidR="00C34E4A" w:rsidRPr="0029110D" w:rsidRDefault="00C34E4A">
            <w:pPr>
              <w:rPr>
                <w:color w:val="000000"/>
              </w:rPr>
            </w:pPr>
            <w:r w:rsidRPr="0029110D">
              <w:rPr>
                <w:color w:val="000000"/>
              </w:rPr>
              <w:t>Азия</w:t>
            </w:r>
          </w:p>
        </w:tc>
        <w:tc>
          <w:tcPr>
            <w:tcW w:w="1744" w:type="dxa"/>
          </w:tcPr>
          <w:p w14:paraId="39FB138C" w14:textId="40C6DB45" w:rsidR="00C34E4A" w:rsidRPr="0029110D" w:rsidRDefault="00C34E4A" w:rsidP="00AB1FF1">
            <w:pPr>
              <w:jc w:val="center"/>
              <w:rPr>
                <w:color w:val="000000"/>
              </w:rPr>
            </w:pPr>
            <w:r w:rsidRPr="0029110D">
              <w:t>111 (19</w:t>
            </w:r>
            <w:r w:rsidR="008C6732" w:rsidRPr="0029110D">
              <w:t>,</w:t>
            </w:r>
            <w:r w:rsidRPr="0029110D">
              <w:t>0)</w:t>
            </w:r>
          </w:p>
        </w:tc>
        <w:tc>
          <w:tcPr>
            <w:tcW w:w="1738" w:type="dxa"/>
          </w:tcPr>
          <w:p w14:paraId="7029ADC2" w14:textId="27D6B378" w:rsidR="00C34E4A" w:rsidRPr="0029110D" w:rsidRDefault="00C34E4A" w:rsidP="00AB1FF1">
            <w:pPr>
              <w:jc w:val="center"/>
              <w:rPr>
                <w:color w:val="000000"/>
              </w:rPr>
            </w:pPr>
            <w:r w:rsidRPr="0029110D">
              <w:t>378 (29</w:t>
            </w:r>
            <w:r w:rsidR="008C6732" w:rsidRPr="0029110D">
              <w:t>,</w:t>
            </w:r>
            <w:r w:rsidRPr="0029110D">
              <w:t>0)</w:t>
            </w:r>
          </w:p>
        </w:tc>
        <w:tc>
          <w:tcPr>
            <w:tcW w:w="1771" w:type="dxa"/>
          </w:tcPr>
          <w:p w14:paraId="09FBEBC2" w14:textId="72AFCE6B" w:rsidR="00C34E4A" w:rsidRPr="0029110D" w:rsidRDefault="00C34E4A" w:rsidP="00AB1FF1">
            <w:pPr>
              <w:jc w:val="center"/>
              <w:rPr>
                <w:color w:val="000000"/>
              </w:rPr>
            </w:pPr>
            <w:r w:rsidRPr="0029110D">
              <w:t>120 (17</w:t>
            </w:r>
            <w:r w:rsidR="008C6732" w:rsidRPr="0029110D">
              <w:t>,</w:t>
            </w:r>
            <w:r w:rsidRPr="0029110D">
              <w:t>6)</w:t>
            </w:r>
          </w:p>
        </w:tc>
        <w:tc>
          <w:tcPr>
            <w:tcW w:w="1464" w:type="dxa"/>
          </w:tcPr>
          <w:p w14:paraId="209023C1" w14:textId="5D8ED82E" w:rsidR="00C34E4A" w:rsidRPr="0029110D" w:rsidRDefault="00C34E4A" w:rsidP="00AB1FF1">
            <w:pPr>
              <w:jc w:val="center"/>
              <w:rPr>
                <w:color w:val="000000"/>
              </w:rPr>
            </w:pPr>
            <w:r w:rsidRPr="0029110D">
              <w:t>30 (5</w:t>
            </w:r>
            <w:r w:rsidR="008C6732" w:rsidRPr="0029110D">
              <w:t>,</w:t>
            </w:r>
            <w:r w:rsidRPr="0029110D">
              <w:t>7)</w:t>
            </w:r>
          </w:p>
        </w:tc>
      </w:tr>
      <w:tr w:rsidR="00C34E4A" w:rsidRPr="0029110D" w14:paraId="5E2FB2A6" w14:textId="77777777" w:rsidTr="00AB1FF1">
        <w:tc>
          <w:tcPr>
            <w:tcW w:w="2611" w:type="dxa"/>
          </w:tcPr>
          <w:p w14:paraId="43EF1634" w14:textId="77777777" w:rsidR="00C34E4A" w:rsidRPr="0029110D" w:rsidRDefault="00C34E4A">
            <w:pPr>
              <w:rPr>
                <w:color w:val="000000"/>
              </w:rPr>
            </w:pPr>
            <w:r w:rsidRPr="0029110D">
              <w:rPr>
                <w:color w:val="000000"/>
              </w:rPr>
              <w:t>Евросоюз</w:t>
            </w:r>
          </w:p>
        </w:tc>
        <w:tc>
          <w:tcPr>
            <w:tcW w:w="1744" w:type="dxa"/>
          </w:tcPr>
          <w:p w14:paraId="4633911F" w14:textId="4C08398C" w:rsidR="00C34E4A" w:rsidRPr="0029110D" w:rsidRDefault="00C34E4A" w:rsidP="00AB1FF1">
            <w:pPr>
              <w:jc w:val="center"/>
              <w:rPr>
                <w:color w:val="000000"/>
              </w:rPr>
            </w:pPr>
            <w:r w:rsidRPr="0029110D">
              <w:t>80 (13</w:t>
            </w:r>
            <w:r w:rsidR="008C6732" w:rsidRPr="0029110D">
              <w:t>,</w:t>
            </w:r>
            <w:r w:rsidRPr="0029110D">
              <w:t>7)</w:t>
            </w:r>
          </w:p>
        </w:tc>
        <w:tc>
          <w:tcPr>
            <w:tcW w:w="1738" w:type="dxa"/>
          </w:tcPr>
          <w:p w14:paraId="43532FFF" w14:textId="72948BB8" w:rsidR="00C34E4A" w:rsidRPr="0029110D" w:rsidRDefault="00C34E4A" w:rsidP="00AB1FF1">
            <w:pPr>
              <w:jc w:val="center"/>
              <w:rPr>
                <w:color w:val="000000"/>
              </w:rPr>
            </w:pPr>
            <w:r w:rsidRPr="0029110D">
              <w:t>308 (23</w:t>
            </w:r>
            <w:r w:rsidR="008C6732" w:rsidRPr="0029110D">
              <w:t>,</w:t>
            </w:r>
            <w:r w:rsidRPr="0029110D">
              <w:t>6)</w:t>
            </w:r>
          </w:p>
        </w:tc>
        <w:tc>
          <w:tcPr>
            <w:tcW w:w="1771" w:type="dxa"/>
          </w:tcPr>
          <w:p w14:paraId="69652C64" w14:textId="47C10635" w:rsidR="00C34E4A" w:rsidRPr="0029110D" w:rsidRDefault="00C34E4A" w:rsidP="00AB1FF1">
            <w:pPr>
              <w:jc w:val="center"/>
              <w:rPr>
                <w:color w:val="000000"/>
              </w:rPr>
            </w:pPr>
            <w:r w:rsidRPr="0029110D">
              <w:t>181 (26</w:t>
            </w:r>
            <w:r w:rsidR="008C6732" w:rsidRPr="0029110D">
              <w:t>,</w:t>
            </w:r>
            <w:r w:rsidRPr="0029110D">
              <w:t>5)</w:t>
            </w:r>
          </w:p>
        </w:tc>
        <w:tc>
          <w:tcPr>
            <w:tcW w:w="1464" w:type="dxa"/>
          </w:tcPr>
          <w:p w14:paraId="6964E19A" w14:textId="5317FC8A" w:rsidR="00C34E4A" w:rsidRPr="0029110D" w:rsidRDefault="00C34E4A" w:rsidP="00AB1FF1">
            <w:pPr>
              <w:jc w:val="center"/>
              <w:rPr>
                <w:color w:val="000000"/>
              </w:rPr>
            </w:pPr>
            <w:r w:rsidRPr="0029110D">
              <w:t>150 (28</w:t>
            </w:r>
            <w:r w:rsidR="008C6732" w:rsidRPr="0029110D">
              <w:t>,</w:t>
            </w:r>
            <w:r w:rsidRPr="0029110D">
              <w:t>5)</w:t>
            </w:r>
          </w:p>
        </w:tc>
      </w:tr>
      <w:tr w:rsidR="00C34E4A" w:rsidRPr="0029110D" w14:paraId="0E307837" w14:textId="77777777" w:rsidTr="00AB1FF1">
        <w:tc>
          <w:tcPr>
            <w:tcW w:w="9328" w:type="dxa"/>
            <w:gridSpan w:val="5"/>
          </w:tcPr>
          <w:p w14:paraId="66E5851C" w14:textId="6B467DC5" w:rsidR="00C34E4A" w:rsidRPr="0029110D" w:rsidRDefault="007952C2">
            <w:pPr>
              <w:rPr>
                <w:sz w:val="20"/>
                <w:szCs w:val="20"/>
              </w:rPr>
            </w:pPr>
            <w:r w:rsidRPr="0029110D">
              <w:rPr>
                <w:b/>
                <w:sz w:val="20"/>
                <w:szCs w:val="20"/>
              </w:rPr>
              <w:t>Примечание:</w:t>
            </w:r>
            <w:r w:rsidRPr="0029110D">
              <w:rPr>
                <w:sz w:val="20"/>
                <w:szCs w:val="20"/>
              </w:rPr>
              <w:br/>
            </w:r>
            <w:r w:rsidR="00C34E4A" w:rsidRPr="0029110D">
              <w:rPr>
                <w:sz w:val="20"/>
                <w:szCs w:val="20"/>
              </w:rPr>
              <w:t>MTX-naïve</w:t>
            </w:r>
            <w:r w:rsidR="00C34E4A" w:rsidRPr="0029110D">
              <w:rPr>
                <w:color w:val="000000"/>
                <w:sz w:val="20"/>
                <w:szCs w:val="20"/>
              </w:rPr>
              <w:t xml:space="preserve"> – пациенты, получившие менее 3 доз метотрексата (МТХ); наивные к другим обычным или биологическим </w:t>
            </w:r>
            <w:r w:rsidR="00C34E4A" w:rsidRPr="0029110D">
              <w:rPr>
                <w:iCs/>
                <w:sz w:val="20"/>
                <w:szCs w:val="20"/>
                <w:lang w:eastAsia="ru-RU"/>
              </w:rPr>
              <w:t>БМАРП</w:t>
            </w:r>
            <w:r w:rsidR="00C34E4A" w:rsidRPr="0029110D">
              <w:rPr>
                <w:color w:val="000000"/>
                <w:sz w:val="20"/>
                <w:szCs w:val="20"/>
              </w:rPr>
              <w:t xml:space="preserve">; </w:t>
            </w:r>
            <w:r w:rsidR="00C34E4A" w:rsidRPr="0029110D">
              <w:rPr>
                <w:iCs/>
                <w:sz w:val="20"/>
                <w:szCs w:val="20"/>
                <w:lang w:eastAsia="ru-RU"/>
              </w:rPr>
              <w:t xml:space="preserve">БМАРП </w:t>
            </w:r>
            <w:r w:rsidR="00C34E4A" w:rsidRPr="0029110D">
              <w:rPr>
                <w:color w:val="000000"/>
                <w:sz w:val="20"/>
                <w:szCs w:val="20"/>
              </w:rPr>
              <w:t xml:space="preserve">– </w:t>
            </w:r>
            <w:r w:rsidR="00C34E4A" w:rsidRPr="0029110D">
              <w:rPr>
                <w:iCs/>
                <w:sz w:val="20"/>
                <w:szCs w:val="20"/>
                <w:lang w:eastAsia="ru-RU"/>
              </w:rPr>
              <w:t>базисные противовоспалительные препараты</w:t>
            </w:r>
            <w:r w:rsidR="00C34E4A" w:rsidRPr="0029110D">
              <w:rPr>
                <w:color w:val="000000"/>
                <w:sz w:val="20"/>
                <w:szCs w:val="20"/>
              </w:rPr>
              <w:t xml:space="preserve">; IR – неадекватный клинический ответ; TNF – фактор некроза опухоли. </w:t>
            </w:r>
          </w:p>
        </w:tc>
      </w:tr>
    </w:tbl>
    <w:p w14:paraId="74807ED0" w14:textId="77777777" w:rsidR="00C34E4A" w:rsidRDefault="00C34E4A">
      <w:pPr>
        <w:spacing w:after="0" w:line="240" w:lineRule="auto"/>
        <w:rPr>
          <w:color w:val="000000"/>
        </w:rPr>
      </w:pPr>
    </w:p>
    <w:p w14:paraId="008DF18B" w14:textId="3FBFA66D" w:rsidR="00C34E4A" w:rsidRPr="00AE5464" w:rsidRDefault="007952C2">
      <w:pPr>
        <w:spacing w:after="0" w:line="240" w:lineRule="auto"/>
        <w:rPr>
          <w:b/>
          <w:bCs/>
          <w:color w:val="000000"/>
        </w:rPr>
      </w:pPr>
      <w:r>
        <w:rPr>
          <w:b/>
          <w:bCs/>
          <w:color w:val="000000"/>
        </w:rPr>
        <w:t>Таблица 4-5.</w:t>
      </w:r>
      <w:r w:rsidR="00C34E4A" w:rsidRPr="00AE5464">
        <w:rPr>
          <w:b/>
          <w:bCs/>
          <w:color w:val="000000"/>
        </w:rPr>
        <w:t xml:space="preserve"> </w:t>
      </w:r>
      <w:r w:rsidR="00C34E4A" w:rsidRPr="007952C2">
        <w:rPr>
          <w:bCs/>
          <w:color w:val="000000"/>
        </w:rPr>
        <w:t>Основные характеристики исходной активности заболевания</w:t>
      </w:r>
      <w:r w:rsidRPr="007952C2">
        <w:rPr>
          <w:bCs/>
          <w:color w:val="000000"/>
        </w:rPr>
        <w:t>.</w:t>
      </w:r>
    </w:p>
    <w:tbl>
      <w:tblPr>
        <w:tblStyle w:val="a8"/>
        <w:tblW w:w="4873" w:type="pct"/>
        <w:tblInd w:w="136" w:type="dxa"/>
        <w:tblLayout w:type="fixed"/>
        <w:tblLook w:val="04A0" w:firstRow="1" w:lastRow="0" w:firstColumn="1" w:lastColumn="0" w:noHBand="0" w:noVBand="1"/>
      </w:tblPr>
      <w:tblGrid>
        <w:gridCol w:w="3087"/>
        <w:gridCol w:w="1845"/>
        <w:gridCol w:w="1597"/>
        <w:gridCol w:w="1452"/>
        <w:gridCol w:w="1348"/>
      </w:tblGrid>
      <w:tr w:rsidR="00C34E4A" w:rsidRPr="00AE5464" w14:paraId="3CDD66BA" w14:textId="77777777" w:rsidTr="00AB1FF1">
        <w:trPr>
          <w:tblHeader/>
        </w:trPr>
        <w:tc>
          <w:tcPr>
            <w:tcW w:w="3086" w:type="dxa"/>
            <w:shd w:val="clear" w:color="auto" w:fill="D9D9D9" w:themeFill="background1" w:themeFillShade="D9"/>
            <w:vAlign w:val="center"/>
          </w:tcPr>
          <w:p w14:paraId="60781E43" w14:textId="77777777" w:rsidR="00C34E4A" w:rsidRPr="0029110D" w:rsidRDefault="00C34E4A">
            <w:pPr>
              <w:jc w:val="center"/>
              <w:rPr>
                <w:b/>
                <w:bCs/>
                <w:color w:val="000000"/>
              </w:rPr>
            </w:pPr>
          </w:p>
        </w:tc>
        <w:tc>
          <w:tcPr>
            <w:tcW w:w="1845" w:type="dxa"/>
            <w:shd w:val="clear" w:color="auto" w:fill="D9D9D9" w:themeFill="background1" w:themeFillShade="D9"/>
            <w:vAlign w:val="center"/>
          </w:tcPr>
          <w:p w14:paraId="7B2DD617" w14:textId="77777777" w:rsidR="00C34E4A" w:rsidRPr="0029110D" w:rsidRDefault="00C34E4A">
            <w:pPr>
              <w:jc w:val="center"/>
              <w:rPr>
                <w:b/>
                <w:bCs/>
                <w:color w:val="000000"/>
              </w:rPr>
            </w:pPr>
            <w:r w:rsidRPr="0029110D">
              <w:rPr>
                <w:b/>
                <w:bCs/>
              </w:rPr>
              <w:t>JADZ (n=584) MTX-naive</w:t>
            </w:r>
          </w:p>
        </w:tc>
        <w:tc>
          <w:tcPr>
            <w:tcW w:w="1597" w:type="dxa"/>
            <w:shd w:val="clear" w:color="auto" w:fill="D9D9D9" w:themeFill="background1" w:themeFillShade="D9"/>
            <w:vAlign w:val="center"/>
          </w:tcPr>
          <w:p w14:paraId="287B2F49" w14:textId="77777777" w:rsidR="00C34E4A" w:rsidRPr="0029110D" w:rsidRDefault="00C34E4A">
            <w:pPr>
              <w:jc w:val="center"/>
              <w:rPr>
                <w:b/>
                <w:bCs/>
                <w:color w:val="000000"/>
              </w:rPr>
            </w:pPr>
            <w:r w:rsidRPr="0029110D">
              <w:rPr>
                <w:b/>
                <w:bCs/>
              </w:rPr>
              <w:t>JADV (n=1305) MTX-IR</w:t>
            </w:r>
          </w:p>
        </w:tc>
        <w:tc>
          <w:tcPr>
            <w:tcW w:w="1452" w:type="dxa"/>
            <w:shd w:val="clear" w:color="auto" w:fill="D9D9D9" w:themeFill="background1" w:themeFillShade="D9"/>
            <w:vAlign w:val="center"/>
          </w:tcPr>
          <w:p w14:paraId="18D1D1F9" w14:textId="77777777" w:rsidR="00C34E4A" w:rsidRPr="0029110D" w:rsidRDefault="00C34E4A">
            <w:pPr>
              <w:jc w:val="center"/>
              <w:rPr>
                <w:b/>
                <w:bCs/>
                <w:color w:val="000000"/>
              </w:rPr>
            </w:pPr>
            <w:r w:rsidRPr="0029110D">
              <w:rPr>
                <w:b/>
                <w:bCs/>
              </w:rPr>
              <w:t>JADX (n=684) cDMARD-IR</w:t>
            </w:r>
          </w:p>
        </w:tc>
        <w:tc>
          <w:tcPr>
            <w:tcW w:w="1348" w:type="dxa"/>
            <w:shd w:val="clear" w:color="auto" w:fill="D9D9D9" w:themeFill="background1" w:themeFillShade="D9"/>
            <w:vAlign w:val="center"/>
          </w:tcPr>
          <w:p w14:paraId="4470F7C0" w14:textId="77777777" w:rsidR="00C34E4A" w:rsidRPr="0029110D" w:rsidRDefault="00C34E4A">
            <w:pPr>
              <w:jc w:val="center"/>
              <w:rPr>
                <w:b/>
                <w:bCs/>
                <w:color w:val="000000"/>
              </w:rPr>
            </w:pPr>
            <w:r w:rsidRPr="0029110D">
              <w:rPr>
                <w:b/>
                <w:bCs/>
              </w:rPr>
              <w:t>JADW (n=527) TNF-IR</w:t>
            </w:r>
          </w:p>
        </w:tc>
      </w:tr>
      <w:tr w:rsidR="00C34E4A" w:rsidRPr="00AE5464" w14:paraId="3EA02A04" w14:textId="77777777" w:rsidTr="00AB1FF1">
        <w:tc>
          <w:tcPr>
            <w:tcW w:w="3086" w:type="dxa"/>
          </w:tcPr>
          <w:p w14:paraId="14BACF94" w14:textId="77777777" w:rsidR="00C34E4A" w:rsidRPr="0029110D" w:rsidRDefault="00C34E4A">
            <w:pPr>
              <w:rPr>
                <w:color w:val="000000"/>
              </w:rPr>
            </w:pPr>
            <w:r w:rsidRPr="0029110D">
              <w:rPr>
                <w:color w:val="000000"/>
              </w:rPr>
              <w:t>Количество пораженных суставов из 28</w:t>
            </w:r>
          </w:p>
        </w:tc>
        <w:tc>
          <w:tcPr>
            <w:tcW w:w="1845" w:type="dxa"/>
          </w:tcPr>
          <w:p w14:paraId="5DBA2AB8" w14:textId="681CDFB0" w:rsidR="00C34E4A" w:rsidRPr="0029110D" w:rsidRDefault="00C34E4A" w:rsidP="00AB1FF1">
            <w:pPr>
              <w:jc w:val="center"/>
              <w:rPr>
                <w:color w:val="000000"/>
              </w:rPr>
            </w:pPr>
            <w:r w:rsidRPr="0029110D">
              <w:t>15</w:t>
            </w:r>
            <w:r w:rsidR="008C6732" w:rsidRPr="0029110D">
              <w:t>,</w:t>
            </w:r>
            <w:r w:rsidRPr="0029110D">
              <w:t>3 (6</w:t>
            </w:r>
            <w:r w:rsidR="008C6732" w:rsidRPr="0029110D">
              <w:t>,</w:t>
            </w:r>
            <w:r w:rsidRPr="0029110D">
              <w:t>9)</w:t>
            </w:r>
          </w:p>
        </w:tc>
        <w:tc>
          <w:tcPr>
            <w:tcW w:w="1597" w:type="dxa"/>
          </w:tcPr>
          <w:p w14:paraId="4A05B966" w14:textId="3C060644" w:rsidR="00C34E4A" w:rsidRPr="0029110D" w:rsidRDefault="00C34E4A" w:rsidP="00AB1FF1">
            <w:pPr>
              <w:jc w:val="center"/>
              <w:rPr>
                <w:color w:val="000000"/>
              </w:rPr>
            </w:pPr>
            <w:r w:rsidRPr="0029110D">
              <w:t>13</w:t>
            </w:r>
            <w:r w:rsidR="008C6732" w:rsidRPr="0029110D">
              <w:t>,</w:t>
            </w:r>
            <w:r w:rsidRPr="0029110D">
              <w:t>9 (6</w:t>
            </w:r>
            <w:r w:rsidR="008C6732" w:rsidRPr="0029110D">
              <w:t>,</w:t>
            </w:r>
            <w:r w:rsidRPr="0029110D">
              <w:t>8)</w:t>
            </w:r>
          </w:p>
        </w:tc>
        <w:tc>
          <w:tcPr>
            <w:tcW w:w="1452" w:type="dxa"/>
          </w:tcPr>
          <w:p w14:paraId="58A64EC0" w14:textId="6AC062B1" w:rsidR="00C34E4A" w:rsidRPr="0029110D" w:rsidRDefault="00C34E4A" w:rsidP="00AB1FF1">
            <w:pPr>
              <w:jc w:val="center"/>
              <w:rPr>
                <w:color w:val="000000"/>
              </w:rPr>
            </w:pPr>
            <w:r w:rsidRPr="0029110D">
              <w:t>13</w:t>
            </w:r>
            <w:r w:rsidR="008C6732" w:rsidRPr="0029110D">
              <w:t>,</w:t>
            </w:r>
            <w:r w:rsidRPr="0029110D">
              <w:t>8 (7</w:t>
            </w:r>
            <w:r w:rsidR="008C6732" w:rsidRPr="0029110D">
              <w:t>,</w:t>
            </w:r>
            <w:r w:rsidRPr="0029110D">
              <w:t>0)</w:t>
            </w:r>
          </w:p>
        </w:tc>
        <w:tc>
          <w:tcPr>
            <w:tcW w:w="1348" w:type="dxa"/>
          </w:tcPr>
          <w:p w14:paraId="7F280DA3" w14:textId="4C53F738" w:rsidR="00C34E4A" w:rsidRPr="0029110D" w:rsidRDefault="00C34E4A" w:rsidP="00AB1FF1">
            <w:pPr>
              <w:jc w:val="center"/>
              <w:rPr>
                <w:color w:val="000000"/>
              </w:rPr>
            </w:pPr>
            <w:r w:rsidRPr="0029110D">
              <w:t>15</w:t>
            </w:r>
            <w:r w:rsidR="008C6732" w:rsidRPr="0029110D">
              <w:t>,</w:t>
            </w:r>
            <w:r w:rsidRPr="0029110D">
              <w:t>9 (6</w:t>
            </w:r>
            <w:r w:rsidR="008C6732" w:rsidRPr="0029110D">
              <w:t>,</w:t>
            </w:r>
            <w:r w:rsidRPr="0029110D">
              <w:t>9)</w:t>
            </w:r>
          </w:p>
        </w:tc>
      </w:tr>
      <w:tr w:rsidR="00C34E4A" w:rsidRPr="00AE5464" w14:paraId="7E8F0316" w14:textId="77777777" w:rsidTr="00AB1FF1">
        <w:tc>
          <w:tcPr>
            <w:tcW w:w="3086" w:type="dxa"/>
          </w:tcPr>
          <w:p w14:paraId="2178A26A" w14:textId="77777777" w:rsidR="00C34E4A" w:rsidRPr="0029110D" w:rsidRDefault="00C34E4A">
            <w:pPr>
              <w:rPr>
                <w:color w:val="000000"/>
              </w:rPr>
            </w:pPr>
            <w:r w:rsidRPr="0029110D">
              <w:rPr>
                <w:color w:val="000000"/>
              </w:rPr>
              <w:t>Количество опухших суставов из 28</w:t>
            </w:r>
          </w:p>
        </w:tc>
        <w:tc>
          <w:tcPr>
            <w:tcW w:w="1845" w:type="dxa"/>
          </w:tcPr>
          <w:p w14:paraId="2BFB7082" w14:textId="4C671BD5" w:rsidR="00C34E4A" w:rsidRPr="0029110D" w:rsidRDefault="00C34E4A" w:rsidP="00AB1FF1">
            <w:pPr>
              <w:jc w:val="center"/>
              <w:rPr>
                <w:color w:val="000000"/>
              </w:rPr>
            </w:pPr>
            <w:r w:rsidRPr="0029110D">
              <w:t>11</w:t>
            </w:r>
            <w:r w:rsidR="008C6732" w:rsidRPr="0029110D">
              <w:t>,</w:t>
            </w:r>
            <w:r w:rsidRPr="0029110D">
              <w:t>5 (5</w:t>
            </w:r>
            <w:r w:rsidR="008C6732" w:rsidRPr="0029110D">
              <w:t>,</w:t>
            </w:r>
            <w:r w:rsidRPr="0029110D">
              <w:t>7)</w:t>
            </w:r>
          </w:p>
        </w:tc>
        <w:tc>
          <w:tcPr>
            <w:tcW w:w="1597" w:type="dxa"/>
          </w:tcPr>
          <w:p w14:paraId="68180750" w14:textId="629661B3" w:rsidR="00C34E4A" w:rsidRPr="0029110D" w:rsidRDefault="00C34E4A" w:rsidP="00AB1FF1">
            <w:pPr>
              <w:jc w:val="center"/>
              <w:rPr>
                <w:color w:val="000000"/>
              </w:rPr>
            </w:pPr>
            <w:r w:rsidRPr="0029110D">
              <w:t>11</w:t>
            </w:r>
            <w:r w:rsidR="008C6732" w:rsidRPr="0029110D">
              <w:t>,</w:t>
            </w:r>
            <w:r w:rsidRPr="0029110D">
              <w:t>1 (5</w:t>
            </w:r>
            <w:r w:rsidR="008C6732" w:rsidRPr="0029110D">
              <w:t>,</w:t>
            </w:r>
            <w:r w:rsidRPr="0029110D">
              <w:t>3)</w:t>
            </w:r>
          </w:p>
        </w:tc>
        <w:tc>
          <w:tcPr>
            <w:tcW w:w="1452" w:type="dxa"/>
          </w:tcPr>
          <w:p w14:paraId="7CDD6AF7" w14:textId="2D5DC6D1" w:rsidR="00C34E4A" w:rsidRPr="0029110D" w:rsidRDefault="00C34E4A" w:rsidP="00AB1FF1">
            <w:pPr>
              <w:jc w:val="center"/>
              <w:rPr>
                <w:color w:val="000000"/>
              </w:rPr>
            </w:pPr>
            <w:r w:rsidRPr="0029110D">
              <w:t>9</w:t>
            </w:r>
            <w:r w:rsidR="008C6732" w:rsidRPr="0029110D">
              <w:t>,</w:t>
            </w:r>
            <w:r w:rsidRPr="0029110D">
              <w:t>8 (4</w:t>
            </w:r>
            <w:r w:rsidR="008C6732" w:rsidRPr="0029110D">
              <w:t>,</w:t>
            </w:r>
            <w:r w:rsidRPr="0029110D">
              <w:t>9)</w:t>
            </w:r>
          </w:p>
        </w:tc>
        <w:tc>
          <w:tcPr>
            <w:tcW w:w="1348" w:type="dxa"/>
          </w:tcPr>
          <w:p w14:paraId="555D7CF1" w14:textId="18CE6F43" w:rsidR="00C34E4A" w:rsidRPr="0029110D" w:rsidRDefault="00C34E4A" w:rsidP="00AB1FF1">
            <w:pPr>
              <w:jc w:val="center"/>
              <w:rPr>
                <w:color w:val="000000"/>
              </w:rPr>
            </w:pPr>
            <w:r w:rsidRPr="0029110D">
              <w:t>11</w:t>
            </w:r>
            <w:r w:rsidR="008C6732" w:rsidRPr="0029110D">
              <w:t>,</w:t>
            </w:r>
            <w:r w:rsidRPr="0029110D">
              <w:t>9 (5</w:t>
            </w:r>
            <w:r w:rsidR="008C6732" w:rsidRPr="0029110D">
              <w:t>,</w:t>
            </w:r>
            <w:r w:rsidRPr="0029110D">
              <w:t>8)</w:t>
            </w:r>
          </w:p>
        </w:tc>
      </w:tr>
      <w:tr w:rsidR="00C34E4A" w:rsidRPr="00AE5464" w14:paraId="4E712B00" w14:textId="77777777" w:rsidTr="00AB1FF1">
        <w:tc>
          <w:tcPr>
            <w:tcW w:w="3086" w:type="dxa"/>
          </w:tcPr>
          <w:p w14:paraId="4F766584" w14:textId="77777777" w:rsidR="00C34E4A" w:rsidRPr="0029110D" w:rsidRDefault="00C34E4A">
            <w:pPr>
              <w:rPr>
                <w:color w:val="000000"/>
              </w:rPr>
            </w:pPr>
            <w:r w:rsidRPr="0029110D">
              <w:rPr>
                <w:color w:val="000000"/>
              </w:rPr>
              <w:t>Оценка пациентом боли (0–100 мм)</w:t>
            </w:r>
          </w:p>
        </w:tc>
        <w:tc>
          <w:tcPr>
            <w:tcW w:w="1845" w:type="dxa"/>
          </w:tcPr>
          <w:p w14:paraId="0C2162FB" w14:textId="079BA70C" w:rsidR="00C34E4A" w:rsidRPr="0029110D" w:rsidRDefault="00C34E4A" w:rsidP="00AB1FF1">
            <w:pPr>
              <w:jc w:val="center"/>
              <w:rPr>
                <w:color w:val="000000"/>
              </w:rPr>
            </w:pPr>
            <w:r w:rsidRPr="0029110D">
              <w:t>64</w:t>
            </w:r>
            <w:r w:rsidR="008C6732" w:rsidRPr="0029110D">
              <w:t>,</w:t>
            </w:r>
            <w:r w:rsidRPr="0029110D">
              <w:t>0 (22</w:t>
            </w:r>
            <w:r w:rsidR="008C6732" w:rsidRPr="0029110D">
              <w:t>,</w:t>
            </w:r>
            <w:r w:rsidRPr="0029110D">
              <w:t>9)</w:t>
            </w:r>
          </w:p>
        </w:tc>
        <w:tc>
          <w:tcPr>
            <w:tcW w:w="1597" w:type="dxa"/>
          </w:tcPr>
          <w:p w14:paraId="77DEEB7B" w14:textId="15082BAE" w:rsidR="00C34E4A" w:rsidRPr="0029110D" w:rsidRDefault="00C34E4A" w:rsidP="00AB1FF1">
            <w:pPr>
              <w:jc w:val="center"/>
              <w:rPr>
                <w:color w:val="000000"/>
              </w:rPr>
            </w:pPr>
            <w:r w:rsidRPr="0029110D">
              <w:t>60</w:t>
            </w:r>
            <w:r w:rsidR="008C6732" w:rsidRPr="0029110D">
              <w:t>,</w:t>
            </w:r>
            <w:r w:rsidRPr="0029110D">
              <w:t>8 (22</w:t>
            </w:r>
            <w:r w:rsidR="008C6732" w:rsidRPr="0029110D">
              <w:t>,</w:t>
            </w:r>
            <w:r w:rsidRPr="0029110D">
              <w:t>3)</w:t>
            </w:r>
          </w:p>
        </w:tc>
        <w:tc>
          <w:tcPr>
            <w:tcW w:w="1452" w:type="dxa"/>
          </w:tcPr>
          <w:p w14:paraId="3DFCC5A5" w14:textId="5D507A00" w:rsidR="00C34E4A" w:rsidRPr="0029110D" w:rsidRDefault="00C34E4A" w:rsidP="00AB1FF1">
            <w:pPr>
              <w:jc w:val="center"/>
              <w:rPr>
                <w:color w:val="000000"/>
              </w:rPr>
            </w:pPr>
            <w:r w:rsidRPr="0029110D">
              <w:t>58</w:t>
            </w:r>
            <w:r w:rsidR="008C6732" w:rsidRPr="0029110D">
              <w:t>,</w:t>
            </w:r>
            <w:r w:rsidRPr="0029110D">
              <w:t>0 (22</w:t>
            </w:r>
            <w:r w:rsidR="008C6732" w:rsidRPr="0029110D">
              <w:t>,</w:t>
            </w:r>
            <w:r w:rsidRPr="0029110D">
              <w:t>1)</w:t>
            </w:r>
          </w:p>
        </w:tc>
        <w:tc>
          <w:tcPr>
            <w:tcW w:w="1348" w:type="dxa"/>
          </w:tcPr>
          <w:p w14:paraId="25371D70" w14:textId="0CCB17B6" w:rsidR="00C34E4A" w:rsidRPr="0029110D" w:rsidRDefault="00C34E4A" w:rsidP="00AB1FF1">
            <w:pPr>
              <w:jc w:val="center"/>
              <w:rPr>
                <w:color w:val="000000"/>
              </w:rPr>
            </w:pPr>
            <w:r w:rsidRPr="0029110D">
              <w:t>64</w:t>
            </w:r>
            <w:r w:rsidR="008C6732" w:rsidRPr="0029110D">
              <w:t>,</w:t>
            </w:r>
            <w:r w:rsidRPr="0029110D">
              <w:t>3 (21</w:t>
            </w:r>
            <w:r w:rsidR="008C6732" w:rsidRPr="0029110D">
              <w:t>,</w:t>
            </w:r>
            <w:r w:rsidRPr="0029110D">
              <w:t>5)</w:t>
            </w:r>
          </w:p>
        </w:tc>
      </w:tr>
      <w:tr w:rsidR="00C34E4A" w:rsidRPr="00AE5464" w14:paraId="1BCFB75A" w14:textId="77777777" w:rsidTr="00AB1FF1">
        <w:tc>
          <w:tcPr>
            <w:tcW w:w="3086" w:type="dxa"/>
          </w:tcPr>
          <w:p w14:paraId="668B8C9E" w14:textId="77777777" w:rsidR="00C34E4A" w:rsidRPr="0029110D" w:rsidRDefault="00C34E4A">
            <w:pPr>
              <w:rPr>
                <w:color w:val="000000"/>
              </w:rPr>
            </w:pPr>
            <w:r w:rsidRPr="0029110D">
              <w:rPr>
                <w:color w:val="000000"/>
              </w:rPr>
              <w:t>С-реактивный белок (мг/л)</w:t>
            </w:r>
          </w:p>
        </w:tc>
        <w:tc>
          <w:tcPr>
            <w:tcW w:w="1845" w:type="dxa"/>
          </w:tcPr>
          <w:p w14:paraId="129E7FA3" w14:textId="0AFB294F" w:rsidR="00C34E4A" w:rsidRPr="0029110D" w:rsidRDefault="00C34E4A" w:rsidP="00AB1FF1">
            <w:pPr>
              <w:jc w:val="center"/>
              <w:rPr>
                <w:color w:val="000000"/>
              </w:rPr>
            </w:pPr>
            <w:r w:rsidRPr="0029110D">
              <w:t>23</w:t>
            </w:r>
            <w:r w:rsidR="008C6732" w:rsidRPr="0029110D">
              <w:t>,</w:t>
            </w:r>
            <w:r w:rsidRPr="0029110D">
              <w:t>44 (25</w:t>
            </w:r>
            <w:r w:rsidR="008C6732" w:rsidRPr="0029110D">
              <w:t>,</w:t>
            </w:r>
            <w:r w:rsidRPr="0029110D">
              <w:t>98)</w:t>
            </w:r>
          </w:p>
        </w:tc>
        <w:tc>
          <w:tcPr>
            <w:tcW w:w="1597" w:type="dxa"/>
          </w:tcPr>
          <w:p w14:paraId="65935BD1" w14:textId="3CAC8F1B" w:rsidR="00C34E4A" w:rsidRPr="0029110D" w:rsidRDefault="00C34E4A" w:rsidP="00AB1FF1">
            <w:pPr>
              <w:jc w:val="center"/>
              <w:rPr>
                <w:color w:val="000000"/>
              </w:rPr>
            </w:pPr>
            <w:r w:rsidRPr="0029110D">
              <w:t>21</w:t>
            </w:r>
            <w:r w:rsidR="008C6732" w:rsidRPr="0029110D">
              <w:t>,</w:t>
            </w:r>
            <w:r w:rsidRPr="0029110D">
              <w:t>14 (21</w:t>
            </w:r>
            <w:r w:rsidR="008C6732" w:rsidRPr="0029110D">
              <w:t>,</w:t>
            </w:r>
            <w:r w:rsidRPr="0029110D">
              <w:t>67)</w:t>
            </w:r>
          </w:p>
        </w:tc>
        <w:tc>
          <w:tcPr>
            <w:tcW w:w="1452" w:type="dxa"/>
          </w:tcPr>
          <w:p w14:paraId="61364554" w14:textId="2925CEB5" w:rsidR="00C34E4A" w:rsidRPr="0029110D" w:rsidRDefault="00C34E4A" w:rsidP="00AB1FF1">
            <w:pPr>
              <w:jc w:val="center"/>
              <w:rPr>
                <w:color w:val="000000"/>
              </w:rPr>
            </w:pPr>
            <w:r w:rsidRPr="0029110D">
              <w:t>16</w:t>
            </w:r>
            <w:r w:rsidR="008C6732" w:rsidRPr="0029110D">
              <w:t>,</w:t>
            </w:r>
            <w:r w:rsidRPr="0029110D">
              <w:t>7 (19</w:t>
            </w:r>
            <w:r w:rsidR="008C6732" w:rsidRPr="0029110D">
              <w:t>,</w:t>
            </w:r>
            <w:r w:rsidRPr="0029110D">
              <w:t>1)</w:t>
            </w:r>
          </w:p>
        </w:tc>
        <w:tc>
          <w:tcPr>
            <w:tcW w:w="1348" w:type="dxa"/>
          </w:tcPr>
          <w:p w14:paraId="7A0E90A3" w14:textId="4E7E2D42" w:rsidR="00C34E4A" w:rsidRPr="0029110D" w:rsidRDefault="00C34E4A" w:rsidP="00AB1FF1">
            <w:pPr>
              <w:jc w:val="center"/>
              <w:rPr>
                <w:color w:val="000000"/>
              </w:rPr>
            </w:pPr>
            <w:r w:rsidRPr="0029110D">
              <w:t>20</w:t>
            </w:r>
            <w:r w:rsidR="008C6732" w:rsidRPr="0029110D">
              <w:t>,</w:t>
            </w:r>
            <w:r w:rsidRPr="0029110D">
              <w:t>09 (24</w:t>
            </w:r>
            <w:r w:rsidR="008C6732" w:rsidRPr="0029110D">
              <w:t>,</w:t>
            </w:r>
            <w:r w:rsidRPr="0029110D">
              <w:t>19)</w:t>
            </w:r>
          </w:p>
        </w:tc>
      </w:tr>
      <w:tr w:rsidR="00C34E4A" w:rsidRPr="00AE5464" w14:paraId="78D630FE" w14:textId="77777777" w:rsidTr="00AB1FF1">
        <w:tc>
          <w:tcPr>
            <w:tcW w:w="3086" w:type="dxa"/>
          </w:tcPr>
          <w:p w14:paraId="0AB9AE2C" w14:textId="77777777" w:rsidR="00C34E4A" w:rsidRPr="0029110D" w:rsidRDefault="00C34E4A">
            <w:pPr>
              <w:rPr>
                <w:color w:val="000000"/>
              </w:rPr>
            </w:pPr>
            <w:r w:rsidRPr="0029110D">
              <w:t>DAS28-hsCRP</w:t>
            </w:r>
          </w:p>
        </w:tc>
        <w:tc>
          <w:tcPr>
            <w:tcW w:w="1845" w:type="dxa"/>
          </w:tcPr>
          <w:p w14:paraId="105B837D" w14:textId="2C123542" w:rsidR="00C34E4A" w:rsidRPr="0029110D" w:rsidRDefault="00C34E4A" w:rsidP="00AB1FF1">
            <w:pPr>
              <w:jc w:val="center"/>
              <w:rPr>
                <w:color w:val="000000"/>
              </w:rPr>
            </w:pPr>
            <w:r w:rsidRPr="0029110D">
              <w:t>5</w:t>
            </w:r>
            <w:r w:rsidR="008C6732" w:rsidRPr="0029110D">
              <w:t>,</w:t>
            </w:r>
            <w:r w:rsidRPr="0029110D">
              <w:t>89 (0</w:t>
            </w:r>
            <w:r w:rsidR="008C6732" w:rsidRPr="0029110D">
              <w:t>,</w:t>
            </w:r>
            <w:r w:rsidRPr="0029110D">
              <w:t>97)</w:t>
            </w:r>
          </w:p>
        </w:tc>
        <w:tc>
          <w:tcPr>
            <w:tcW w:w="1597" w:type="dxa"/>
          </w:tcPr>
          <w:p w14:paraId="21CFFA0D" w14:textId="64FB56DC" w:rsidR="00C34E4A" w:rsidRPr="0029110D" w:rsidRDefault="00C34E4A" w:rsidP="00AB1FF1">
            <w:pPr>
              <w:jc w:val="center"/>
              <w:rPr>
                <w:color w:val="000000"/>
              </w:rPr>
            </w:pPr>
            <w:r w:rsidRPr="0029110D">
              <w:t>5</w:t>
            </w:r>
            <w:r w:rsidR="008C6732" w:rsidRPr="0029110D">
              <w:t>,</w:t>
            </w:r>
            <w:r w:rsidRPr="0029110D">
              <w:t>73 (0</w:t>
            </w:r>
            <w:r w:rsidR="008C6732" w:rsidRPr="0029110D">
              <w:t>,</w:t>
            </w:r>
            <w:r w:rsidRPr="0029110D">
              <w:t>94)</w:t>
            </w:r>
          </w:p>
        </w:tc>
        <w:tc>
          <w:tcPr>
            <w:tcW w:w="1452" w:type="dxa"/>
          </w:tcPr>
          <w:p w14:paraId="42B87B92" w14:textId="4D07D6B7" w:rsidR="00C34E4A" w:rsidRPr="0029110D" w:rsidRDefault="00C34E4A" w:rsidP="00AB1FF1">
            <w:pPr>
              <w:jc w:val="center"/>
              <w:rPr>
                <w:color w:val="000000"/>
              </w:rPr>
            </w:pPr>
            <w:r w:rsidRPr="0029110D">
              <w:t>5</w:t>
            </w:r>
            <w:r w:rsidR="008C6732" w:rsidRPr="0029110D">
              <w:t>,</w:t>
            </w:r>
            <w:r w:rsidRPr="0029110D">
              <w:t>55 (0</w:t>
            </w:r>
            <w:r w:rsidR="008C6732" w:rsidRPr="0029110D">
              <w:t>,</w:t>
            </w:r>
            <w:r w:rsidRPr="0029110D">
              <w:t>91)</w:t>
            </w:r>
          </w:p>
        </w:tc>
        <w:tc>
          <w:tcPr>
            <w:tcW w:w="1348" w:type="dxa"/>
          </w:tcPr>
          <w:p w14:paraId="3A696861" w14:textId="5FE4DF3D" w:rsidR="00C34E4A" w:rsidRPr="0029110D" w:rsidRDefault="00C34E4A" w:rsidP="00AB1FF1">
            <w:pPr>
              <w:jc w:val="center"/>
              <w:rPr>
                <w:color w:val="000000"/>
              </w:rPr>
            </w:pPr>
            <w:r w:rsidRPr="0029110D">
              <w:t>5</w:t>
            </w:r>
            <w:r w:rsidR="008C6732" w:rsidRPr="0029110D">
              <w:t>,</w:t>
            </w:r>
            <w:r w:rsidRPr="0029110D">
              <w:t>93 (0</w:t>
            </w:r>
            <w:r w:rsidR="008C6732" w:rsidRPr="0029110D">
              <w:t>,</w:t>
            </w:r>
            <w:r w:rsidRPr="0029110D">
              <w:t>95)</w:t>
            </w:r>
          </w:p>
        </w:tc>
      </w:tr>
      <w:tr w:rsidR="00C34E4A" w:rsidRPr="00AE5464" w14:paraId="4F2C80A4" w14:textId="77777777" w:rsidTr="00AB1FF1">
        <w:tc>
          <w:tcPr>
            <w:tcW w:w="3086" w:type="dxa"/>
          </w:tcPr>
          <w:p w14:paraId="4C2285B8" w14:textId="77777777" w:rsidR="00C34E4A" w:rsidRPr="0029110D" w:rsidRDefault="00C34E4A">
            <w:pPr>
              <w:rPr>
                <w:color w:val="000000"/>
              </w:rPr>
            </w:pPr>
            <w:r w:rsidRPr="0029110D">
              <w:rPr>
                <w:color w:val="000000"/>
              </w:rPr>
              <w:t xml:space="preserve">RF положительный/ACPA </w:t>
            </w:r>
            <w:r w:rsidRPr="0029110D">
              <w:rPr>
                <w:color w:val="000000"/>
              </w:rPr>
              <w:lastRenderedPageBreak/>
              <w:t>отрицательный</w:t>
            </w:r>
          </w:p>
        </w:tc>
        <w:tc>
          <w:tcPr>
            <w:tcW w:w="1845" w:type="dxa"/>
          </w:tcPr>
          <w:p w14:paraId="6370D103" w14:textId="6A550498" w:rsidR="00C34E4A" w:rsidRPr="0029110D" w:rsidRDefault="00C34E4A" w:rsidP="00AB1FF1">
            <w:pPr>
              <w:jc w:val="center"/>
              <w:rPr>
                <w:color w:val="000000"/>
              </w:rPr>
            </w:pPr>
            <w:r w:rsidRPr="0029110D">
              <w:lastRenderedPageBreak/>
              <w:t>44 (7</w:t>
            </w:r>
            <w:r w:rsidR="008C6732" w:rsidRPr="0029110D">
              <w:t>,</w:t>
            </w:r>
            <w:r w:rsidRPr="0029110D">
              <w:t>5)</w:t>
            </w:r>
          </w:p>
        </w:tc>
        <w:tc>
          <w:tcPr>
            <w:tcW w:w="1597" w:type="dxa"/>
          </w:tcPr>
          <w:p w14:paraId="7A0F52E0" w14:textId="5A9E2877" w:rsidR="00C34E4A" w:rsidRPr="0029110D" w:rsidRDefault="00C34E4A" w:rsidP="00AB1FF1">
            <w:pPr>
              <w:jc w:val="center"/>
              <w:rPr>
                <w:color w:val="000000"/>
              </w:rPr>
            </w:pPr>
            <w:r w:rsidRPr="0029110D">
              <w:t>89 (6</w:t>
            </w:r>
            <w:r w:rsidR="008C6732" w:rsidRPr="0029110D">
              <w:t>,</w:t>
            </w:r>
            <w:r w:rsidRPr="0029110D">
              <w:t>8)</w:t>
            </w:r>
          </w:p>
        </w:tc>
        <w:tc>
          <w:tcPr>
            <w:tcW w:w="1452" w:type="dxa"/>
          </w:tcPr>
          <w:p w14:paraId="38EB6611" w14:textId="008330A1" w:rsidR="00C34E4A" w:rsidRPr="0029110D" w:rsidRDefault="00C34E4A" w:rsidP="00AB1FF1">
            <w:pPr>
              <w:jc w:val="center"/>
              <w:rPr>
                <w:color w:val="000000"/>
              </w:rPr>
            </w:pPr>
            <w:r w:rsidRPr="0029110D">
              <w:t>51 (7</w:t>
            </w:r>
            <w:r w:rsidR="008C6732" w:rsidRPr="0029110D">
              <w:t>,</w:t>
            </w:r>
            <w:r w:rsidRPr="0029110D">
              <w:t>5)</w:t>
            </w:r>
          </w:p>
        </w:tc>
        <w:tc>
          <w:tcPr>
            <w:tcW w:w="1348" w:type="dxa"/>
          </w:tcPr>
          <w:p w14:paraId="39B77C68" w14:textId="43ED4A55" w:rsidR="00C34E4A" w:rsidRPr="0029110D" w:rsidRDefault="00C34E4A" w:rsidP="00AB1FF1">
            <w:pPr>
              <w:jc w:val="center"/>
              <w:rPr>
                <w:color w:val="000000"/>
              </w:rPr>
            </w:pPr>
            <w:r w:rsidRPr="0029110D">
              <w:t>44 (8</w:t>
            </w:r>
            <w:r w:rsidR="008C6732" w:rsidRPr="0029110D">
              <w:t>,</w:t>
            </w:r>
            <w:r w:rsidRPr="0029110D">
              <w:t>4)</w:t>
            </w:r>
          </w:p>
        </w:tc>
      </w:tr>
      <w:tr w:rsidR="00C34E4A" w:rsidRPr="00AE5464" w14:paraId="2FA5951F" w14:textId="77777777" w:rsidTr="00AB1FF1">
        <w:tc>
          <w:tcPr>
            <w:tcW w:w="3086" w:type="dxa"/>
          </w:tcPr>
          <w:p w14:paraId="794FEBC4" w14:textId="77777777" w:rsidR="00C34E4A" w:rsidRPr="0029110D" w:rsidRDefault="00C34E4A">
            <w:pPr>
              <w:rPr>
                <w:color w:val="000000"/>
              </w:rPr>
            </w:pPr>
            <w:r w:rsidRPr="0029110D">
              <w:rPr>
                <w:color w:val="000000"/>
              </w:rPr>
              <w:t>RF положительный/ACPA положительный</w:t>
            </w:r>
          </w:p>
        </w:tc>
        <w:tc>
          <w:tcPr>
            <w:tcW w:w="1845" w:type="dxa"/>
          </w:tcPr>
          <w:p w14:paraId="0A14B664" w14:textId="0149816A" w:rsidR="00C34E4A" w:rsidRPr="0029110D" w:rsidRDefault="00C34E4A" w:rsidP="00AB1FF1">
            <w:pPr>
              <w:jc w:val="center"/>
              <w:rPr>
                <w:color w:val="000000"/>
              </w:rPr>
            </w:pPr>
            <w:r w:rsidRPr="0029110D">
              <w:t>517 (88</w:t>
            </w:r>
            <w:r w:rsidR="008C6732" w:rsidRPr="0029110D">
              <w:t>,</w:t>
            </w:r>
            <w:r w:rsidRPr="0029110D">
              <w:t>7)</w:t>
            </w:r>
          </w:p>
        </w:tc>
        <w:tc>
          <w:tcPr>
            <w:tcW w:w="1597" w:type="dxa"/>
          </w:tcPr>
          <w:p w14:paraId="57A5DB4A" w14:textId="7BF678F9" w:rsidR="00C34E4A" w:rsidRPr="0029110D" w:rsidRDefault="00C34E4A" w:rsidP="00AB1FF1">
            <w:pPr>
              <w:jc w:val="center"/>
              <w:rPr>
                <w:color w:val="000000"/>
              </w:rPr>
            </w:pPr>
            <w:r w:rsidRPr="0029110D">
              <w:t>1102 (84</w:t>
            </w:r>
            <w:r w:rsidR="008C6732" w:rsidRPr="0029110D">
              <w:t>,</w:t>
            </w:r>
            <w:r w:rsidRPr="0029110D">
              <w:t>4)</w:t>
            </w:r>
          </w:p>
        </w:tc>
        <w:tc>
          <w:tcPr>
            <w:tcW w:w="1452" w:type="dxa"/>
          </w:tcPr>
          <w:p w14:paraId="10DA923B" w14:textId="398BF4E0" w:rsidR="00C34E4A" w:rsidRPr="0029110D" w:rsidRDefault="00C34E4A" w:rsidP="00AB1FF1">
            <w:pPr>
              <w:jc w:val="center"/>
              <w:rPr>
                <w:color w:val="000000"/>
              </w:rPr>
            </w:pPr>
            <w:r w:rsidRPr="0029110D">
              <w:t>470 (68</w:t>
            </w:r>
            <w:r w:rsidR="008C6732" w:rsidRPr="0029110D">
              <w:t>,</w:t>
            </w:r>
            <w:r w:rsidRPr="0029110D">
              <w:t>7)</w:t>
            </w:r>
          </w:p>
        </w:tc>
        <w:tc>
          <w:tcPr>
            <w:tcW w:w="1348" w:type="dxa"/>
          </w:tcPr>
          <w:p w14:paraId="2C28ADF0" w14:textId="493E0386" w:rsidR="00C34E4A" w:rsidRPr="0029110D" w:rsidRDefault="00C34E4A" w:rsidP="00AB1FF1">
            <w:pPr>
              <w:jc w:val="center"/>
              <w:rPr>
                <w:color w:val="000000"/>
              </w:rPr>
            </w:pPr>
            <w:r w:rsidRPr="0029110D">
              <w:t>341 (64</w:t>
            </w:r>
            <w:r w:rsidR="008C6732" w:rsidRPr="0029110D">
              <w:t>,</w:t>
            </w:r>
            <w:r w:rsidRPr="0029110D">
              <w:t>8)</w:t>
            </w:r>
          </w:p>
        </w:tc>
      </w:tr>
      <w:tr w:rsidR="00C34E4A" w:rsidRPr="00AE5464" w14:paraId="39C4883E" w14:textId="77777777" w:rsidTr="00AB1FF1">
        <w:tc>
          <w:tcPr>
            <w:tcW w:w="3086" w:type="dxa"/>
          </w:tcPr>
          <w:p w14:paraId="7E56A44B" w14:textId="77777777" w:rsidR="00C34E4A" w:rsidRPr="0029110D" w:rsidRDefault="00C34E4A">
            <w:pPr>
              <w:rPr>
                <w:color w:val="000000"/>
              </w:rPr>
            </w:pPr>
            <w:r w:rsidRPr="0029110D">
              <w:rPr>
                <w:color w:val="000000"/>
              </w:rPr>
              <w:t>Время от постановки диагноза РА (лет)</w:t>
            </w:r>
          </w:p>
        </w:tc>
        <w:tc>
          <w:tcPr>
            <w:tcW w:w="1845" w:type="dxa"/>
          </w:tcPr>
          <w:p w14:paraId="5CE9CFE0" w14:textId="6B1A16D3" w:rsidR="00C34E4A" w:rsidRPr="0029110D" w:rsidRDefault="00C34E4A" w:rsidP="00AB1FF1">
            <w:pPr>
              <w:jc w:val="center"/>
              <w:rPr>
                <w:color w:val="000000"/>
              </w:rPr>
            </w:pPr>
            <w:r w:rsidRPr="0029110D">
              <w:t>0</w:t>
            </w:r>
            <w:r w:rsidR="008C6732" w:rsidRPr="0029110D">
              <w:t>,</w:t>
            </w:r>
            <w:r w:rsidRPr="0029110D">
              <w:t>2</w:t>
            </w:r>
          </w:p>
        </w:tc>
        <w:tc>
          <w:tcPr>
            <w:tcW w:w="1597" w:type="dxa"/>
          </w:tcPr>
          <w:p w14:paraId="10D89D51" w14:textId="62EA931D" w:rsidR="00C34E4A" w:rsidRPr="0029110D" w:rsidRDefault="00C34E4A" w:rsidP="00AB1FF1">
            <w:pPr>
              <w:jc w:val="center"/>
              <w:rPr>
                <w:color w:val="000000"/>
              </w:rPr>
            </w:pPr>
            <w:r w:rsidRPr="0029110D">
              <w:t>6</w:t>
            </w:r>
            <w:r w:rsidR="008C6732" w:rsidRPr="0029110D">
              <w:t>,</w:t>
            </w:r>
            <w:r w:rsidRPr="0029110D">
              <w:t>3</w:t>
            </w:r>
          </w:p>
        </w:tc>
        <w:tc>
          <w:tcPr>
            <w:tcW w:w="1452" w:type="dxa"/>
          </w:tcPr>
          <w:p w14:paraId="6117F734" w14:textId="5C1AA01E" w:rsidR="00C34E4A" w:rsidRPr="0029110D" w:rsidRDefault="00C34E4A" w:rsidP="00AB1FF1">
            <w:pPr>
              <w:jc w:val="center"/>
              <w:rPr>
                <w:color w:val="000000"/>
              </w:rPr>
            </w:pPr>
            <w:r w:rsidRPr="0029110D">
              <w:t>3</w:t>
            </w:r>
            <w:r w:rsidR="008C6732" w:rsidRPr="0029110D">
              <w:t>,</w:t>
            </w:r>
            <w:r w:rsidRPr="0029110D">
              <w:t>5</w:t>
            </w:r>
          </w:p>
        </w:tc>
        <w:tc>
          <w:tcPr>
            <w:tcW w:w="1348" w:type="dxa"/>
          </w:tcPr>
          <w:p w14:paraId="6F736A5E" w14:textId="047D7DE9" w:rsidR="00C34E4A" w:rsidRPr="0029110D" w:rsidRDefault="00C34E4A" w:rsidP="00AB1FF1">
            <w:pPr>
              <w:jc w:val="center"/>
              <w:rPr>
                <w:color w:val="000000"/>
              </w:rPr>
            </w:pPr>
            <w:r w:rsidRPr="0029110D">
              <w:t>10</w:t>
            </w:r>
            <w:r w:rsidR="008C6732" w:rsidRPr="0029110D">
              <w:t>,</w:t>
            </w:r>
            <w:r w:rsidRPr="0029110D">
              <w:t>7</w:t>
            </w:r>
          </w:p>
        </w:tc>
      </w:tr>
      <w:tr w:rsidR="00C34E4A" w:rsidRPr="00AE5464" w14:paraId="0C23A7E8" w14:textId="77777777" w:rsidTr="00AB1FF1">
        <w:tc>
          <w:tcPr>
            <w:tcW w:w="3086" w:type="dxa"/>
          </w:tcPr>
          <w:p w14:paraId="43AB822C" w14:textId="77777777" w:rsidR="00C34E4A" w:rsidRPr="0029110D" w:rsidRDefault="00C34E4A">
            <w:pPr>
              <w:rPr>
                <w:color w:val="000000"/>
              </w:rPr>
            </w:pPr>
            <w:r w:rsidRPr="0029110D">
              <w:rPr>
                <w:color w:val="000000"/>
              </w:rPr>
              <w:t>Текущее использование кортикостероидов (да), n (%)</w:t>
            </w:r>
          </w:p>
        </w:tc>
        <w:tc>
          <w:tcPr>
            <w:tcW w:w="1845" w:type="dxa"/>
          </w:tcPr>
          <w:p w14:paraId="25ADAF0C" w14:textId="5D541368" w:rsidR="00C34E4A" w:rsidRPr="0029110D" w:rsidRDefault="00C34E4A" w:rsidP="00AB1FF1">
            <w:pPr>
              <w:jc w:val="center"/>
              <w:rPr>
                <w:color w:val="000000"/>
              </w:rPr>
            </w:pPr>
            <w:r w:rsidRPr="0029110D">
              <w:t>206 (35</w:t>
            </w:r>
            <w:r w:rsidR="008C6732" w:rsidRPr="0029110D">
              <w:t>,</w:t>
            </w:r>
            <w:r w:rsidRPr="0029110D">
              <w:t>3)</w:t>
            </w:r>
          </w:p>
        </w:tc>
        <w:tc>
          <w:tcPr>
            <w:tcW w:w="1597" w:type="dxa"/>
          </w:tcPr>
          <w:p w14:paraId="132129C4" w14:textId="7D796CB8" w:rsidR="00C34E4A" w:rsidRPr="0029110D" w:rsidRDefault="00C34E4A" w:rsidP="00AB1FF1">
            <w:pPr>
              <w:jc w:val="center"/>
              <w:rPr>
                <w:color w:val="000000"/>
              </w:rPr>
            </w:pPr>
            <w:r w:rsidRPr="0029110D">
              <w:t>766 (58</w:t>
            </w:r>
            <w:r w:rsidR="008C6732" w:rsidRPr="0029110D">
              <w:t>,</w:t>
            </w:r>
            <w:r w:rsidRPr="0029110D">
              <w:t>7)</w:t>
            </w:r>
          </w:p>
        </w:tc>
        <w:tc>
          <w:tcPr>
            <w:tcW w:w="1452" w:type="dxa"/>
          </w:tcPr>
          <w:p w14:paraId="7A4C05D6" w14:textId="364CDD49" w:rsidR="00C34E4A" w:rsidRPr="0029110D" w:rsidRDefault="00C34E4A" w:rsidP="00AB1FF1">
            <w:pPr>
              <w:jc w:val="center"/>
              <w:rPr>
                <w:color w:val="000000"/>
              </w:rPr>
            </w:pPr>
            <w:r w:rsidRPr="0029110D">
              <w:t>346 (50</w:t>
            </w:r>
            <w:r w:rsidR="008C6732" w:rsidRPr="0029110D">
              <w:t>,</w:t>
            </w:r>
            <w:r w:rsidRPr="0029110D">
              <w:t>6)</w:t>
            </w:r>
          </w:p>
        </w:tc>
        <w:tc>
          <w:tcPr>
            <w:tcW w:w="1348" w:type="dxa"/>
          </w:tcPr>
          <w:p w14:paraId="5188E770" w14:textId="3DD1F889" w:rsidR="00C34E4A" w:rsidRPr="0029110D" w:rsidRDefault="00C34E4A" w:rsidP="00AB1FF1">
            <w:pPr>
              <w:jc w:val="center"/>
              <w:rPr>
                <w:color w:val="000000"/>
              </w:rPr>
            </w:pPr>
            <w:r w:rsidRPr="0029110D">
              <w:t>304 (57</w:t>
            </w:r>
            <w:r w:rsidR="008C6732" w:rsidRPr="0029110D">
              <w:t>,</w:t>
            </w:r>
            <w:r w:rsidRPr="0029110D">
              <w:t>7)</w:t>
            </w:r>
          </w:p>
        </w:tc>
      </w:tr>
      <w:tr w:rsidR="00C34E4A" w:rsidRPr="00AE5464" w14:paraId="69953769" w14:textId="77777777" w:rsidTr="00AB1FF1">
        <w:tc>
          <w:tcPr>
            <w:tcW w:w="3086" w:type="dxa"/>
          </w:tcPr>
          <w:p w14:paraId="4EED1831" w14:textId="77777777" w:rsidR="00C34E4A" w:rsidRPr="0029110D" w:rsidRDefault="00C34E4A">
            <w:pPr>
              <w:rPr>
                <w:color w:val="000000"/>
              </w:rPr>
            </w:pPr>
            <w:r w:rsidRPr="0029110D">
              <w:rPr>
                <w:color w:val="000000"/>
              </w:rPr>
              <w:t>Средняя недельная доза метотрексата</w:t>
            </w:r>
          </w:p>
          <w:p w14:paraId="78C5F061" w14:textId="77777777" w:rsidR="00C34E4A" w:rsidRPr="0029110D" w:rsidRDefault="00C34E4A">
            <w:pPr>
              <w:rPr>
                <w:color w:val="000000"/>
              </w:rPr>
            </w:pPr>
            <w:r w:rsidRPr="0029110D">
              <w:rPr>
                <w:color w:val="000000"/>
              </w:rPr>
              <w:t>(мг/нед.)</w:t>
            </w:r>
          </w:p>
        </w:tc>
        <w:tc>
          <w:tcPr>
            <w:tcW w:w="1845" w:type="dxa"/>
          </w:tcPr>
          <w:p w14:paraId="5CA3BE9C" w14:textId="53295D64" w:rsidR="00C34E4A" w:rsidRPr="0029110D" w:rsidRDefault="00C34E4A" w:rsidP="00AB1FF1">
            <w:pPr>
              <w:jc w:val="center"/>
              <w:rPr>
                <w:color w:val="000000"/>
              </w:rPr>
            </w:pPr>
            <w:r w:rsidRPr="0029110D">
              <w:t>–</w:t>
            </w:r>
          </w:p>
        </w:tc>
        <w:tc>
          <w:tcPr>
            <w:tcW w:w="1597" w:type="dxa"/>
          </w:tcPr>
          <w:p w14:paraId="10D44CCD" w14:textId="7F3C973F" w:rsidR="00C34E4A" w:rsidRPr="0029110D" w:rsidRDefault="00C34E4A" w:rsidP="00AB1FF1">
            <w:pPr>
              <w:jc w:val="center"/>
              <w:rPr>
                <w:color w:val="000000"/>
              </w:rPr>
            </w:pPr>
            <w:r w:rsidRPr="0029110D">
              <w:t>14</w:t>
            </w:r>
            <w:r w:rsidR="008C6732" w:rsidRPr="0029110D">
              <w:t>,</w:t>
            </w:r>
            <w:r w:rsidRPr="0029110D">
              <w:t>8 (4</w:t>
            </w:r>
            <w:r w:rsidR="008C6732" w:rsidRPr="0029110D">
              <w:t>,</w:t>
            </w:r>
            <w:r w:rsidRPr="0029110D">
              <w:t>6)</w:t>
            </w:r>
          </w:p>
        </w:tc>
        <w:tc>
          <w:tcPr>
            <w:tcW w:w="1452" w:type="dxa"/>
          </w:tcPr>
          <w:p w14:paraId="3B931E0E" w14:textId="1332F2DC" w:rsidR="00C34E4A" w:rsidRPr="0029110D" w:rsidRDefault="00C34E4A" w:rsidP="00AB1FF1">
            <w:pPr>
              <w:jc w:val="center"/>
              <w:rPr>
                <w:color w:val="000000"/>
              </w:rPr>
            </w:pPr>
            <w:r w:rsidRPr="0029110D">
              <w:t>16</w:t>
            </w:r>
            <w:r w:rsidR="008C6732" w:rsidRPr="0029110D">
              <w:t>,</w:t>
            </w:r>
            <w:r w:rsidRPr="0029110D">
              <w:t>2 (4</w:t>
            </w:r>
            <w:r w:rsidR="008C6732" w:rsidRPr="0029110D">
              <w:t>,</w:t>
            </w:r>
            <w:r w:rsidRPr="0029110D">
              <w:t>8)</w:t>
            </w:r>
          </w:p>
        </w:tc>
        <w:tc>
          <w:tcPr>
            <w:tcW w:w="1348" w:type="dxa"/>
          </w:tcPr>
          <w:p w14:paraId="15F4C0CD" w14:textId="0165C8B8" w:rsidR="00C34E4A" w:rsidRPr="0029110D" w:rsidRDefault="00C34E4A" w:rsidP="00AB1FF1">
            <w:pPr>
              <w:jc w:val="center"/>
              <w:rPr>
                <w:color w:val="000000"/>
              </w:rPr>
            </w:pPr>
            <w:r w:rsidRPr="0029110D">
              <w:t>16</w:t>
            </w:r>
            <w:r w:rsidR="008C6732" w:rsidRPr="0029110D">
              <w:t>,</w:t>
            </w:r>
            <w:r w:rsidRPr="0029110D">
              <w:t>3 (7</w:t>
            </w:r>
            <w:r w:rsidR="008C6732" w:rsidRPr="0029110D">
              <w:t>,</w:t>
            </w:r>
            <w:r w:rsidRPr="0029110D">
              <w:t>7)</w:t>
            </w:r>
          </w:p>
        </w:tc>
      </w:tr>
      <w:tr w:rsidR="00C34E4A" w:rsidRPr="00AE5464" w14:paraId="37BF9A9C" w14:textId="77777777" w:rsidTr="00AB1FF1">
        <w:tc>
          <w:tcPr>
            <w:tcW w:w="3086" w:type="dxa"/>
          </w:tcPr>
          <w:p w14:paraId="1C7BA72A" w14:textId="77777777" w:rsidR="00C34E4A" w:rsidRPr="0029110D" w:rsidRDefault="00C34E4A">
            <w:pPr>
              <w:rPr>
                <w:color w:val="000000"/>
              </w:rPr>
            </w:pPr>
            <w:r w:rsidRPr="0029110D">
              <w:rPr>
                <w:color w:val="000000"/>
              </w:rPr>
              <w:t xml:space="preserve">Количество ранее использовавшихся биологических БМАРП, </w:t>
            </w:r>
            <w:r w:rsidRPr="0029110D">
              <w:rPr>
                <w:color w:val="000000"/>
                <w:lang w:val="en-US"/>
              </w:rPr>
              <w:t>n</w:t>
            </w:r>
            <w:r w:rsidRPr="0029110D">
              <w:rPr>
                <w:color w:val="000000"/>
              </w:rPr>
              <w:t xml:space="preserve"> (%)</w:t>
            </w:r>
          </w:p>
        </w:tc>
        <w:tc>
          <w:tcPr>
            <w:tcW w:w="1845" w:type="dxa"/>
          </w:tcPr>
          <w:p w14:paraId="4EC8BEF0" w14:textId="77777777" w:rsidR="00C34E4A" w:rsidRPr="0029110D" w:rsidRDefault="00C34E4A" w:rsidP="00AB1FF1">
            <w:pPr>
              <w:jc w:val="center"/>
              <w:rPr>
                <w:color w:val="000000"/>
              </w:rPr>
            </w:pPr>
          </w:p>
        </w:tc>
        <w:tc>
          <w:tcPr>
            <w:tcW w:w="1597" w:type="dxa"/>
          </w:tcPr>
          <w:p w14:paraId="0651DE60" w14:textId="77777777" w:rsidR="00C34E4A" w:rsidRPr="0029110D" w:rsidRDefault="00C34E4A" w:rsidP="00AB1FF1">
            <w:pPr>
              <w:jc w:val="center"/>
              <w:rPr>
                <w:color w:val="000000"/>
              </w:rPr>
            </w:pPr>
          </w:p>
        </w:tc>
        <w:tc>
          <w:tcPr>
            <w:tcW w:w="1452" w:type="dxa"/>
          </w:tcPr>
          <w:p w14:paraId="0DCCAC8B" w14:textId="77777777" w:rsidR="00C34E4A" w:rsidRPr="0029110D" w:rsidRDefault="00C34E4A" w:rsidP="00AB1FF1">
            <w:pPr>
              <w:jc w:val="center"/>
              <w:rPr>
                <w:color w:val="000000"/>
              </w:rPr>
            </w:pPr>
          </w:p>
        </w:tc>
        <w:tc>
          <w:tcPr>
            <w:tcW w:w="1348" w:type="dxa"/>
          </w:tcPr>
          <w:p w14:paraId="000415A9" w14:textId="77777777" w:rsidR="00C34E4A" w:rsidRPr="0029110D" w:rsidRDefault="00C34E4A" w:rsidP="00AB1FF1">
            <w:pPr>
              <w:jc w:val="center"/>
              <w:rPr>
                <w:color w:val="000000"/>
              </w:rPr>
            </w:pPr>
          </w:p>
        </w:tc>
      </w:tr>
      <w:tr w:rsidR="00C34E4A" w:rsidRPr="00AE5464" w14:paraId="71AD64F2" w14:textId="77777777" w:rsidTr="00AB1FF1">
        <w:tc>
          <w:tcPr>
            <w:tcW w:w="3086" w:type="dxa"/>
          </w:tcPr>
          <w:p w14:paraId="4C9B1E93" w14:textId="77777777" w:rsidR="00C34E4A" w:rsidRPr="0029110D" w:rsidRDefault="00C34E4A">
            <w:pPr>
              <w:rPr>
                <w:color w:val="000000"/>
              </w:rPr>
            </w:pPr>
            <w:r w:rsidRPr="0029110D">
              <w:rPr>
                <w:color w:val="000000"/>
              </w:rPr>
              <w:t>0</w:t>
            </w:r>
          </w:p>
        </w:tc>
        <w:tc>
          <w:tcPr>
            <w:tcW w:w="1845" w:type="dxa"/>
          </w:tcPr>
          <w:p w14:paraId="75F0D52D" w14:textId="38D1F5E3" w:rsidR="00C34E4A" w:rsidRPr="0029110D" w:rsidRDefault="00C34E4A" w:rsidP="00AB1FF1">
            <w:pPr>
              <w:jc w:val="center"/>
              <w:rPr>
                <w:color w:val="000000"/>
                <w:lang w:val="en-US"/>
              </w:rPr>
            </w:pPr>
            <w:r w:rsidRPr="0029110D">
              <w:t>583 (99</w:t>
            </w:r>
            <w:r w:rsidR="008C6732" w:rsidRPr="0029110D">
              <w:t>,</w:t>
            </w:r>
            <w:r w:rsidRPr="0029110D">
              <w:t>8)</w:t>
            </w:r>
          </w:p>
        </w:tc>
        <w:tc>
          <w:tcPr>
            <w:tcW w:w="1597" w:type="dxa"/>
          </w:tcPr>
          <w:p w14:paraId="332F0F24" w14:textId="69D2E466" w:rsidR="00C34E4A" w:rsidRPr="0029110D" w:rsidRDefault="00C34E4A" w:rsidP="00AB1FF1">
            <w:pPr>
              <w:jc w:val="center"/>
              <w:rPr>
                <w:color w:val="000000"/>
                <w:lang w:val="en-US"/>
              </w:rPr>
            </w:pPr>
            <w:r w:rsidRPr="0029110D">
              <w:t>1303 (99</w:t>
            </w:r>
            <w:r w:rsidR="008C6732" w:rsidRPr="0029110D">
              <w:t>,</w:t>
            </w:r>
            <w:r w:rsidRPr="0029110D">
              <w:t>8)</w:t>
            </w:r>
          </w:p>
        </w:tc>
        <w:tc>
          <w:tcPr>
            <w:tcW w:w="1452" w:type="dxa"/>
          </w:tcPr>
          <w:p w14:paraId="2F64B238" w14:textId="5A9107AD" w:rsidR="00C34E4A" w:rsidRPr="0029110D" w:rsidRDefault="00C34E4A" w:rsidP="00AB1FF1">
            <w:pPr>
              <w:jc w:val="center"/>
              <w:rPr>
                <w:color w:val="000000"/>
                <w:lang w:val="en-US"/>
              </w:rPr>
            </w:pPr>
            <w:r w:rsidRPr="0029110D">
              <w:t>684 (100</w:t>
            </w:r>
            <w:r w:rsidR="008C6732" w:rsidRPr="0029110D">
              <w:t>,</w:t>
            </w:r>
            <w:r w:rsidRPr="0029110D">
              <w:t>0)</w:t>
            </w:r>
          </w:p>
        </w:tc>
        <w:tc>
          <w:tcPr>
            <w:tcW w:w="1348" w:type="dxa"/>
          </w:tcPr>
          <w:p w14:paraId="4515D587" w14:textId="08E063E6" w:rsidR="00C34E4A" w:rsidRPr="0029110D" w:rsidRDefault="00C34E4A" w:rsidP="00AB1FF1">
            <w:pPr>
              <w:jc w:val="center"/>
              <w:rPr>
                <w:color w:val="000000"/>
                <w:lang w:val="en-US"/>
              </w:rPr>
            </w:pPr>
            <w:r w:rsidRPr="0029110D">
              <w:t>4 (0</w:t>
            </w:r>
            <w:r w:rsidR="008C6732" w:rsidRPr="0029110D">
              <w:t>,</w:t>
            </w:r>
            <w:r w:rsidRPr="0029110D">
              <w:t>8)</w:t>
            </w:r>
          </w:p>
        </w:tc>
      </w:tr>
      <w:tr w:rsidR="00C34E4A" w:rsidRPr="00AE5464" w14:paraId="63A38868" w14:textId="77777777" w:rsidTr="00AB1FF1">
        <w:tc>
          <w:tcPr>
            <w:tcW w:w="3086" w:type="dxa"/>
          </w:tcPr>
          <w:p w14:paraId="24068E01" w14:textId="77777777" w:rsidR="00C34E4A" w:rsidRPr="0029110D" w:rsidRDefault="00C34E4A">
            <w:pPr>
              <w:rPr>
                <w:color w:val="000000"/>
              </w:rPr>
            </w:pPr>
            <w:r w:rsidRPr="0029110D">
              <w:rPr>
                <w:color w:val="000000"/>
              </w:rPr>
              <w:t>1</w:t>
            </w:r>
          </w:p>
        </w:tc>
        <w:tc>
          <w:tcPr>
            <w:tcW w:w="1845" w:type="dxa"/>
          </w:tcPr>
          <w:p w14:paraId="2A827A08" w14:textId="23651F2F" w:rsidR="00C34E4A" w:rsidRPr="0029110D" w:rsidRDefault="00C34E4A" w:rsidP="00AB1FF1">
            <w:pPr>
              <w:jc w:val="center"/>
              <w:rPr>
                <w:color w:val="000000"/>
                <w:lang w:val="en-US"/>
              </w:rPr>
            </w:pPr>
            <w:r w:rsidRPr="0029110D">
              <w:t>1 (0</w:t>
            </w:r>
            <w:r w:rsidR="008C6732" w:rsidRPr="0029110D">
              <w:t>,</w:t>
            </w:r>
            <w:r w:rsidRPr="0029110D">
              <w:t>2)</w:t>
            </w:r>
          </w:p>
        </w:tc>
        <w:tc>
          <w:tcPr>
            <w:tcW w:w="1597" w:type="dxa"/>
          </w:tcPr>
          <w:p w14:paraId="6A904B30" w14:textId="796A237D" w:rsidR="00C34E4A" w:rsidRPr="0029110D" w:rsidRDefault="00C34E4A" w:rsidP="00AB1FF1">
            <w:pPr>
              <w:jc w:val="center"/>
              <w:rPr>
                <w:color w:val="000000"/>
                <w:lang w:val="en-US"/>
              </w:rPr>
            </w:pPr>
            <w:r w:rsidRPr="0029110D">
              <w:t>2 (0</w:t>
            </w:r>
            <w:r w:rsidR="008C6732" w:rsidRPr="0029110D">
              <w:t>,</w:t>
            </w:r>
            <w:r w:rsidRPr="0029110D">
              <w:t>2)</w:t>
            </w:r>
          </w:p>
        </w:tc>
        <w:tc>
          <w:tcPr>
            <w:tcW w:w="1452" w:type="dxa"/>
          </w:tcPr>
          <w:p w14:paraId="3CA158D0" w14:textId="77777777" w:rsidR="00C34E4A" w:rsidRPr="0029110D" w:rsidRDefault="00C34E4A" w:rsidP="00AB1FF1">
            <w:pPr>
              <w:jc w:val="center"/>
              <w:rPr>
                <w:color w:val="000000"/>
                <w:lang w:val="en-US"/>
              </w:rPr>
            </w:pPr>
            <w:r w:rsidRPr="0029110D">
              <w:t>0</w:t>
            </w:r>
          </w:p>
        </w:tc>
        <w:tc>
          <w:tcPr>
            <w:tcW w:w="1348" w:type="dxa"/>
          </w:tcPr>
          <w:p w14:paraId="14D8FE61" w14:textId="77E0754F" w:rsidR="00C34E4A" w:rsidRPr="0029110D" w:rsidRDefault="00C34E4A" w:rsidP="00AB1FF1">
            <w:pPr>
              <w:jc w:val="center"/>
              <w:rPr>
                <w:color w:val="000000"/>
                <w:lang w:val="en-US"/>
              </w:rPr>
            </w:pPr>
            <w:r w:rsidRPr="0029110D">
              <w:t>221 (41</w:t>
            </w:r>
            <w:r w:rsidR="008C6732" w:rsidRPr="0029110D">
              <w:t>,</w:t>
            </w:r>
            <w:r w:rsidRPr="0029110D">
              <w:t>9)</w:t>
            </w:r>
          </w:p>
        </w:tc>
      </w:tr>
      <w:tr w:rsidR="00C34E4A" w:rsidRPr="00AE5464" w14:paraId="083B87DC" w14:textId="77777777" w:rsidTr="00AB1FF1">
        <w:tc>
          <w:tcPr>
            <w:tcW w:w="3086" w:type="dxa"/>
          </w:tcPr>
          <w:p w14:paraId="13B4EE54" w14:textId="77777777" w:rsidR="00C34E4A" w:rsidRPr="0029110D" w:rsidRDefault="00C34E4A">
            <w:pPr>
              <w:rPr>
                <w:color w:val="000000"/>
              </w:rPr>
            </w:pPr>
            <w:r w:rsidRPr="0029110D">
              <w:rPr>
                <w:color w:val="000000"/>
              </w:rPr>
              <w:t>2</w:t>
            </w:r>
          </w:p>
        </w:tc>
        <w:tc>
          <w:tcPr>
            <w:tcW w:w="1845" w:type="dxa"/>
          </w:tcPr>
          <w:p w14:paraId="1F27B940" w14:textId="77777777" w:rsidR="00C34E4A" w:rsidRPr="0029110D" w:rsidRDefault="00C34E4A" w:rsidP="00AB1FF1">
            <w:pPr>
              <w:jc w:val="center"/>
              <w:rPr>
                <w:color w:val="000000"/>
              </w:rPr>
            </w:pPr>
            <w:r w:rsidRPr="0029110D">
              <w:rPr>
                <w:color w:val="000000"/>
              </w:rPr>
              <w:t>0</w:t>
            </w:r>
          </w:p>
        </w:tc>
        <w:tc>
          <w:tcPr>
            <w:tcW w:w="1597" w:type="dxa"/>
          </w:tcPr>
          <w:p w14:paraId="51FA9095" w14:textId="77777777" w:rsidR="00C34E4A" w:rsidRPr="0029110D" w:rsidRDefault="00C34E4A" w:rsidP="00AB1FF1">
            <w:pPr>
              <w:jc w:val="center"/>
              <w:rPr>
                <w:color w:val="000000"/>
                <w:lang w:val="en-US"/>
              </w:rPr>
            </w:pPr>
            <w:r w:rsidRPr="0029110D">
              <w:rPr>
                <w:color w:val="000000"/>
              </w:rPr>
              <w:t>0</w:t>
            </w:r>
          </w:p>
        </w:tc>
        <w:tc>
          <w:tcPr>
            <w:tcW w:w="1452" w:type="dxa"/>
          </w:tcPr>
          <w:p w14:paraId="14899726" w14:textId="77777777" w:rsidR="00C34E4A" w:rsidRPr="0029110D" w:rsidRDefault="00C34E4A" w:rsidP="00AB1FF1">
            <w:pPr>
              <w:jc w:val="center"/>
              <w:rPr>
                <w:color w:val="000000"/>
                <w:lang w:val="en-US"/>
              </w:rPr>
            </w:pPr>
            <w:r w:rsidRPr="0029110D">
              <w:rPr>
                <w:color w:val="000000"/>
              </w:rPr>
              <w:t>0</w:t>
            </w:r>
          </w:p>
        </w:tc>
        <w:tc>
          <w:tcPr>
            <w:tcW w:w="1348" w:type="dxa"/>
          </w:tcPr>
          <w:p w14:paraId="7D78394F" w14:textId="79013E1F" w:rsidR="00C34E4A" w:rsidRPr="0029110D" w:rsidRDefault="00C34E4A" w:rsidP="00AB1FF1">
            <w:pPr>
              <w:jc w:val="center"/>
              <w:rPr>
                <w:color w:val="000000"/>
                <w:lang w:val="en-US"/>
              </w:rPr>
            </w:pPr>
            <w:r w:rsidRPr="0029110D">
              <w:t>160 (30</w:t>
            </w:r>
            <w:r w:rsidR="008C6732" w:rsidRPr="0029110D">
              <w:t>,</w:t>
            </w:r>
            <w:r w:rsidRPr="0029110D">
              <w:t>4)</w:t>
            </w:r>
          </w:p>
        </w:tc>
      </w:tr>
      <w:tr w:rsidR="00C34E4A" w:rsidRPr="00AE5464" w14:paraId="70581C5E" w14:textId="77777777" w:rsidTr="00AB1FF1">
        <w:tc>
          <w:tcPr>
            <w:tcW w:w="3086" w:type="dxa"/>
          </w:tcPr>
          <w:p w14:paraId="6ED7B5A5" w14:textId="77777777" w:rsidR="00C34E4A" w:rsidRPr="0029110D" w:rsidRDefault="00C34E4A">
            <w:pPr>
              <w:rPr>
                <w:color w:val="000000"/>
              </w:rPr>
            </w:pPr>
            <w:r w:rsidRPr="0029110D">
              <w:rPr>
                <w:color w:val="000000"/>
                <w:lang w:val="en-US"/>
              </w:rPr>
              <w:t>≥</w:t>
            </w:r>
            <w:r w:rsidRPr="0029110D">
              <w:rPr>
                <w:color w:val="000000"/>
              </w:rPr>
              <w:t>3</w:t>
            </w:r>
          </w:p>
        </w:tc>
        <w:tc>
          <w:tcPr>
            <w:tcW w:w="1845" w:type="dxa"/>
          </w:tcPr>
          <w:p w14:paraId="64607A05" w14:textId="77777777" w:rsidR="00C34E4A" w:rsidRPr="0029110D" w:rsidRDefault="00C34E4A" w:rsidP="00AB1FF1">
            <w:pPr>
              <w:jc w:val="center"/>
              <w:rPr>
                <w:color w:val="000000"/>
                <w:lang w:val="en-US"/>
              </w:rPr>
            </w:pPr>
            <w:r w:rsidRPr="0029110D">
              <w:rPr>
                <w:color w:val="000000"/>
              </w:rPr>
              <w:t>0</w:t>
            </w:r>
          </w:p>
        </w:tc>
        <w:tc>
          <w:tcPr>
            <w:tcW w:w="1597" w:type="dxa"/>
          </w:tcPr>
          <w:p w14:paraId="6435EE0D" w14:textId="77777777" w:rsidR="00C34E4A" w:rsidRPr="0029110D" w:rsidRDefault="00C34E4A" w:rsidP="00AB1FF1">
            <w:pPr>
              <w:jc w:val="center"/>
              <w:rPr>
                <w:color w:val="000000"/>
                <w:lang w:val="en-US"/>
              </w:rPr>
            </w:pPr>
            <w:r w:rsidRPr="0029110D">
              <w:rPr>
                <w:color w:val="000000"/>
              </w:rPr>
              <w:t>0</w:t>
            </w:r>
          </w:p>
        </w:tc>
        <w:tc>
          <w:tcPr>
            <w:tcW w:w="1452" w:type="dxa"/>
          </w:tcPr>
          <w:p w14:paraId="03FA5992" w14:textId="77777777" w:rsidR="00C34E4A" w:rsidRPr="0029110D" w:rsidRDefault="00C34E4A" w:rsidP="00AB1FF1">
            <w:pPr>
              <w:jc w:val="center"/>
              <w:rPr>
                <w:color w:val="000000"/>
                <w:lang w:val="en-US"/>
              </w:rPr>
            </w:pPr>
            <w:r w:rsidRPr="0029110D">
              <w:rPr>
                <w:color w:val="000000"/>
              </w:rPr>
              <w:t>0</w:t>
            </w:r>
          </w:p>
        </w:tc>
        <w:tc>
          <w:tcPr>
            <w:tcW w:w="1348" w:type="dxa"/>
          </w:tcPr>
          <w:p w14:paraId="364AD848" w14:textId="3FB93727" w:rsidR="00C34E4A" w:rsidRPr="0029110D" w:rsidRDefault="00C34E4A" w:rsidP="00AB1FF1">
            <w:pPr>
              <w:jc w:val="center"/>
              <w:rPr>
                <w:color w:val="000000"/>
                <w:lang w:val="en-US"/>
              </w:rPr>
            </w:pPr>
            <w:r w:rsidRPr="0029110D">
              <w:t>142 (26</w:t>
            </w:r>
            <w:r w:rsidR="008C6732" w:rsidRPr="0029110D">
              <w:t>,</w:t>
            </w:r>
            <w:r w:rsidRPr="0029110D">
              <w:t>9)</w:t>
            </w:r>
          </w:p>
        </w:tc>
      </w:tr>
      <w:tr w:rsidR="00C34E4A" w:rsidRPr="00AE5464" w14:paraId="1D4EDC9F" w14:textId="77777777" w:rsidTr="00AB1FF1">
        <w:tc>
          <w:tcPr>
            <w:tcW w:w="9328" w:type="dxa"/>
            <w:gridSpan w:val="5"/>
          </w:tcPr>
          <w:p w14:paraId="7F4536A9" w14:textId="060227D8" w:rsidR="00C34E4A" w:rsidRPr="007952C2" w:rsidRDefault="007952C2">
            <w:pPr>
              <w:contextualSpacing/>
              <w:rPr>
                <w:color w:val="000000"/>
                <w:sz w:val="20"/>
                <w:szCs w:val="20"/>
              </w:rPr>
            </w:pPr>
            <w:r w:rsidRPr="007952C2">
              <w:rPr>
                <w:b/>
                <w:color w:val="000000"/>
                <w:sz w:val="20"/>
                <w:szCs w:val="20"/>
              </w:rPr>
              <w:t>Примечание:</w:t>
            </w:r>
            <w:r>
              <w:rPr>
                <w:color w:val="000000"/>
                <w:sz w:val="20"/>
                <w:szCs w:val="20"/>
              </w:rPr>
              <w:br/>
              <w:t>Д</w:t>
            </w:r>
            <w:r w:rsidR="00C34E4A" w:rsidRPr="007952C2">
              <w:rPr>
                <w:color w:val="000000"/>
                <w:sz w:val="20"/>
                <w:szCs w:val="20"/>
              </w:rPr>
              <w:t>а</w:t>
            </w:r>
            <w:r>
              <w:rPr>
                <w:color w:val="000000"/>
                <w:sz w:val="20"/>
                <w:szCs w:val="20"/>
              </w:rPr>
              <w:t>нные представлены в виде среднего</w:t>
            </w:r>
            <w:r w:rsidR="00C34E4A" w:rsidRPr="007952C2">
              <w:rPr>
                <w:color w:val="000000"/>
                <w:sz w:val="20"/>
                <w:szCs w:val="20"/>
              </w:rPr>
              <w:t xml:space="preserve"> (стандартное отклонение);</w:t>
            </w:r>
            <w:r w:rsidR="00C34E4A" w:rsidRPr="007952C2">
              <w:rPr>
                <w:sz w:val="20"/>
                <w:szCs w:val="20"/>
              </w:rPr>
              <w:t xml:space="preserve"> MTX-naïve</w:t>
            </w:r>
            <w:r w:rsidR="00C34E4A" w:rsidRPr="007952C2">
              <w:rPr>
                <w:color w:val="000000"/>
                <w:sz w:val="20"/>
                <w:szCs w:val="20"/>
              </w:rPr>
              <w:t xml:space="preserve"> – пациенты, получившие менее 3 доз метотрексата (МТХ); наивные к другим обычным или биологическим БМАРП; БМАРП – </w:t>
            </w:r>
            <w:r w:rsidR="00C34E4A" w:rsidRPr="007952C2">
              <w:rPr>
                <w:iCs/>
                <w:sz w:val="20"/>
                <w:szCs w:val="20"/>
                <w:lang w:eastAsia="ru-RU"/>
              </w:rPr>
              <w:t>базисные противовоспалительные препараты</w:t>
            </w:r>
            <w:r w:rsidR="00C34E4A" w:rsidRPr="007952C2">
              <w:rPr>
                <w:color w:val="000000"/>
                <w:sz w:val="20"/>
                <w:szCs w:val="20"/>
              </w:rPr>
              <w:t xml:space="preserve">; IR – неадекватный клинический ответ; TNF – фактор некроза опухоли; </w:t>
            </w:r>
            <w:r w:rsidR="00C34E4A" w:rsidRPr="007952C2">
              <w:rPr>
                <w:sz w:val="20"/>
                <w:szCs w:val="20"/>
              </w:rPr>
              <w:t>DAS28-hsCRP</w:t>
            </w:r>
            <w:r w:rsidR="00C34E4A" w:rsidRPr="007952C2">
              <w:rPr>
                <w:color w:val="000000"/>
                <w:sz w:val="20"/>
                <w:szCs w:val="20"/>
              </w:rPr>
              <w:t xml:space="preserve"> – показатель активности заболевания в 28 суставах с помощью высокочувствительного анализа С-реактивного белка; RF – ревматоидный фактор; АСРА – антитела к циклическому цитруллинсодержащему пептиду; РА – ревматоидный артрит.  </w:t>
            </w:r>
          </w:p>
        </w:tc>
      </w:tr>
    </w:tbl>
    <w:p w14:paraId="75727089" w14:textId="77777777" w:rsidR="00C34E4A" w:rsidRPr="00841485" w:rsidRDefault="00C34E4A">
      <w:pPr>
        <w:spacing w:after="0" w:line="240" w:lineRule="auto"/>
        <w:contextualSpacing/>
        <w:rPr>
          <w:color w:val="000000"/>
        </w:rPr>
      </w:pPr>
    </w:p>
    <w:p w14:paraId="35612CDB" w14:textId="6A90CA23" w:rsidR="00C34E4A" w:rsidRPr="007952C2" w:rsidRDefault="00C34E4A" w:rsidP="0029110D">
      <w:pPr>
        <w:spacing w:after="0" w:line="240" w:lineRule="auto"/>
        <w:contextualSpacing/>
        <w:rPr>
          <w:b/>
          <w:i/>
          <w:iCs/>
        </w:rPr>
      </w:pPr>
      <w:bookmarkStart w:id="154" w:name="_Hlk118553740"/>
      <w:bookmarkStart w:id="155" w:name="_Hlk118558185"/>
      <w:r w:rsidRPr="007952C2">
        <w:rPr>
          <w:b/>
          <w:i/>
          <w:iCs/>
        </w:rPr>
        <w:t>Результаты исследования JADZ MTX-naive</w:t>
      </w:r>
      <w:bookmarkEnd w:id="154"/>
    </w:p>
    <w:p w14:paraId="6387FF19" w14:textId="77777777" w:rsidR="0029110D" w:rsidRDefault="0029110D">
      <w:pPr>
        <w:spacing w:after="0" w:line="240" w:lineRule="auto"/>
        <w:ind w:firstLine="708"/>
        <w:contextualSpacing/>
        <w:rPr>
          <w:color w:val="000000"/>
        </w:rPr>
      </w:pPr>
    </w:p>
    <w:p w14:paraId="6C029C3B" w14:textId="7645818D" w:rsidR="00C34E4A" w:rsidRPr="00710D59" w:rsidRDefault="00C34E4A">
      <w:pPr>
        <w:spacing w:after="0" w:line="240" w:lineRule="auto"/>
        <w:ind w:firstLine="708"/>
        <w:contextualSpacing/>
        <w:rPr>
          <w:color w:val="000000"/>
        </w:rPr>
      </w:pPr>
      <w:r w:rsidRPr="00710D59">
        <w:rPr>
          <w:color w:val="000000"/>
        </w:rPr>
        <w:t>Несмотря на то, что цель</w:t>
      </w:r>
      <w:r>
        <w:rPr>
          <w:color w:val="000000"/>
        </w:rPr>
        <w:t xml:space="preserve">ю исследования была проверка гипотезы не </w:t>
      </w:r>
      <w:r w:rsidRPr="00710D59">
        <w:rPr>
          <w:color w:val="000000"/>
        </w:rPr>
        <w:t>меньшей</w:t>
      </w:r>
      <w:r>
        <w:rPr>
          <w:color w:val="000000"/>
        </w:rPr>
        <w:t xml:space="preserve"> эффективности</w:t>
      </w:r>
      <w:r w:rsidRPr="00710D59">
        <w:rPr>
          <w:color w:val="000000"/>
        </w:rPr>
        <w:t xml:space="preserve"> для первичн</w:t>
      </w:r>
      <w:r>
        <w:rPr>
          <w:color w:val="000000"/>
        </w:rPr>
        <w:t xml:space="preserve">ой конечной точки – </w:t>
      </w:r>
      <w:r w:rsidRPr="00710D59">
        <w:rPr>
          <w:color w:val="000000"/>
        </w:rPr>
        <w:t xml:space="preserve">ACR20 было показано превосходство </w:t>
      </w:r>
      <w:r>
        <w:rPr>
          <w:color w:val="000000"/>
        </w:rPr>
        <w:t xml:space="preserve">при применении только </w:t>
      </w:r>
      <w:r w:rsidRPr="00710D59">
        <w:rPr>
          <w:color w:val="000000"/>
        </w:rPr>
        <w:t xml:space="preserve">барицитиниба или комбинации </w:t>
      </w:r>
      <w:r>
        <w:rPr>
          <w:color w:val="000000"/>
        </w:rPr>
        <w:t>барицитиниб</w:t>
      </w:r>
      <w:r w:rsidRPr="00710D59">
        <w:rPr>
          <w:color w:val="000000"/>
        </w:rPr>
        <w:t xml:space="preserve">+MTX по сравнению с </w:t>
      </w:r>
      <w:r>
        <w:rPr>
          <w:color w:val="000000"/>
        </w:rPr>
        <w:t>монотерапией</w:t>
      </w:r>
      <w:r w:rsidRPr="00710D59">
        <w:rPr>
          <w:color w:val="000000"/>
        </w:rPr>
        <w:t xml:space="preserve"> MTX.</w:t>
      </w:r>
    </w:p>
    <w:p w14:paraId="3B3078FF" w14:textId="4DCED7DD" w:rsidR="00C34E4A" w:rsidRPr="002F4447" w:rsidRDefault="00C34E4A">
      <w:pPr>
        <w:spacing w:after="0" w:line="240" w:lineRule="auto"/>
        <w:ind w:firstLine="708"/>
        <w:contextualSpacing/>
        <w:rPr>
          <w:color w:val="000000"/>
        </w:rPr>
      </w:pPr>
      <w:r>
        <w:rPr>
          <w:color w:val="000000"/>
        </w:rPr>
        <w:t>Также б</w:t>
      </w:r>
      <w:r w:rsidRPr="00710D59">
        <w:rPr>
          <w:color w:val="000000"/>
        </w:rPr>
        <w:t xml:space="preserve">ыло </w:t>
      </w:r>
      <w:r>
        <w:rPr>
          <w:color w:val="000000"/>
        </w:rPr>
        <w:t xml:space="preserve">доказано </w:t>
      </w:r>
      <w:r w:rsidRPr="00710D59">
        <w:rPr>
          <w:color w:val="000000"/>
        </w:rPr>
        <w:t>превосходство</w:t>
      </w:r>
      <w:r>
        <w:rPr>
          <w:color w:val="000000"/>
        </w:rPr>
        <w:t xml:space="preserve"> барицитиниба в индукции ремиссии заболевания у </w:t>
      </w:r>
      <w:r w:rsidRPr="00710D59">
        <w:rPr>
          <w:color w:val="000000"/>
        </w:rPr>
        <w:t>пациентов, по различным показателям активности заболевания</w:t>
      </w:r>
      <w:r>
        <w:rPr>
          <w:color w:val="000000"/>
        </w:rPr>
        <w:t xml:space="preserve">. </w:t>
      </w:r>
      <w:r w:rsidRPr="00D262F3">
        <w:rPr>
          <w:color w:val="000000"/>
        </w:rPr>
        <w:t xml:space="preserve">Статистически значимо большая доля пациентов, получавших барицитиниб в дозе 4 мг, по сравнению с плацебо или </w:t>
      </w:r>
      <w:r>
        <w:rPr>
          <w:color w:val="000000"/>
        </w:rPr>
        <w:t>МТХ</w:t>
      </w:r>
      <w:r w:rsidRPr="00D262F3">
        <w:rPr>
          <w:color w:val="000000"/>
        </w:rPr>
        <w:t>, достигла ремиссии (SDAI ≤ 3,3 и CDAI</w:t>
      </w:r>
      <w:r>
        <w:rPr>
          <w:color w:val="000000"/>
        </w:rPr>
        <w:t xml:space="preserve"> </w:t>
      </w:r>
      <w:r w:rsidRPr="00AE5464">
        <w:rPr>
          <w:color w:val="000000"/>
        </w:rPr>
        <w:t>[клинический индекс активности болезни]</w:t>
      </w:r>
      <w:r w:rsidRPr="00D262F3">
        <w:rPr>
          <w:color w:val="000000"/>
        </w:rPr>
        <w:t xml:space="preserve"> ≤ 2,8) или низкой активности заболевания или ремиссии (DAS28-</w:t>
      </w:r>
      <w:r>
        <w:rPr>
          <w:color w:val="000000"/>
          <w:lang w:val="en-US"/>
        </w:rPr>
        <w:t>ESR</w:t>
      </w:r>
      <w:r w:rsidRPr="00D262F3">
        <w:rPr>
          <w:color w:val="000000"/>
        </w:rPr>
        <w:t xml:space="preserve"> или DAS28-</w:t>
      </w:r>
      <w:r>
        <w:rPr>
          <w:color w:val="000000"/>
          <w:lang w:val="en-US"/>
        </w:rPr>
        <w:t>hsCRP</w:t>
      </w:r>
      <w:r w:rsidRPr="00D262F3">
        <w:rPr>
          <w:color w:val="000000"/>
        </w:rPr>
        <w:t xml:space="preserve">≤ 3,2 и DAS28- </w:t>
      </w:r>
      <w:r>
        <w:rPr>
          <w:color w:val="000000"/>
          <w:lang w:val="en-US"/>
        </w:rPr>
        <w:t>ESR</w:t>
      </w:r>
      <w:r w:rsidRPr="00D262F3">
        <w:rPr>
          <w:color w:val="000000"/>
        </w:rPr>
        <w:t xml:space="preserve"> или DAS28</w:t>
      </w:r>
      <w:r>
        <w:rPr>
          <w:color w:val="000000"/>
        </w:rPr>
        <w:t>-</w:t>
      </w:r>
      <w:r>
        <w:rPr>
          <w:color w:val="000000"/>
          <w:lang w:val="en-US"/>
        </w:rPr>
        <w:t>hsCRP</w:t>
      </w:r>
      <w:r w:rsidRPr="00D262F3">
        <w:rPr>
          <w:color w:val="000000"/>
        </w:rPr>
        <w:t xml:space="preserve"> &lt; 2,6) на 12-й и 24-й неделях</w:t>
      </w:r>
      <w:r>
        <w:rPr>
          <w:color w:val="000000"/>
        </w:rPr>
        <w:t xml:space="preserve">. </w:t>
      </w:r>
      <w:r w:rsidRPr="00D262F3">
        <w:rPr>
          <w:color w:val="000000"/>
        </w:rPr>
        <w:t xml:space="preserve">Уже на 4-й неделе наблюдались более высокие показатели ремиссии по сравнению с плацебо. Показатели ремиссии и низкой активности заболевания сохранялись </w:t>
      </w:r>
      <w:r w:rsidRPr="002F4447">
        <w:rPr>
          <w:color w:val="000000"/>
        </w:rPr>
        <w:t xml:space="preserve">не менее 2 лет </w:t>
      </w:r>
      <w:r w:rsidRPr="002F4447">
        <w:rPr>
          <w:color w:val="000000"/>
        </w:rPr>
        <w:fldChar w:fldCharType="begin"/>
      </w:r>
      <w:r w:rsidRPr="002F4447">
        <w:rPr>
          <w:color w:val="000000"/>
        </w:rPr>
        <w:instrText xml:space="preserve"> ADDIN ZOTERO_ITEM CSL_CITATION {"citationID":"8uq4HoRB","properties":{"formattedCitation":"[1,6]","plainCitation":"[1,6]","noteIndex":0},"citationItems":[{"id":3826,"uris":["http://zotero.org/groups/4514912/items/UB7ESC4C"],"itemData":{"id":3826,"type":"document","title":"Assessment report. Olumiant International non-proprietary name: baricitinib. Procedure No. EMEA/H/C/004085/0000. 2016"}},{"id":3829,"uris":["http://zotero.org/groups/4514912/items/H2A4BXNT"],"itemData":{"id":3829,"type":"document","title":"Summary of product characteristics. Olumiant."},"label":"page"}],"schema":"https://github.com/citation-style-language/schema/raw/master/csl-citation.json"} </w:instrText>
      </w:r>
      <w:r w:rsidRPr="002F4447">
        <w:rPr>
          <w:color w:val="000000"/>
        </w:rPr>
        <w:fldChar w:fldCharType="separate"/>
      </w:r>
      <w:r w:rsidRPr="002F4447">
        <w:t>[1,6]</w:t>
      </w:r>
      <w:r w:rsidRPr="002F4447">
        <w:rPr>
          <w:color w:val="000000"/>
        </w:rPr>
        <w:fldChar w:fldCharType="end"/>
      </w:r>
      <w:r w:rsidR="007952C2">
        <w:rPr>
          <w:color w:val="000000"/>
        </w:rPr>
        <w:t>.</w:t>
      </w:r>
    </w:p>
    <w:bookmarkEnd w:id="155"/>
    <w:p w14:paraId="4D9EA853" w14:textId="77777777" w:rsidR="00C34E4A" w:rsidRPr="002F4447" w:rsidRDefault="00C34E4A">
      <w:pPr>
        <w:spacing w:after="0" w:line="240" w:lineRule="auto"/>
        <w:ind w:firstLine="708"/>
        <w:contextualSpacing/>
        <w:rPr>
          <w:color w:val="000000"/>
        </w:rPr>
      </w:pPr>
    </w:p>
    <w:p w14:paraId="198019CF" w14:textId="77777777" w:rsidR="008C6732" w:rsidRDefault="008C6732">
      <w:pPr>
        <w:jc w:val="left"/>
        <w:rPr>
          <w:b/>
          <w:bCs/>
          <w:color w:val="000000"/>
        </w:rPr>
      </w:pPr>
      <w:r>
        <w:rPr>
          <w:b/>
          <w:bCs/>
          <w:color w:val="000000"/>
        </w:rPr>
        <w:br w:type="page"/>
      </w:r>
    </w:p>
    <w:p w14:paraId="5AAC6240" w14:textId="4B446268" w:rsidR="00C34E4A" w:rsidRDefault="007952C2">
      <w:pPr>
        <w:spacing w:after="0" w:line="240" w:lineRule="auto"/>
        <w:contextualSpacing/>
        <w:rPr>
          <w:color w:val="000000"/>
        </w:rPr>
      </w:pPr>
      <w:r>
        <w:rPr>
          <w:b/>
          <w:bCs/>
          <w:color w:val="000000"/>
        </w:rPr>
        <w:lastRenderedPageBreak/>
        <w:t>Рисунок 4-3.</w:t>
      </w:r>
      <w:r w:rsidR="00C34E4A" w:rsidRPr="002F4447">
        <w:rPr>
          <w:b/>
          <w:bCs/>
          <w:color w:val="000000"/>
        </w:rPr>
        <w:t xml:space="preserve"> </w:t>
      </w:r>
      <w:r w:rsidR="00C34E4A" w:rsidRPr="007952C2">
        <w:rPr>
          <w:bCs/>
          <w:color w:val="000000"/>
        </w:rPr>
        <w:t xml:space="preserve">Динамика показателя первичной конечной точки в исследовании </w:t>
      </w:r>
      <w:r w:rsidR="00C34E4A" w:rsidRPr="007952C2">
        <w:rPr>
          <w:bCs/>
          <w:color w:val="000000"/>
          <w:lang w:val="en-US"/>
        </w:rPr>
        <w:t>JADZ</w:t>
      </w:r>
      <w:r w:rsidRPr="007952C2">
        <w:rPr>
          <w:color w:val="000000"/>
        </w:rPr>
        <w:t>.</w:t>
      </w:r>
    </w:p>
    <w:p w14:paraId="224212E2" w14:textId="77777777" w:rsidR="00C34E4A" w:rsidRDefault="00C34E4A" w:rsidP="0029110D">
      <w:pPr>
        <w:spacing w:after="0" w:line="240" w:lineRule="auto"/>
        <w:contextualSpacing/>
        <w:jc w:val="left"/>
        <w:rPr>
          <w:color w:val="000000"/>
        </w:rPr>
      </w:pPr>
      <w:r>
        <w:rPr>
          <w:noProof/>
          <w:color w:val="000000"/>
          <w:lang w:eastAsia="ru-RU"/>
        </w:rPr>
        <w:drawing>
          <wp:inline distT="0" distB="0" distL="0" distR="0" wp14:anchorId="693AB249" wp14:editId="1E962A53">
            <wp:extent cx="4813540" cy="2967250"/>
            <wp:effectExtent l="0" t="0" r="635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a:extLst>
                        <a:ext uri="{28A0092B-C50C-407E-A947-70E740481C1C}">
                          <a14:useLocalDpi xmlns:a14="http://schemas.microsoft.com/office/drawing/2010/main" val="0"/>
                        </a:ext>
                      </a:extLst>
                    </a:blip>
                    <a:stretch>
                      <a:fillRect/>
                    </a:stretch>
                  </pic:blipFill>
                  <pic:spPr>
                    <a:xfrm>
                      <a:off x="0" y="0"/>
                      <a:ext cx="4825279" cy="2974486"/>
                    </a:xfrm>
                    <a:prstGeom prst="rect">
                      <a:avLst/>
                    </a:prstGeom>
                  </pic:spPr>
                </pic:pic>
              </a:graphicData>
            </a:graphic>
          </wp:inline>
        </w:drawing>
      </w:r>
    </w:p>
    <w:p w14:paraId="5BDB3593" w14:textId="0EB26471" w:rsidR="00C34E4A" w:rsidRPr="007952C2" w:rsidRDefault="007952C2">
      <w:pPr>
        <w:spacing w:after="0" w:line="240" w:lineRule="auto"/>
        <w:contextualSpacing/>
        <w:rPr>
          <w:color w:val="000000"/>
          <w:sz w:val="20"/>
          <w:szCs w:val="20"/>
        </w:rPr>
      </w:pPr>
      <w:r w:rsidRPr="007952C2">
        <w:rPr>
          <w:b/>
          <w:color w:val="000000"/>
          <w:sz w:val="20"/>
          <w:szCs w:val="20"/>
        </w:rPr>
        <w:t>Примечание:</w:t>
      </w:r>
      <w:r>
        <w:rPr>
          <w:color w:val="000000"/>
          <w:sz w:val="20"/>
          <w:szCs w:val="20"/>
        </w:rPr>
        <w:br/>
      </w:r>
      <w:r w:rsidR="00C34E4A" w:rsidRPr="007952C2">
        <w:rPr>
          <w:color w:val="000000"/>
          <w:sz w:val="20"/>
          <w:szCs w:val="20"/>
          <w:lang w:val="en-US"/>
        </w:rPr>
        <w:t>ACR</w:t>
      </w:r>
      <w:r w:rsidR="00C34E4A" w:rsidRPr="007952C2">
        <w:rPr>
          <w:color w:val="000000"/>
          <w:sz w:val="20"/>
          <w:szCs w:val="20"/>
        </w:rPr>
        <w:t>20/50/70 – у</w:t>
      </w:r>
      <w:r w:rsidR="00C34E4A" w:rsidRPr="007952C2">
        <w:rPr>
          <w:sz w:val="20"/>
          <w:szCs w:val="20"/>
        </w:rPr>
        <w:t xml:space="preserve">лучшение на 20/50/70% по данным критерия Американского колледжа ревматологии; % </w:t>
      </w:r>
      <w:r w:rsidR="00C34E4A" w:rsidRPr="007952C2">
        <w:rPr>
          <w:sz w:val="20"/>
          <w:szCs w:val="20"/>
          <w:lang w:val="en-US"/>
        </w:rPr>
        <w:t>patients</w:t>
      </w:r>
      <w:r w:rsidR="00C34E4A" w:rsidRPr="007952C2">
        <w:rPr>
          <w:sz w:val="20"/>
          <w:szCs w:val="20"/>
        </w:rPr>
        <w:t xml:space="preserve"> (</w:t>
      </w:r>
      <w:r w:rsidR="00C34E4A" w:rsidRPr="007952C2">
        <w:rPr>
          <w:sz w:val="20"/>
          <w:szCs w:val="20"/>
          <w:lang w:val="en-US"/>
        </w:rPr>
        <w:t>NRI</w:t>
      </w:r>
      <w:r w:rsidR="00C34E4A" w:rsidRPr="007952C2">
        <w:rPr>
          <w:sz w:val="20"/>
          <w:szCs w:val="20"/>
        </w:rPr>
        <w:t xml:space="preserve">) – % пациентов; </w:t>
      </w:r>
      <w:r w:rsidR="00C34E4A" w:rsidRPr="007952C2">
        <w:rPr>
          <w:sz w:val="20"/>
          <w:szCs w:val="20"/>
          <w:lang w:val="en-US"/>
        </w:rPr>
        <w:t>methotrexate</w:t>
      </w:r>
      <w:r w:rsidR="00C34E4A" w:rsidRPr="007952C2">
        <w:rPr>
          <w:sz w:val="20"/>
          <w:szCs w:val="20"/>
        </w:rPr>
        <w:t xml:space="preserve"> – метатрексат; </w:t>
      </w:r>
      <w:r w:rsidR="00C34E4A" w:rsidRPr="007952C2">
        <w:rPr>
          <w:sz w:val="20"/>
          <w:szCs w:val="20"/>
          <w:lang w:val="en-US"/>
        </w:rPr>
        <w:t>Baricitinib</w:t>
      </w:r>
      <w:r w:rsidR="00C34E4A" w:rsidRPr="007952C2">
        <w:rPr>
          <w:sz w:val="20"/>
          <w:szCs w:val="20"/>
        </w:rPr>
        <w:t xml:space="preserve"> – барицитиниб; </w:t>
      </w:r>
      <w:r w:rsidR="00C34E4A" w:rsidRPr="007952C2">
        <w:rPr>
          <w:sz w:val="20"/>
          <w:szCs w:val="20"/>
          <w:lang w:val="en-US"/>
        </w:rPr>
        <w:t>Combination</w:t>
      </w:r>
      <w:r w:rsidR="00C34E4A" w:rsidRPr="007952C2">
        <w:rPr>
          <w:sz w:val="20"/>
          <w:szCs w:val="20"/>
        </w:rPr>
        <w:t xml:space="preserve"> – комбинация препаратов; </w:t>
      </w:r>
      <w:r w:rsidR="00C34E4A" w:rsidRPr="007952C2">
        <w:rPr>
          <w:sz w:val="20"/>
          <w:szCs w:val="20"/>
          <w:lang w:val="en-US"/>
        </w:rPr>
        <w:t>Week</w:t>
      </w:r>
      <w:r w:rsidR="00C34E4A" w:rsidRPr="007952C2">
        <w:rPr>
          <w:sz w:val="20"/>
          <w:szCs w:val="20"/>
        </w:rPr>
        <w:t xml:space="preserve"> – неделя.</w:t>
      </w:r>
    </w:p>
    <w:p w14:paraId="03A34191" w14:textId="77777777" w:rsidR="00C34E4A" w:rsidRPr="00710D59" w:rsidRDefault="00C34E4A">
      <w:pPr>
        <w:spacing w:after="0" w:line="240" w:lineRule="auto"/>
        <w:ind w:firstLine="708"/>
        <w:contextualSpacing/>
        <w:rPr>
          <w:color w:val="000000"/>
        </w:rPr>
      </w:pPr>
    </w:p>
    <w:p w14:paraId="29170024" w14:textId="77777777" w:rsidR="00C34E4A" w:rsidRPr="002F4447" w:rsidRDefault="00C34E4A">
      <w:pPr>
        <w:spacing w:after="0" w:line="240" w:lineRule="auto"/>
        <w:ind w:firstLine="708"/>
        <w:contextualSpacing/>
      </w:pPr>
      <w:bookmarkStart w:id="156" w:name="_Hlk118558193"/>
      <w:r w:rsidRPr="00710D59">
        <w:rPr>
          <w:color w:val="000000"/>
        </w:rPr>
        <w:t xml:space="preserve">Структурная профилактика была лучше для комбинации </w:t>
      </w:r>
      <w:r>
        <w:rPr>
          <w:color w:val="000000"/>
        </w:rPr>
        <w:t xml:space="preserve">барицитиниб+МТХ </w:t>
      </w:r>
      <w:r w:rsidRPr="00710D59">
        <w:rPr>
          <w:color w:val="000000"/>
        </w:rPr>
        <w:t xml:space="preserve">по сравнению с монотерапией </w:t>
      </w:r>
      <w:r>
        <w:rPr>
          <w:color w:val="000000"/>
        </w:rPr>
        <w:t>МТХ</w:t>
      </w:r>
      <w:r w:rsidRPr="00710D59">
        <w:rPr>
          <w:color w:val="000000"/>
        </w:rPr>
        <w:t>. Тем не менее, снижение структурных показателей mTSS</w:t>
      </w:r>
      <w:r>
        <w:rPr>
          <w:color w:val="000000"/>
        </w:rPr>
        <w:t xml:space="preserve"> (</w:t>
      </w:r>
      <w:r w:rsidRPr="003C7F3C">
        <w:rPr>
          <w:rFonts w:eastAsia="Times New Roman"/>
          <w:iCs/>
        </w:rPr>
        <w:t>модифицированная общая оценка Sharp</w:t>
      </w:r>
      <w:r>
        <w:rPr>
          <w:color w:val="000000"/>
        </w:rPr>
        <w:t>)</w:t>
      </w:r>
      <w:r w:rsidRPr="00710D59">
        <w:rPr>
          <w:color w:val="000000"/>
        </w:rPr>
        <w:t xml:space="preserve">, которые в целом были небольшими по сравнению с исходным уровнем, было одинаковым при монотерапии барицитинибом и </w:t>
      </w:r>
      <w:r>
        <w:rPr>
          <w:color w:val="000000"/>
        </w:rPr>
        <w:t>МТХ</w:t>
      </w:r>
      <w:r w:rsidRPr="00710D59">
        <w:rPr>
          <w:color w:val="000000"/>
        </w:rPr>
        <w:t>.</w:t>
      </w:r>
      <w:r>
        <w:rPr>
          <w:color w:val="000000"/>
        </w:rPr>
        <w:t xml:space="preserve"> Также в ходе исследования показали, статистически значимое снижение значения </w:t>
      </w:r>
      <w:r w:rsidRPr="00030B0B">
        <w:t>DAS28-hsCRP</w:t>
      </w:r>
      <w:r>
        <w:t xml:space="preserve"> на протяжении всего периода исследования (</w:t>
      </w:r>
      <w:r w:rsidRPr="00A70FF7">
        <w:t>Рисунок 4-4</w:t>
      </w:r>
      <w:r w:rsidRPr="002F4447">
        <w:t xml:space="preserve">) </w:t>
      </w:r>
      <w:r w:rsidRPr="002F4447">
        <w:fldChar w:fldCharType="begin"/>
      </w:r>
      <w:r w:rsidRPr="002F4447">
        <w:instrText xml:space="preserve"> ADDIN ZOTERO_ITEM CSL_CITATION {"citationID":"KY4mLGNO","properties":{"formattedCitation":"[1]","plainCitation":"[1]","noteIndex":0},"citationItems":[{"id":3826,"uris":["http://zotero.org/groups/4514912/items/UB7ESC4C"],"itemData":{"id":3826,"type":"document","title":"Assessment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2F4447">
        <w:fldChar w:fldCharType="separate"/>
      </w:r>
      <w:r w:rsidRPr="002F4447">
        <w:t>[1]</w:t>
      </w:r>
      <w:r w:rsidRPr="002F4447">
        <w:fldChar w:fldCharType="end"/>
      </w:r>
      <w:r w:rsidRPr="002F4447">
        <w:t>.</w:t>
      </w:r>
    </w:p>
    <w:bookmarkEnd w:id="156"/>
    <w:p w14:paraId="726D1BD9" w14:textId="77777777" w:rsidR="00C34E4A" w:rsidRPr="002F4447" w:rsidRDefault="00C34E4A">
      <w:pPr>
        <w:spacing w:after="0" w:line="240" w:lineRule="auto"/>
        <w:ind w:firstLine="708"/>
        <w:contextualSpacing/>
      </w:pPr>
    </w:p>
    <w:p w14:paraId="44A9DDB5" w14:textId="43222B9A" w:rsidR="00C34E4A" w:rsidRPr="00D21480" w:rsidRDefault="007952C2">
      <w:pPr>
        <w:spacing w:after="0" w:line="240" w:lineRule="auto"/>
        <w:contextualSpacing/>
        <w:rPr>
          <w:color w:val="000000"/>
        </w:rPr>
      </w:pPr>
      <w:r>
        <w:rPr>
          <w:b/>
          <w:bCs/>
          <w:color w:val="000000"/>
        </w:rPr>
        <w:t>Рисунок 4-4.</w:t>
      </w:r>
      <w:r w:rsidR="00C34E4A" w:rsidRPr="002F4447">
        <w:rPr>
          <w:b/>
          <w:bCs/>
          <w:color w:val="000000"/>
        </w:rPr>
        <w:t xml:space="preserve"> </w:t>
      </w:r>
      <w:r w:rsidR="00C34E4A" w:rsidRPr="007952C2">
        <w:rPr>
          <w:bCs/>
          <w:color w:val="000000"/>
        </w:rPr>
        <w:t>Средние уровни DAS28-hsCRP в течение 52 недель в исследовании JADZ</w:t>
      </w:r>
      <w:r w:rsidRPr="007952C2">
        <w:rPr>
          <w:color w:val="000000"/>
        </w:rPr>
        <w:t>.</w:t>
      </w:r>
    </w:p>
    <w:p w14:paraId="43AB2F09" w14:textId="77777777" w:rsidR="00C34E4A" w:rsidRDefault="00C34E4A">
      <w:pPr>
        <w:spacing w:after="0" w:line="240" w:lineRule="auto"/>
        <w:contextualSpacing/>
        <w:rPr>
          <w:color w:val="000000"/>
        </w:rPr>
      </w:pPr>
      <w:r>
        <w:rPr>
          <w:noProof/>
          <w:color w:val="000000"/>
          <w:lang w:eastAsia="ru-RU"/>
        </w:rPr>
        <w:drawing>
          <wp:inline distT="0" distB="0" distL="0" distR="0" wp14:anchorId="3FBBC241" wp14:editId="774CD6CE">
            <wp:extent cx="4198665" cy="295886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8">
                      <a:extLst>
                        <a:ext uri="{28A0092B-C50C-407E-A947-70E740481C1C}">
                          <a14:useLocalDpi xmlns:a14="http://schemas.microsoft.com/office/drawing/2010/main" val="0"/>
                        </a:ext>
                      </a:extLst>
                    </a:blip>
                    <a:stretch>
                      <a:fillRect/>
                    </a:stretch>
                  </pic:blipFill>
                  <pic:spPr>
                    <a:xfrm>
                      <a:off x="0" y="0"/>
                      <a:ext cx="4217410" cy="2972071"/>
                    </a:xfrm>
                    <a:prstGeom prst="rect">
                      <a:avLst/>
                    </a:prstGeom>
                  </pic:spPr>
                </pic:pic>
              </a:graphicData>
            </a:graphic>
          </wp:inline>
        </w:drawing>
      </w:r>
    </w:p>
    <w:p w14:paraId="193854A6" w14:textId="453DAFDF" w:rsidR="00C34E4A" w:rsidRPr="007952C2" w:rsidRDefault="007952C2">
      <w:pPr>
        <w:spacing w:after="0" w:line="240" w:lineRule="auto"/>
        <w:contextualSpacing/>
        <w:rPr>
          <w:color w:val="000000"/>
          <w:sz w:val="20"/>
          <w:szCs w:val="20"/>
        </w:rPr>
      </w:pPr>
      <w:r w:rsidRPr="007952C2">
        <w:rPr>
          <w:b/>
          <w:color w:val="000000"/>
          <w:sz w:val="20"/>
          <w:szCs w:val="20"/>
        </w:rPr>
        <w:lastRenderedPageBreak/>
        <w:t>Примечание:</w:t>
      </w:r>
      <w:r>
        <w:rPr>
          <w:color w:val="000000"/>
          <w:sz w:val="20"/>
          <w:szCs w:val="20"/>
        </w:rPr>
        <w:br/>
      </w:r>
      <w:r w:rsidR="00C34E4A" w:rsidRPr="007952C2">
        <w:rPr>
          <w:sz w:val="20"/>
          <w:szCs w:val="20"/>
          <w:lang w:val="en-US"/>
        </w:rPr>
        <w:t>methotrexate</w:t>
      </w:r>
      <w:r w:rsidR="00C34E4A" w:rsidRPr="007952C2">
        <w:rPr>
          <w:sz w:val="20"/>
          <w:szCs w:val="20"/>
        </w:rPr>
        <w:t xml:space="preserve"> – метатрексат; </w:t>
      </w:r>
      <w:r w:rsidR="00C34E4A" w:rsidRPr="007952C2">
        <w:rPr>
          <w:sz w:val="20"/>
          <w:szCs w:val="20"/>
          <w:lang w:val="en-US"/>
        </w:rPr>
        <w:t>Baricitinib</w:t>
      </w:r>
      <w:r w:rsidR="00C34E4A" w:rsidRPr="007952C2">
        <w:rPr>
          <w:sz w:val="20"/>
          <w:szCs w:val="20"/>
        </w:rPr>
        <w:t xml:space="preserve"> – барицитиниб; </w:t>
      </w:r>
      <w:r w:rsidR="00C34E4A" w:rsidRPr="007952C2">
        <w:rPr>
          <w:sz w:val="20"/>
          <w:szCs w:val="20"/>
          <w:lang w:val="en-US"/>
        </w:rPr>
        <w:t>Combination</w:t>
      </w:r>
      <w:r w:rsidR="00C34E4A" w:rsidRPr="007952C2">
        <w:rPr>
          <w:sz w:val="20"/>
          <w:szCs w:val="20"/>
        </w:rPr>
        <w:t xml:space="preserve"> – комбинация препаратов; </w:t>
      </w:r>
      <w:r w:rsidR="00C34E4A" w:rsidRPr="007952C2">
        <w:rPr>
          <w:sz w:val="20"/>
          <w:szCs w:val="20"/>
          <w:lang w:val="en-US"/>
        </w:rPr>
        <w:t>Week</w:t>
      </w:r>
      <w:r w:rsidR="00C34E4A" w:rsidRPr="007952C2">
        <w:rPr>
          <w:sz w:val="20"/>
          <w:szCs w:val="20"/>
        </w:rPr>
        <w:t xml:space="preserve"> – неделя; </w:t>
      </w:r>
      <w:r w:rsidR="00C34E4A" w:rsidRPr="007952C2">
        <w:rPr>
          <w:sz w:val="20"/>
          <w:szCs w:val="20"/>
          <w:lang w:val="en-US"/>
        </w:rPr>
        <w:t>LS</w:t>
      </w:r>
      <w:r w:rsidR="00C34E4A" w:rsidRPr="007952C2">
        <w:rPr>
          <w:sz w:val="20"/>
          <w:szCs w:val="20"/>
        </w:rPr>
        <w:t xml:space="preserve"> </w:t>
      </w:r>
      <w:r w:rsidR="00C34E4A" w:rsidRPr="007952C2">
        <w:rPr>
          <w:sz w:val="20"/>
          <w:szCs w:val="20"/>
          <w:lang w:val="en-US"/>
        </w:rPr>
        <w:t>Mean</w:t>
      </w:r>
      <w:r w:rsidR="00C34E4A" w:rsidRPr="007952C2">
        <w:rPr>
          <w:sz w:val="20"/>
          <w:szCs w:val="20"/>
        </w:rPr>
        <w:t xml:space="preserve"> ∆ </w:t>
      </w:r>
      <w:r w:rsidR="00C34E4A" w:rsidRPr="007952C2">
        <w:rPr>
          <w:sz w:val="20"/>
          <w:szCs w:val="20"/>
          <w:lang w:val="en-US"/>
        </w:rPr>
        <w:t>from</w:t>
      </w:r>
      <w:r w:rsidR="00C34E4A" w:rsidRPr="007952C2">
        <w:rPr>
          <w:sz w:val="20"/>
          <w:szCs w:val="20"/>
        </w:rPr>
        <w:t xml:space="preserve"> </w:t>
      </w:r>
      <w:r w:rsidR="00C34E4A" w:rsidRPr="007952C2">
        <w:rPr>
          <w:sz w:val="20"/>
          <w:szCs w:val="20"/>
          <w:lang w:val="en-US"/>
        </w:rPr>
        <w:t>baseline</w:t>
      </w:r>
      <w:r w:rsidR="00C34E4A" w:rsidRPr="007952C2">
        <w:rPr>
          <w:sz w:val="20"/>
          <w:szCs w:val="20"/>
        </w:rPr>
        <w:t xml:space="preserve"> (</w:t>
      </w:r>
      <w:r w:rsidR="00C34E4A" w:rsidRPr="007952C2">
        <w:rPr>
          <w:sz w:val="20"/>
          <w:szCs w:val="20"/>
          <w:lang w:val="en-US"/>
        </w:rPr>
        <w:t>mBOCF</w:t>
      </w:r>
      <w:r w:rsidR="00C34E4A" w:rsidRPr="007952C2">
        <w:rPr>
          <w:sz w:val="20"/>
          <w:szCs w:val="20"/>
        </w:rPr>
        <w:t xml:space="preserve">) – метод наименьших квадратов. </w:t>
      </w:r>
    </w:p>
    <w:p w14:paraId="211418C2" w14:textId="77777777" w:rsidR="00C34E4A" w:rsidRPr="00380F2D" w:rsidRDefault="00C34E4A">
      <w:pPr>
        <w:spacing w:after="0" w:line="240" w:lineRule="auto"/>
        <w:contextualSpacing/>
        <w:rPr>
          <w:color w:val="000000"/>
        </w:rPr>
      </w:pPr>
    </w:p>
    <w:p w14:paraId="63F5417B" w14:textId="4FA78F88" w:rsidR="00C34E4A" w:rsidRPr="007952C2" w:rsidRDefault="00C34E4A" w:rsidP="0029110D">
      <w:pPr>
        <w:spacing w:after="0" w:line="240" w:lineRule="auto"/>
        <w:contextualSpacing/>
        <w:rPr>
          <w:b/>
          <w:i/>
          <w:iCs/>
        </w:rPr>
      </w:pPr>
      <w:bookmarkStart w:id="157" w:name="_Hlk118558198"/>
      <w:r w:rsidRPr="007952C2">
        <w:rPr>
          <w:b/>
          <w:i/>
          <w:iCs/>
        </w:rPr>
        <w:t xml:space="preserve">Результаты исследования </w:t>
      </w:r>
      <w:r w:rsidRPr="007952C2">
        <w:rPr>
          <w:b/>
          <w:i/>
          <w:iCs/>
          <w:lang w:val="en-US"/>
        </w:rPr>
        <w:t>JADV</w:t>
      </w:r>
      <w:r w:rsidRPr="007952C2">
        <w:rPr>
          <w:b/>
          <w:i/>
          <w:iCs/>
        </w:rPr>
        <w:t xml:space="preserve"> MTX-</w:t>
      </w:r>
      <w:r w:rsidRPr="007952C2">
        <w:rPr>
          <w:b/>
        </w:rPr>
        <w:t xml:space="preserve"> </w:t>
      </w:r>
      <w:r w:rsidRPr="007952C2">
        <w:rPr>
          <w:b/>
          <w:i/>
          <w:iCs/>
        </w:rPr>
        <w:t xml:space="preserve">IR </w:t>
      </w:r>
    </w:p>
    <w:p w14:paraId="143F12C2" w14:textId="77777777" w:rsidR="0029110D" w:rsidRDefault="0029110D">
      <w:pPr>
        <w:spacing w:after="0" w:line="240" w:lineRule="auto"/>
        <w:ind w:firstLine="708"/>
        <w:contextualSpacing/>
        <w:rPr>
          <w:color w:val="000000"/>
        </w:rPr>
      </w:pPr>
    </w:p>
    <w:p w14:paraId="52DE0524" w14:textId="27F8F0EA" w:rsidR="00C34E4A" w:rsidRPr="00710D59" w:rsidRDefault="00C34E4A">
      <w:pPr>
        <w:spacing w:after="0" w:line="240" w:lineRule="auto"/>
        <w:ind w:firstLine="708"/>
        <w:contextualSpacing/>
        <w:rPr>
          <w:color w:val="000000"/>
        </w:rPr>
      </w:pPr>
      <w:r w:rsidRPr="00710D59">
        <w:rPr>
          <w:color w:val="000000"/>
        </w:rPr>
        <w:t xml:space="preserve">Исследование </w:t>
      </w:r>
      <w:r w:rsidRPr="00710D59">
        <w:rPr>
          <w:color w:val="000000"/>
          <w:lang w:val="en-US"/>
        </w:rPr>
        <w:t>JADV</w:t>
      </w:r>
      <w:r w:rsidRPr="00710D59">
        <w:rPr>
          <w:color w:val="000000"/>
        </w:rPr>
        <w:t xml:space="preserve"> представляло собой 52-недельное рандомизированное двойное слепое плацебо- и активно-контролируемое амбулаторное исследование </w:t>
      </w:r>
      <w:r>
        <w:rPr>
          <w:color w:val="000000"/>
          <w:lang w:val="en-US"/>
        </w:rPr>
        <w:t>III</w:t>
      </w:r>
      <w:r>
        <w:rPr>
          <w:color w:val="000000"/>
        </w:rPr>
        <w:t xml:space="preserve"> </w:t>
      </w:r>
      <w:r w:rsidRPr="00710D59">
        <w:rPr>
          <w:color w:val="000000"/>
        </w:rPr>
        <w:t xml:space="preserve">фазы в параллельных группах, в котором оценивали эффективность и безопасность </w:t>
      </w:r>
      <w:r>
        <w:rPr>
          <w:color w:val="000000"/>
        </w:rPr>
        <w:t xml:space="preserve">барицитиниба </w:t>
      </w:r>
      <w:r w:rsidRPr="00710D59">
        <w:rPr>
          <w:color w:val="000000"/>
        </w:rPr>
        <w:t xml:space="preserve">у 1307 пациентов с неадекватным ответом на </w:t>
      </w:r>
      <w:r>
        <w:rPr>
          <w:color w:val="000000"/>
        </w:rPr>
        <w:t>МТХ</w:t>
      </w:r>
      <w:r w:rsidRPr="00710D59">
        <w:rPr>
          <w:color w:val="000000"/>
        </w:rPr>
        <w:t xml:space="preserve"> и у которых имелись признаки нарушения функции костной ткани</w:t>
      </w:r>
      <w:r>
        <w:rPr>
          <w:color w:val="000000"/>
        </w:rPr>
        <w:t xml:space="preserve"> (</w:t>
      </w:r>
      <w:r w:rsidRPr="00710D59">
        <w:rPr>
          <w:color w:val="000000"/>
        </w:rPr>
        <w:t>эрозия сустава</w:t>
      </w:r>
      <w:r>
        <w:rPr>
          <w:color w:val="000000"/>
        </w:rPr>
        <w:t>)</w:t>
      </w:r>
      <w:r w:rsidRPr="00710D59">
        <w:rPr>
          <w:color w:val="000000"/>
        </w:rPr>
        <w:t xml:space="preserve">. Пациенты должны были продолжать принимать стабильные дозы сопутствующего </w:t>
      </w:r>
      <w:r>
        <w:rPr>
          <w:color w:val="000000"/>
        </w:rPr>
        <w:t>МТХ</w:t>
      </w:r>
      <w:r w:rsidRPr="00710D59">
        <w:rPr>
          <w:color w:val="000000"/>
        </w:rPr>
        <w:t xml:space="preserve"> во время исследования</w:t>
      </w:r>
      <w:r>
        <w:rPr>
          <w:color w:val="000000"/>
        </w:rPr>
        <w:t xml:space="preserve"> </w:t>
      </w:r>
      <w:r w:rsidRPr="002F4447">
        <w:rPr>
          <w:color w:val="000000"/>
        </w:rPr>
        <w:fldChar w:fldCharType="begin"/>
      </w:r>
      <w:r w:rsidRPr="002F4447">
        <w:rPr>
          <w:color w:val="000000"/>
        </w:rPr>
        <w:instrText xml:space="preserve"> ADDIN ZOTERO_ITEM CSL_CITATION {"citationID":"2eQsu3dA","properties":{"formattedCitation":"[1]","plainCitation":"[1]","noteIndex":0},"citationItems":[{"id":3826,"uris":["http://zotero.org/groups/4514912/items/UB7ESC4C"],"itemData":{"id":3826,"type":"document","title":"Assessment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2F4447">
        <w:rPr>
          <w:color w:val="000000"/>
        </w:rPr>
        <w:fldChar w:fldCharType="separate"/>
      </w:r>
      <w:r w:rsidRPr="002F4447">
        <w:t>[1]</w:t>
      </w:r>
      <w:r w:rsidRPr="002F4447">
        <w:rPr>
          <w:color w:val="000000"/>
        </w:rPr>
        <w:fldChar w:fldCharType="end"/>
      </w:r>
      <w:r w:rsidRPr="00710D59">
        <w:rPr>
          <w:color w:val="000000"/>
        </w:rPr>
        <w:t>.</w:t>
      </w:r>
    </w:p>
    <w:p w14:paraId="2A7820C7" w14:textId="77777777" w:rsidR="00C34E4A" w:rsidRPr="00710D59" w:rsidRDefault="00C34E4A">
      <w:pPr>
        <w:spacing w:after="0" w:line="240" w:lineRule="auto"/>
        <w:ind w:firstLine="708"/>
        <w:rPr>
          <w:color w:val="000000"/>
        </w:rPr>
      </w:pPr>
      <w:r w:rsidRPr="00710D59">
        <w:rPr>
          <w:color w:val="000000"/>
        </w:rPr>
        <w:t>Группы лечения в качестве дополнительной терапии к стабильному метотрексату включали:</w:t>
      </w:r>
      <w:r>
        <w:rPr>
          <w:color w:val="000000"/>
        </w:rPr>
        <w:t xml:space="preserve"> </w:t>
      </w:r>
      <w:r w:rsidRPr="00710D59">
        <w:rPr>
          <w:color w:val="000000"/>
        </w:rPr>
        <w:t>4 мг барицитиниба один раз в день (52 недели)</w:t>
      </w:r>
      <w:r>
        <w:rPr>
          <w:color w:val="000000"/>
        </w:rPr>
        <w:t>; п</w:t>
      </w:r>
      <w:r w:rsidRPr="00710D59">
        <w:rPr>
          <w:color w:val="000000"/>
        </w:rPr>
        <w:t>лацебо (24 недели)</w:t>
      </w:r>
      <w:r>
        <w:rPr>
          <w:color w:val="000000"/>
        </w:rPr>
        <w:t xml:space="preserve">; </w:t>
      </w:r>
      <w:r w:rsidRPr="00710D59">
        <w:rPr>
          <w:color w:val="000000"/>
        </w:rPr>
        <w:t xml:space="preserve">40 мг </w:t>
      </w:r>
      <w:r w:rsidRPr="00A70FF7">
        <w:rPr>
          <w:color w:val="000000"/>
        </w:rPr>
        <w:t>адалимумаба (</w:t>
      </w:r>
      <w:r w:rsidRPr="00A70FF7">
        <w:rPr>
          <w:color w:val="000000"/>
          <w:lang w:val="en-US"/>
        </w:rPr>
        <w:t>ADA</w:t>
      </w:r>
      <w:r w:rsidRPr="00A70FF7">
        <w:rPr>
          <w:color w:val="000000"/>
        </w:rPr>
        <w:t>)</w:t>
      </w:r>
      <w:r w:rsidRPr="00710D59">
        <w:rPr>
          <w:color w:val="000000"/>
        </w:rPr>
        <w:t xml:space="preserve"> подкожно каждые 2 недели (52 недели)</w:t>
      </w:r>
      <w:r>
        <w:rPr>
          <w:color w:val="000000"/>
        </w:rPr>
        <w:t xml:space="preserve"> </w:t>
      </w:r>
      <w:r w:rsidRPr="002F4447">
        <w:rPr>
          <w:color w:val="000000"/>
        </w:rPr>
        <w:fldChar w:fldCharType="begin"/>
      </w:r>
      <w:r>
        <w:rPr>
          <w:color w:val="000000"/>
        </w:rPr>
        <w:instrText xml:space="preserve"> ADDIN ZOTERO_ITEM CSL_CITATION {"citationID":"82YDeTyH","properties":{"formattedCitation":"[1]","plainCitation":"[1]","noteIndex":0},"citationItems":[{"id":3826,"uris":["http://zotero.org/groups/4514912/items/UB7ESC4C"],"itemData":{"id":3826,"type":"document","title":"Assessment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2F4447">
        <w:rPr>
          <w:color w:val="000000"/>
        </w:rPr>
        <w:fldChar w:fldCharType="separate"/>
      </w:r>
      <w:r w:rsidRPr="002F4447">
        <w:t>[1]</w:t>
      </w:r>
      <w:r w:rsidRPr="002F4447">
        <w:rPr>
          <w:color w:val="000000"/>
        </w:rPr>
        <w:fldChar w:fldCharType="end"/>
      </w:r>
      <w:r>
        <w:rPr>
          <w:color w:val="000000"/>
        </w:rPr>
        <w:t>.</w:t>
      </w:r>
    </w:p>
    <w:p w14:paraId="5D8E3EF1" w14:textId="77777777" w:rsidR="00C34E4A" w:rsidRDefault="00C34E4A">
      <w:pPr>
        <w:spacing w:after="0" w:line="240" w:lineRule="auto"/>
        <w:ind w:firstLine="708"/>
        <w:contextualSpacing/>
        <w:rPr>
          <w:color w:val="000000"/>
        </w:rPr>
      </w:pPr>
      <w:r w:rsidRPr="00710D59">
        <w:rPr>
          <w:color w:val="000000"/>
        </w:rPr>
        <w:t xml:space="preserve">Первичные анализы показали превосходство </w:t>
      </w:r>
      <w:r>
        <w:rPr>
          <w:color w:val="000000"/>
        </w:rPr>
        <w:t>барицитиниба</w:t>
      </w:r>
      <w:r w:rsidRPr="00710D59">
        <w:rPr>
          <w:color w:val="000000"/>
        </w:rPr>
        <w:t xml:space="preserve"> 4 мг как над плацебо, так и над </w:t>
      </w:r>
      <w:r w:rsidRPr="00710D59">
        <w:rPr>
          <w:color w:val="000000"/>
          <w:lang w:val="en-US"/>
        </w:rPr>
        <w:t>ADA</w:t>
      </w:r>
      <w:r w:rsidRPr="00710D59">
        <w:rPr>
          <w:color w:val="000000"/>
        </w:rPr>
        <w:t xml:space="preserve">. </w:t>
      </w:r>
      <w:r w:rsidRPr="00710D59">
        <w:rPr>
          <w:color w:val="000000"/>
          <w:lang w:val="en-US"/>
        </w:rPr>
        <w:t>ACR</w:t>
      </w:r>
      <w:r w:rsidRPr="00710D59">
        <w:rPr>
          <w:color w:val="000000"/>
        </w:rPr>
        <w:t xml:space="preserve">20 на неделе 12 составлял 69,6% для </w:t>
      </w:r>
      <w:r>
        <w:rPr>
          <w:color w:val="000000"/>
        </w:rPr>
        <w:t>барицитиниба</w:t>
      </w:r>
      <w:r w:rsidRPr="00710D59">
        <w:rPr>
          <w:color w:val="000000"/>
        </w:rPr>
        <w:t xml:space="preserve"> 4 мг, 61,2% для </w:t>
      </w:r>
      <w:r w:rsidRPr="00710D59">
        <w:rPr>
          <w:color w:val="000000"/>
          <w:lang w:val="en-US"/>
        </w:rPr>
        <w:t>ADA</w:t>
      </w:r>
      <w:r w:rsidRPr="00710D59">
        <w:rPr>
          <w:color w:val="000000"/>
        </w:rPr>
        <w:t xml:space="preserve"> и 40,2% для плацебо (разница с плацебо 29,4 (95%</w:t>
      </w:r>
      <w:r>
        <w:rPr>
          <w:color w:val="000000"/>
        </w:rPr>
        <w:t xml:space="preserve"> доверительный интервал </w:t>
      </w:r>
      <w:r w:rsidRPr="00A70FF7">
        <w:rPr>
          <w:color w:val="000000"/>
        </w:rPr>
        <w:t>[</w:t>
      </w:r>
      <w:r w:rsidRPr="00710D59">
        <w:rPr>
          <w:color w:val="000000"/>
        </w:rPr>
        <w:t>ДИ</w:t>
      </w:r>
      <w:r w:rsidRPr="00A70FF7">
        <w:rPr>
          <w:color w:val="000000"/>
        </w:rPr>
        <w:t>]</w:t>
      </w:r>
      <w:r w:rsidRPr="00710D59">
        <w:rPr>
          <w:color w:val="000000"/>
        </w:rPr>
        <w:t xml:space="preserve"> 23,5</w:t>
      </w:r>
      <w:r>
        <w:rPr>
          <w:color w:val="000000"/>
        </w:rPr>
        <w:t>;</w:t>
      </w:r>
      <w:r w:rsidRPr="00710D59">
        <w:rPr>
          <w:color w:val="000000"/>
        </w:rPr>
        <w:t xml:space="preserve"> 35,4) и с </w:t>
      </w:r>
      <w:r w:rsidRPr="00710D59">
        <w:rPr>
          <w:color w:val="000000"/>
          <w:lang w:val="en-US"/>
        </w:rPr>
        <w:t>ADA</w:t>
      </w:r>
      <w:r w:rsidRPr="00710D59">
        <w:rPr>
          <w:color w:val="000000"/>
        </w:rPr>
        <w:t xml:space="preserve"> (8,4 (95%ДИ 1,7</w:t>
      </w:r>
      <w:r>
        <w:rPr>
          <w:color w:val="000000"/>
        </w:rPr>
        <w:t>;</w:t>
      </w:r>
      <w:r w:rsidRPr="00710D59">
        <w:rPr>
          <w:color w:val="000000"/>
        </w:rPr>
        <w:t xml:space="preserve"> 15,1)). </w:t>
      </w:r>
      <w:r>
        <w:rPr>
          <w:color w:val="000000"/>
        </w:rPr>
        <w:t>Превосходство барицитиниба над п</w:t>
      </w:r>
      <w:r w:rsidRPr="00710D59">
        <w:rPr>
          <w:color w:val="000000"/>
        </w:rPr>
        <w:t xml:space="preserve">лацебо и </w:t>
      </w:r>
      <w:r w:rsidRPr="00710D59">
        <w:rPr>
          <w:color w:val="000000"/>
          <w:lang w:val="en-US"/>
        </w:rPr>
        <w:t>ADA</w:t>
      </w:r>
      <w:r w:rsidRPr="00710D59">
        <w:rPr>
          <w:color w:val="000000"/>
        </w:rPr>
        <w:t xml:space="preserve"> был</w:t>
      </w:r>
      <w:r>
        <w:rPr>
          <w:color w:val="000000"/>
        </w:rPr>
        <w:t>о</w:t>
      </w:r>
      <w:r w:rsidRPr="00710D59">
        <w:rPr>
          <w:color w:val="000000"/>
        </w:rPr>
        <w:t xml:space="preserve"> подтвержден</w:t>
      </w:r>
      <w:r>
        <w:rPr>
          <w:color w:val="000000"/>
        </w:rPr>
        <w:t xml:space="preserve">о также </w:t>
      </w:r>
      <w:r w:rsidRPr="00710D59">
        <w:rPr>
          <w:color w:val="000000"/>
        </w:rPr>
        <w:t xml:space="preserve">для более строгих конечных точек </w:t>
      </w:r>
      <w:r>
        <w:rPr>
          <w:color w:val="000000"/>
        </w:rPr>
        <w:t xml:space="preserve">– </w:t>
      </w:r>
      <w:r w:rsidRPr="00710D59">
        <w:rPr>
          <w:color w:val="000000"/>
          <w:lang w:val="en-US"/>
        </w:rPr>
        <w:t>ACR</w:t>
      </w:r>
      <w:r w:rsidRPr="00710D59">
        <w:rPr>
          <w:color w:val="000000"/>
        </w:rPr>
        <w:t xml:space="preserve">50 и </w:t>
      </w:r>
      <w:r w:rsidRPr="00710D59">
        <w:rPr>
          <w:color w:val="000000"/>
          <w:lang w:val="en-US"/>
        </w:rPr>
        <w:t>ACR</w:t>
      </w:r>
      <w:r w:rsidRPr="00710D59">
        <w:rPr>
          <w:color w:val="000000"/>
        </w:rPr>
        <w:t xml:space="preserve">70, </w:t>
      </w:r>
      <w:r>
        <w:rPr>
          <w:color w:val="000000"/>
        </w:rPr>
        <w:t>при этом фармакодинамический эффект барицитиниба</w:t>
      </w:r>
      <w:r w:rsidRPr="00710D59">
        <w:rPr>
          <w:color w:val="000000"/>
        </w:rPr>
        <w:t xml:space="preserve"> сохранялся до 52 недел</w:t>
      </w:r>
      <w:r>
        <w:rPr>
          <w:color w:val="000000"/>
        </w:rPr>
        <w:t>ь</w:t>
      </w:r>
      <w:r w:rsidRPr="00710D59">
        <w:rPr>
          <w:color w:val="000000"/>
        </w:rPr>
        <w:t xml:space="preserve"> </w:t>
      </w:r>
      <w:r w:rsidRPr="00A70FF7">
        <w:rPr>
          <w:color w:val="000000"/>
        </w:rPr>
        <w:t>(рисунки 4-5 и 4-6</w:t>
      </w:r>
      <w:r w:rsidRPr="00710D59">
        <w:rPr>
          <w:color w:val="000000"/>
        </w:rPr>
        <w:t>)</w:t>
      </w:r>
      <w:r>
        <w:rPr>
          <w:color w:val="000000"/>
        </w:rPr>
        <w:t xml:space="preserve"> </w:t>
      </w:r>
      <w:r w:rsidRPr="002F4447">
        <w:rPr>
          <w:color w:val="000000"/>
        </w:rPr>
        <w:fldChar w:fldCharType="begin"/>
      </w:r>
      <w:r>
        <w:rPr>
          <w:color w:val="000000"/>
        </w:rPr>
        <w:instrText xml:space="preserve"> ADDIN ZOTERO_ITEM CSL_CITATION {"citationID":"ogu6X6g9","properties":{"formattedCitation":"[1]","plainCitation":"[1]","noteIndex":0},"citationItems":[{"id":3826,"uris":["http://zotero.org/groups/4514912/items/UB7ESC4C"],"itemData":{"id":3826,"type":"document","title":"Assessment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2F4447">
        <w:rPr>
          <w:color w:val="000000"/>
        </w:rPr>
        <w:fldChar w:fldCharType="separate"/>
      </w:r>
      <w:r w:rsidRPr="002F4447">
        <w:t>[1]</w:t>
      </w:r>
      <w:r w:rsidRPr="002F4447">
        <w:rPr>
          <w:color w:val="000000"/>
        </w:rPr>
        <w:fldChar w:fldCharType="end"/>
      </w:r>
      <w:r w:rsidRPr="00710D59">
        <w:rPr>
          <w:color w:val="000000"/>
        </w:rPr>
        <w:t>.</w:t>
      </w:r>
    </w:p>
    <w:bookmarkEnd w:id="157"/>
    <w:p w14:paraId="35119CC9" w14:textId="77777777" w:rsidR="00C34E4A" w:rsidRDefault="00C34E4A">
      <w:pPr>
        <w:spacing w:after="0" w:line="240" w:lineRule="auto"/>
        <w:contextualSpacing/>
        <w:rPr>
          <w:color w:val="000000"/>
          <w:highlight w:val="yellow"/>
        </w:rPr>
      </w:pPr>
    </w:p>
    <w:p w14:paraId="68FE2493" w14:textId="3351B852" w:rsidR="00C34E4A" w:rsidRDefault="007952C2">
      <w:pPr>
        <w:spacing w:after="0" w:line="240" w:lineRule="auto"/>
        <w:contextualSpacing/>
        <w:rPr>
          <w:color w:val="000000"/>
        </w:rPr>
      </w:pPr>
      <w:r>
        <w:rPr>
          <w:b/>
          <w:bCs/>
          <w:color w:val="000000"/>
        </w:rPr>
        <w:t>Рисунок 4-5.</w:t>
      </w:r>
      <w:r w:rsidR="00C34E4A" w:rsidRPr="00A70FF7">
        <w:rPr>
          <w:b/>
          <w:bCs/>
          <w:color w:val="000000"/>
        </w:rPr>
        <w:t xml:space="preserve"> </w:t>
      </w:r>
      <w:r w:rsidR="00C34E4A" w:rsidRPr="007952C2">
        <w:rPr>
          <w:bCs/>
          <w:color w:val="000000"/>
        </w:rPr>
        <w:t>Динамика показателей ACR в ходе исследования JADV</w:t>
      </w:r>
      <w:r w:rsidRPr="007952C2">
        <w:rPr>
          <w:color w:val="000000"/>
        </w:rPr>
        <w:t>.</w:t>
      </w:r>
    </w:p>
    <w:p w14:paraId="14CF68F3" w14:textId="6118DDA8" w:rsidR="00C34E4A" w:rsidRPr="00710D59" w:rsidRDefault="00C34E4A" w:rsidP="0029110D">
      <w:pPr>
        <w:spacing w:after="0" w:line="240" w:lineRule="auto"/>
        <w:contextualSpacing/>
        <w:rPr>
          <w:color w:val="000000"/>
        </w:rPr>
      </w:pPr>
      <w:r>
        <w:rPr>
          <w:noProof/>
          <w:color w:val="000000"/>
          <w:lang w:eastAsia="ru-RU"/>
        </w:rPr>
        <w:drawing>
          <wp:inline distT="0" distB="0" distL="0" distR="0" wp14:anchorId="33933E9D" wp14:editId="7C84E1F6">
            <wp:extent cx="4977441" cy="351581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9">
                      <a:extLst>
                        <a:ext uri="{28A0092B-C50C-407E-A947-70E740481C1C}">
                          <a14:useLocalDpi xmlns:a14="http://schemas.microsoft.com/office/drawing/2010/main" val="0"/>
                        </a:ext>
                      </a:extLst>
                    </a:blip>
                    <a:stretch>
                      <a:fillRect/>
                    </a:stretch>
                  </pic:blipFill>
                  <pic:spPr>
                    <a:xfrm>
                      <a:off x="0" y="0"/>
                      <a:ext cx="5002430" cy="3533463"/>
                    </a:xfrm>
                    <a:prstGeom prst="rect">
                      <a:avLst/>
                    </a:prstGeom>
                  </pic:spPr>
                </pic:pic>
              </a:graphicData>
            </a:graphic>
          </wp:inline>
        </w:drawing>
      </w:r>
    </w:p>
    <w:p w14:paraId="73F9FC87" w14:textId="57A54F5F" w:rsidR="00C34E4A" w:rsidRPr="007952C2" w:rsidRDefault="007952C2">
      <w:pPr>
        <w:spacing w:after="0" w:line="240" w:lineRule="auto"/>
        <w:contextualSpacing/>
        <w:rPr>
          <w:color w:val="000000"/>
          <w:sz w:val="20"/>
          <w:szCs w:val="20"/>
        </w:rPr>
      </w:pPr>
      <w:r w:rsidRPr="007952C2">
        <w:rPr>
          <w:b/>
          <w:color w:val="000000"/>
          <w:sz w:val="20"/>
          <w:szCs w:val="20"/>
        </w:rPr>
        <w:t>Примечание:</w:t>
      </w:r>
      <w:r>
        <w:rPr>
          <w:color w:val="000000"/>
          <w:sz w:val="20"/>
          <w:szCs w:val="20"/>
        </w:rPr>
        <w:br/>
      </w:r>
      <w:r w:rsidR="00C34E4A" w:rsidRPr="007952C2">
        <w:rPr>
          <w:color w:val="000000"/>
          <w:sz w:val="20"/>
          <w:szCs w:val="20"/>
          <w:lang w:val="en-US"/>
        </w:rPr>
        <w:t>ACR</w:t>
      </w:r>
      <w:r w:rsidR="00C34E4A" w:rsidRPr="007952C2">
        <w:rPr>
          <w:color w:val="000000"/>
          <w:sz w:val="20"/>
          <w:szCs w:val="20"/>
        </w:rPr>
        <w:t>20/50/70 – у</w:t>
      </w:r>
      <w:r w:rsidR="00C34E4A" w:rsidRPr="007952C2">
        <w:rPr>
          <w:sz w:val="20"/>
          <w:szCs w:val="20"/>
        </w:rPr>
        <w:t xml:space="preserve">лучшение на 20/50/70% по данным критерия Американского колледжа ревматологии; % </w:t>
      </w:r>
      <w:r w:rsidR="00C34E4A" w:rsidRPr="007952C2">
        <w:rPr>
          <w:sz w:val="20"/>
          <w:szCs w:val="20"/>
          <w:lang w:val="en-US"/>
        </w:rPr>
        <w:t>patients</w:t>
      </w:r>
      <w:r w:rsidR="00C34E4A" w:rsidRPr="007952C2">
        <w:rPr>
          <w:sz w:val="20"/>
          <w:szCs w:val="20"/>
        </w:rPr>
        <w:t xml:space="preserve"> (</w:t>
      </w:r>
      <w:r w:rsidR="00C34E4A" w:rsidRPr="007952C2">
        <w:rPr>
          <w:sz w:val="20"/>
          <w:szCs w:val="20"/>
          <w:lang w:val="en-US"/>
        </w:rPr>
        <w:t>NRI</w:t>
      </w:r>
      <w:r w:rsidR="00C34E4A" w:rsidRPr="007952C2">
        <w:rPr>
          <w:sz w:val="20"/>
          <w:szCs w:val="20"/>
        </w:rPr>
        <w:t xml:space="preserve">) – % пациентов; </w:t>
      </w:r>
      <w:r w:rsidR="00C34E4A" w:rsidRPr="007952C2">
        <w:rPr>
          <w:sz w:val="20"/>
          <w:szCs w:val="20"/>
          <w:lang w:val="en-US"/>
        </w:rPr>
        <w:t>Placebo</w:t>
      </w:r>
      <w:r w:rsidR="00C34E4A" w:rsidRPr="007952C2">
        <w:rPr>
          <w:sz w:val="20"/>
          <w:szCs w:val="20"/>
        </w:rPr>
        <w:t xml:space="preserve"> – плацебо; </w:t>
      </w:r>
      <w:r w:rsidR="00C34E4A" w:rsidRPr="007952C2">
        <w:rPr>
          <w:sz w:val="20"/>
          <w:szCs w:val="20"/>
          <w:lang w:val="en-US"/>
        </w:rPr>
        <w:t>Baricitinib</w:t>
      </w:r>
      <w:r w:rsidR="00C34E4A" w:rsidRPr="007952C2">
        <w:rPr>
          <w:sz w:val="20"/>
          <w:szCs w:val="20"/>
        </w:rPr>
        <w:t xml:space="preserve"> – барицитиниб; </w:t>
      </w:r>
      <w:r w:rsidR="00C34E4A" w:rsidRPr="007952C2">
        <w:rPr>
          <w:sz w:val="20"/>
          <w:szCs w:val="20"/>
          <w:lang w:val="en-US"/>
        </w:rPr>
        <w:t>Adalimumab</w:t>
      </w:r>
      <w:r w:rsidR="00C34E4A" w:rsidRPr="007952C2">
        <w:rPr>
          <w:sz w:val="20"/>
          <w:szCs w:val="20"/>
        </w:rPr>
        <w:t xml:space="preserve"> – адалимумаб. </w:t>
      </w:r>
    </w:p>
    <w:p w14:paraId="5859C778" w14:textId="77777777" w:rsidR="00C34E4A" w:rsidRPr="005A4480" w:rsidRDefault="00C34E4A">
      <w:pPr>
        <w:spacing w:after="0" w:line="240" w:lineRule="auto"/>
        <w:contextualSpacing/>
        <w:rPr>
          <w:color w:val="000000"/>
        </w:rPr>
      </w:pPr>
    </w:p>
    <w:p w14:paraId="07462D53" w14:textId="2AAEF3CE" w:rsidR="00C34E4A" w:rsidRDefault="00C34E4A">
      <w:pPr>
        <w:spacing w:after="0" w:line="240" w:lineRule="auto"/>
        <w:ind w:firstLine="708"/>
        <w:contextualSpacing/>
        <w:rPr>
          <w:color w:val="000000"/>
        </w:rPr>
      </w:pPr>
      <w:bookmarkStart w:id="158" w:name="_Hlk118558209"/>
      <w:r>
        <w:rPr>
          <w:color w:val="000000"/>
        </w:rPr>
        <w:lastRenderedPageBreak/>
        <w:t xml:space="preserve">Длительность сохранения эффекта также оценивали по динамике </w:t>
      </w:r>
      <w:r w:rsidRPr="00710D59">
        <w:rPr>
          <w:color w:val="000000"/>
        </w:rPr>
        <w:t>DAS28-hsCRP</w:t>
      </w:r>
      <w:r>
        <w:rPr>
          <w:color w:val="000000"/>
        </w:rPr>
        <w:t xml:space="preserve"> </w:t>
      </w:r>
      <w:r w:rsidRPr="00A70FF7">
        <w:rPr>
          <w:color w:val="000000"/>
        </w:rPr>
        <w:t>(Рисунок 4-</w:t>
      </w:r>
      <w:r>
        <w:rPr>
          <w:color w:val="000000"/>
        </w:rPr>
        <w:t xml:space="preserve">7). В ходе исследования регистрировали длительный фармакодинамический эффект барицитиниба, сохранявшийся на протяжении 52 недель от начала лечения </w:t>
      </w:r>
      <w:r w:rsidRPr="002F4447">
        <w:rPr>
          <w:color w:val="000000"/>
        </w:rPr>
        <w:fldChar w:fldCharType="begin"/>
      </w:r>
      <w:r>
        <w:rPr>
          <w:color w:val="000000"/>
        </w:rPr>
        <w:instrText xml:space="preserve"> ADDIN ZOTERO_ITEM CSL_CITATION {"citationID":"lWBDaasQ","properties":{"formattedCitation":"[1]","plainCitation":"[1]","noteIndex":0},"citationItems":[{"id":3826,"uris":["http://zotero.org/groups/4514912/items/UB7ESC4C"],"itemData":{"id":3826,"type":"document","title":"Assessment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2F4447">
        <w:rPr>
          <w:color w:val="000000"/>
        </w:rPr>
        <w:fldChar w:fldCharType="separate"/>
      </w:r>
      <w:r w:rsidRPr="002F4447">
        <w:t>[1]</w:t>
      </w:r>
      <w:r w:rsidRPr="002F4447">
        <w:rPr>
          <w:color w:val="000000"/>
        </w:rPr>
        <w:fldChar w:fldCharType="end"/>
      </w:r>
      <w:r>
        <w:rPr>
          <w:color w:val="000000"/>
        </w:rPr>
        <w:t xml:space="preserve">. </w:t>
      </w:r>
    </w:p>
    <w:bookmarkEnd w:id="158"/>
    <w:p w14:paraId="7FFF89D7" w14:textId="77777777" w:rsidR="0029110D" w:rsidRDefault="0029110D">
      <w:pPr>
        <w:spacing w:after="0" w:line="240" w:lineRule="auto"/>
        <w:contextualSpacing/>
        <w:rPr>
          <w:b/>
          <w:bCs/>
          <w:color w:val="000000"/>
        </w:rPr>
      </w:pPr>
    </w:p>
    <w:p w14:paraId="46F61C38" w14:textId="07526BD5" w:rsidR="00C34E4A" w:rsidRPr="00A70FF7" w:rsidRDefault="007952C2">
      <w:pPr>
        <w:spacing w:after="0" w:line="240" w:lineRule="auto"/>
        <w:contextualSpacing/>
        <w:rPr>
          <w:b/>
          <w:bCs/>
          <w:color w:val="000000"/>
        </w:rPr>
      </w:pPr>
      <w:r>
        <w:rPr>
          <w:b/>
          <w:bCs/>
          <w:color w:val="000000"/>
        </w:rPr>
        <w:t>Рисунок 4-7.</w:t>
      </w:r>
      <w:r w:rsidR="00C34E4A" w:rsidRPr="00A70FF7">
        <w:rPr>
          <w:b/>
          <w:bCs/>
          <w:color w:val="000000"/>
        </w:rPr>
        <w:t xml:space="preserve"> </w:t>
      </w:r>
      <w:r w:rsidR="00C34E4A" w:rsidRPr="007952C2">
        <w:rPr>
          <w:bCs/>
          <w:color w:val="000000"/>
        </w:rPr>
        <w:t>Средние показатели DAS28-hsCRP на протяжении 52 недель исследования JADV</w:t>
      </w:r>
      <w:r w:rsidRPr="007952C2">
        <w:rPr>
          <w:bCs/>
          <w:color w:val="000000"/>
        </w:rPr>
        <w:t>.</w:t>
      </w:r>
    </w:p>
    <w:p w14:paraId="6AA578A4" w14:textId="77777777" w:rsidR="00C34E4A" w:rsidRDefault="00C34E4A">
      <w:pPr>
        <w:spacing w:after="0" w:line="240" w:lineRule="auto"/>
        <w:contextualSpacing/>
        <w:rPr>
          <w:color w:val="000000"/>
        </w:rPr>
      </w:pPr>
      <w:r>
        <w:rPr>
          <w:noProof/>
          <w:color w:val="000000"/>
          <w:lang w:eastAsia="ru-RU"/>
        </w:rPr>
        <w:drawing>
          <wp:inline distT="0" distB="0" distL="0" distR="0" wp14:anchorId="53F58650" wp14:editId="7A9B5E04">
            <wp:extent cx="4710023" cy="318546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0">
                      <a:extLst>
                        <a:ext uri="{28A0092B-C50C-407E-A947-70E740481C1C}">
                          <a14:useLocalDpi xmlns:a14="http://schemas.microsoft.com/office/drawing/2010/main" val="0"/>
                        </a:ext>
                      </a:extLst>
                    </a:blip>
                    <a:stretch>
                      <a:fillRect/>
                    </a:stretch>
                  </pic:blipFill>
                  <pic:spPr>
                    <a:xfrm>
                      <a:off x="0" y="0"/>
                      <a:ext cx="4726643" cy="3196703"/>
                    </a:xfrm>
                    <a:prstGeom prst="rect">
                      <a:avLst/>
                    </a:prstGeom>
                  </pic:spPr>
                </pic:pic>
              </a:graphicData>
            </a:graphic>
          </wp:inline>
        </w:drawing>
      </w:r>
    </w:p>
    <w:p w14:paraId="6873DE05" w14:textId="77777777" w:rsidR="007952C2" w:rsidRPr="007952C2" w:rsidRDefault="007952C2">
      <w:pPr>
        <w:spacing w:after="0" w:line="240" w:lineRule="auto"/>
        <w:contextualSpacing/>
        <w:rPr>
          <w:b/>
          <w:color w:val="000000"/>
          <w:sz w:val="20"/>
          <w:szCs w:val="20"/>
        </w:rPr>
      </w:pPr>
      <w:r w:rsidRPr="007952C2">
        <w:rPr>
          <w:b/>
          <w:color w:val="000000"/>
          <w:sz w:val="20"/>
          <w:szCs w:val="20"/>
        </w:rPr>
        <w:t>Примечание:</w:t>
      </w:r>
    </w:p>
    <w:p w14:paraId="691225C9" w14:textId="40195D8D" w:rsidR="00C34E4A" w:rsidRPr="007952C2" w:rsidRDefault="00C34E4A">
      <w:pPr>
        <w:spacing w:after="0" w:line="240" w:lineRule="auto"/>
        <w:contextualSpacing/>
        <w:rPr>
          <w:color w:val="000000"/>
          <w:sz w:val="20"/>
          <w:szCs w:val="20"/>
        </w:rPr>
      </w:pPr>
      <w:r w:rsidRPr="007952C2">
        <w:rPr>
          <w:sz w:val="20"/>
          <w:szCs w:val="20"/>
          <w:lang w:val="en-US"/>
        </w:rPr>
        <w:t>Placebo</w:t>
      </w:r>
      <w:r w:rsidRPr="007952C2">
        <w:rPr>
          <w:sz w:val="20"/>
          <w:szCs w:val="20"/>
        </w:rPr>
        <w:t xml:space="preserve"> – плацебо; </w:t>
      </w:r>
      <w:r w:rsidRPr="007952C2">
        <w:rPr>
          <w:sz w:val="20"/>
          <w:szCs w:val="20"/>
          <w:lang w:val="en-US"/>
        </w:rPr>
        <w:t>Baricitinib</w:t>
      </w:r>
      <w:r w:rsidRPr="007952C2">
        <w:rPr>
          <w:sz w:val="20"/>
          <w:szCs w:val="20"/>
        </w:rPr>
        <w:t xml:space="preserve"> – барицитиниб; </w:t>
      </w:r>
      <w:r w:rsidRPr="007952C2">
        <w:rPr>
          <w:sz w:val="20"/>
          <w:szCs w:val="20"/>
          <w:lang w:val="en-US"/>
        </w:rPr>
        <w:t>Adalimumab</w:t>
      </w:r>
      <w:r w:rsidRPr="007952C2">
        <w:rPr>
          <w:sz w:val="20"/>
          <w:szCs w:val="20"/>
        </w:rPr>
        <w:t xml:space="preserve"> – адалимумаб; </w:t>
      </w:r>
      <w:r w:rsidRPr="007952C2">
        <w:rPr>
          <w:sz w:val="20"/>
          <w:szCs w:val="20"/>
          <w:lang w:val="en-US"/>
        </w:rPr>
        <w:t>week</w:t>
      </w:r>
      <w:r w:rsidRPr="007952C2">
        <w:rPr>
          <w:sz w:val="20"/>
          <w:szCs w:val="20"/>
        </w:rPr>
        <w:t xml:space="preserve"> – недели; </w:t>
      </w:r>
      <w:r w:rsidRPr="007952C2">
        <w:rPr>
          <w:sz w:val="20"/>
          <w:szCs w:val="20"/>
          <w:lang w:val="en-US"/>
        </w:rPr>
        <w:t>LS</w:t>
      </w:r>
      <w:r w:rsidRPr="007952C2">
        <w:rPr>
          <w:sz w:val="20"/>
          <w:szCs w:val="20"/>
        </w:rPr>
        <w:t xml:space="preserve"> </w:t>
      </w:r>
      <w:r w:rsidRPr="007952C2">
        <w:rPr>
          <w:sz w:val="20"/>
          <w:szCs w:val="20"/>
          <w:lang w:val="en-US"/>
        </w:rPr>
        <w:t>Mean</w:t>
      </w:r>
      <w:r w:rsidRPr="007952C2">
        <w:rPr>
          <w:sz w:val="20"/>
          <w:szCs w:val="20"/>
        </w:rPr>
        <w:t xml:space="preserve"> ∆ </w:t>
      </w:r>
      <w:r w:rsidRPr="007952C2">
        <w:rPr>
          <w:sz w:val="20"/>
          <w:szCs w:val="20"/>
          <w:lang w:val="en-US"/>
        </w:rPr>
        <w:t>from</w:t>
      </w:r>
      <w:r w:rsidRPr="007952C2">
        <w:rPr>
          <w:sz w:val="20"/>
          <w:szCs w:val="20"/>
        </w:rPr>
        <w:t xml:space="preserve"> </w:t>
      </w:r>
      <w:r w:rsidRPr="007952C2">
        <w:rPr>
          <w:sz w:val="20"/>
          <w:szCs w:val="20"/>
          <w:lang w:val="en-US"/>
        </w:rPr>
        <w:t>baseline</w:t>
      </w:r>
      <w:r w:rsidRPr="007952C2">
        <w:rPr>
          <w:sz w:val="20"/>
          <w:szCs w:val="20"/>
        </w:rPr>
        <w:t xml:space="preserve"> (</w:t>
      </w:r>
      <w:r w:rsidRPr="007952C2">
        <w:rPr>
          <w:sz w:val="20"/>
          <w:szCs w:val="20"/>
          <w:lang w:val="en-US"/>
        </w:rPr>
        <w:t>mBOCF</w:t>
      </w:r>
      <w:r w:rsidRPr="007952C2">
        <w:rPr>
          <w:sz w:val="20"/>
          <w:szCs w:val="20"/>
        </w:rPr>
        <w:t>) – метод наименьших квадратов.</w:t>
      </w:r>
    </w:p>
    <w:p w14:paraId="784073AC" w14:textId="77777777" w:rsidR="00C34E4A" w:rsidRDefault="00C34E4A">
      <w:pPr>
        <w:spacing w:after="0" w:line="240" w:lineRule="auto"/>
        <w:contextualSpacing/>
        <w:rPr>
          <w:color w:val="000000"/>
        </w:rPr>
      </w:pPr>
    </w:p>
    <w:p w14:paraId="5BA27DA7" w14:textId="77777777" w:rsidR="00C34E4A" w:rsidRPr="007952C2" w:rsidRDefault="00C34E4A">
      <w:pPr>
        <w:spacing w:after="0" w:line="240" w:lineRule="auto"/>
        <w:ind w:firstLine="708"/>
        <w:contextualSpacing/>
        <w:rPr>
          <w:b/>
          <w:i/>
          <w:iCs/>
        </w:rPr>
      </w:pPr>
      <w:bookmarkStart w:id="159" w:name="_Hlk118558217"/>
      <w:r w:rsidRPr="007952C2">
        <w:rPr>
          <w:b/>
          <w:i/>
          <w:iCs/>
        </w:rPr>
        <w:t xml:space="preserve">Результаты исследования </w:t>
      </w:r>
      <w:r w:rsidRPr="007952C2">
        <w:rPr>
          <w:b/>
          <w:i/>
          <w:iCs/>
          <w:lang w:val="en-US"/>
        </w:rPr>
        <w:t>JADX</w:t>
      </w:r>
      <w:r w:rsidRPr="007952C2">
        <w:rPr>
          <w:b/>
          <w:i/>
          <w:iCs/>
        </w:rPr>
        <w:t xml:space="preserve"> </w:t>
      </w:r>
    </w:p>
    <w:p w14:paraId="03BB465D" w14:textId="77777777" w:rsidR="00C34E4A" w:rsidRPr="00710D59" w:rsidRDefault="00C34E4A">
      <w:pPr>
        <w:spacing w:after="0" w:line="240" w:lineRule="auto"/>
        <w:ind w:firstLine="708"/>
        <w:contextualSpacing/>
        <w:rPr>
          <w:color w:val="000000"/>
        </w:rPr>
      </w:pPr>
      <w:r w:rsidRPr="00710D59">
        <w:rPr>
          <w:color w:val="000000"/>
        </w:rPr>
        <w:t>Исследование JADX представляло собой 24-недельное рандомизированное, двойное слепое, плацебо</w:t>
      </w:r>
      <w:r>
        <w:rPr>
          <w:color w:val="000000"/>
        </w:rPr>
        <w:t xml:space="preserve"> </w:t>
      </w:r>
      <w:r w:rsidRPr="00710D59">
        <w:rPr>
          <w:color w:val="000000"/>
        </w:rPr>
        <w:t xml:space="preserve">контролируемое исследование </w:t>
      </w:r>
      <w:r>
        <w:rPr>
          <w:color w:val="000000"/>
          <w:lang w:val="en-US"/>
        </w:rPr>
        <w:t>III</w:t>
      </w:r>
      <w:r>
        <w:rPr>
          <w:color w:val="000000"/>
        </w:rPr>
        <w:t xml:space="preserve"> </w:t>
      </w:r>
      <w:r w:rsidRPr="00710D59">
        <w:rPr>
          <w:color w:val="000000"/>
        </w:rPr>
        <w:t xml:space="preserve">фазы, в котором оценивали эффективность и безопасность у 684 пациентов с активным РА от умеренной до тяжелой степени, несмотря на предшествующее или текущее лечение </w:t>
      </w:r>
      <w:r>
        <w:rPr>
          <w:rFonts w:eastAsia="Times New Roman"/>
          <w:iCs/>
          <w:lang w:eastAsia="ru-RU"/>
        </w:rPr>
        <w:t>БМАРП</w:t>
      </w:r>
      <w:r w:rsidRPr="00710D59">
        <w:rPr>
          <w:color w:val="000000"/>
        </w:rPr>
        <w:t xml:space="preserve">. Пациентам, участвовавшим в этом исследовании, было разрешено продолжать терапию </w:t>
      </w:r>
      <w:r>
        <w:rPr>
          <w:rFonts w:eastAsia="Times New Roman"/>
          <w:iCs/>
          <w:lang w:eastAsia="ru-RU"/>
        </w:rPr>
        <w:t>БМАРП</w:t>
      </w:r>
      <w:r w:rsidRPr="00710D59">
        <w:rPr>
          <w:color w:val="000000"/>
        </w:rPr>
        <w:t xml:space="preserve"> во время исследования, если </w:t>
      </w:r>
      <w:r>
        <w:rPr>
          <w:color w:val="000000"/>
        </w:rPr>
        <w:t xml:space="preserve">она была начата до начала исследования </w:t>
      </w:r>
      <w:r w:rsidRPr="002F4447">
        <w:rPr>
          <w:color w:val="000000"/>
        </w:rPr>
        <w:fldChar w:fldCharType="begin"/>
      </w:r>
      <w:r>
        <w:rPr>
          <w:color w:val="000000"/>
        </w:rPr>
        <w:instrText xml:space="preserve"> ADDIN ZOTERO_ITEM CSL_CITATION {"citationID":"U8CKFHn6","properties":{"formattedCitation":"[1]","plainCitation":"[1]","noteIndex":0},"citationItems":[{"id":3826,"uris":["http://zotero.org/groups/4514912/items/UB7ESC4C"],"itemData":{"id":3826,"type":"document","title":"Assessment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Pr="002F4447">
        <w:rPr>
          <w:color w:val="000000"/>
        </w:rPr>
        <w:fldChar w:fldCharType="separate"/>
      </w:r>
      <w:r w:rsidRPr="002F4447">
        <w:t>[1]</w:t>
      </w:r>
      <w:r w:rsidRPr="002F4447">
        <w:rPr>
          <w:color w:val="000000"/>
        </w:rPr>
        <w:fldChar w:fldCharType="end"/>
      </w:r>
      <w:r w:rsidRPr="00710D59">
        <w:rPr>
          <w:color w:val="000000"/>
        </w:rPr>
        <w:t>.</w:t>
      </w:r>
    </w:p>
    <w:p w14:paraId="42871755" w14:textId="77777777" w:rsidR="00C34E4A" w:rsidRDefault="00C34E4A">
      <w:pPr>
        <w:spacing w:after="0" w:line="240" w:lineRule="auto"/>
        <w:ind w:firstLine="708"/>
        <w:contextualSpacing/>
        <w:rPr>
          <w:color w:val="000000"/>
        </w:rPr>
      </w:pPr>
      <w:r>
        <w:rPr>
          <w:color w:val="000000"/>
        </w:rPr>
        <w:t>Прием б</w:t>
      </w:r>
      <w:r w:rsidRPr="00710D59">
        <w:rPr>
          <w:color w:val="000000"/>
        </w:rPr>
        <w:t>арицитиниб</w:t>
      </w:r>
      <w:r>
        <w:rPr>
          <w:color w:val="000000"/>
        </w:rPr>
        <w:t>а</w:t>
      </w:r>
      <w:r w:rsidRPr="00710D59">
        <w:rPr>
          <w:color w:val="000000"/>
        </w:rPr>
        <w:t xml:space="preserve"> в дозе 2 и 4 мг </w:t>
      </w:r>
      <w:r>
        <w:rPr>
          <w:color w:val="000000"/>
        </w:rPr>
        <w:t>1</w:t>
      </w:r>
      <w:r w:rsidRPr="00710D59">
        <w:rPr>
          <w:color w:val="000000"/>
        </w:rPr>
        <w:t xml:space="preserve"> р</w:t>
      </w:r>
      <w:r>
        <w:rPr>
          <w:color w:val="000000"/>
        </w:rPr>
        <w:t>/</w:t>
      </w:r>
      <w:r w:rsidRPr="00710D59">
        <w:rPr>
          <w:color w:val="000000"/>
        </w:rPr>
        <w:t xml:space="preserve">сутки </w:t>
      </w:r>
      <w:r>
        <w:rPr>
          <w:color w:val="000000"/>
        </w:rPr>
        <w:t>сопровождался развитием</w:t>
      </w:r>
      <w:r w:rsidRPr="00710D59">
        <w:rPr>
          <w:color w:val="000000"/>
        </w:rPr>
        <w:t xml:space="preserve"> клинически значимы</w:t>
      </w:r>
      <w:r>
        <w:rPr>
          <w:color w:val="000000"/>
        </w:rPr>
        <w:t>х</w:t>
      </w:r>
      <w:r w:rsidRPr="00710D59">
        <w:rPr>
          <w:color w:val="000000"/>
        </w:rPr>
        <w:t xml:space="preserve"> улучшени</w:t>
      </w:r>
      <w:r>
        <w:rPr>
          <w:color w:val="000000"/>
        </w:rPr>
        <w:t>й</w:t>
      </w:r>
      <w:r w:rsidRPr="00710D59">
        <w:rPr>
          <w:color w:val="000000"/>
        </w:rPr>
        <w:t xml:space="preserve"> по сравнению с плацебо </w:t>
      </w:r>
      <w:r>
        <w:rPr>
          <w:color w:val="000000"/>
        </w:rPr>
        <w:t xml:space="preserve">в отношении первичной конечной точки – </w:t>
      </w:r>
      <w:r w:rsidRPr="00710D59">
        <w:rPr>
          <w:color w:val="000000"/>
        </w:rPr>
        <w:t>ACR20/50/70,</w:t>
      </w:r>
      <w:r>
        <w:rPr>
          <w:color w:val="000000"/>
        </w:rPr>
        <w:t xml:space="preserve"> а также в отношении</w:t>
      </w:r>
      <w:r w:rsidRPr="00710D59">
        <w:rPr>
          <w:color w:val="000000"/>
        </w:rPr>
        <w:t xml:space="preserve"> ремиссии, физической функции (включая утреннюю скованность суставов), усталост</w:t>
      </w:r>
      <w:r>
        <w:rPr>
          <w:color w:val="000000"/>
        </w:rPr>
        <w:t>и</w:t>
      </w:r>
      <w:r w:rsidRPr="00710D59">
        <w:rPr>
          <w:color w:val="000000"/>
        </w:rPr>
        <w:t>, бол</w:t>
      </w:r>
      <w:r>
        <w:rPr>
          <w:color w:val="000000"/>
        </w:rPr>
        <w:t>и и показателей шкал качества жизни пациентов. В</w:t>
      </w:r>
      <w:r w:rsidRPr="00710D59">
        <w:rPr>
          <w:color w:val="000000"/>
        </w:rPr>
        <w:t xml:space="preserve"> отличие от того, что наблюдалось в исследованиях </w:t>
      </w:r>
      <w:r>
        <w:rPr>
          <w:color w:val="000000"/>
          <w:lang w:val="en-US"/>
        </w:rPr>
        <w:t>II</w:t>
      </w:r>
      <w:r>
        <w:rPr>
          <w:color w:val="000000"/>
        </w:rPr>
        <w:t xml:space="preserve"> </w:t>
      </w:r>
      <w:r w:rsidRPr="00710D59">
        <w:rPr>
          <w:color w:val="000000"/>
        </w:rPr>
        <w:t xml:space="preserve">фазы </w:t>
      </w:r>
      <w:r>
        <w:rPr>
          <w:color w:val="000000"/>
        </w:rPr>
        <w:t>(исследование подбора дозы)</w:t>
      </w:r>
      <w:r w:rsidRPr="00710D59">
        <w:rPr>
          <w:color w:val="000000"/>
        </w:rPr>
        <w:t xml:space="preserve">, исходы для доз 2 и 4 мг были очень схожими по конечным точкам. Первичная конечная точка </w:t>
      </w:r>
      <w:r>
        <w:rPr>
          <w:color w:val="000000"/>
        </w:rPr>
        <w:t>–</w:t>
      </w:r>
      <w:r w:rsidRPr="00710D59">
        <w:rPr>
          <w:color w:val="000000"/>
        </w:rPr>
        <w:t xml:space="preserve"> ACR20 на неделе 12 составила 61,7% для </w:t>
      </w:r>
      <w:r>
        <w:rPr>
          <w:color w:val="000000"/>
        </w:rPr>
        <w:t>барицитиниба</w:t>
      </w:r>
      <w:r w:rsidRPr="00710D59">
        <w:rPr>
          <w:color w:val="000000"/>
        </w:rPr>
        <w:t xml:space="preserve"> 4 мг, 65,9% для </w:t>
      </w:r>
      <w:r>
        <w:rPr>
          <w:color w:val="000000"/>
        </w:rPr>
        <w:t>барицитиниба</w:t>
      </w:r>
      <w:r w:rsidRPr="00710D59">
        <w:rPr>
          <w:color w:val="000000"/>
        </w:rPr>
        <w:t xml:space="preserve"> 2 мг и 39,5% для плацебо (</w:t>
      </w:r>
      <w:r>
        <w:rPr>
          <w:color w:val="000000"/>
        </w:rPr>
        <w:t>от</w:t>
      </w:r>
      <w:r w:rsidRPr="00710D59">
        <w:rPr>
          <w:color w:val="000000"/>
        </w:rPr>
        <w:t>личия 22,2% (</w:t>
      </w:r>
      <w:r>
        <w:rPr>
          <w:color w:val="000000"/>
        </w:rPr>
        <w:t xml:space="preserve">95%ДИ </w:t>
      </w:r>
      <w:r w:rsidRPr="00710D59">
        <w:rPr>
          <w:color w:val="000000"/>
        </w:rPr>
        <w:t>13,2</w:t>
      </w:r>
      <w:r>
        <w:rPr>
          <w:color w:val="000000"/>
        </w:rPr>
        <w:t>;</w:t>
      </w:r>
      <w:r w:rsidRPr="00710D59">
        <w:rPr>
          <w:color w:val="000000"/>
        </w:rPr>
        <w:t xml:space="preserve"> 31,2) и 26,5% (</w:t>
      </w:r>
      <w:r>
        <w:rPr>
          <w:color w:val="000000"/>
        </w:rPr>
        <w:t xml:space="preserve">95%ДИ </w:t>
      </w:r>
      <w:r w:rsidRPr="00710D59">
        <w:rPr>
          <w:color w:val="000000"/>
        </w:rPr>
        <w:t>17,6</w:t>
      </w:r>
      <w:r>
        <w:rPr>
          <w:color w:val="000000"/>
        </w:rPr>
        <w:t>;</w:t>
      </w:r>
      <w:r w:rsidRPr="00710D59">
        <w:rPr>
          <w:color w:val="000000"/>
        </w:rPr>
        <w:t xml:space="preserve"> 35,3) для 4</w:t>
      </w:r>
      <w:r>
        <w:rPr>
          <w:color w:val="000000"/>
        </w:rPr>
        <w:t xml:space="preserve"> мг</w:t>
      </w:r>
      <w:r w:rsidRPr="00710D59">
        <w:rPr>
          <w:color w:val="000000"/>
        </w:rPr>
        <w:t xml:space="preserve"> и 2 мг</w:t>
      </w:r>
      <w:r>
        <w:rPr>
          <w:color w:val="000000"/>
        </w:rPr>
        <w:t xml:space="preserve"> барицитиниба</w:t>
      </w:r>
      <w:r w:rsidRPr="00710D59">
        <w:rPr>
          <w:color w:val="000000"/>
        </w:rPr>
        <w:t xml:space="preserve"> по сравнению с плацебо соответственно</w:t>
      </w:r>
      <w:r>
        <w:rPr>
          <w:color w:val="000000"/>
        </w:rPr>
        <w:t xml:space="preserve"> (</w:t>
      </w:r>
      <w:r w:rsidRPr="006D538C">
        <w:rPr>
          <w:color w:val="000000"/>
        </w:rPr>
        <w:t xml:space="preserve">Рисунок </w:t>
      </w:r>
      <w:r>
        <w:rPr>
          <w:color w:val="000000"/>
        </w:rPr>
        <w:t xml:space="preserve">4-8) </w:t>
      </w:r>
      <w:r>
        <w:rPr>
          <w:color w:val="000000"/>
        </w:rPr>
        <w:fldChar w:fldCharType="begin"/>
      </w:r>
      <w:r>
        <w:rPr>
          <w:color w:val="000000"/>
        </w:rPr>
        <w:instrText xml:space="preserve"> ADDIN ZOTERO_ITEM CSL_CITATION {"citationID":"Y3xr7dRs","properties":{"formattedCitation":"[1]","plainCitation":"[1]","noteIndex":0},"citationItems":[{"id":3826,"uris":["http://zotero.org/groups/4514912/items/UB7ESC4C"],"itemData":{"id":3826,"type":"document","title":"Assessment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Pr>
          <w:color w:val="000000"/>
        </w:rPr>
        <w:fldChar w:fldCharType="separate"/>
      </w:r>
      <w:r w:rsidRPr="004A300A">
        <w:t>[1]</w:t>
      </w:r>
      <w:r>
        <w:rPr>
          <w:color w:val="000000"/>
        </w:rPr>
        <w:fldChar w:fldCharType="end"/>
      </w:r>
      <w:bookmarkEnd w:id="159"/>
      <w:r w:rsidRPr="00D21480">
        <w:rPr>
          <w:color w:val="000000"/>
        </w:rPr>
        <w:t>.</w:t>
      </w:r>
    </w:p>
    <w:p w14:paraId="5396DE89" w14:textId="77777777" w:rsidR="00C34E4A" w:rsidRPr="00D21480" w:rsidRDefault="00C34E4A">
      <w:pPr>
        <w:spacing w:after="0" w:line="240" w:lineRule="auto"/>
        <w:ind w:firstLine="708"/>
        <w:contextualSpacing/>
        <w:rPr>
          <w:color w:val="000000"/>
        </w:rPr>
      </w:pPr>
    </w:p>
    <w:p w14:paraId="7D440A7F" w14:textId="77777777" w:rsidR="009C2F63" w:rsidRDefault="009C2F63">
      <w:pPr>
        <w:jc w:val="left"/>
        <w:rPr>
          <w:b/>
          <w:bCs/>
          <w:color w:val="000000"/>
        </w:rPr>
      </w:pPr>
      <w:r>
        <w:rPr>
          <w:b/>
          <w:bCs/>
          <w:color w:val="000000"/>
        </w:rPr>
        <w:br w:type="page"/>
      </w:r>
    </w:p>
    <w:p w14:paraId="11AB4A56" w14:textId="222EECED" w:rsidR="00C34E4A" w:rsidRPr="00D21480" w:rsidRDefault="00C34E4A">
      <w:pPr>
        <w:spacing w:after="0" w:line="240" w:lineRule="auto"/>
        <w:contextualSpacing/>
        <w:rPr>
          <w:color w:val="000000"/>
        </w:rPr>
      </w:pPr>
      <w:r w:rsidRPr="006D538C">
        <w:rPr>
          <w:b/>
          <w:bCs/>
          <w:color w:val="000000"/>
        </w:rPr>
        <w:lastRenderedPageBreak/>
        <w:t>Рисунок</w:t>
      </w:r>
      <w:r w:rsidR="007952C2">
        <w:rPr>
          <w:b/>
          <w:bCs/>
          <w:color w:val="000000"/>
        </w:rPr>
        <w:t xml:space="preserve"> 4-8.</w:t>
      </w:r>
      <w:r w:rsidRPr="00D21480">
        <w:rPr>
          <w:b/>
          <w:bCs/>
          <w:color w:val="000000"/>
        </w:rPr>
        <w:t xml:space="preserve"> </w:t>
      </w:r>
      <w:r w:rsidRPr="007952C2">
        <w:rPr>
          <w:bCs/>
          <w:color w:val="000000"/>
        </w:rPr>
        <w:t xml:space="preserve">Динамика </w:t>
      </w:r>
      <w:r w:rsidRPr="007952C2">
        <w:rPr>
          <w:bCs/>
          <w:color w:val="000000"/>
          <w:lang w:val="en-US"/>
        </w:rPr>
        <w:t>ACR</w:t>
      </w:r>
      <w:r w:rsidRPr="007952C2">
        <w:rPr>
          <w:bCs/>
          <w:color w:val="000000"/>
        </w:rPr>
        <w:t xml:space="preserve"> в исследовании </w:t>
      </w:r>
      <w:r w:rsidRPr="007952C2">
        <w:rPr>
          <w:bCs/>
          <w:color w:val="000000"/>
          <w:lang w:val="en-US"/>
        </w:rPr>
        <w:t>JADX</w:t>
      </w:r>
      <w:r w:rsidR="007952C2" w:rsidRPr="007952C2">
        <w:rPr>
          <w:color w:val="000000"/>
        </w:rPr>
        <w:t>.</w:t>
      </w:r>
    </w:p>
    <w:p w14:paraId="734F8048" w14:textId="77777777" w:rsidR="00C34E4A" w:rsidRPr="00710D59" w:rsidRDefault="00C34E4A">
      <w:pPr>
        <w:spacing w:after="0" w:line="240" w:lineRule="auto"/>
        <w:contextualSpacing/>
        <w:rPr>
          <w:color w:val="000000"/>
        </w:rPr>
      </w:pPr>
      <w:r>
        <w:rPr>
          <w:noProof/>
          <w:color w:val="000000"/>
          <w:lang w:eastAsia="ru-RU"/>
        </w:rPr>
        <w:drawing>
          <wp:inline distT="0" distB="0" distL="0" distR="0" wp14:anchorId="4D17BECE" wp14:editId="1AAC501C">
            <wp:extent cx="4648200" cy="301184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1">
                      <a:extLst>
                        <a:ext uri="{28A0092B-C50C-407E-A947-70E740481C1C}">
                          <a14:useLocalDpi xmlns:a14="http://schemas.microsoft.com/office/drawing/2010/main" val="0"/>
                        </a:ext>
                      </a:extLst>
                    </a:blip>
                    <a:stretch>
                      <a:fillRect/>
                    </a:stretch>
                  </pic:blipFill>
                  <pic:spPr>
                    <a:xfrm>
                      <a:off x="0" y="0"/>
                      <a:ext cx="4689379" cy="3038528"/>
                    </a:xfrm>
                    <a:prstGeom prst="rect">
                      <a:avLst/>
                    </a:prstGeom>
                  </pic:spPr>
                </pic:pic>
              </a:graphicData>
            </a:graphic>
          </wp:inline>
        </w:drawing>
      </w:r>
    </w:p>
    <w:p w14:paraId="40FFE684" w14:textId="77777777" w:rsidR="007952C2" w:rsidRPr="007952C2" w:rsidRDefault="007952C2">
      <w:pPr>
        <w:spacing w:line="240" w:lineRule="auto"/>
        <w:contextualSpacing/>
        <w:rPr>
          <w:b/>
          <w:color w:val="000000"/>
          <w:sz w:val="20"/>
          <w:szCs w:val="20"/>
        </w:rPr>
      </w:pPr>
      <w:r w:rsidRPr="007952C2">
        <w:rPr>
          <w:b/>
          <w:color w:val="000000"/>
          <w:sz w:val="20"/>
          <w:szCs w:val="20"/>
        </w:rPr>
        <w:t>Примечание:</w:t>
      </w:r>
    </w:p>
    <w:p w14:paraId="4BF94F74" w14:textId="343B1DCF" w:rsidR="00C34E4A" w:rsidRPr="007952C2" w:rsidRDefault="00C34E4A">
      <w:pPr>
        <w:spacing w:line="240" w:lineRule="auto"/>
        <w:contextualSpacing/>
        <w:rPr>
          <w:color w:val="000000"/>
          <w:sz w:val="20"/>
          <w:szCs w:val="20"/>
        </w:rPr>
      </w:pPr>
      <w:r w:rsidRPr="007952C2">
        <w:rPr>
          <w:color w:val="000000"/>
          <w:sz w:val="20"/>
          <w:szCs w:val="20"/>
          <w:lang w:val="en-US"/>
        </w:rPr>
        <w:t>ACR</w:t>
      </w:r>
      <w:r w:rsidRPr="007952C2">
        <w:rPr>
          <w:color w:val="000000"/>
          <w:sz w:val="20"/>
          <w:szCs w:val="20"/>
        </w:rPr>
        <w:t>20/50/70 – у</w:t>
      </w:r>
      <w:r w:rsidRPr="007952C2">
        <w:rPr>
          <w:sz w:val="20"/>
          <w:szCs w:val="20"/>
        </w:rPr>
        <w:t xml:space="preserve">лучшение на 20/50/70% по данным критерия Американского колледжа ревматологии; </w:t>
      </w:r>
      <w:r w:rsidRPr="007952C2">
        <w:rPr>
          <w:sz w:val="20"/>
          <w:szCs w:val="20"/>
          <w:lang w:val="en-US"/>
        </w:rPr>
        <w:t>Placebo</w:t>
      </w:r>
      <w:r w:rsidRPr="007952C2">
        <w:rPr>
          <w:sz w:val="20"/>
          <w:szCs w:val="20"/>
        </w:rPr>
        <w:t xml:space="preserve"> – плацебо; </w:t>
      </w:r>
      <w:r w:rsidRPr="007952C2">
        <w:rPr>
          <w:sz w:val="20"/>
          <w:szCs w:val="20"/>
          <w:lang w:val="en-US"/>
        </w:rPr>
        <w:t>Baricitinib</w:t>
      </w:r>
      <w:r w:rsidRPr="007952C2">
        <w:rPr>
          <w:sz w:val="20"/>
          <w:szCs w:val="20"/>
        </w:rPr>
        <w:t xml:space="preserve"> – барицитиниб; % </w:t>
      </w:r>
      <w:r w:rsidRPr="007952C2">
        <w:rPr>
          <w:sz w:val="20"/>
          <w:szCs w:val="20"/>
          <w:lang w:val="en-US"/>
        </w:rPr>
        <w:t>patients</w:t>
      </w:r>
      <w:r w:rsidRPr="007952C2">
        <w:rPr>
          <w:sz w:val="20"/>
          <w:szCs w:val="20"/>
        </w:rPr>
        <w:t xml:space="preserve"> (</w:t>
      </w:r>
      <w:r w:rsidRPr="007952C2">
        <w:rPr>
          <w:sz w:val="20"/>
          <w:szCs w:val="20"/>
          <w:lang w:val="en-US"/>
        </w:rPr>
        <w:t>NRI</w:t>
      </w:r>
      <w:r w:rsidRPr="007952C2">
        <w:rPr>
          <w:sz w:val="20"/>
          <w:szCs w:val="20"/>
        </w:rPr>
        <w:t xml:space="preserve">) – % пациентов; </w:t>
      </w:r>
      <w:r w:rsidRPr="007952C2">
        <w:rPr>
          <w:sz w:val="20"/>
          <w:szCs w:val="20"/>
          <w:lang w:val="en-US"/>
        </w:rPr>
        <w:t>week</w:t>
      </w:r>
      <w:r w:rsidRPr="007952C2">
        <w:rPr>
          <w:sz w:val="20"/>
          <w:szCs w:val="20"/>
        </w:rPr>
        <w:t xml:space="preserve"> – недели.</w:t>
      </w:r>
    </w:p>
    <w:p w14:paraId="03106B15" w14:textId="77777777" w:rsidR="007952C2" w:rsidRDefault="007952C2">
      <w:pPr>
        <w:spacing w:after="0" w:line="240" w:lineRule="auto"/>
        <w:ind w:firstLine="708"/>
        <w:contextualSpacing/>
        <w:rPr>
          <w:i/>
          <w:iCs/>
        </w:rPr>
      </w:pPr>
      <w:bookmarkStart w:id="160" w:name="_Hlk118558229"/>
    </w:p>
    <w:p w14:paraId="19D0DB8C" w14:textId="236212B6" w:rsidR="00C34E4A" w:rsidRPr="007952C2" w:rsidRDefault="00C34E4A">
      <w:pPr>
        <w:spacing w:after="0" w:line="240" w:lineRule="auto"/>
        <w:ind w:firstLine="708"/>
        <w:contextualSpacing/>
        <w:rPr>
          <w:b/>
          <w:i/>
          <w:iCs/>
        </w:rPr>
      </w:pPr>
      <w:r w:rsidRPr="007952C2">
        <w:rPr>
          <w:b/>
          <w:i/>
          <w:iCs/>
        </w:rPr>
        <w:t xml:space="preserve">Результаты исследования </w:t>
      </w:r>
      <w:r w:rsidRPr="007952C2">
        <w:rPr>
          <w:b/>
          <w:i/>
          <w:iCs/>
          <w:lang w:val="en-US"/>
        </w:rPr>
        <w:t>JADW</w:t>
      </w:r>
      <w:r w:rsidR="007952C2" w:rsidRPr="007952C2">
        <w:rPr>
          <w:b/>
          <w:i/>
          <w:iCs/>
        </w:rPr>
        <w:t xml:space="preserve"> </w:t>
      </w:r>
    </w:p>
    <w:p w14:paraId="7C834713" w14:textId="77777777" w:rsidR="00C34E4A" w:rsidRPr="00B54F1D" w:rsidRDefault="00C34E4A">
      <w:pPr>
        <w:spacing w:after="0" w:line="240" w:lineRule="auto"/>
        <w:ind w:firstLine="708"/>
        <w:contextualSpacing/>
        <w:rPr>
          <w:color w:val="000000"/>
        </w:rPr>
      </w:pPr>
      <w:r w:rsidRPr="00B54F1D">
        <w:rPr>
          <w:color w:val="000000"/>
        </w:rPr>
        <w:t>Исследование JADW представляло собой 24-недельное рандомизированное, двойное слепое, плацебо</w:t>
      </w:r>
      <w:r>
        <w:rPr>
          <w:color w:val="000000"/>
        </w:rPr>
        <w:t xml:space="preserve"> </w:t>
      </w:r>
      <w:r w:rsidRPr="00B54F1D">
        <w:rPr>
          <w:color w:val="000000"/>
        </w:rPr>
        <w:t>контролируемое</w:t>
      </w:r>
      <w:r>
        <w:rPr>
          <w:color w:val="000000"/>
        </w:rPr>
        <w:t xml:space="preserve"> </w:t>
      </w:r>
      <w:r w:rsidRPr="00B54F1D">
        <w:rPr>
          <w:color w:val="000000"/>
        </w:rPr>
        <w:t>исследовани</w:t>
      </w:r>
      <w:r>
        <w:rPr>
          <w:color w:val="000000"/>
        </w:rPr>
        <w:t>е</w:t>
      </w:r>
      <w:r w:rsidRPr="00B54F1D">
        <w:rPr>
          <w:color w:val="000000"/>
        </w:rPr>
        <w:t xml:space="preserve"> </w:t>
      </w:r>
      <w:r>
        <w:rPr>
          <w:color w:val="000000"/>
          <w:lang w:val="en-US"/>
        </w:rPr>
        <w:t>III</w:t>
      </w:r>
      <w:r>
        <w:rPr>
          <w:color w:val="000000"/>
        </w:rPr>
        <w:t xml:space="preserve"> </w:t>
      </w:r>
      <w:r w:rsidRPr="00B54F1D">
        <w:rPr>
          <w:color w:val="000000"/>
        </w:rPr>
        <w:t>фаз</w:t>
      </w:r>
      <w:r>
        <w:rPr>
          <w:color w:val="000000"/>
        </w:rPr>
        <w:t>ы</w:t>
      </w:r>
      <w:r w:rsidRPr="00B54F1D">
        <w:rPr>
          <w:color w:val="000000"/>
        </w:rPr>
        <w:t xml:space="preserve"> продолжительностью 24 недели, в котором оценивали эффективность и безопасность </w:t>
      </w:r>
      <w:r>
        <w:rPr>
          <w:color w:val="000000"/>
        </w:rPr>
        <w:t xml:space="preserve">барицитиниба </w:t>
      </w:r>
      <w:r w:rsidRPr="00B54F1D">
        <w:rPr>
          <w:color w:val="000000"/>
        </w:rPr>
        <w:t xml:space="preserve">у 527 пациентов с активным РА от умеренной до тяжелой степени, </w:t>
      </w:r>
      <w:r>
        <w:rPr>
          <w:color w:val="000000"/>
        </w:rPr>
        <w:t>ранее получавшими</w:t>
      </w:r>
      <w:r w:rsidRPr="00B54F1D">
        <w:rPr>
          <w:color w:val="000000"/>
        </w:rPr>
        <w:t xml:space="preserve"> од</w:t>
      </w:r>
      <w:r>
        <w:rPr>
          <w:color w:val="000000"/>
        </w:rPr>
        <w:t xml:space="preserve">ин </w:t>
      </w:r>
      <w:r w:rsidRPr="00B54F1D">
        <w:rPr>
          <w:color w:val="000000"/>
        </w:rPr>
        <w:t>или нескольк</w:t>
      </w:r>
      <w:r>
        <w:rPr>
          <w:color w:val="000000"/>
        </w:rPr>
        <w:t>о</w:t>
      </w:r>
      <w:r w:rsidRPr="00B54F1D">
        <w:rPr>
          <w:color w:val="000000"/>
        </w:rPr>
        <w:t xml:space="preserve"> биологически</w:t>
      </w:r>
      <w:r>
        <w:rPr>
          <w:color w:val="000000"/>
        </w:rPr>
        <w:t>х</w:t>
      </w:r>
      <w:r w:rsidRPr="00B54F1D">
        <w:rPr>
          <w:color w:val="000000"/>
        </w:rPr>
        <w:t xml:space="preserve"> препарат</w:t>
      </w:r>
      <w:r>
        <w:rPr>
          <w:color w:val="000000"/>
        </w:rPr>
        <w:t xml:space="preserve">ов, </w:t>
      </w:r>
      <w:r w:rsidRPr="00B54F1D">
        <w:rPr>
          <w:color w:val="000000"/>
        </w:rPr>
        <w:t xml:space="preserve">включая по меньшей мере один ингибитор </w:t>
      </w:r>
      <w:r>
        <w:rPr>
          <w:color w:val="000000"/>
          <w:lang w:val="en-US"/>
        </w:rPr>
        <w:t>TNF</w:t>
      </w:r>
      <w:r w:rsidRPr="00B54F1D">
        <w:rPr>
          <w:color w:val="000000"/>
        </w:rPr>
        <w:t xml:space="preserve">. </w:t>
      </w:r>
    </w:p>
    <w:p w14:paraId="534A8D1A" w14:textId="77777777" w:rsidR="00C34E4A" w:rsidRPr="00D21480" w:rsidRDefault="00C34E4A">
      <w:pPr>
        <w:spacing w:after="0" w:line="240" w:lineRule="auto"/>
        <w:ind w:firstLine="708"/>
        <w:contextualSpacing/>
        <w:rPr>
          <w:color w:val="000000"/>
        </w:rPr>
      </w:pPr>
      <w:r w:rsidRPr="00B54F1D">
        <w:rPr>
          <w:color w:val="000000"/>
        </w:rPr>
        <w:t xml:space="preserve">В </w:t>
      </w:r>
      <w:r>
        <w:rPr>
          <w:color w:val="000000"/>
        </w:rPr>
        <w:t>ходе исследования было уставлено превосходство барицитиниба над плацебо по первичной конечной точке (</w:t>
      </w:r>
      <w:r w:rsidRPr="00B54F1D">
        <w:rPr>
          <w:color w:val="000000"/>
        </w:rPr>
        <w:t>ACR20</w:t>
      </w:r>
      <w:r>
        <w:rPr>
          <w:color w:val="000000"/>
        </w:rPr>
        <w:t xml:space="preserve">) </w:t>
      </w:r>
      <w:r w:rsidRPr="00B54F1D">
        <w:rPr>
          <w:color w:val="000000"/>
        </w:rPr>
        <w:t>и дву</w:t>
      </w:r>
      <w:r>
        <w:rPr>
          <w:color w:val="000000"/>
        </w:rPr>
        <w:t>м</w:t>
      </w:r>
      <w:r w:rsidRPr="00B54F1D">
        <w:rPr>
          <w:color w:val="000000"/>
        </w:rPr>
        <w:t xml:space="preserve"> основны</w:t>
      </w:r>
      <w:r>
        <w:rPr>
          <w:color w:val="000000"/>
        </w:rPr>
        <w:t>м</w:t>
      </w:r>
      <w:r w:rsidRPr="00B54F1D">
        <w:rPr>
          <w:color w:val="000000"/>
        </w:rPr>
        <w:t xml:space="preserve"> вторичны</w:t>
      </w:r>
      <w:r>
        <w:rPr>
          <w:color w:val="000000"/>
        </w:rPr>
        <w:t>м</w:t>
      </w:r>
      <w:r w:rsidRPr="00B54F1D">
        <w:rPr>
          <w:color w:val="000000"/>
        </w:rPr>
        <w:t xml:space="preserve"> </w:t>
      </w:r>
      <w:r>
        <w:rPr>
          <w:color w:val="000000"/>
        </w:rPr>
        <w:t>точкам</w:t>
      </w:r>
      <w:r w:rsidRPr="00B54F1D">
        <w:rPr>
          <w:color w:val="000000"/>
        </w:rPr>
        <w:t xml:space="preserve"> (изменение HAQ-DI и DAS28-</w:t>
      </w:r>
      <w:r>
        <w:rPr>
          <w:color w:val="000000"/>
          <w:lang w:val="en-US"/>
        </w:rPr>
        <w:t>hsCRP</w:t>
      </w:r>
      <w:r w:rsidRPr="00B54F1D">
        <w:rPr>
          <w:color w:val="000000"/>
        </w:rPr>
        <w:t xml:space="preserve"> по сравнению с исходным уровнем).</w:t>
      </w:r>
      <w:r>
        <w:rPr>
          <w:color w:val="000000"/>
        </w:rPr>
        <w:t xml:space="preserve"> О</w:t>
      </w:r>
      <w:r w:rsidRPr="00B54F1D">
        <w:rPr>
          <w:color w:val="000000"/>
        </w:rPr>
        <w:t xml:space="preserve">твет первичной конечной точки ACR20 на неделе 12 составил 55,4% для </w:t>
      </w:r>
      <w:r>
        <w:rPr>
          <w:color w:val="000000"/>
        </w:rPr>
        <w:t>барицитиниба</w:t>
      </w:r>
      <w:r w:rsidRPr="00B54F1D">
        <w:rPr>
          <w:color w:val="000000"/>
        </w:rPr>
        <w:t xml:space="preserve"> 4 мг, 48,9% для </w:t>
      </w:r>
      <w:r>
        <w:rPr>
          <w:color w:val="000000"/>
        </w:rPr>
        <w:t>барицитиниба</w:t>
      </w:r>
      <w:r w:rsidRPr="00B54F1D">
        <w:rPr>
          <w:color w:val="000000"/>
        </w:rPr>
        <w:t xml:space="preserve"> 2 мг и 27,3% для плацебо (разница </w:t>
      </w:r>
      <w:r>
        <w:rPr>
          <w:color w:val="000000"/>
        </w:rPr>
        <w:t>барицитиниб</w:t>
      </w:r>
      <w:r w:rsidRPr="00B54F1D">
        <w:rPr>
          <w:color w:val="000000"/>
        </w:rPr>
        <w:t xml:space="preserve"> 4 мг по сравнению с плацебо 28,1% </w:t>
      </w:r>
      <w:r w:rsidRPr="00DC675E">
        <w:rPr>
          <w:color w:val="000000"/>
        </w:rPr>
        <w:t>[</w:t>
      </w:r>
      <w:r w:rsidRPr="00B54F1D">
        <w:rPr>
          <w:color w:val="000000"/>
        </w:rPr>
        <w:t>95%ДИ 18,2</w:t>
      </w:r>
      <w:r>
        <w:rPr>
          <w:color w:val="000000"/>
        </w:rPr>
        <w:t>;</w:t>
      </w:r>
      <w:r w:rsidRPr="00B54F1D">
        <w:rPr>
          <w:color w:val="000000"/>
        </w:rPr>
        <w:t xml:space="preserve"> 37,9</w:t>
      </w:r>
      <w:r w:rsidRPr="00DC675E">
        <w:rPr>
          <w:color w:val="000000"/>
        </w:rPr>
        <w:t>]</w:t>
      </w:r>
      <w:r w:rsidRPr="00B54F1D">
        <w:rPr>
          <w:color w:val="000000"/>
        </w:rPr>
        <w:t xml:space="preserve">, </w:t>
      </w:r>
      <w:r>
        <w:rPr>
          <w:color w:val="000000"/>
        </w:rPr>
        <w:t xml:space="preserve">барицитиниб </w:t>
      </w:r>
      <w:r w:rsidRPr="00B54F1D">
        <w:rPr>
          <w:color w:val="000000"/>
        </w:rPr>
        <w:t xml:space="preserve">2 мг по сравнению с плацебо 21,6 </w:t>
      </w:r>
      <w:r w:rsidRPr="00DC675E">
        <w:rPr>
          <w:color w:val="000000"/>
        </w:rPr>
        <w:t>[</w:t>
      </w:r>
      <w:r>
        <w:rPr>
          <w:color w:val="000000"/>
        </w:rPr>
        <w:t xml:space="preserve">95%ДИ </w:t>
      </w:r>
      <w:r w:rsidRPr="00B54F1D">
        <w:rPr>
          <w:color w:val="000000"/>
        </w:rPr>
        <w:t>11,7</w:t>
      </w:r>
      <w:r>
        <w:rPr>
          <w:color w:val="000000"/>
        </w:rPr>
        <w:t>;</w:t>
      </w:r>
      <w:r w:rsidRPr="00B54F1D">
        <w:rPr>
          <w:color w:val="000000"/>
        </w:rPr>
        <w:t xml:space="preserve"> 31,5</w:t>
      </w:r>
      <w:r w:rsidRPr="00DC675E">
        <w:rPr>
          <w:color w:val="000000"/>
        </w:rPr>
        <w:t>]</w:t>
      </w:r>
      <w:r w:rsidRPr="00B54F1D">
        <w:rPr>
          <w:color w:val="000000"/>
        </w:rPr>
        <w:t>).</w:t>
      </w:r>
      <w:r>
        <w:rPr>
          <w:color w:val="000000"/>
        </w:rPr>
        <w:t xml:space="preserve"> На </w:t>
      </w:r>
      <w:r w:rsidRPr="002F4447">
        <w:rPr>
          <w:color w:val="000000"/>
        </w:rPr>
        <w:t>Рисунке</w:t>
      </w:r>
      <w:r w:rsidRPr="00AB1FF1">
        <w:rPr>
          <w:color w:val="000000"/>
        </w:rPr>
        <w:t xml:space="preserve"> </w:t>
      </w:r>
      <w:r>
        <w:rPr>
          <w:color w:val="000000"/>
        </w:rPr>
        <w:t xml:space="preserve">4-9 представлена динамика </w:t>
      </w:r>
      <w:r w:rsidRPr="00B54F1D">
        <w:rPr>
          <w:color w:val="000000"/>
        </w:rPr>
        <w:t>ACR20</w:t>
      </w:r>
      <w:r>
        <w:rPr>
          <w:color w:val="000000"/>
        </w:rPr>
        <w:t xml:space="preserve">/50/70 в ходе исследования </w:t>
      </w:r>
      <w:bookmarkEnd w:id="160"/>
      <w:r>
        <w:rPr>
          <w:color w:val="000000"/>
        </w:rPr>
        <w:fldChar w:fldCharType="begin"/>
      </w:r>
      <w:r>
        <w:rPr>
          <w:color w:val="000000"/>
        </w:rPr>
        <w:instrText xml:space="preserve"> ADDIN ZOTERO_ITEM CSL_CITATION {"citationID":"NZvkK53F","properties":{"formattedCitation":"[1]","plainCitation":"[1]","noteIndex":0},"citationItems":[{"id":3826,"uris":["http://zotero.org/groups/4514912/items/UB7ESC4C"],"itemData":{"id":3826,"type":"document","title":"Assessment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Pr>
          <w:color w:val="000000"/>
        </w:rPr>
        <w:fldChar w:fldCharType="separate"/>
      </w:r>
      <w:r w:rsidRPr="004A300A">
        <w:t>[1]</w:t>
      </w:r>
      <w:r>
        <w:rPr>
          <w:color w:val="000000"/>
        </w:rPr>
        <w:fldChar w:fldCharType="end"/>
      </w:r>
      <w:r>
        <w:rPr>
          <w:color w:val="000000"/>
        </w:rPr>
        <w:t>.</w:t>
      </w:r>
    </w:p>
    <w:p w14:paraId="34AF047F" w14:textId="77777777" w:rsidR="007952C2" w:rsidRDefault="007952C2">
      <w:pPr>
        <w:spacing w:after="0" w:line="240" w:lineRule="auto"/>
        <w:rPr>
          <w:b/>
          <w:bCs/>
          <w:color w:val="000000"/>
        </w:rPr>
      </w:pPr>
    </w:p>
    <w:p w14:paraId="55231680" w14:textId="77777777" w:rsidR="009C2F63" w:rsidRDefault="009C2F63">
      <w:pPr>
        <w:jc w:val="left"/>
        <w:rPr>
          <w:b/>
          <w:bCs/>
          <w:color w:val="000000"/>
        </w:rPr>
      </w:pPr>
      <w:r>
        <w:rPr>
          <w:b/>
          <w:bCs/>
          <w:color w:val="000000"/>
        </w:rPr>
        <w:br w:type="page"/>
      </w:r>
    </w:p>
    <w:p w14:paraId="0F4B58A5" w14:textId="541A4A09" w:rsidR="00C34E4A" w:rsidRPr="00D21480" w:rsidRDefault="00C34E4A" w:rsidP="00AB1FF1">
      <w:pPr>
        <w:spacing w:after="0" w:line="240" w:lineRule="auto"/>
        <w:rPr>
          <w:color w:val="000000"/>
        </w:rPr>
      </w:pPr>
      <w:r w:rsidRPr="006D538C">
        <w:rPr>
          <w:b/>
          <w:bCs/>
          <w:color w:val="000000"/>
        </w:rPr>
        <w:lastRenderedPageBreak/>
        <w:t>Рисунок</w:t>
      </w:r>
      <w:r w:rsidR="007952C2">
        <w:rPr>
          <w:b/>
          <w:bCs/>
          <w:color w:val="000000"/>
        </w:rPr>
        <w:t xml:space="preserve"> 4-9.</w:t>
      </w:r>
      <w:r w:rsidRPr="00D21480">
        <w:rPr>
          <w:b/>
          <w:bCs/>
          <w:color w:val="000000"/>
        </w:rPr>
        <w:t xml:space="preserve"> </w:t>
      </w:r>
      <w:r w:rsidRPr="007952C2">
        <w:rPr>
          <w:bCs/>
          <w:color w:val="000000"/>
        </w:rPr>
        <w:t xml:space="preserve">Динамика </w:t>
      </w:r>
      <w:r w:rsidRPr="007952C2">
        <w:rPr>
          <w:bCs/>
          <w:color w:val="000000"/>
          <w:lang w:val="en-US"/>
        </w:rPr>
        <w:t>ACR</w:t>
      </w:r>
      <w:r w:rsidRPr="007952C2">
        <w:rPr>
          <w:bCs/>
          <w:color w:val="000000"/>
        </w:rPr>
        <w:t xml:space="preserve"> в исследовании </w:t>
      </w:r>
      <w:r w:rsidRPr="007952C2">
        <w:rPr>
          <w:bCs/>
          <w:color w:val="000000"/>
          <w:lang w:val="en-US"/>
        </w:rPr>
        <w:t>JADW</w:t>
      </w:r>
      <w:r w:rsidR="007952C2" w:rsidRPr="007952C2">
        <w:rPr>
          <w:color w:val="000000"/>
        </w:rPr>
        <w:t>.</w:t>
      </w:r>
    </w:p>
    <w:p w14:paraId="58945A07" w14:textId="77777777" w:rsidR="00C34E4A" w:rsidRPr="00710D59" w:rsidRDefault="00C34E4A">
      <w:pPr>
        <w:spacing w:after="0" w:line="240" w:lineRule="auto"/>
        <w:rPr>
          <w:color w:val="000000"/>
        </w:rPr>
      </w:pPr>
      <w:r>
        <w:rPr>
          <w:noProof/>
          <w:color w:val="000000"/>
          <w:lang w:eastAsia="ru-RU"/>
        </w:rPr>
        <w:drawing>
          <wp:inline distT="0" distB="0" distL="0" distR="0" wp14:anchorId="4856E39D" wp14:editId="68E5442D">
            <wp:extent cx="4753155" cy="31123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2">
                      <a:extLst>
                        <a:ext uri="{28A0092B-C50C-407E-A947-70E740481C1C}">
                          <a14:useLocalDpi xmlns:a14="http://schemas.microsoft.com/office/drawing/2010/main" val="0"/>
                        </a:ext>
                      </a:extLst>
                    </a:blip>
                    <a:stretch>
                      <a:fillRect/>
                    </a:stretch>
                  </pic:blipFill>
                  <pic:spPr>
                    <a:xfrm>
                      <a:off x="0" y="0"/>
                      <a:ext cx="4802027" cy="3144312"/>
                    </a:xfrm>
                    <a:prstGeom prst="rect">
                      <a:avLst/>
                    </a:prstGeom>
                  </pic:spPr>
                </pic:pic>
              </a:graphicData>
            </a:graphic>
          </wp:inline>
        </w:drawing>
      </w:r>
    </w:p>
    <w:p w14:paraId="4E4E9F33" w14:textId="021CF2EE" w:rsidR="00C34E4A" w:rsidRPr="007952C2" w:rsidRDefault="007952C2">
      <w:pPr>
        <w:spacing w:after="0" w:line="240" w:lineRule="auto"/>
        <w:rPr>
          <w:color w:val="000000"/>
          <w:sz w:val="20"/>
          <w:szCs w:val="20"/>
        </w:rPr>
      </w:pPr>
      <w:r w:rsidRPr="007952C2">
        <w:rPr>
          <w:b/>
          <w:color w:val="000000"/>
          <w:sz w:val="20"/>
          <w:szCs w:val="20"/>
        </w:rPr>
        <w:t>Примечание:</w:t>
      </w:r>
      <w:r>
        <w:rPr>
          <w:color w:val="000000"/>
          <w:sz w:val="20"/>
          <w:szCs w:val="20"/>
        </w:rPr>
        <w:br/>
      </w:r>
      <w:r w:rsidR="00C34E4A" w:rsidRPr="007952C2">
        <w:rPr>
          <w:color w:val="000000"/>
          <w:sz w:val="20"/>
          <w:szCs w:val="20"/>
          <w:lang w:val="en-US"/>
        </w:rPr>
        <w:t>ACR</w:t>
      </w:r>
      <w:r w:rsidR="00C34E4A" w:rsidRPr="007952C2">
        <w:rPr>
          <w:color w:val="000000"/>
          <w:sz w:val="20"/>
          <w:szCs w:val="20"/>
        </w:rPr>
        <w:t>20/50/70 – у</w:t>
      </w:r>
      <w:r w:rsidR="00C34E4A" w:rsidRPr="007952C2">
        <w:rPr>
          <w:sz w:val="20"/>
          <w:szCs w:val="20"/>
        </w:rPr>
        <w:t xml:space="preserve">лучшение на 20/50/70% по данным критерия Американского колледжа ревматологии; </w:t>
      </w:r>
      <w:r w:rsidR="00C34E4A" w:rsidRPr="007952C2">
        <w:rPr>
          <w:sz w:val="20"/>
          <w:szCs w:val="20"/>
          <w:lang w:val="en-US"/>
        </w:rPr>
        <w:t>Placebo</w:t>
      </w:r>
      <w:r w:rsidR="00C34E4A" w:rsidRPr="007952C2">
        <w:rPr>
          <w:sz w:val="20"/>
          <w:szCs w:val="20"/>
        </w:rPr>
        <w:t xml:space="preserve"> – плацебо; </w:t>
      </w:r>
      <w:r w:rsidR="00C34E4A" w:rsidRPr="007952C2">
        <w:rPr>
          <w:sz w:val="20"/>
          <w:szCs w:val="20"/>
          <w:lang w:val="en-US"/>
        </w:rPr>
        <w:t>Baricitinib</w:t>
      </w:r>
      <w:r w:rsidR="00C34E4A" w:rsidRPr="007952C2">
        <w:rPr>
          <w:sz w:val="20"/>
          <w:szCs w:val="20"/>
        </w:rPr>
        <w:t xml:space="preserve"> – барицитиниб; % </w:t>
      </w:r>
      <w:r w:rsidR="00C34E4A" w:rsidRPr="007952C2">
        <w:rPr>
          <w:sz w:val="20"/>
          <w:szCs w:val="20"/>
          <w:lang w:val="en-US"/>
        </w:rPr>
        <w:t>patients</w:t>
      </w:r>
      <w:r w:rsidR="00C34E4A" w:rsidRPr="007952C2">
        <w:rPr>
          <w:sz w:val="20"/>
          <w:szCs w:val="20"/>
        </w:rPr>
        <w:t xml:space="preserve"> (</w:t>
      </w:r>
      <w:r w:rsidR="00C34E4A" w:rsidRPr="007952C2">
        <w:rPr>
          <w:sz w:val="20"/>
          <w:szCs w:val="20"/>
          <w:lang w:val="en-US"/>
        </w:rPr>
        <w:t>NRI</w:t>
      </w:r>
      <w:r w:rsidR="00C34E4A" w:rsidRPr="007952C2">
        <w:rPr>
          <w:sz w:val="20"/>
          <w:szCs w:val="20"/>
        </w:rPr>
        <w:t xml:space="preserve">) – % пациентов; </w:t>
      </w:r>
      <w:r w:rsidR="00C34E4A" w:rsidRPr="007952C2">
        <w:rPr>
          <w:sz w:val="20"/>
          <w:szCs w:val="20"/>
          <w:lang w:val="en-US"/>
        </w:rPr>
        <w:t>week</w:t>
      </w:r>
      <w:r w:rsidR="00C34E4A" w:rsidRPr="007952C2">
        <w:rPr>
          <w:sz w:val="20"/>
          <w:szCs w:val="20"/>
        </w:rPr>
        <w:t xml:space="preserve"> – недели. </w:t>
      </w:r>
    </w:p>
    <w:p w14:paraId="393E4D81" w14:textId="77777777" w:rsidR="00C34E4A" w:rsidRDefault="00C34E4A">
      <w:pPr>
        <w:spacing w:after="0" w:line="240" w:lineRule="auto"/>
        <w:ind w:firstLine="708"/>
        <w:rPr>
          <w:color w:val="000000"/>
        </w:rPr>
      </w:pPr>
    </w:p>
    <w:p w14:paraId="26302FDF" w14:textId="77777777" w:rsidR="00C34E4A" w:rsidRPr="00710D59" w:rsidRDefault="00C34E4A">
      <w:pPr>
        <w:spacing w:after="0" w:line="240" w:lineRule="auto"/>
        <w:ind w:firstLine="708"/>
        <w:rPr>
          <w:color w:val="000000"/>
        </w:rPr>
      </w:pPr>
      <w:r w:rsidRPr="006D538C">
        <w:rPr>
          <w:color w:val="000000"/>
        </w:rPr>
        <w:t>В Таблице 4</w:t>
      </w:r>
      <w:r>
        <w:rPr>
          <w:color w:val="000000"/>
        </w:rPr>
        <w:t xml:space="preserve">-6 резюмированы данные по рентгенологическим данным пациентов в РА, принимавших участие в регистрационных исследованиях </w:t>
      </w:r>
    </w:p>
    <w:p w14:paraId="764F3497" w14:textId="77777777" w:rsidR="00713EC9" w:rsidRDefault="00713EC9">
      <w:pPr>
        <w:spacing w:after="0" w:line="240" w:lineRule="auto"/>
        <w:rPr>
          <w:b/>
          <w:bCs/>
          <w:color w:val="000000"/>
        </w:rPr>
      </w:pPr>
    </w:p>
    <w:p w14:paraId="21A947F8" w14:textId="48CEB02B" w:rsidR="00C34E4A" w:rsidRPr="00D21480" w:rsidRDefault="00713EC9">
      <w:pPr>
        <w:spacing w:after="0" w:line="240" w:lineRule="auto"/>
        <w:rPr>
          <w:color w:val="000000"/>
        </w:rPr>
      </w:pPr>
      <w:r>
        <w:rPr>
          <w:b/>
          <w:bCs/>
          <w:color w:val="000000"/>
        </w:rPr>
        <w:t>Таблица 4-6.</w:t>
      </w:r>
      <w:r w:rsidR="00C34E4A" w:rsidRPr="006D538C">
        <w:rPr>
          <w:b/>
          <w:bCs/>
          <w:color w:val="000000"/>
        </w:rPr>
        <w:t xml:space="preserve"> </w:t>
      </w:r>
      <w:r w:rsidR="00C34E4A" w:rsidRPr="00713EC9">
        <w:rPr>
          <w:bCs/>
          <w:color w:val="000000"/>
        </w:rPr>
        <w:t>Рентгенологические результаты пациентов с ревматоидным артритом, принимавших участие в регистрационных исследованиях</w:t>
      </w:r>
      <w:r w:rsidRPr="00713EC9">
        <w:rPr>
          <w:color w:val="000000"/>
        </w:rPr>
        <w:t>.</w:t>
      </w:r>
    </w:p>
    <w:tbl>
      <w:tblPr>
        <w:tblStyle w:val="a8"/>
        <w:tblW w:w="4873" w:type="pct"/>
        <w:tblInd w:w="136" w:type="dxa"/>
        <w:tblLook w:val="04A0" w:firstRow="1" w:lastRow="0" w:firstColumn="1" w:lastColumn="0" w:noHBand="0" w:noVBand="1"/>
      </w:tblPr>
      <w:tblGrid>
        <w:gridCol w:w="1903"/>
        <w:gridCol w:w="700"/>
        <w:gridCol w:w="775"/>
        <w:gridCol w:w="938"/>
        <w:gridCol w:w="741"/>
        <w:gridCol w:w="996"/>
        <w:gridCol w:w="996"/>
        <w:gridCol w:w="671"/>
        <w:gridCol w:w="776"/>
        <w:gridCol w:w="833"/>
      </w:tblGrid>
      <w:tr w:rsidR="00C34E4A" w:rsidRPr="006D538C" w14:paraId="6D69638C" w14:textId="77777777" w:rsidTr="00AB1FF1">
        <w:trPr>
          <w:tblHeader/>
        </w:trPr>
        <w:tc>
          <w:tcPr>
            <w:tcW w:w="1951" w:type="dxa"/>
            <w:shd w:val="clear" w:color="auto" w:fill="D9D9D9" w:themeFill="background1" w:themeFillShade="D9"/>
            <w:vAlign w:val="center"/>
          </w:tcPr>
          <w:p w14:paraId="763AB348" w14:textId="77777777" w:rsidR="00C34E4A" w:rsidRPr="0029110D" w:rsidRDefault="00C34E4A">
            <w:pPr>
              <w:jc w:val="center"/>
              <w:rPr>
                <w:b/>
                <w:bCs/>
                <w:color w:val="000000"/>
                <w:sz w:val="20"/>
                <w:szCs w:val="20"/>
              </w:rPr>
            </w:pPr>
            <w:r w:rsidRPr="0029110D">
              <w:rPr>
                <w:b/>
                <w:bCs/>
                <w:color w:val="000000"/>
                <w:sz w:val="20"/>
                <w:szCs w:val="20"/>
              </w:rPr>
              <w:t>Исследование</w:t>
            </w:r>
          </w:p>
        </w:tc>
        <w:tc>
          <w:tcPr>
            <w:tcW w:w="2439" w:type="dxa"/>
            <w:gridSpan w:val="3"/>
            <w:shd w:val="clear" w:color="auto" w:fill="D9D9D9" w:themeFill="background1" w:themeFillShade="D9"/>
            <w:vAlign w:val="center"/>
          </w:tcPr>
          <w:p w14:paraId="44FCC838" w14:textId="77777777" w:rsidR="00C34E4A" w:rsidRPr="0029110D" w:rsidRDefault="00C34E4A">
            <w:pPr>
              <w:jc w:val="center"/>
              <w:rPr>
                <w:b/>
                <w:bCs/>
                <w:color w:val="000000"/>
                <w:sz w:val="20"/>
                <w:szCs w:val="20"/>
              </w:rPr>
            </w:pPr>
            <w:r w:rsidRPr="0029110D">
              <w:rPr>
                <w:b/>
                <w:bCs/>
                <w:sz w:val="20"/>
                <w:szCs w:val="20"/>
              </w:rPr>
              <w:t>JADZ MTX-наивные пациенты</w:t>
            </w:r>
          </w:p>
        </w:tc>
        <w:tc>
          <w:tcPr>
            <w:tcW w:w="2768" w:type="dxa"/>
            <w:gridSpan w:val="3"/>
            <w:shd w:val="clear" w:color="auto" w:fill="D9D9D9" w:themeFill="background1" w:themeFillShade="D9"/>
            <w:vAlign w:val="center"/>
          </w:tcPr>
          <w:p w14:paraId="3099D7F3" w14:textId="77777777" w:rsidR="00C34E4A" w:rsidRPr="0029110D" w:rsidRDefault="00C34E4A">
            <w:pPr>
              <w:jc w:val="center"/>
              <w:rPr>
                <w:b/>
                <w:bCs/>
                <w:color w:val="000000"/>
                <w:sz w:val="20"/>
                <w:szCs w:val="20"/>
              </w:rPr>
            </w:pPr>
            <w:r w:rsidRPr="0029110D">
              <w:rPr>
                <w:b/>
                <w:bCs/>
                <w:sz w:val="20"/>
                <w:szCs w:val="20"/>
              </w:rPr>
              <w:t>JADV MTX-IR пациенты</w:t>
            </w:r>
          </w:p>
        </w:tc>
        <w:tc>
          <w:tcPr>
            <w:tcW w:w="2170" w:type="dxa"/>
            <w:gridSpan w:val="3"/>
            <w:shd w:val="clear" w:color="auto" w:fill="D9D9D9" w:themeFill="background1" w:themeFillShade="D9"/>
            <w:vAlign w:val="center"/>
          </w:tcPr>
          <w:p w14:paraId="18FE4352" w14:textId="77777777" w:rsidR="00C34E4A" w:rsidRPr="0029110D" w:rsidRDefault="00C34E4A">
            <w:pPr>
              <w:jc w:val="center"/>
              <w:rPr>
                <w:b/>
                <w:bCs/>
                <w:color w:val="000000"/>
                <w:sz w:val="20"/>
                <w:szCs w:val="20"/>
              </w:rPr>
            </w:pPr>
            <w:r w:rsidRPr="0029110D">
              <w:rPr>
                <w:b/>
                <w:bCs/>
                <w:sz w:val="20"/>
                <w:szCs w:val="20"/>
              </w:rPr>
              <w:t>JADX cDMARD-IR пациенты</w:t>
            </w:r>
          </w:p>
        </w:tc>
      </w:tr>
      <w:tr w:rsidR="00C34E4A" w:rsidRPr="006D538C" w14:paraId="74C78373" w14:textId="77777777" w:rsidTr="00AB1FF1">
        <w:tc>
          <w:tcPr>
            <w:tcW w:w="1951" w:type="dxa"/>
          </w:tcPr>
          <w:p w14:paraId="7F1CEBFD" w14:textId="77777777" w:rsidR="00C34E4A" w:rsidRPr="0029110D" w:rsidRDefault="00C34E4A">
            <w:pPr>
              <w:rPr>
                <w:color w:val="000000"/>
                <w:sz w:val="20"/>
                <w:szCs w:val="20"/>
              </w:rPr>
            </w:pPr>
            <w:r w:rsidRPr="0029110D">
              <w:rPr>
                <w:color w:val="000000"/>
                <w:sz w:val="20"/>
                <w:szCs w:val="20"/>
              </w:rPr>
              <w:t xml:space="preserve">Группа </w:t>
            </w:r>
          </w:p>
        </w:tc>
        <w:tc>
          <w:tcPr>
            <w:tcW w:w="705" w:type="dxa"/>
          </w:tcPr>
          <w:p w14:paraId="13964C1D" w14:textId="77777777" w:rsidR="00C34E4A" w:rsidRPr="0029110D" w:rsidRDefault="00C34E4A">
            <w:pPr>
              <w:rPr>
                <w:color w:val="000000"/>
                <w:sz w:val="20"/>
                <w:szCs w:val="20"/>
              </w:rPr>
            </w:pPr>
            <w:r w:rsidRPr="0029110D">
              <w:rPr>
                <w:sz w:val="20"/>
                <w:szCs w:val="20"/>
              </w:rPr>
              <w:t>MTX</w:t>
            </w:r>
          </w:p>
        </w:tc>
        <w:tc>
          <w:tcPr>
            <w:tcW w:w="784" w:type="dxa"/>
          </w:tcPr>
          <w:p w14:paraId="07F2AA1D" w14:textId="77777777" w:rsidR="00C34E4A" w:rsidRPr="0029110D" w:rsidRDefault="00C34E4A">
            <w:pPr>
              <w:rPr>
                <w:color w:val="000000"/>
                <w:sz w:val="20"/>
                <w:szCs w:val="20"/>
              </w:rPr>
            </w:pPr>
            <w:r w:rsidRPr="0029110D">
              <w:rPr>
                <w:sz w:val="20"/>
                <w:szCs w:val="20"/>
              </w:rPr>
              <w:t>BARI 4 mg</w:t>
            </w:r>
          </w:p>
        </w:tc>
        <w:tc>
          <w:tcPr>
            <w:tcW w:w="950" w:type="dxa"/>
          </w:tcPr>
          <w:p w14:paraId="0374C925" w14:textId="77777777" w:rsidR="00C34E4A" w:rsidRPr="0029110D" w:rsidRDefault="00C34E4A">
            <w:pPr>
              <w:rPr>
                <w:color w:val="000000"/>
                <w:sz w:val="20"/>
                <w:szCs w:val="20"/>
              </w:rPr>
            </w:pPr>
            <w:r w:rsidRPr="0029110D">
              <w:rPr>
                <w:sz w:val="20"/>
                <w:szCs w:val="20"/>
              </w:rPr>
              <w:t>BARI 4 mg + MTX</w:t>
            </w:r>
          </w:p>
        </w:tc>
        <w:tc>
          <w:tcPr>
            <w:tcW w:w="750" w:type="dxa"/>
          </w:tcPr>
          <w:p w14:paraId="3255432B" w14:textId="77777777" w:rsidR="00C34E4A" w:rsidRPr="0029110D" w:rsidRDefault="00C34E4A">
            <w:pPr>
              <w:rPr>
                <w:color w:val="000000"/>
                <w:sz w:val="20"/>
                <w:szCs w:val="20"/>
                <w:vertAlign w:val="superscript"/>
              </w:rPr>
            </w:pPr>
            <w:r w:rsidRPr="0029110D">
              <w:rPr>
                <w:sz w:val="20"/>
                <w:szCs w:val="20"/>
              </w:rPr>
              <w:t>PBO</w:t>
            </w:r>
            <w:r w:rsidRPr="0029110D">
              <w:rPr>
                <w:sz w:val="20"/>
                <w:szCs w:val="20"/>
                <w:vertAlign w:val="superscript"/>
                <w:lang w:val="en-US"/>
              </w:rPr>
              <w:t>a</w:t>
            </w:r>
          </w:p>
        </w:tc>
        <w:tc>
          <w:tcPr>
            <w:tcW w:w="1009" w:type="dxa"/>
          </w:tcPr>
          <w:p w14:paraId="0BFEA157" w14:textId="77777777" w:rsidR="00C34E4A" w:rsidRPr="0029110D" w:rsidRDefault="00C34E4A">
            <w:pPr>
              <w:rPr>
                <w:color w:val="000000"/>
                <w:sz w:val="20"/>
                <w:szCs w:val="20"/>
              </w:rPr>
            </w:pPr>
            <w:r w:rsidRPr="0029110D">
              <w:rPr>
                <w:sz w:val="20"/>
                <w:szCs w:val="20"/>
              </w:rPr>
              <w:t>BARI 4 mg</w:t>
            </w:r>
          </w:p>
        </w:tc>
        <w:tc>
          <w:tcPr>
            <w:tcW w:w="1009" w:type="dxa"/>
          </w:tcPr>
          <w:p w14:paraId="4C9D0529" w14:textId="569C668D" w:rsidR="00C34E4A" w:rsidRPr="0029110D" w:rsidRDefault="00C34E4A">
            <w:pPr>
              <w:rPr>
                <w:sz w:val="20"/>
                <w:szCs w:val="20"/>
              </w:rPr>
            </w:pPr>
            <w:r w:rsidRPr="0029110D">
              <w:rPr>
                <w:sz w:val="20"/>
                <w:szCs w:val="20"/>
              </w:rPr>
              <w:t>ADA 40 mg Q2W</w:t>
            </w:r>
          </w:p>
        </w:tc>
        <w:tc>
          <w:tcPr>
            <w:tcW w:w="679" w:type="dxa"/>
          </w:tcPr>
          <w:p w14:paraId="3EDBE4DD" w14:textId="77777777" w:rsidR="00C34E4A" w:rsidRPr="0029110D" w:rsidRDefault="00C34E4A">
            <w:pPr>
              <w:rPr>
                <w:color w:val="000000"/>
                <w:sz w:val="20"/>
                <w:szCs w:val="20"/>
              </w:rPr>
            </w:pPr>
            <w:r w:rsidRPr="0029110D">
              <w:rPr>
                <w:sz w:val="20"/>
                <w:szCs w:val="20"/>
              </w:rPr>
              <w:t>PBO</w:t>
            </w:r>
          </w:p>
        </w:tc>
        <w:tc>
          <w:tcPr>
            <w:tcW w:w="785" w:type="dxa"/>
          </w:tcPr>
          <w:p w14:paraId="14E7CC80" w14:textId="77777777" w:rsidR="00C34E4A" w:rsidRPr="0029110D" w:rsidRDefault="00C34E4A">
            <w:pPr>
              <w:rPr>
                <w:color w:val="000000"/>
                <w:sz w:val="20"/>
                <w:szCs w:val="20"/>
              </w:rPr>
            </w:pPr>
            <w:r w:rsidRPr="0029110D">
              <w:rPr>
                <w:sz w:val="20"/>
                <w:szCs w:val="20"/>
              </w:rPr>
              <w:t>BARI 2 mg</w:t>
            </w:r>
          </w:p>
        </w:tc>
        <w:tc>
          <w:tcPr>
            <w:tcW w:w="706" w:type="dxa"/>
          </w:tcPr>
          <w:p w14:paraId="1B9D18A7" w14:textId="77777777" w:rsidR="00C34E4A" w:rsidRPr="0029110D" w:rsidRDefault="00C34E4A">
            <w:pPr>
              <w:rPr>
                <w:color w:val="000000"/>
                <w:sz w:val="20"/>
                <w:szCs w:val="20"/>
              </w:rPr>
            </w:pPr>
            <w:r w:rsidRPr="0029110D">
              <w:rPr>
                <w:sz w:val="20"/>
                <w:szCs w:val="20"/>
              </w:rPr>
              <w:t>BARI 4 mg</w:t>
            </w:r>
          </w:p>
        </w:tc>
      </w:tr>
      <w:tr w:rsidR="00C34E4A" w:rsidRPr="006D538C" w14:paraId="47D43E92" w14:textId="77777777" w:rsidTr="00AB1FF1">
        <w:tc>
          <w:tcPr>
            <w:tcW w:w="1951" w:type="dxa"/>
          </w:tcPr>
          <w:p w14:paraId="250AC93E" w14:textId="77777777" w:rsidR="00C34E4A" w:rsidRPr="0029110D" w:rsidRDefault="00C34E4A">
            <w:pPr>
              <w:rPr>
                <w:color w:val="000000"/>
                <w:sz w:val="20"/>
                <w:szCs w:val="20"/>
              </w:rPr>
            </w:pPr>
            <w:r w:rsidRPr="0029110D">
              <w:rPr>
                <w:sz w:val="20"/>
                <w:szCs w:val="20"/>
              </w:rPr>
              <w:t>n</w:t>
            </w:r>
          </w:p>
        </w:tc>
        <w:tc>
          <w:tcPr>
            <w:tcW w:w="705" w:type="dxa"/>
          </w:tcPr>
          <w:p w14:paraId="29D709BF" w14:textId="77777777" w:rsidR="00C34E4A" w:rsidRPr="0029110D" w:rsidRDefault="00C34E4A" w:rsidP="00AB1FF1">
            <w:pPr>
              <w:jc w:val="center"/>
              <w:rPr>
                <w:color w:val="000000"/>
                <w:sz w:val="20"/>
                <w:szCs w:val="20"/>
              </w:rPr>
            </w:pPr>
            <w:r w:rsidRPr="0029110D">
              <w:rPr>
                <w:sz w:val="20"/>
                <w:szCs w:val="20"/>
              </w:rPr>
              <w:t>210</w:t>
            </w:r>
          </w:p>
        </w:tc>
        <w:tc>
          <w:tcPr>
            <w:tcW w:w="784" w:type="dxa"/>
          </w:tcPr>
          <w:p w14:paraId="399D9D09" w14:textId="77777777" w:rsidR="00C34E4A" w:rsidRPr="0029110D" w:rsidRDefault="00C34E4A" w:rsidP="00AB1FF1">
            <w:pPr>
              <w:jc w:val="center"/>
              <w:rPr>
                <w:color w:val="000000"/>
                <w:sz w:val="20"/>
                <w:szCs w:val="20"/>
              </w:rPr>
            </w:pPr>
            <w:r w:rsidRPr="0029110D">
              <w:rPr>
                <w:sz w:val="20"/>
                <w:szCs w:val="20"/>
              </w:rPr>
              <w:t>159</w:t>
            </w:r>
          </w:p>
        </w:tc>
        <w:tc>
          <w:tcPr>
            <w:tcW w:w="950" w:type="dxa"/>
          </w:tcPr>
          <w:p w14:paraId="6E9E2208" w14:textId="77777777" w:rsidR="00C34E4A" w:rsidRPr="0029110D" w:rsidRDefault="00C34E4A" w:rsidP="00AB1FF1">
            <w:pPr>
              <w:jc w:val="center"/>
              <w:rPr>
                <w:color w:val="000000"/>
                <w:sz w:val="20"/>
                <w:szCs w:val="20"/>
              </w:rPr>
            </w:pPr>
            <w:r w:rsidRPr="0029110D">
              <w:rPr>
                <w:sz w:val="20"/>
                <w:szCs w:val="20"/>
              </w:rPr>
              <w:t>215</w:t>
            </w:r>
          </w:p>
        </w:tc>
        <w:tc>
          <w:tcPr>
            <w:tcW w:w="750" w:type="dxa"/>
          </w:tcPr>
          <w:p w14:paraId="438C7CD9" w14:textId="77777777" w:rsidR="00C34E4A" w:rsidRPr="0029110D" w:rsidRDefault="00C34E4A" w:rsidP="00AB1FF1">
            <w:pPr>
              <w:jc w:val="center"/>
              <w:rPr>
                <w:color w:val="000000"/>
                <w:sz w:val="20"/>
                <w:szCs w:val="20"/>
              </w:rPr>
            </w:pPr>
            <w:r w:rsidRPr="0029110D">
              <w:rPr>
                <w:sz w:val="20"/>
                <w:szCs w:val="20"/>
              </w:rPr>
              <w:t>488</w:t>
            </w:r>
          </w:p>
        </w:tc>
        <w:tc>
          <w:tcPr>
            <w:tcW w:w="1009" w:type="dxa"/>
          </w:tcPr>
          <w:p w14:paraId="7F9E790E" w14:textId="77777777" w:rsidR="00C34E4A" w:rsidRPr="0029110D" w:rsidRDefault="00C34E4A" w:rsidP="00AB1FF1">
            <w:pPr>
              <w:jc w:val="center"/>
              <w:rPr>
                <w:color w:val="000000"/>
                <w:sz w:val="20"/>
                <w:szCs w:val="20"/>
              </w:rPr>
            </w:pPr>
            <w:r w:rsidRPr="0029110D">
              <w:rPr>
                <w:sz w:val="20"/>
                <w:szCs w:val="20"/>
              </w:rPr>
              <w:t>487</w:t>
            </w:r>
          </w:p>
        </w:tc>
        <w:tc>
          <w:tcPr>
            <w:tcW w:w="1009" w:type="dxa"/>
          </w:tcPr>
          <w:p w14:paraId="7D970152" w14:textId="77777777" w:rsidR="00C34E4A" w:rsidRPr="0029110D" w:rsidRDefault="00C34E4A" w:rsidP="00AB1FF1">
            <w:pPr>
              <w:jc w:val="center"/>
              <w:rPr>
                <w:color w:val="000000"/>
                <w:sz w:val="20"/>
                <w:szCs w:val="20"/>
              </w:rPr>
            </w:pPr>
            <w:r w:rsidRPr="0029110D">
              <w:rPr>
                <w:sz w:val="20"/>
                <w:szCs w:val="20"/>
              </w:rPr>
              <w:t>330</w:t>
            </w:r>
          </w:p>
        </w:tc>
        <w:tc>
          <w:tcPr>
            <w:tcW w:w="679" w:type="dxa"/>
          </w:tcPr>
          <w:p w14:paraId="251AB514" w14:textId="77777777" w:rsidR="00C34E4A" w:rsidRPr="0029110D" w:rsidRDefault="00C34E4A" w:rsidP="00AB1FF1">
            <w:pPr>
              <w:jc w:val="center"/>
              <w:rPr>
                <w:color w:val="000000"/>
                <w:sz w:val="20"/>
                <w:szCs w:val="20"/>
              </w:rPr>
            </w:pPr>
            <w:r w:rsidRPr="0029110D">
              <w:rPr>
                <w:sz w:val="20"/>
                <w:szCs w:val="20"/>
              </w:rPr>
              <w:t>228</w:t>
            </w:r>
          </w:p>
        </w:tc>
        <w:tc>
          <w:tcPr>
            <w:tcW w:w="785" w:type="dxa"/>
          </w:tcPr>
          <w:p w14:paraId="0CA197B6" w14:textId="77777777" w:rsidR="00C34E4A" w:rsidRPr="0029110D" w:rsidRDefault="00C34E4A" w:rsidP="00AB1FF1">
            <w:pPr>
              <w:jc w:val="center"/>
              <w:rPr>
                <w:color w:val="000000"/>
                <w:sz w:val="20"/>
                <w:szCs w:val="20"/>
              </w:rPr>
            </w:pPr>
            <w:r w:rsidRPr="0029110D">
              <w:rPr>
                <w:sz w:val="20"/>
                <w:szCs w:val="20"/>
              </w:rPr>
              <w:t>229</w:t>
            </w:r>
          </w:p>
        </w:tc>
        <w:tc>
          <w:tcPr>
            <w:tcW w:w="706" w:type="dxa"/>
          </w:tcPr>
          <w:p w14:paraId="2E45D39F" w14:textId="77777777" w:rsidR="00C34E4A" w:rsidRPr="0029110D" w:rsidRDefault="00C34E4A" w:rsidP="00AB1FF1">
            <w:pPr>
              <w:jc w:val="center"/>
              <w:rPr>
                <w:color w:val="000000"/>
                <w:sz w:val="20"/>
                <w:szCs w:val="20"/>
              </w:rPr>
            </w:pPr>
            <w:r w:rsidRPr="0029110D">
              <w:rPr>
                <w:sz w:val="20"/>
                <w:szCs w:val="20"/>
              </w:rPr>
              <w:t>227</w:t>
            </w:r>
          </w:p>
        </w:tc>
      </w:tr>
      <w:tr w:rsidR="00C34E4A" w:rsidRPr="006D538C" w14:paraId="7A090FEE" w14:textId="77777777" w:rsidTr="00AB1FF1">
        <w:tc>
          <w:tcPr>
            <w:tcW w:w="9328" w:type="dxa"/>
            <w:gridSpan w:val="10"/>
          </w:tcPr>
          <w:p w14:paraId="34714FA4" w14:textId="77777777" w:rsidR="00C34E4A" w:rsidRPr="0029110D" w:rsidRDefault="00C34E4A">
            <w:pPr>
              <w:rPr>
                <w:color w:val="000000"/>
                <w:sz w:val="20"/>
                <w:szCs w:val="20"/>
              </w:rPr>
            </w:pPr>
            <w:r w:rsidRPr="0029110D">
              <w:rPr>
                <w:color w:val="000000"/>
                <w:sz w:val="20"/>
                <w:szCs w:val="20"/>
              </w:rPr>
              <w:t>Модифицированный общий балл Sharp, среднее изменение по сравнению с исходным уровнем:</w:t>
            </w:r>
          </w:p>
        </w:tc>
      </w:tr>
      <w:tr w:rsidR="00C34E4A" w:rsidRPr="006D538C" w14:paraId="63E27B0A" w14:textId="77777777" w:rsidTr="00AB1FF1">
        <w:tc>
          <w:tcPr>
            <w:tcW w:w="1951" w:type="dxa"/>
          </w:tcPr>
          <w:p w14:paraId="48B516FF" w14:textId="77777777" w:rsidR="00C34E4A" w:rsidRPr="0029110D" w:rsidRDefault="00C34E4A">
            <w:pPr>
              <w:rPr>
                <w:color w:val="000000"/>
                <w:sz w:val="20"/>
                <w:szCs w:val="20"/>
              </w:rPr>
            </w:pPr>
            <w:r w:rsidRPr="0029110D">
              <w:rPr>
                <w:color w:val="000000"/>
                <w:sz w:val="20"/>
                <w:szCs w:val="20"/>
              </w:rPr>
              <w:t>24 неделя</w:t>
            </w:r>
          </w:p>
        </w:tc>
        <w:tc>
          <w:tcPr>
            <w:tcW w:w="705" w:type="dxa"/>
          </w:tcPr>
          <w:p w14:paraId="66400016" w14:textId="53CC67FD"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61</w:t>
            </w:r>
          </w:p>
        </w:tc>
        <w:tc>
          <w:tcPr>
            <w:tcW w:w="784" w:type="dxa"/>
          </w:tcPr>
          <w:p w14:paraId="405048D3" w14:textId="4E5231AF"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39</w:t>
            </w:r>
          </w:p>
        </w:tc>
        <w:tc>
          <w:tcPr>
            <w:tcW w:w="950" w:type="dxa"/>
          </w:tcPr>
          <w:p w14:paraId="630691A7" w14:textId="59AB5EEA"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29*</w:t>
            </w:r>
          </w:p>
        </w:tc>
        <w:tc>
          <w:tcPr>
            <w:tcW w:w="750" w:type="dxa"/>
          </w:tcPr>
          <w:p w14:paraId="0E0EAD0E" w14:textId="59A527F1"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90</w:t>
            </w:r>
          </w:p>
        </w:tc>
        <w:tc>
          <w:tcPr>
            <w:tcW w:w="1009" w:type="dxa"/>
          </w:tcPr>
          <w:p w14:paraId="6411AF73" w14:textId="6BAD286D"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41***</w:t>
            </w:r>
          </w:p>
        </w:tc>
        <w:tc>
          <w:tcPr>
            <w:tcW w:w="1009" w:type="dxa"/>
          </w:tcPr>
          <w:p w14:paraId="1584C5EB" w14:textId="2AA2BE57"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33***</w:t>
            </w:r>
          </w:p>
        </w:tc>
        <w:tc>
          <w:tcPr>
            <w:tcW w:w="679" w:type="dxa"/>
          </w:tcPr>
          <w:p w14:paraId="21A97482" w14:textId="1DA427D0"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70</w:t>
            </w:r>
          </w:p>
        </w:tc>
        <w:tc>
          <w:tcPr>
            <w:tcW w:w="785" w:type="dxa"/>
          </w:tcPr>
          <w:p w14:paraId="7CE7522D" w14:textId="2491F9B7"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33*</w:t>
            </w:r>
          </w:p>
        </w:tc>
        <w:tc>
          <w:tcPr>
            <w:tcW w:w="706" w:type="dxa"/>
          </w:tcPr>
          <w:p w14:paraId="514875F8" w14:textId="658EE51F"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15**</w:t>
            </w:r>
          </w:p>
        </w:tc>
      </w:tr>
      <w:tr w:rsidR="00C34E4A" w:rsidRPr="006D538C" w14:paraId="19DB3F18" w14:textId="77777777" w:rsidTr="00AB1FF1">
        <w:tc>
          <w:tcPr>
            <w:tcW w:w="1951" w:type="dxa"/>
          </w:tcPr>
          <w:p w14:paraId="02972792" w14:textId="77777777" w:rsidR="00C34E4A" w:rsidRPr="0029110D" w:rsidRDefault="00C34E4A">
            <w:pPr>
              <w:rPr>
                <w:color w:val="000000"/>
                <w:sz w:val="20"/>
                <w:szCs w:val="20"/>
              </w:rPr>
            </w:pPr>
            <w:r w:rsidRPr="0029110D">
              <w:rPr>
                <w:color w:val="000000"/>
                <w:sz w:val="20"/>
                <w:szCs w:val="20"/>
              </w:rPr>
              <w:t>52 неделя</w:t>
            </w:r>
          </w:p>
        </w:tc>
        <w:tc>
          <w:tcPr>
            <w:tcW w:w="705" w:type="dxa"/>
          </w:tcPr>
          <w:p w14:paraId="7BD5C5F5" w14:textId="39853874" w:rsidR="00C34E4A" w:rsidRPr="0029110D" w:rsidRDefault="00C34E4A" w:rsidP="00AB1FF1">
            <w:pPr>
              <w:jc w:val="center"/>
              <w:rPr>
                <w:color w:val="000000"/>
                <w:sz w:val="20"/>
                <w:szCs w:val="20"/>
              </w:rPr>
            </w:pPr>
            <w:r w:rsidRPr="0029110D">
              <w:rPr>
                <w:sz w:val="20"/>
                <w:szCs w:val="20"/>
              </w:rPr>
              <w:t>1</w:t>
            </w:r>
            <w:r w:rsidR="008C6732" w:rsidRPr="0029110D">
              <w:rPr>
                <w:sz w:val="20"/>
                <w:szCs w:val="20"/>
              </w:rPr>
              <w:t>,</w:t>
            </w:r>
            <w:r w:rsidRPr="0029110D">
              <w:rPr>
                <w:sz w:val="20"/>
                <w:szCs w:val="20"/>
              </w:rPr>
              <w:t>02</w:t>
            </w:r>
          </w:p>
        </w:tc>
        <w:tc>
          <w:tcPr>
            <w:tcW w:w="784" w:type="dxa"/>
          </w:tcPr>
          <w:p w14:paraId="53183181" w14:textId="737B0AF7"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80</w:t>
            </w:r>
          </w:p>
        </w:tc>
        <w:tc>
          <w:tcPr>
            <w:tcW w:w="950" w:type="dxa"/>
          </w:tcPr>
          <w:p w14:paraId="62300930" w14:textId="3DFCCF95"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40**</w:t>
            </w:r>
          </w:p>
        </w:tc>
        <w:tc>
          <w:tcPr>
            <w:tcW w:w="750" w:type="dxa"/>
          </w:tcPr>
          <w:p w14:paraId="67DD62C8" w14:textId="13D0023D" w:rsidR="00C34E4A" w:rsidRPr="0029110D" w:rsidRDefault="00C34E4A" w:rsidP="00AB1FF1">
            <w:pPr>
              <w:jc w:val="center"/>
              <w:rPr>
                <w:color w:val="000000"/>
                <w:sz w:val="20"/>
                <w:szCs w:val="20"/>
              </w:rPr>
            </w:pPr>
            <w:r w:rsidRPr="0029110D">
              <w:rPr>
                <w:sz w:val="20"/>
                <w:szCs w:val="20"/>
              </w:rPr>
              <w:t>1</w:t>
            </w:r>
            <w:r w:rsidR="008C6732" w:rsidRPr="0029110D">
              <w:rPr>
                <w:sz w:val="20"/>
                <w:szCs w:val="20"/>
              </w:rPr>
              <w:t>,</w:t>
            </w:r>
            <w:r w:rsidRPr="0029110D">
              <w:rPr>
                <w:sz w:val="20"/>
                <w:szCs w:val="20"/>
              </w:rPr>
              <w:t>80</w:t>
            </w:r>
          </w:p>
        </w:tc>
        <w:tc>
          <w:tcPr>
            <w:tcW w:w="1009" w:type="dxa"/>
          </w:tcPr>
          <w:p w14:paraId="33238586" w14:textId="455D0961"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71***</w:t>
            </w:r>
          </w:p>
        </w:tc>
        <w:tc>
          <w:tcPr>
            <w:tcW w:w="1009" w:type="dxa"/>
          </w:tcPr>
          <w:p w14:paraId="74C62A9C" w14:textId="4DA3DD5C"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60***</w:t>
            </w:r>
          </w:p>
        </w:tc>
        <w:tc>
          <w:tcPr>
            <w:tcW w:w="679" w:type="dxa"/>
          </w:tcPr>
          <w:p w14:paraId="715DA711" w14:textId="77777777" w:rsidR="00C34E4A" w:rsidRPr="0029110D" w:rsidRDefault="00C34E4A" w:rsidP="00AB1FF1">
            <w:pPr>
              <w:jc w:val="center"/>
              <w:rPr>
                <w:color w:val="000000"/>
                <w:sz w:val="20"/>
                <w:szCs w:val="20"/>
              </w:rPr>
            </w:pPr>
            <w:r w:rsidRPr="0029110D">
              <w:rPr>
                <w:sz w:val="20"/>
                <w:szCs w:val="20"/>
              </w:rPr>
              <w:t>NA</w:t>
            </w:r>
          </w:p>
        </w:tc>
        <w:tc>
          <w:tcPr>
            <w:tcW w:w="785" w:type="dxa"/>
          </w:tcPr>
          <w:p w14:paraId="30DF35E1" w14:textId="77777777" w:rsidR="00C34E4A" w:rsidRPr="0029110D" w:rsidRDefault="00C34E4A" w:rsidP="00AB1FF1">
            <w:pPr>
              <w:jc w:val="center"/>
              <w:rPr>
                <w:color w:val="000000"/>
                <w:sz w:val="20"/>
                <w:szCs w:val="20"/>
              </w:rPr>
            </w:pPr>
            <w:r w:rsidRPr="0029110D">
              <w:rPr>
                <w:sz w:val="20"/>
                <w:szCs w:val="20"/>
              </w:rPr>
              <w:t>NA</w:t>
            </w:r>
          </w:p>
        </w:tc>
        <w:tc>
          <w:tcPr>
            <w:tcW w:w="706" w:type="dxa"/>
          </w:tcPr>
          <w:p w14:paraId="7E22D891" w14:textId="77777777" w:rsidR="00C34E4A" w:rsidRPr="0029110D" w:rsidRDefault="00C34E4A" w:rsidP="00AB1FF1">
            <w:pPr>
              <w:jc w:val="center"/>
              <w:rPr>
                <w:color w:val="000000"/>
                <w:sz w:val="20"/>
                <w:szCs w:val="20"/>
              </w:rPr>
            </w:pPr>
            <w:r w:rsidRPr="0029110D">
              <w:rPr>
                <w:sz w:val="20"/>
                <w:szCs w:val="20"/>
              </w:rPr>
              <w:t>NA</w:t>
            </w:r>
          </w:p>
        </w:tc>
      </w:tr>
      <w:tr w:rsidR="00C34E4A" w:rsidRPr="006D538C" w14:paraId="0939C875" w14:textId="77777777" w:rsidTr="00AB1FF1">
        <w:tc>
          <w:tcPr>
            <w:tcW w:w="9328" w:type="dxa"/>
            <w:gridSpan w:val="10"/>
          </w:tcPr>
          <w:p w14:paraId="0B103E7C" w14:textId="77777777" w:rsidR="00C34E4A" w:rsidRPr="0029110D" w:rsidRDefault="00C34E4A">
            <w:pPr>
              <w:rPr>
                <w:color w:val="000000"/>
                <w:sz w:val="20"/>
                <w:szCs w:val="20"/>
              </w:rPr>
            </w:pPr>
            <w:r w:rsidRPr="0029110D">
              <w:rPr>
                <w:color w:val="000000"/>
                <w:sz w:val="20"/>
                <w:szCs w:val="20"/>
              </w:rPr>
              <w:t>Оценка эрозии, среднее изменение по сравнению с исходным уровнем:</w:t>
            </w:r>
          </w:p>
        </w:tc>
      </w:tr>
      <w:tr w:rsidR="00C34E4A" w:rsidRPr="006D538C" w14:paraId="53FEF0D1" w14:textId="77777777" w:rsidTr="00AB1FF1">
        <w:tc>
          <w:tcPr>
            <w:tcW w:w="1951" w:type="dxa"/>
          </w:tcPr>
          <w:p w14:paraId="08CBE6D5" w14:textId="77777777" w:rsidR="00C34E4A" w:rsidRPr="0029110D" w:rsidRDefault="00C34E4A">
            <w:pPr>
              <w:rPr>
                <w:color w:val="000000"/>
                <w:sz w:val="20"/>
                <w:szCs w:val="20"/>
              </w:rPr>
            </w:pPr>
            <w:r w:rsidRPr="0029110D">
              <w:rPr>
                <w:color w:val="000000"/>
                <w:sz w:val="20"/>
                <w:szCs w:val="20"/>
              </w:rPr>
              <w:t>24 неделя</w:t>
            </w:r>
          </w:p>
        </w:tc>
        <w:tc>
          <w:tcPr>
            <w:tcW w:w="705" w:type="dxa"/>
          </w:tcPr>
          <w:p w14:paraId="116320F2" w14:textId="6187D1DC"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47</w:t>
            </w:r>
          </w:p>
        </w:tc>
        <w:tc>
          <w:tcPr>
            <w:tcW w:w="784" w:type="dxa"/>
          </w:tcPr>
          <w:p w14:paraId="22F393CC" w14:textId="0A077F75"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33</w:t>
            </w:r>
          </w:p>
        </w:tc>
        <w:tc>
          <w:tcPr>
            <w:tcW w:w="950" w:type="dxa"/>
          </w:tcPr>
          <w:p w14:paraId="7579AF34" w14:textId="6151B441"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26*</w:t>
            </w:r>
          </w:p>
        </w:tc>
        <w:tc>
          <w:tcPr>
            <w:tcW w:w="750" w:type="dxa"/>
          </w:tcPr>
          <w:p w14:paraId="584363A3" w14:textId="105C86CD"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61</w:t>
            </w:r>
          </w:p>
        </w:tc>
        <w:tc>
          <w:tcPr>
            <w:tcW w:w="1009" w:type="dxa"/>
          </w:tcPr>
          <w:p w14:paraId="2C5246E6" w14:textId="0D28C295"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29***</w:t>
            </w:r>
          </w:p>
        </w:tc>
        <w:tc>
          <w:tcPr>
            <w:tcW w:w="1009" w:type="dxa"/>
          </w:tcPr>
          <w:p w14:paraId="6B76A17F" w14:textId="6FBD8679"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24***</w:t>
            </w:r>
          </w:p>
        </w:tc>
        <w:tc>
          <w:tcPr>
            <w:tcW w:w="679" w:type="dxa"/>
          </w:tcPr>
          <w:p w14:paraId="411E6AF7" w14:textId="54DCC093"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47</w:t>
            </w:r>
          </w:p>
        </w:tc>
        <w:tc>
          <w:tcPr>
            <w:tcW w:w="785" w:type="dxa"/>
          </w:tcPr>
          <w:p w14:paraId="46FA59E0" w14:textId="33D4A18B"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30</w:t>
            </w:r>
          </w:p>
        </w:tc>
        <w:tc>
          <w:tcPr>
            <w:tcW w:w="706" w:type="dxa"/>
          </w:tcPr>
          <w:p w14:paraId="0D56BF8B" w14:textId="7F4618AD"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11**</w:t>
            </w:r>
          </w:p>
        </w:tc>
      </w:tr>
      <w:tr w:rsidR="00C34E4A" w:rsidRPr="006D538C" w14:paraId="78DBB261" w14:textId="77777777" w:rsidTr="00AB1FF1">
        <w:tc>
          <w:tcPr>
            <w:tcW w:w="1951" w:type="dxa"/>
          </w:tcPr>
          <w:p w14:paraId="76695A0A" w14:textId="77777777" w:rsidR="00C34E4A" w:rsidRPr="0029110D" w:rsidRDefault="00C34E4A">
            <w:pPr>
              <w:rPr>
                <w:color w:val="000000"/>
                <w:sz w:val="20"/>
                <w:szCs w:val="20"/>
              </w:rPr>
            </w:pPr>
            <w:r w:rsidRPr="0029110D">
              <w:rPr>
                <w:color w:val="000000"/>
                <w:sz w:val="20"/>
                <w:szCs w:val="20"/>
              </w:rPr>
              <w:t>52 неделя</w:t>
            </w:r>
          </w:p>
        </w:tc>
        <w:tc>
          <w:tcPr>
            <w:tcW w:w="705" w:type="dxa"/>
          </w:tcPr>
          <w:p w14:paraId="42B022DA" w14:textId="3F2D941E"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81</w:t>
            </w:r>
          </w:p>
        </w:tc>
        <w:tc>
          <w:tcPr>
            <w:tcW w:w="784" w:type="dxa"/>
          </w:tcPr>
          <w:p w14:paraId="7A35CA5A" w14:textId="529812B2"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55</w:t>
            </w:r>
          </w:p>
        </w:tc>
        <w:tc>
          <w:tcPr>
            <w:tcW w:w="950" w:type="dxa"/>
          </w:tcPr>
          <w:p w14:paraId="7CA0D1A2" w14:textId="2F1221AA"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34**</w:t>
            </w:r>
          </w:p>
        </w:tc>
        <w:tc>
          <w:tcPr>
            <w:tcW w:w="750" w:type="dxa"/>
          </w:tcPr>
          <w:p w14:paraId="40972644" w14:textId="65A238EB" w:rsidR="00C34E4A" w:rsidRPr="0029110D" w:rsidRDefault="00C34E4A" w:rsidP="00AB1FF1">
            <w:pPr>
              <w:jc w:val="center"/>
              <w:rPr>
                <w:color w:val="000000"/>
                <w:sz w:val="20"/>
                <w:szCs w:val="20"/>
              </w:rPr>
            </w:pPr>
            <w:r w:rsidRPr="0029110D">
              <w:rPr>
                <w:sz w:val="20"/>
                <w:szCs w:val="20"/>
              </w:rPr>
              <w:t>1</w:t>
            </w:r>
            <w:r w:rsidR="008C6732" w:rsidRPr="0029110D">
              <w:rPr>
                <w:sz w:val="20"/>
                <w:szCs w:val="20"/>
              </w:rPr>
              <w:t>,</w:t>
            </w:r>
            <w:r w:rsidRPr="0029110D">
              <w:rPr>
                <w:sz w:val="20"/>
                <w:szCs w:val="20"/>
              </w:rPr>
              <w:t>23</w:t>
            </w:r>
          </w:p>
        </w:tc>
        <w:tc>
          <w:tcPr>
            <w:tcW w:w="1009" w:type="dxa"/>
          </w:tcPr>
          <w:p w14:paraId="01A3E6A2" w14:textId="1B6E7820"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51***</w:t>
            </w:r>
          </w:p>
        </w:tc>
        <w:tc>
          <w:tcPr>
            <w:tcW w:w="1009" w:type="dxa"/>
          </w:tcPr>
          <w:p w14:paraId="07D385DC" w14:textId="7803148D"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42***</w:t>
            </w:r>
          </w:p>
        </w:tc>
        <w:tc>
          <w:tcPr>
            <w:tcW w:w="679" w:type="dxa"/>
          </w:tcPr>
          <w:p w14:paraId="58C2F475" w14:textId="77777777" w:rsidR="00C34E4A" w:rsidRPr="0029110D" w:rsidRDefault="00C34E4A" w:rsidP="00AB1FF1">
            <w:pPr>
              <w:jc w:val="center"/>
              <w:rPr>
                <w:color w:val="000000"/>
                <w:sz w:val="20"/>
                <w:szCs w:val="20"/>
              </w:rPr>
            </w:pPr>
            <w:r w:rsidRPr="0029110D">
              <w:rPr>
                <w:sz w:val="20"/>
                <w:szCs w:val="20"/>
              </w:rPr>
              <w:t>NA</w:t>
            </w:r>
          </w:p>
        </w:tc>
        <w:tc>
          <w:tcPr>
            <w:tcW w:w="785" w:type="dxa"/>
          </w:tcPr>
          <w:p w14:paraId="4A28FFF0" w14:textId="77777777" w:rsidR="00C34E4A" w:rsidRPr="0029110D" w:rsidRDefault="00C34E4A" w:rsidP="00AB1FF1">
            <w:pPr>
              <w:jc w:val="center"/>
              <w:rPr>
                <w:color w:val="000000"/>
                <w:sz w:val="20"/>
                <w:szCs w:val="20"/>
              </w:rPr>
            </w:pPr>
            <w:r w:rsidRPr="0029110D">
              <w:rPr>
                <w:sz w:val="20"/>
                <w:szCs w:val="20"/>
              </w:rPr>
              <w:t>NA</w:t>
            </w:r>
          </w:p>
        </w:tc>
        <w:tc>
          <w:tcPr>
            <w:tcW w:w="706" w:type="dxa"/>
          </w:tcPr>
          <w:p w14:paraId="21EF6AAA" w14:textId="77777777" w:rsidR="00C34E4A" w:rsidRPr="0029110D" w:rsidRDefault="00C34E4A" w:rsidP="00AB1FF1">
            <w:pPr>
              <w:jc w:val="center"/>
              <w:rPr>
                <w:color w:val="000000"/>
                <w:sz w:val="20"/>
                <w:szCs w:val="20"/>
              </w:rPr>
            </w:pPr>
            <w:r w:rsidRPr="0029110D">
              <w:rPr>
                <w:sz w:val="20"/>
                <w:szCs w:val="20"/>
              </w:rPr>
              <w:t>NA</w:t>
            </w:r>
          </w:p>
        </w:tc>
      </w:tr>
      <w:tr w:rsidR="00C34E4A" w:rsidRPr="006D538C" w14:paraId="6C01CE64" w14:textId="77777777" w:rsidTr="00AB1FF1">
        <w:tc>
          <w:tcPr>
            <w:tcW w:w="9328" w:type="dxa"/>
            <w:gridSpan w:val="10"/>
          </w:tcPr>
          <w:p w14:paraId="1F571D0A" w14:textId="77777777" w:rsidR="00C34E4A" w:rsidRPr="0029110D" w:rsidRDefault="00C34E4A">
            <w:pPr>
              <w:rPr>
                <w:color w:val="000000"/>
                <w:sz w:val="20"/>
                <w:szCs w:val="20"/>
              </w:rPr>
            </w:pPr>
            <w:r w:rsidRPr="0029110D">
              <w:rPr>
                <w:color w:val="000000"/>
                <w:sz w:val="20"/>
                <w:szCs w:val="20"/>
              </w:rPr>
              <w:t>Показатель сужения суставной щели, среднее изменение по сравнению с исходным уровнем:</w:t>
            </w:r>
          </w:p>
        </w:tc>
      </w:tr>
      <w:tr w:rsidR="00C34E4A" w:rsidRPr="006D538C" w14:paraId="63B3357F" w14:textId="77777777" w:rsidTr="00AB1FF1">
        <w:tc>
          <w:tcPr>
            <w:tcW w:w="1951" w:type="dxa"/>
          </w:tcPr>
          <w:p w14:paraId="1C57B04A" w14:textId="77777777" w:rsidR="00C34E4A" w:rsidRPr="0029110D" w:rsidRDefault="00C34E4A">
            <w:pPr>
              <w:rPr>
                <w:color w:val="000000"/>
                <w:sz w:val="20"/>
                <w:szCs w:val="20"/>
              </w:rPr>
            </w:pPr>
            <w:r w:rsidRPr="0029110D">
              <w:rPr>
                <w:color w:val="000000"/>
                <w:sz w:val="20"/>
                <w:szCs w:val="20"/>
              </w:rPr>
              <w:t>24 неделя</w:t>
            </w:r>
          </w:p>
        </w:tc>
        <w:tc>
          <w:tcPr>
            <w:tcW w:w="705" w:type="dxa"/>
          </w:tcPr>
          <w:p w14:paraId="6B12D854" w14:textId="29385684"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14</w:t>
            </w:r>
          </w:p>
        </w:tc>
        <w:tc>
          <w:tcPr>
            <w:tcW w:w="784" w:type="dxa"/>
          </w:tcPr>
          <w:p w14:paraId="4D01F95D" w14:textId="715BD201"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06</w:t>
            </w:r>
          </w:p>
        </w:tc>
        <w:tc>
          <w:tcPr>
            <w:tcW w:w="950" w:type="dxa"/>
          </w:tcPr>
          <w:p w14:paraId="5FC83F86" w14:textId="6A945836"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03</w:t>
            </w:r>
          </w:p>
        </w:tc>
        <w:tc>
          <w:tcPr>
            <w:tcW w:w="750" w:type="dxa"/>
          </w:tcPr>
          <w:p w14:paraId="2039D03F" w14:textId="58090687"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29</w:t>
            </w:r>
          </w:p>
        </w:tc>
        <w:tc>
          <w:tcPr>
            <w:tcW w:w="1009" w:type="dxa"/>
          </w:tcPr>
          <w:p w14:paraId="64F6CF2F" w14:textId="6D4C4CFF"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12**</w:t>
            </w:r>
          </w:p>
        </w:tc>
        <w:tc>
          <w:tcPr>
            <w:tcW w:w="1009" w:type="dxa"/>
          </w:tcPr>
          <w:p w14:paraId="6B773728" w14:textId="2332B851"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10**</w:t>
            </w:r>
          </w:p>
        </w:tc>
        <w:tc>
          <w:tcPr>
            <w:tcW w:w="679" w:type="dxa"/>
          </w:tcPr>
          <w:p w14:paraId="578BE7C0" w14:textId="6BD5C1A2"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23</w:t>
            </w:r>
          </w:p>
        </w:tc>
        <w:tc>
          <w:tcPr>
            <w:tcW w:w="785" w:type="dxa"/>
          </w:tcPr>
          <w:p w14:paraId="2D469215" w14:textId="02724543"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03</w:t>
            </w:r>
          </w:p>
        </w:tc>
        <w:tc>
          <w:tcPr>
            <w:tcW w:w="706" w:type="dxa"/>
          </w:tcPr>
          <w:p w14:paraId="075F0799" w14:textId="74D7D3E8"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04</w:t>
            </w:r>
          </w:p>
        </w:tc>
      </w:tr>
      <w:tr w:rsidR="00C34E4A" w:rsidRPr="006D538C" w14:paraId="6F091A7E" w14:textId="77777777" w:rsidTr="00AB1FF1">
        <w:tc>
          <w:tcPr>
            <w:tcW w:w="1951" w:type="dxa"/>
          </w:tcPr>
          <w:p w14:paraId="6D183CD3" w14:textId="77777777" w:rsidR="00C34E4A" w:rsidRPr="0029110D" w:rsidRDefault="00C34E4A">
            <w:pPr>
              <w:rPr>
                <w:color w:val="000000"/>
                <w:sz w:val="20"/>
                <w:szCs w:val="20"/>
              </w:rPr>
            </w:pPr>
            <w:r w:rsidRPr="0029110D">
              <w:rPr>
                <w:color w:val="000000"/>
                <w:sz w:val="20"/>
                <w:szCs w:val="20"/>
              </w:rPr>
              <w:t>52 неделя</w:t>
            </w:r>
          </w:p>
        </w:tc>
        <w:tc>
          <w:tcPr>
            <w:tcW w:w="705" w:type="dxa"/>
          </w:tcPr>
          <w:p w14:paraId="55E255E0" w14:textId="16E970CF"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21</w:t>
            </w:r>
          </w:p>
        </w:tc>
        <w:tc>
          <w:tcPr>
            <w:tcW w:w="784" w:type="dxa"/>
          </w:tcPr>
          <w:p w14:paraId="67054984" w14:textId="1499739E"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25</w:t>
            </w:r>
          </w:p>
        </w:tc>
        <w:tc>
          <w:tcPr>
            <w:tcW w:w="950" w:type="dxa"/>
          </w:tcPr>
          <w:p w14:paraId="50E2304F" w14:textId="5DF533A3"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06</w:t>
            </w:r>
          </w:p>
        </w:tc>
        <w:tc>
          <w:tcPr>
            <w:tcW w:w="750" w:type="dxa"/>
          </w:tcPr>
          <w:p w14:paraId="10641AFF" w14:textId="22CAD9BF"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58</w:t>
            </w:r>
          </w:p>
        </w:tc>
        <w:tc>
          <w:tcPr>
            <w:tcW w:w="1009" w:type="dxa"/>
          </w:tcPr>
          <w:p w14:paraId="6B6C695F" w14:textId="5B102C95"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21</w:t>
            </w:r>
          </w:p>
        </w:tc>
        <w:tc>
          <w:tcPr>
            <w:tcW w:w="1009" w:type="dxa"/>
          </w:tcPr>
          <w:p w14:paraId="39135F51" w14:textId="168B32D0" w:rsidR="00C34E4A" w:rsidRPr="0029110D" w:rsidRDefault="00C34E4A" w:rsidP="00AB1FF1">
            <w:pPr>
              <w:jc w:val="center"/>
              <w:rPr>
                <w:color w:val="000000"/>
                <w:sz w:val="20"/>
                <w:szCs w:val="20"/>
              </w:rPr>
            </w:pPr>
            <w:r w:rsidRPr="0029110D">
              <w:rPr>
                <w:sz w:val="20"/>
                <w:szCs w:val="20"/>
              </w:rPr>
              <w:t>0</w:t>
            </w:r>
            <w:r w:rsidR="008C6732" w:rsidRPr="0029110D">
              <w:rPr>
                <w:sz w:val="20"/>
                <w:szCs w:val="20"/>
              </w:rPr>
              <w:t>,</w:t>
            </w:r>
            <w:r w:rsidRPr="0029110D">
              <w:rPr>
                <w:sz w:val="20"/>
                <w:szCs w:val="20"/>
              </w:rPr>
              <w:t>19</w:t>
            </w:r>
          </w:p>
        </w:tc>
        <w:tc>
          <w:tcPr>
            <w:tcW w:w="679" w:type="dxa"/>
          </w:tcPr>
          <w:p w14:paraId="373C7F5E" w14:textId="77777777" w:rsidR="00C34E4A" w:rsidRPr="0029110D" w:rsidRDefault="00C34E4A" w:rsidP="00AB1FF1">
            <w:pPr>
              <w:jc w:val="center"/>
              <w:rPr>
                <w:color w:val="000000"/>
                <w:sz w:val="20"/>
                <w:szCs w:val="20"/>
              </w:rPr>
            </w:pPr>
          </w:p>
        </w:tc>
        <w:tc>
          <w:tcPr>
            <w:tcW w:w="785" w:type="dxa"/>
          </w:tcPr>
          <w:p w14:paraId="26EF03EE" w14:textId="77777777" w:rsidR="00C34E4A" w:rsidRPr="0029110D" w:rsidRDefault="00C34E4A" w:rsidP="00AB1FF1">
            <w:pPr>
              <w:jc w:val="center"/>
              <w:rPr>
                <w:color w:val="000000"/>
                <w:sz w:val="20"/>
                <w:szCs w:val="20"/>
              </w:rPr>
            </w:pPr>
          </w:p>
        </w:tc>
        <w:tc>
          <w:tcPr>
            <w:tcW w:w="706" w:type="dxa"/>
          </w:tcPr>
          <w:p w14:paraId="3A767F94" w14:textId="77777777" w:rsidR="00C34E4A" w:rsidRPr="0029110D" w:rsidRDefault="00C34E4A" w:rsidP="00AB1FF1">
            <w:pPr>
              <w:jc w:val="center"/>
              <w:rPr>
                <w:color w:val="000000"/>
                <w:sz w:val="20"/>
                <w:szCs w:val="20"/>
              </w:rPr>
            </w:pPr>
          </w:p>
        </w:tc>
      </w:tr>
      <w:tr w:rsidR="00C34E4A" w:rsidRPr="006D538C" w14:paraId="7BFD8127" w14:textId="77777777" w:rsidTr="00AB1FF1">
        <w:tc>
          <w:tcPr>
            <w:tcW w:w="9328" w:type="dxa"/>
            <w:gridSpan w:val="10"/>
          </w:tcPr>
          <w:p w14:paraId="4B4A49C9" w14:textId="77777777" w:rsidR="00C34E4A" w:rsidRPr="0029110D" w:rsidRDefault="00C34E4A">
            <w:pPr>
              <w:rPr>
                <w:color w:val="000000"/>
                <w:sz w:val="20"/>
                <w:szCs w:val="20"/>
              </w:rPr>
            </w:pPr>
            <w:r w:rsidRPr="0029110D">
              <w:rPr>
                <w:color w:val="000000"/>
                <w:sz w:val="20"/>
                <w:szCs w:val="20"/>
              </w:rPr>
              <w:t>Доля пациентов без рентгенологического прогрессирования</w:t>
            </w:r>
            <w:r w:rsidRPr="0029110D">
              <w:rPr>
                <w:color w:val="000000"/>
                <w:sz w:val="20"/>
                <w:szCs w:val="20"/>
                <w:vertAlign w:val="superscript"/>
              </w:rPr>
              <w:t>#</w:t>
            </w:r>
          </w:p>
        </w:tc>
      </w:tr>
      <w:tr w:rsidR="00C34E4A" w:rsidRPr="006D538C" w14:paraId="20EC8157" w14:textId="77777777" w:rsidTr="00AB1FF1">
        <w:tc>
          <w:tcPr>
            <w:tcW w:w="1951" w:type="dxa"/>
          </w:tcPr>
          <w:p w14:paraId="4750ACE7" w14:textId="77777777" w:rsidR="00C34E4A" w:rsidRPr="0029110D" w:rsidRDefault="00C34E4A">
            <w:pPr>
              <w:rPr>
                <w:color w:val="000000"/>
                <w:sz w:val="20"/>
                <w:szCs w:val="20"/>
              </w:rPr>
            </w:pPr>
            <w:r w:rsidRPr="0029110D">
              <w:rPr>
                <w:color w:val="000000"/>
                <w:sz w:val="20"/>
                <w:szCs w:val="20"/>
              </w:rPr>
              <w:t>24 неделя</w:t>
            </w:r>
          </w:p>
        </w:tc>
        <w:tc>
          <w:tcPr>
            <w:tcW w:w="705" w:type="dxa"/>
          </w:tcPr>
          <w:p w14:paraId="7D05FDF2" w14:textId="77777777" w:rsidR="00C34E4A" w:rsidRPr="0029110D" w:rsidRDefault="00C34E4A" w:rsidP="00AB1FF1">
            <w:pPr>
              <w:jc w:val="center"/>
              <w:rPr>
                <w:color w:val="000000"/>
                <w:sz w:val="20"/>
                <w:szCs w:val="20"/>
              </w:rPr>
            </w:pPr>
            <w:r w:rsidRPr="0029110D">
              <w:rPr>
                <w:sz w:val="20"/>
                <w:szCs w:val="20"/>
              </w:rPr>
              <w:t>68 %</w:t>
            </w:r>
          </w:p>
        </w:tc>
        <w:tc>
          <w:tcPr>
            <w:tcW w:w="784" w:type="dxa"/>
          </w:tcPr>
          <w:p w14:paraId="69EC198F" w14:textId="77777777" w:rsidR="00C34E4A" w:rsidRPr="0029110D" w:rsidRDefault="00C34E4A" w:rsidP="00AB1FF1">
            <w:pPr>
              <w:jc w:val="center"/>
              <w:rPr>
                <w:color w:val="000000"/>
                <w:sz w:val="20"/>
                <w:szCs w:val="20"/>
              </w:rPr>
            </w:pPr>
            <w:r w:rsidRPr="0029110D">
              <w:rPr>
                <w:sz w:val="20"/>
                <w:szCs w:val="20"/>
              </w:rPr>
              <w:t>76 %</w:t>
            </w:r>
          </w:p>
        </w:tc>
        <w:tc>
          <w:tcPr>
            <w:tcW w:w="950" w:type="dxa"/>
          </w:tcPr>
          <w:p w14:paraId="219D6B7A" w14:textId="77777777" w:rsidR="00C34E4A" w:rsidRPr="0029110D" w:rsidRDefault="00C34E4A" w:rsidP="00AB1FF1">
            <w:pPr>
              <w:jc w:val="center"/>
              <w:rPr>
                <w:color w:val="000000"/>
                <w:sz w:val="20"/>
                <w:szCs w:val="20"/>
              </w:rPr>
            </w:pPr>
            <w:r w:rsidRPr="0029110D">
              <w:rPr>
                <w:sz w:val="20"/>
                <w:szCs w:val="20"/>
              </w:rPr>
              <w:t>81%**</w:t>
            </w:r>
          </w:p>
        </w:tc>
        <w:tc>
          <w:tcPr>
            <w:tcW w:w="750" w:type="dxa"/>
          </w:tcPr>
          <w:p w14:paraId="2F30E9B5" w14:textId="53CB4459" w:rsidR="00C34E4A" w:rsidRPr="0029110D" w:rsidRDefault="00C34E4A" w:rsidP="00AB1FF1">
            <w:pPr>
              <w:jc w:val="center"/>
              <w:rPr>
                <w:color w:val="000000"/>
                <w:sz w:val="20"/>
                <w:szCs w:val="20"/>
              </w:rPr>
            </w:pPr>
            <w:r w:rsidRPr="0029110D">
              <w:rPr>
                <w:sz w:val="20"/>
                <w:szCs w:val="20"/>
              </w:rPr>
              <w:t>70 %</w:t>
            </w:r>
          </w:p>
        </w:tc>
        <w:tc>
          <w:tcPr>
            <w:tcW w:w="1009" w:type="dxa"/>
          </w:tcPr>
          <w:p w14:paraId="02829C0D" w14:textId="77777777" w:rsidR="00C34E4A" w:rsidRPr="0029110D" w:rsidRDefault="00C34E4A" w:rsidP="00AB1FF1">
            <w:pPr>
              <w:jc w:val="center"/>
              <w:rPr>
                <w:color w:val="000000"/>
                <w:sz w:val="20"/>
                <w:szCs w:val="20"/>
              </w:rPr>
            </w:pPr>
            <w:r w:rsidRPr="0029110D">
              <w:rPr>
                <w:sz w:val="20"/>
                <w:szCs w:val="20"/>
              </w:rPr>
              <w:t>81%***</w:t>
            </w:r>
          </w:p>
        </w:tc>
        <w:tc>
          <w:tcPr>
            <w:tcW w:w="1009" w:type="dxa"/>
          </w:tcPr>
          <w:p w14:paraId="67A94349" w14:textId="77777777" w:rsidR="00C34E4A" w:rsidRPr="0029110D" w:rsidRDefault="00C34E4A" w:rsidP="00AB1FF1">
            <w:pPr>
              <w:jc w:val="center"/>
              <w:rPr>
                <w:color w:val="000000"/>
                <w:sz w:val="20"/>
                <w:szCs w:val="20"/>
              </w:rPr>
            </w:pPr>
            <w:r w:rsidRPr="0029110D">
              <w:rPr>
                <w:sz w:val="20"/>
                <w:szCs w:val="20"/>
              </w:rPr>
              <w:t>83%***</w:t>
            </w:r>
          </w:p>
        </w:tc>
        <w:tc>
          <w:tcPr>
            <w:tcW w:w="679" w:type="dxa"/>
          </w:tcPr>
          <w:p w14:paraId="638739EF" w14:textId="77777777" w:rsidR="00C34E4A" w:rsidRPr="0029110D" w:rsidRDefault="00C34E4A" w:rsidP="00AB1FF1">
            <w:pPr>
              <w:jc w:val="center"/>
              <w:rPr>
                <w:color w:val="000000"/>
                <w:sz w:val="20"/>
                <w:szCs w:val="20"/>
              </w:rPr>
            </w:pPr>
            <w:r w:rsidRPr="0029110D">
              <w:rPr>
                <w:sz w:val="20"/>
                <w:szCs w:val="20"/>
              </w:rPr>
              <w:t>74%</w:t>
            </w:r>
          </w:p>
        </w:tc>
        <w:tc>
          <w:tcPr>
            <w:tcW w:w="785" w:type="dxa"/>
          </w:tcPr>
          <w:p w14:paraId="55C684AD" w14:textId="77777777" w:rsidR="00C34E4A" w:rsidRPr="0029110D" w:rsidRDefault="00C34E4A" w:rsidP="00AB1FF1">
            <w:pPr>
              <w:jc w:val="center"/>
              <w:rPr>
                <w:color w:val="000000"/>
                <w:sz w:val="20"/>
                <w:szCs w:val="20"/>
              </w:rPr>
            </w:pPr>
            <w:r w:rsidRPr="0029110D">
              <w:rPr>
                <w:sz w:val="20"/>
                <w:szCs w:val="20"/>
              </w:rPr>
              <w:t>72%*</w:t>
            </w:r>
          </w:p>
        </w:tc>
        <w:tc>
          <w:tcPr>
            <w:tcW w:w="706" w:type="dxa"/>
          </w:tcPr>
          <w:p w14:paraId="3BDCCE8B" w14:textId="77777777" w:rsidR="00C34E4A" w:rsidRPr="0029110D" w:rsidRDefault="00C34E4A" w:rsidP="00AB1FF1">
            <w:pPr>
              <w:jc w:val="center"/>
              <w:rPr>
                <w:color w:val="000000"/>
                <w:sz w:val="20"/>
                <w:szCs w:val="20"/>
              </w:rPr>
            </w:pPr>
            <w:r w:rsidRPr="0029110D">
              <w:rPr>
                <w:sz w:val="20"/>
                <w:szCs w:val="20"/>
              </w:rPr>
              <w:t>80 %**</w:t>
            </w:r>
          </w:p>
        </w:tc>
      </w:tr>
      <w:tr w:rsidR="00C34E4A" w:rsidRPr="006D538C" w14:paraId="40E86F57" w14:textId="77777777" w:rsidTr="00AB1FF1">
        <w:tc>
          <w:tcPr>
            <w:tcW w:w="1951" w:type="dxa"/>
          </w:tcPr>
          <w:p w14:paraId="2C2AAE17" w14:textId="77777777" w:rsidR="00C34E4A" w:rsidRPr="0029110D" w:rsidRDefault="00C34E4A">
            <w:pPr>
              <w:rPr>
                <w:color w:val="000000"/>
                <w:sz w:val="20"/>
                <w:szCs w:val="20"/>
              </w:rPr>
            </w:pPr>
            <w:r w:rsidRPr="0029110D">
              <w:rPr>
                <w:color w:val="000000"/>
                <w:sz w:val="20"/>
                <w:szCs w:val="20"/>
              </w:rPr>
              <w:t>52 неделя</w:t>
            </w:r>
          </w:p>
        </w:tc>
        <w:tc>
          <w:tcPr>
            <w:tcW w:w="705" w:type="dxa"/>
          </w:tcPr>
          <w:p w14:paraId="7C6566C4" w14:textId="77777777" w:rsidR="00C34E4A" w:rsidRPr="0029110D" w:rsidRDefault="00C34E4A" w:rsidP="00AB1FF1">
            <w:pPr>
              <w:jc w:val="center"/>
              <w:rPr>
                <w:color w:val="000000"/>
                <w:sz w:val="20"/>
                <w:szCs w:val="20"/>
              </w:rPr>
            </w:pPr>
            <w:r w:rsidRPr="0029110D">
              <w:rPr>
                <w:sz w:val="20"/>
                <w:szCs w:val="20"/>
              </w:rPr>
              <w:t>66 %</w:t>
            </w:r>
          </w:p>
        </w:tc>
        <w:tc>
          <w:tcPr>
            <w:tcW w:w="784" w:type="dxa"/>
          </w:tcPr>
          <w:p w14:paraId="5924792B" w14:textId="77777777" w:rsidR="00C34E4A" w:rsidRPr="0029110D" w:rsidRDefault="00C34E4A" w:rsidP="00AB1FF1">
            <w:pPr>
              <w:jc w:val="center"/>
              <w:rPr>
                <w:color w:val="000000"/>
                <w:sz w:val="20"/>
                <w:szCs w:val="20"/>
              </w:rPr>
            </w:pPr>
            <w:r w:rsidRPr="0029110D">
              <w:rPr>
                <w:sz w:val="20"/>
                <w:szCs w:val="20"/>
              </w:rPr>
              <w:t>69 %</w:t>
            </w:r>
          </w:p>
        </w:tc>
        <w:tc>
          <w:tcPr>
            <w:tcW w:w="950" w:type="dxa"/>
          </w:tcPr>
          <w:p w14:paraId="67494C26" w14:textId="77777777" w:rsidR="00C34E4A" w:rsidRPr="0029110D" w:rsidRDefault="00C34E4A" w:rsidP="00AB1FF1">
            <w:pPr>
              <w:jc w:val="center"/>
              <w:rPr>
                <w:color w:val="000000"/>
                <w:sz w:val="20"/>
                <w:szCs w:val="20"/>
              </w:rPr>
            </w:pPr>
            <w:r w:rsidRPr="0029110D">
              <w:rPr>
                <w:sz w:val="20"/>
                <w:szCs w:val="20"/>
              </w:rPr>
              <w:t>80 %**</w:t>
            </w:r>
          </w:p>
        </w:tc>
        <w:tc>
          <w:tcPr>
            <w:tcW w:w="750" w:type="dxa"/>
          </w:tcPr>
          <w:p w14:paraId="01FB2C5E" w14:textId="77777777" w:rsidR="00C34E4A" w:rsidRPr="0029110D" w:rsidRDefault="00C34E4A" w:rsidP="00AB1FF1">
            <w:pPr>
              <w:jc w:val="center"/>
              <w:rPr>
                <w:color w:val="000000"/>
                <w:sz w:val="20"/>
                <w:szCs w:val="20"/>
              </w:rPr>
            </w:pPr>
            <w:r w:rsidRPr="0029110D">
              <w:rPr>
                <w:sz w:val="20"/>
                <w:szCs w:val="20"/>
              </w:rPr>
              <w:t>70 %</w:t>
            </w:r>
          </w:p>
        </w:tc>
        <w:tc>
          <w:tcPr>
            <w:tcW w:w="1009" w:type="dxa"/>
          </w:tcPr>
          <w:p w14:paraId="1BE1CE78" w14:textId="77777777" w:rsidR="00C34E4A" w:rsidRPr="0029110D" w:rsidRDefault="00C34E4A" w:rsidP="00AB1FF1">
            <w:pPr>
              <w:jc w:val="center"/>
              <w:rPr>
                <w:color w:val="000000"/>
                <w:sz w:val="20"/>
                <w:szCs w:val="20"/>
              </w:rPr>
            </w:pPr>
            <w:r w:rsidRPr="0029110D">
              <w:rPr>
                <w:sz w:val="20"/>
                <w:szCs w:val="20"/>
              </w:rPr>
              <w:t>79 %**</w:t>
            </w:r>
          </w:p>
        </w:tc>
        <w:tc>
          <w:tcPr>
            <w:tcW w:w="1009" w:type="dxa"/>
          </w:tcPr>
          <w:p w14:paraId="40BA8D8A" w14:textId="77777777" w:rsidR="00C34E4A" w:rsidRPr="0029110D" w:rsidRDefault="00C34E4A" w:rsidP="00AB1FF1">
            <w:pPr>
              <w:jc w:val="center"/>
              <w:rPr>
                <w:color w:val="000000"/>
                <w:sz w:val="20"/>
                <w:szCs w:val="20"/>
              </w:rPr>
            </w:pPr>
            <w:r w:rsidRPr="0029110D">
              <w:rPr>
                <w:sz w:val="20"/>
                <w:szCs w:val="20"/>
              </w:rPr>
              <w:t>81 %**</w:t>
            </w:r>
          </w:p>
        </w:tc>
        <w:tc>
          <w:tcPr>
            <w:tcW w:w="679" w:type="dxa"/>
          </w:tcPr>
          <w:p w14:paraId="4FD4BD99" w14:textId="77777777" w:rsidR="00C34E4A" w:rsidRPr="0029110D" w:rsidRDefault="00C34E4A" w:rsidP="00AB1FF1">
            <w:pPr>
              <w:jc w:val="center"/>
              <w:rPr>
                <w:color w:val="000000"/>
                <w:sz w:val="20"/>
                <w:szCs w:val="20"/>
              </w:rPr>
            </w:pPr>
            <w:r w:rsidRPr="0029110D">
              <w:rPr>
                <w:sz w:val="20"/>
                <w:szCs w:val="20"/>
              </w:rPr>
              <w:t>NA</w:t>
            </w:r>
          </w:p>
        </w:tc>
        <w:tc>
          <w:tcPr>
            <w:tcW w:w="785" w:type="dxa"/>
          </w:tcPr>
          <w:p w14:paraId="2F7A87F3" w14:textId="77777777" w:rsidR="00C34E4A" w:rsidRPr="0029110D" w:rsidRDefault="00C34E4A" w:rsidP="00AB1FF1">
            <w:pPr>
              <w:jc w:val="center"/>
              <w:rPr>
                <w:color w:val="000000"/>
                <w:sz w:val="20"/>
                <w:szCs w:val="20"/>
              </w:rPr>
            </w:pPr>
            <w:r w:rsidRPr="0029110D">
              <w:rPr>
                <w:sz w:val="20"/>
                <w:szCs w:val="20"/>
              </w:rPr>
              <w:t>NA</w:t>
            </w:r>
          </w:p>
        </w:tc>
        <w:tc>
          <w:tcPr>
            <w:tcW w:w="706" w:type="dxa"/>
          </w:tcPr>
          <w:p w14:paraId="0ABE484D" w14:textId="77777777" w:rsidR="00C34E4A" w:rsidRPr="0029110D" w:rsidRDefault="00C34E4A" w:rsidP="00AB1FF1">
            <w:pPr>
              <w:jc w:val="center"/>
              <w:rPr>
                <w:color w:val="000000"/>
                <w:sz w:val="20"/>
                <w:szCs w:val="20"/>
              </w:rPr>
            </w:pPr>
            <w:r w:rsidRPr="0029110D">
              <w:rPr>
                <w:sz w:val="20"/>
                <w:szCs w:val="20"/>
              </w:rPr>
              <w:t>NA</w:t>
            </w:r>
          </w:p>
        </w:tc>
      </w:tr>
      <w:tr w:rsidR="00C34E4A" w:rsidRPr="006D538C" w14:paraId="2B4DB4BC" w14:textId="77777777" w:rsidTr="00AB1FF1">
        <w:tc>
          <w:tcPr>
            <w:tcW w:w="9328" w:type="dxa"/>
            <w:gridSpan w:val="10"/>
          </w:tcPr>
          <w:p w14:paraId="30042D61" w14:textId="373037B1" w:rsidR="00C34E4A" w:rsidRPr="0029110D" w:rsidRDefault="00713EC9">
            <w:pPr>
              <w:rPr>
                <w:color w:val="000000"/>
                <w:sz w:val="20"/>
                <w:szCs w:val="20"/>
              </w:rPr>
            </w:pPr>
            <w:r w:rsidRPr="0029110D">
              <w:rPr>
                <w:b/>
                <w:color w:val="000000"/>
                <w:sz w:val="20"/>
                <w:szCs w:val="20"/>
              </w:rPr>
              <w:t>Примечание:</w:t>
            </w:r>
            <w:r w:rsidRPr="0029110D">
              <w:rPr>
                <w:color w:val="000000"/>
                <w:sz w:val="20"/>
                <w:szCs w:val="20"/>
              </w:rPr>
              <w:br/>
            </w:r>
            <w:r w:rsidR="00C34E4A" w:rsidRPr="0029110D">
              <w:rPr>
                <w:color w:val="000000"/>
                <w:sz w:val="20"/>
                <w:szCs w:val="20"/>
              </w:rPr>
              <w:t xml:space="preserve">DMARD – </w:t>
            </w:r>
            <w:r w:rsidR="00C34E4A" w:rsidRPr="0029110D">
              <w:rPr>
                <w:iCs/>
                <w:sz w:val="20"/>
                <w:szCs w:val="20"/>
                <w:lang w:eastAsia="ru-RU"/>
              </w:rPr>
              <w:t>базисные противовоспалительные препараты</w:t>
            </w:r>
            <w:r w:rsidR="00C34E4A" w:rsidRPr="0029110D">
              <w:rPr>
                <w:color w:val="000000"/>
                <w:sz w:val="20"/>
                <w:szCs w:val="20"/>
              </w:rPr>
              <w:t xml:space="preserve"> (</w:t>
            </w:r>
            <w:r w:rsidR="00C34E4A" w:rsidRPr="0029110D">
              <w:rPr>
                <w:iCs/>
                <w:sz w:val="20"/>
                <w:szCs w:val="20"/>
                <w:lang w:eastAsia="ru-RU"/>
              </w:rPr>
              <w:t>БМАРП</w:t>
            </w:r>
            <w:r w:rsidR="00C34E4A" w:rsidRPr="0029110D">
              <w:rPr>
                <w:color w:val="000000"/>
                <w:sz w:val="20"/>
                <w:szCs w:val="20"/>
              </w:rPr>
              <w:t>); IR – неадекватный клинический ответ; А</w:t>
            </w:r>
            <w:r w:rsidR="00C34E4A" w:rsidRPr="0029110D">
              <w:rPr>
                <w:color w:val="000000"/>
                <w:sz w:val="20"/>
                <w:szCs w:val="20"/>
                <w:lang w:val="en-US"/>
              </w:rPr>
              <w:t>DA</w:t>
            </w:r>
            <w:r w:rsidR="00C34E4A" w:rsidRPr="0029110D">
              <w:rPr>
                <w:color w:val="000000"/>
                <w:sz w:val="20"/>
                <w:szCs w:val="20"/>
              </w:rPr>
              <w:t xml:space="preserve"> – адалимумаб; МТХ – метотрексат; NA – данные не доступны; </w:t>
            </w:r>
            <w:r w:rsidR="00C34E4A" w:rsidRPr="0029110D">
              <w:rPr>
                <w:color w:val="000000"/>
                <w:sz w:val="20"/>
                <w:szCs w:val="20"/>
                <w:lang w:val="en-US"/>
              </w:rPr>
              <w:t>PBO</w:t>
            </w:r>
            <w:r w:rsidR="00C34E4A" w:rsidRPr="0029110D">
              <w:rPr>
                <w:color w:val="000000"/>
                <w:sz w:val="20"/>
                <w:szCs w:val="20"/>
              </w:rPr>
              <w:t xml:space="preserve"> – плацебо; </w:t>
            </w:r>
            <w:r w:rsidR="00C34E4A" w:rsidRPr="0029110D">
              <w:rPr>
                <w:sz w:val="20"/>
                <w:szCs w:val="20"/>
              </w:rPr>
              <w:t>Q2W – подкожно 1 раз в 2 недели;</w:t>
            </w:r>
            <w:r w:rsidR="00C34E4A" w:rsidRPr="0029110D">
              <w:rPr>
                <w:color w:val="000000"/>
                <w:sz w:val="20"/>
                <w:szCs w:val="20"/>
              </w:rPr>
              <w:t xml:space="preserve"> </w:t>
            </w:r>
            <w:r w:rsidR="00C34E4A" w:rsidRPr="0029110D">
              <w:rPr>
                <w:color w:val="000000"/>
                <w:sz w:val="20"/>
                <w:szCs w:val="20"/>
                <w:vertAlign w:val="superscript"/>
              </w:rPr>
              <w:t xml:space="preserve">a </w:t>
            </w:r>
            <w:r w:rsidR="00C34E4A" w:rsidRPr="0029110D">
              <w:rPr>
                <w:color w:val="000000"/>
                <w:sz w:val="20"/>
                <w:szCs w:val="20"/>
              </w:rPr>
              <w:t xml:space="preserve">– показатели плацебо на 52-й неделе, полученные с использованием линейной экстраполяции, </w:t>
            </w:r>
            <w:r w:rsidR="00C34E4A" w:rsidRPr="0029110D">
              <w:rPr>
                <w:color w:val="000000"/>
                <w:sz w:val="20"/>
                <w:szCs w:val="20"/>
                <w:vertAlign w:val="superscript"/>
              </w:rPr>
              <w:t>#</w:t>
            </w:r>
            <w:r w:rsidR="00C34E4A" w:rsidRPr="0029110D">
              <w:rPr>
                <w:color w:val="000000"/>
                <w:sz w:val="20"/>
                <w:szCs w:val="20"/>
              </w:rPr>
              <w:t xml:space="preserve"> – отсутствие прогрессирования определяется как изменение модифицированной общей оценки Sharp ≤ 0;</w:t>
            </w:r>
            <w:r w:rsidR="00C34E4A" w:rsidRPr="0029110D">
              <w:rPr>
                <w:sz w:val="20"/>
                <w:szCs w:val="20"/>
              </w:rPr>
              <w:t xml:space="preserve"> </w:t>
            </w:r>
            <w:r w:rsidR="00C34E4A" w:rsidRPr="0029110D">
              <w:rPr>
                <w:color w:val="000000"/>
                <w:sz w:val="20"/>
                <w:szCs w:val="20"/>
              </w:rPr>
              <w:t xml:space="preserve">* – уровень статистически значимых отличий р ≤ 0,05; ** – </w:t>
            </w:r>
            <w:r w:rsidR="00C34E4A" w:rsidRPr="0029110D">
              <w:rPr>
                <w:color w:val="000000"/>
                <w:sz w:val="20"/>
                <w:szCs w:val="20"/>
              </w:rPr>
              <w:lastRenderedPageBreak/>
              <w:t xml:space="preserve">уровень статистически значимых отличий р ≤ 0,01; *** – уровень статистически значимых отличий p ≤ 0,001 по сравнению с плацебо (по сравнению с метотрексатом в исследовании JADZ); † р ≤ 0,05; †† р ≤ 0,01; ††† p ≤ 0,001 по сравнению с адалимумабом. </w:t>
            </w:r>
          </w:p>
        </w:tc>
      </w:tr>
    </w:tbl>
    <w:p w14:paraId="5F1B699C" w14:textId="77777777" w:rsidR="00C34E4A" w:rsidRDefault="00C34E4A">
      <w:pPr>
        <w:spacing w:after="0" w:line="240" w:lineRule="auto"/>
        <w:rPr>
          <w:color w:val="000000"/>
        </w:rPr>
      </w:pPr>
    </w:p>
    <w:p w14:paraId="1A6F4C84" w14:textId="2B87B755" w:rsidR="0023074E" w:rsidRPr="00713EC9" w:rsidRDefault="0023074E" w:rsidP="0029110D">
      <w:pPr>
        <w:pStyle w:val="Default"/>
        <w:contextualSpacing/>
        <w:rPr>
          <w:b/>
          <w:i/>
          <w:iCs/>
        </w:rPr>
      </w:pPr>
      <w:r w:rsidRPr="00713EC9">
        <w:rPr>
          <w:b/>
          <w:i/>
          <w:iCs/>
        </w:rPr>
        <w:t xml:space="preserve">Оценка клинического ответа по данным </w:t>
      </w:r>
      <w:r w:rsidR="0029110D">
        <w:rPr>
          <w:b/>
          <w:i/>
          <w:iCs/>
        </w:rPr>
        <w:t>регистрационных исследований</w:t>
      </w:r>
    </w:p>
    <w:p w14:paraId="25CF133B" w14:textId="77777777" w:rsidR="0029110D" w:rsidRDefault="0029110D" w:rsidP="0029110D">
      <w:pPr>
        <w:pStyle w:val="Default"/>
        <w:ind w:firstLine="709"/>
        <w:contextualSpacing/>
        <w:jc w:val="both"/>
      </w:pPr>
    </w:p>
    <w:p w14:paraId="3AD72897" w14:textId="4C2E430C" w:rsidR="0023074E" w:rsidRPr="006B0CD9" w:rsidRDefault="0023074E" w:rsidP="0029110D">
      <w:pPr>
        <w:pStyle w:val="Default"/>
        <w:ind w:firstLine="709"/>
        <w:contextualSpacing/>
        <w:jc w:val="both"/>
      </w:pPr>
      <w:r w:rsidRPr="006B0CD9">
        <w:t xml:space="preserve">Во всех исследованиях у пациентов, получавших барицитиниб в дозе 4 мг 1 раз в сутки, наблюдался статистически значимо более высокий ответ </w:t>
      </w:r>
      <w:r w:rsidRPr="00713EC9">
        <w:rPr>
          <w:lang w:val="en-US"/>
        </w:rPr>
        <w:t>ACR</w:t>
      </w:r>
      <w:r w:rsidRPr="00713EC9">
        <w:t xml:space="preserve">20, </w:t>
      </w:r>
      <w:r w:rsidRPr="00713EC9">
        <w:rPr>
          <w:lang w:val="en-US"/>
        </w:rPr>
        <w:t>ACR</w:t>
      </w:r>
      <w:r w:rsidRPr="00713EC9">
        <w:t xml:space="preserve">50 и </w:t>
      </w:r>
      <w:r w:rsidRPr="00713EC9">
        <w:rPr>
          <w:lang w:val="en-US"/>
        </w:rPr>
        <w:t>ACR</w:t>
      </w:r>
      <w:r w:rsidRPr="00713EC9">
        <w:t>70 через 12 недель по сравнению с плацебо, метотрексатом или адалимумабом (таблица 4</w:t>
      </w:r>
      <w:r w:rsidR="00713EC9" w:rsidRPr="00713EC9">
        <w:t>-7</w:t>
      </w:r>
      <w:r w:rsidRPr="00713EC9">
        <w:t>).</w:t>
      </w:r>
      <w:r w:rsidRPr="006B0CD9">
        <w:t xml:space="preserve"> Время до наступления эффективности было быстрым по всем показателям, при этом значительно больший ответ наблюдался уже на 1-й неделе. В дальнейшем наблюдались стойкие ответы, при этом ответы </w:t>
      </w:r>
      <w:r w:rsidRPr="006B0CD9">
        <w:rPr>
          <w:lang w:val="en-US"/>
        </w:rPr>
        <w:t>ACR</w:t>
      </w:r>
      <w:r w:rsidRPr="006B0CD9">
        <w:t>20/50/70 сохранялись в течение как минимум 2 лет, включая долгосрочное расширенное исследование.</w:t>
      </w:r>
    </w:p>
    <w:p w14:paraId="6B3CEB04" w14:textId="77777777" w:rsidR="0023074E" w:rsidRPr="006B0CD9" w:rsidRDefault="0023074E" w:rsidP="0029110D">
      <w:pPr>
        <w:pStyle w:val="Default"/>
        <w:ind w:firstLine="709"/>
        <w:contextualSpacing/>
        <w:jc w:val="both"/>
      </w:pPr>
      <w:r w:rsidRPr="006B0CD9">
        <w:t xml:space="preserve">Лечение барицитинибом 4 мг, отдельно или в комбинации с </w:t>
      </w:r>
      <w:r w:rsidRPr="006B0CD9">
        <w:rPr>
          <w:lang w:val="en-US"/>
        </w:rPr>
        <w:t>cDMARD</w:t>
      </w:r>
      <w:r w:rsidRPr="006B0CD9">
        <w:t xml:space="preserve">, привело к значительному улучшению всех отдельных компонентов </w:t>
      </w:r>
      <w:r w:rsidRPr="006B0CD9">
        <w:rPr>
          <w:lang w:val="en-US"/>
        </w:rPr>
        <w:t>ACR</w:t>
      </w:r>
      <w:r w:rsidRPr="006B0CD9">
        <w:t xml:space="preserve">, включая количество болезненных и опухших суставов, общую оценку пациента и врача, </w:t>
      </w:r>
      <w:r w:rsidRPr="006B0CD9">
        <w:rPr>
          <w:lang w:val="en-US"/>
        </w:rPr>
        <w:t>HAQ</w:t>
      </w:r>
      <w:r w:rsidRPr="006B0CD9">
        <w:t>-</w:t>
      </w:r>
      <w:r w:rsidRPr="006B0CD9">
        <w:rPr>
          <w:lang w:val="en-US"/>
        </w:rPr>
        <w:t>DI</w:t>
      </w:r>
      <w:r w:rsidRPr="006B0CD9">
        <w:t xml:space="preserve">, оценку боли и </w:t>
      </w:r>
      <w:r>
        <w:t>уровень ЦРБ</w:t>
      </w:r>
      <w:r w:rsidRPr="006B0CD9">
        <w:t>, по сравнению с плацебо, метотрексатом или адалимумаб.</w:t>
      </w:r>
    </w:p>
    <w:p w14:paraId="1B10E135" w14:textId="77777777" w:rsidR="0023074E" w:rsidRDefault="0023074E" w:rsidP="0029110D">
      <w:pPr>
        <w:pStyle w:val="Default"/>
        <w:ind w:firstLine="709"/>
        <w:contextualSpacing/>
        <w:jc w:val="both"/>
      </w:pPr>
      <w:r w:rsidRPr="006B0CD9">
        <w:t xml:space="preserve">Не наблюдалось существенных различий в отношении эффективности и безопасности в подгруппах, определяемых типами сопутствующих </w:t>
      </w:r>
      <w:r w:rsidRPr="006B0CD9">
        <w:rPr>
          <w:lang w:val="en-US"/>
        </w:rPr>
        <w:t>DMARD</w:t>
      </w:r>
      <w:r w:rsidRPr="006B0CD9">
        <w:t>, используемых в комбинации с барицитинибом.</w:t>
      </w:r>
    </w:p>
    <w:p w14:paraId="719C5F2E" w14:textId="77777777" w:rsidR="0023074E" w:rsidRPr="006B0CD9" w:rsidRDefault="0023074E">
      <w:pPr>
        <w:pStyle w:val="Default"/>
        <w:ind w:firstLine="709"/>
        <w:contextualSpacing/>
        <w:rPr>
          <w:i/>
          <w:iCs/>
        </w:rPr>
      </w:pPr>
    </w:p>
    <w:p w14:paraId="16FC5901" w14:textId="112C9E1F" w:rsidR="0023074E" w:rsidRPr="00713EC9" w:rsidRDefault="0023074E" w:rsidP="0029110D">
      <w:pPr>
        <w:pStyle w:val="Default"/>
        <w:contextualSpacing/>
        <w:jc w:val="both"/>
        <w:rPr>
          <w:b/>
        </w:rPr>
      </w:pPr>
      <w:r w:rsidRPr="00713EC9">
        <w:rPr>
          <w:b/>
          <w:i/>
          <w:iCs/>
        </w:rPr>
        <w:t>Оценка достижения ремиссии и снижения активности заболевания по данн</w:t>
      </w:r>
      <w:r w:rsidR="0029110D">
        <w:rPr>
          <w:b/>
          <w:i/>
          <w:iCs/>
        </w:rPr>
        <w:t>ым регистрационных исследований</w:t>
      </w:r>
    </w:p>
    <w:p w14:paraId="3BF1B2BE" w14:textId="77777777" w:rsidR="0029110D" w:rsidRDefault="0029110D">
      <w:pPr>
        <w:spacing w:line="240" w:lineRule="auto"/>
        <w:ind w:firstLine="709"/>
        <w:contextualSpacing/>
        <w:rPr>
          <w:color w:val="000000"/>
        </w:rPr>
      </w:pPr>
    </w:p>
    <w:p w14:paraId="69EF476A" w14:textId="42330FCB" w:rsidR="0023074E" w:rsidRPr="00713EC9" w:rsidRDefault="0023074E">
      <w:pPr>
        <w:spacing w:line="240" w:lineRule="auto"/>
        <w:ind w:firstLine="709"/>
        <w:contextualSpacing/>
        <w:rPr>
          <w:color w:val="000000"/>
        </w:rPr>
      </w:pPr>
      <w:r w:rsidRPr="006B0CD9">
        <w:rPr>
          <w:color w:val="000000"/>
        </w:rPr>
        <w:t>Статистически значимо большая часть пациентов, получавших барицитиниб в дозе 4 мг, по сравнению с плацебо или метотрексатом, достигла ремиссии (</w:t>
      </w:r>
      <w:r w:rsidRPr="006B0CD9">
        <w:rPr>
          <w:color w:val="000000"/>
          <w:lang w:val="en-US"/>
        </w:rPr>
        <w:t>SDAI</w:t>
      </w:r>
      <w:r w:rsidRPr="006B0CD9">
        <w:rPr>
          <w:color w:val="000000"/>
        </w:rPr>
        <w:t xml:space="preserve"> ≤ 3,3 и </w:t>
      </w:r>
      <w:r w:rsidRPr="006B0CD9">
        <w:rPr>
          <w:color w:val="000000"/>
          <w:lang w:val="en-US"/>
        </w:rPr>
        <w:t>CDAI</w:t>
      </w:r>
      <w:r w:rsidRPr="006B0CD9">
        <w:rPr>
          <w:color w:val="000000"/>
        </w:rPr>
        <w:t xml:space="preserve"> ≤ 2,8) или низкой активности заболевания или ремиссии (</w:t>
      </w:r>
      <w:r w:rsidRPr="006B0CD9">
        <w:rPr>
          <w:color w:val="000000"/>
          <w:lang w:val="en-US"/>
        </w:rPr>
        <w:t>DAS</w:t>
      </w:r>
      <w:r w:rsidRPr="006B0CD9">
        <w:rPr>
          <w:color w:val="000000"/>
        </w:rPr>
        <w:t xml:space="preserve">28-СОЭ или </w:t>
      </w:r>
      <w:r w:rsidRPr="006B0CD9">
        <w:rPr>
          <w:color w:val="000000"/>
          <w:lang w:val="en-US"/>
        </w:rPr>
        <w:t>DAS</w:t>
      </w:r>
      <w:r w:rsidRPr="006B0CD9">
        <w:rPr>
          <w:color w:val="000000"/>
        </w:rPr>
        <w:t xml:space="preserve">28-вчСРБ ≤ 3,2 и </w:t>
      </w:r>
      <w:r w:rsidRPr="006B0CD9">
        <w:rPr>
          <w:color w:val="000000"/>
          <w:lang w:val="en-US"/>
        </w:rPr>
        <w:t>DAS</w:t>
      </w:r>
      <w:r w:rsidRPr="006B0CD9">
        <w:rPr>
          <w:color w:val="000000"/>
        </w:rPr>
        <w:t xml:space="preserve">28-СОЭ или </w:t>
      </w:r>
      <w:r w:rsidRPr="006B0CD9">
        <w:rPr>
          <w:color w:val="000000"/>
          <w:lang w:val="en-US"/>
        </w:rPr>
        <w:t>DAS</w:t>
      </w:r>
      <w:r>
        <w:rPr>
          <w:color w:val="000000"/>
        </w:rPr>
        <w:t>28-Ц</w:t>
      </w:r>
      <w:r w:rsidRPr="006B0CD9">
        <w:rPr>
          <w:color w:val="000000"/>
        </w:rPr>
        <w:t xml:space="preserve">РБ &lt; 2,6) на 12-й и 24-й </w:t>
      </w:r>
      <w:r w:rsidRPr="00713EC9">
        <w:rPr>
          <w:color w:val="000000"/>
        </w:rPr>
        <w:t>неделях (табл. 4</w:t>
      </w:r>
      <w:r w:rsidR="00713EC9" w:rsidRPr="00713EC9">
        <w:rPr>
          <w:color w:val="000000"/>
        </w:rPr>
        <w:t>-7</w:t>
      </w:r>
      <w:r w:rsidRPr="00713EC9">
        <w:rPr>
          <w:color w:val="000000"/>
        </w:rPr>
        <w:t>).</w:t>
      </w:r>
    </w:p>
    <w:p w14:paraId="07D5BAD3" w14:textId="6CEE780D" w:rsidR="0023074E" w:rsidRPr="00713EC9" w:rsidRDefault="0023074E">
      <w:pPr>
        <w:spacing w:line="240" w:lineRule="auto"/>
        <w:ind w:firstLine="709"/>
        <w:contextualSpacing/>
        <w:rPr>
          <w:color w:val="000000"/>
        </w:rPr>
      </w:pPr>
      <w:r w:rsidRPr="00713EC9">
        <w:rPr>
          <w:color w:val="000000"/>
        </w:rPr>
        <w:t>Уже на 4-й неделе наблюдались более высокие показатели ремиссии по сравнению</w:t>
      </w:r>
      <w:r w:rsidRPr="006B0CD9">
        <w:rPr>
          <w:color w:val="000000"/>
        </w:rPr>
        <w:t xml:space="preserve"> с плацебо. Показатели ремиссии и низкой активности заболевания сохранялись не менее 2 лет.</w:t>
      </w:r>
    </w:p>
    <w:p w14:paraId="76F4E63F" w14:textId="77777777" w:rsidR="00713EC9" w:rsidRDefault="00713EC9" w:rsidP="00AB1FF1">
      <w:pPr>
        <w:pStyle w:val="Default"/>
        <w:contextualSpacing/>
        <w:jc w:val="both"/>
      </w:pPr>
      <w:r w:rsidRPr="00967DDA">
        <w:rPr>
          <w:b/>
        </w:rPr>
        <w:t>Таблица</w:t>
      </w:r>
      <w:r>
        <w:rPr>
          <w:b/>
        </w:rPr>
        <w:t xml:space="preserve"> 4-7</w:t>
      </w:r>
      <w:r w:rsidRPr="00967DDA">
        <w:rPr>
          <w:b/>
        </w:rPr>
        <w:t>:</w:t>
      </w:r>
      <w:r>
        <w:t xml:space="preserve"> сводные данные об эффективности барицитиниба по результатам регистрационных исследований.</w:t>
      </w:r>
    </w:p>
    <w:tbl>
      <w:tblPr>
        <w:tblW w:w="9371" w:type="dxa"/>
        <w:tblInd w:w="93" w:type="dxa"/>
        <w:tblLayout w:type="fixed"/>
        <w:tblLook w:val="04A0" w:firstRow="1" w:lastRow="0" w:firstColumn="1" w:lastColumn="0" w:noHBand="0" w:noVBand="1"/>
      </w:tblPr>
      <w:tblGrid>
        <w:gridCol w:w="866"/>
        <w:gridCol w:w="709"/>
        <w:gridCol w:w="708"/>
        <w:gridCol w:w="709"/>
        <w:gridCol w:w="709"/>
        <w:gridCol w:w="709"/>
        <w:gridCol w:w="708"/>
        <w:gridCol w:w="709"/>
        <w:gridCol w:w="709"/>
        <w:gridCol w:w="709"/>
        <w:gridCol w:w="708"/>
        <w:gridCol w:w="709"/>
        <w:gridCol w:w="709"/>
      </w:tblGrid>
      <w:tr w:rsidR="00713EC9" w:rsidRPr="0029110D" w14:paraId="3727E109" w14:textId="77777777" w:rsidTr="00AB1FF1">
        <w:trPr>
          <w:trHeight w:val="20"/>
          <w:tblHeader/>
        </w:trPr>
        <w:tc>
          <w:tcPr>
            <w:tcW w:w="866" w:type="dxa"/>
            <w:tcBorders>
              <w:top w:val="single" w:sz="8" w:space="0" w:color="auto"/>
              <w:left w:val="single" w:sz="8" w:space="0" w:color="auto"/>
              <w:bottom w:val="single" w:sz="4" w:space="0" w:color="auto"/>
              <w:right w:val="single" w:sz="8" w:space="0" w:color="auto"/>
            </w:tcBorders>
            <w:shd w:val="clear" w:color="auto" w:fill="D9D9D9" w:themeFill="background1" w:themeFillShade="D9"/>
            <w:vAlign w:val="center"/>
            <w:hideMark/>
          </w:tcPr>
          <w:p w14:paraId="2C320682" w14:textId="77777777" w:rsidR="00713EC9" w:rsidRPr="0029110D" w:rsidRDefault="00713EC9">
            <w:pPr>
              <w:spacing w:after="0" w:line="240" w:lineRule="auto"/>
              <w:jc w:val="center"/>
              <w:rPr>
                <w:rFonts w:eastAsia="Times New Roman"/>
                <w:b/>
                <w:bCs/>
                <w:color w:val="000000"/>
                <w:sz w:val="20"/>
                <w:szCs w:val="20"/>
                <w:lang w:eastAsia="ru-RU"/>
              </w:rPr>
            </w:pPr>
            <w:r w:rsidRPr="0029110D">
              <w:rPr>
                <w:rFonts w:eastAsia="Times New Roman"/>
                <w:b/>
                <w:bCs/>
                <w:color w:val="000000"/>
                <w:sz w:val="20"/>
                <w:szCs w:val="20"/>
                <w:lang w:eastAsia="ru-RU"/>
              </w:rPr>
              <w:t>Исследование</w:t>
            </w:r>
          </w:p>
        </w:tc>
        <w:tc>
          <w:tcPr>
            <w:tcW w:w="2126" w:type="dxa"/>
            <w:gridSpan w:val="3"/>
            <w:tcBorders>
              <w:top w:val="single" w:sz="8" w:space="0" w:color="auto"/>
              <w:left w:val="nil"/>
              <w:bottom w:val="single" w:sz="4" w:space="0" w:color="auto"/>
              <w:right w:val="single" w:sz="8" w:space="0" w:color="000000"/>
            </w:tcBorders>
            <w:shd w:val="clear" w:color="auto" w:fill="D9D9D9" w:themeFill="background1" w:themeFillShade="D9"/>
            <w:vAlign w:val="center"/>
            <w:hideMark/>
          </w:tcPr>
          <w:p w14:paraId="16307A3A" w14:textId="77777777" w:rsidR="00713EC9" w:rsidRPr="0029110D" w:rsidRDefault="00713EC9">
            <w:pPr>
              <w:spacing w:after="0" w:line="240" w:lineRule="auto"/>
              <w:jc w:val="center"/>
              <w:rPr>
                <w:rFonts w:eastAsia="Times New Roman"/>
                <w:b/>
                <w:bCs/>
                <w:color w:val="000000"/>
                <w:sz w:val="20"/>
                <w:szCs w:val="20"/>
                <w:lang w:eastAsia="ru-RU"/>
              </w:rPr>
            </w:pPr>
            <w:r w:rsidRPr="0029110D">
              <w:rPr>
                <w:rFonts w:eastAsia="Times New Roman"/>
                <w:b/>
                <w:bCs/>
                <w:color w:val="000000"/>
                <w:sz w:val="20"/>
                <w:szCs w:val="20"/>
                <w:lang w:eastAsia="ru-RU"/>
              </w:rPr>
              <w:t>RA-BEGIN</w:t>
            </w:r>
            <w:r w:rsidRPr="0029110D">
              <w:rPr>
                <w:rFonts w:eastAsia="Times New Roman"/>
                <w:b/>
                <w:bCs/>
                <w:color w:val="000000"/>
                <w:sz w:val="20"/>
                <w:szCs w:val="20"/>
                <w:lang w:eastAsia="ru-RU"/>
              </w:rPr>
              <w:br/>
              <w:t>(не получавшие MTX)</w:t>
            </w:r>
          </w:p>
        </w:tc>
        <w:tc>
          <w:tcPr>
            <w:tcW w:w="2126" w:type="dxa"/>
            <w:gridSpan w:val="3"/>
            <w:tcBorders>
              <w:top w:val="single" w:sz="8" w:space="0" w:color="auto"/>
              <w:left w:val="nil"/>
              <w:bottom w:val="single" w:sz="4" w:space="0" w:color="auto"/>
              <w:right w:val="single" w:sz="8" w:space="0" w:color="000000"/>
            </w:tcBorders>
            <w:shd w:val="clear" w:color="auto" w:fill="D9D9D9" w:themeFill="background1" w:themeFillShade="D9"/>
            <w:vAlign w:val="center"/>
            <w:hideMark/>
          </w:tcPr>
          <w:p w14:paraId="5CCDC41B" w14:textId="77777777" w:rsidR="00713EC9" w:rsidRPr="0029110D" w:rsidRDefault="00713EC9">
            <w:pPr>
              <w:spacing w:after="0" w:line="240" w:lineRule="auto"/>
              <w:jc w:val="center"/>
              <w:rPr>
                <w:rFonts w:eastAsia="Times New Roman"/>
                <w:b/>
                <w:bCs/>
                <w:color w:val="000000"/>
                <w:sz w:val="20"/>
                <w:szCs w:val="20"/>
                <w:lang w:eastAsia="ru-RU"/>
              </w:rPr>
            </w:pPr>
            <w:r w:rsidRPr="0029110D">
              <w:rPr>
                <w:rFonts w:eastAsia="Times New Roman"/>
                <w:b/>
                <w:bCs/>
                <w:color w:val="000000"/>
                <w:sz w:val="20"/>
                <w:szCs w:val="20"/>
                <w:lang w:eastAsia="ru-RU"/>
              </w:rPr>
              <w:t>RA-BEAM</w:t>
            </w:r>
            <w:r w:rsidRPr="0029110D">
              <w:rPr>
                <w:rFonts w:eastAsia="Times New Roman"/>
                <w:b/>
                <w:bCs/>
                <w:color w:val="000000"/>
                <w:sz w:val="20"/>
                <w:szCs w:val="20"/>
                <w:lang w:eastAsia="ru-RU"/>
              </w:rPr>
              <w:br/>
              <w:t>(получавшие MTX)</w:t>
            </w:r>
          </w:p>
        </w:tc>
        <w:tc>
          <w:tcPr>
            <w:tcW w:w="2127" w:type="dxa"/>
            <w:gridSpan w:val="3"/>
            <w:tcBorders>
              <w:top w:val="single" w:sz="8" w:space="0" w:color="auto"/>
              <w:left w:val="nil"/>
              <w:bottom w:val="single" w:sz="4" w:space="0" w:color="auto"/>
              <w:right w:val="single" w:sz="8" w:space="0" w:color="000000"/>
            </w:tcBorders>
            <w:shd w:val="clear" w:color="auto" w:fill="D9D9D9" w:themeFill="background1" w:themeFillShade="D9"/>
            <w:vAlign w:val="center"/>
            <w:hideMark/>
          </w:tcPr>
          <w:p w14:paraId="5CE9331F" w14:textId="77777777" w:rsidR="00713EC9" w:rsidRPr="0029110D" w:rsidRDefault="00713EC9">
            <w:pPr>
              <w:spacing w:after="0" w:line="240" w:lineRule="auto"/>
              <w:jc w:val="center"/>
              <w:rPr>
                <w:rFonts w:eastAsia="Times New Roman"/>
                <w:b/>
                <w:bCs/>
                <w:color w:val="000000"/>
                <w:sz w:val="20"/>
                <w:szCs w:val="20"/>
                <w:lang w:eastAsia="ru-RU"/>
              </w:rPr>
            </w:pPr>
            <w:r w:rsidRPr="0029110D">
              <w:rPr>
                <w:rFonts w:eastAsia="Times New Roman"/>
                <w:b/>
                <w:bCs/>
                <w:color w:val="000000"/>
                <w:sz w:val="20"/>
                <w:szCs w:val="20"/>
                <w:lang w:eastAsia="ru-RU"/>
              </w:rPr>
              <w:t>RA-BUILD</w:t>
            </w:r>
            <w:r w:rsidRPr="0029110D">
              <w:rPr>
                <w:rFonts w:eastAsia="Times New Roman"/>
                <w:b/>
                <w:bCs/>
                <w:color w:val="000000"/>
                <w:sz w:val="20"/>
                <w:szCs w:val="20"/>
                <w:lang w:eastAsia="ru-RU"/>
              </w:rPr>
              <w:br/>
              <w:t>(получавшие cDMARD)</w:t>
            </w:r>
          </w:p>
        </w:tc>
        <w:tc>
          <w:tcPr>
            <w:tcW w:w="2126" w:type="dxa"/>
            <w:gridSpan w:val="3"/>
            <w:tcBorders>
              <w:top w:val="single" w:sz="8" w:space="0" w:color="auto"/>
              <w:left w:val="nil"/>
              <w:bottom w:val="single" w:sz="4" w:space="0" w:color="auto"/>
              <w:right w:val="single" w:sz="8" w:space="0" w:color="000000"/>
            </w:tcBorders>
            <w:shd w:val="clear" w:color="auto" w:fill="D9D9D9" w:themeFill="background1" w:themeFillShade="D9"/>
            <w:vAlign w:val="center"/>
            <w:hideMark/>
          </w:tcPr>
          <w:p w14:paraId="795B1B01" w14:textId="77777777" w:rsidR="00713EC9" w:rsidRPr="0029110D" w:rsidRDefault="00713EC9">
            <w:pPr>
              <w:spacing w:after="0" w:line="240" w:lineRule="auto"/>
              <w:jc w:val="center"/>
              <w:rPr>
                <w:rFonts w:eastAsia="Times New Roman"/>
                <w:b/>
                <w:bCs/>
                <w:color w:val="000000"/>
                <w:sz w:val="20"/>
                <w:szCs w:val="20"/>
                <w:lang w:eastAsia="ru-RU"/>
              </w:rPr>
            </w:pPr>
            <w:r w:rsidRPr="0029110D">
              <w:rPr>
                <w:rFonts w:eastAsia="Times New Roman"/>
                <w:b/>
                <w:bCs/>
                <w:color w:val="000000"/>
                <w:sz w:val="20"/>
                <w:szCs w:val="20"/>
                <w:lang w:eastAsia="ru-RU"/>
              </w:rPr>
              <w:t>RA-BEACON</w:t>
            </w:r>
            <w:r w:rsidRPr="0029110D">
              <w:rPr>
                <w:rFonts w:eastAsia="Times New Roman"/>
                <w:b/>
                <w:bCs/>
                <w:color w:val="000000"/>
                <w:sz w:val="20"/>
                <w:szCs w:val="20"/>
                <w:lang w:eastAsia="ru-RU"/>
              </w:rPr>
              <w:br/>
              <w:t>(получавшие TNF)</w:t>
            </w:r>
          </w:p>
        </w:tc>
      </w:tr>
      <w:tr w:rsidR="00331076" w:rsidRPr="0029110D" w14:paraId="76A3FC12" w14:textId="77777777" w:rsidTr="009C2F63">
        <w:trPr>
          <w:trHeight w:val="20"/>
          <w:tblHeader/>
        </w:trPr>
        <w:tc>
          <w:tcPr>
            <w:tcW w:w="866" w:type="dxa"/>
            <w:tcBorders>
              <w:top w:val="nil"/>
              <w:left w:val="single" w:sz="8" w:space="0" w:color="auto"/>
              <w:bottom w:val="single" w:sz="4" w:space="0" w:color="auto"/>
              <w:right w:val="single" w:sz="8" w:space="0" w:color="auto"/>
            </w:tcBorders>
            <w:shd w:val="clear" w:color="auto" w:fill="D9D9D9" w:themeFill="background1" w:themeFillShade="D9"/>
            <w:vAlign w:val="center"/>
            <w:hideMark/>
          </w:tcPr>
          <w:p w14:paraId="0FF0F0DC"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Группа лечения</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14:paraId="2954F28D"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MTX</w:t>
            </w:r>
          </w:p>
        </w:tc>
        <w:tc>
          <w:tcPr>
            <w:tcW w:w="708" w:type="dxa"/>
            <w:tcBorders>
              <w:top w:val="nil"/>
              <w:left w:val="nil"/>
              <w:bottom w:val="single" w:sz="4" w:space="0" w:color="auto"/>
              <w:right w:val="single" w:sz="4" w:space="0" w:color="auto"/>
            </w:tcBorders>
            <w:shd w:val="clear" w:color="auto" w:fill="D9D9D9" w:themeFill="background1" w:themeFillShade="D9"/>
            <w:vAlign w:val="center"/>
            <w:hideMark/>
          </w:tcPr>
          <w:p w14:paraId="3AE9E1C4"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BARI 4 мг</w:t>
            </w:r>
          </w:p>
        </w:tc>
        <w:tc>
          <w:tcPr>
            <w:tcW w:w="709" w:type="dxa"/>
            <w:tcBorders>
              <w:top w:val="nil"/>
              <w:left w:val="nil"/>
              <w:bottom w:val="single" w:sz="4" w:space="0" w:color="auto"/>
              <w:right w:val="single" w:sz="8" w:space="0" w:color="auto"/>
            </w:tcBorders>
            <w:shd w:val="clear" w:color="auto" w:fill="D9D9D9" w:themeFill="background1" w:themeFillShade="D9"/>
            <w:vAlign w:val="center"/>
            <w:hideMark/>
          </w:tcPr>
          <w:p w14:paraId="3986EE2D"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BARI 4 мг + MTX</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14:paraId="086C0340"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PBO</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14:paraId="32C56BFE"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BARI 4 мг</w:t>
            </w:r>
          </w:p>
        </w:tc>
        <w:tc>
          <w:tcPr>
            <w:tcW w:w="708" w:type="dxa"/>
            <w:tcBorders>
              <w:top w:val="nil"/>
              <w:left w:val="nil"/>
              <w:bottom w:val="single" w:sz="4" w:space="0" w:color="auto"/>
              <w:right w:val="single" w:sz="8" w:space="0" w:color="auto"/>
            </w:tcBorders>
            <w:shd w:val="clear" w:color="auto" w:fill="D9D9D9" w:themeFill="background1" w:themeFillShade="D9"/>
            <w:vAlign w:val="center"/>
            <w:hideMark/>
          </w:tcPr>
          <w:p w14:paraId="5ACCBC86"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ADA 40 мг</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14:paraId="7B6944EE"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PBO</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14:paraId="10866004"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BARI 2 мг</w:t>
            </w:r>
          </w:p>
        </w:tc>
        <w:tc>
          <w:tcPr>
            <w:tcW w:w="709" w:type="dxa"/>
            <w:tcBorders>
              <w:top w:val="nil"/>
              <w:left w:val="nil"/>
              <w:bottom w:val="single" w:sz="4" w:space="0" w:color="auto"/>
              <w:right w:val="single" w:sz="8" w:space="0" w:color="auto"/>
            </w:tcBorders>
            <w:shd w:val="clear" w:color="auto" w:fill="D9D9D9" w:themeFill="background1" w:themeFillShade="D9"/>
            <w:vAlign w:val="center"/>
            <w:hideMark/>
          </w:tcPr>
          <w:p w14:paraId="0E1E2F2E"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BARI 4 мг</w:t>
            </w:r>
          </w:p>
        </w:tc>
        <w:tc>
          <w:tcPr>
            <w:tcW w:w="708" w:type="dxa"/>
            <w:tcBorders>
              <w:top w:val="nil"/>
              <w:left w:val="nil"/>
              <w:bottom w:val="single" w:sz="4" w:space="0" w:color="auto"/>
              <w:right w:val="single" w:sz="4" w:space="0" w:color="auto"/>
            </w:tcBorders>
            <w:shd w:val="clear" w:color="auto" w:fill="D9D9D9" w:themeFill="background1" w:themeFillShade="D9"/>
            <w:vAlign w:val="center"/>
            <w:hideMark/>
          </w:tcPr>
          <w:p w14:paraId="3704B441"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PBO</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14:paraId="4A83F276"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BARI 2 мг</w:t>
            </w:r>
          </w:p>
        </w:tc>
        <w:tc>
          <w:tcPr>
            <w:tcW w:w="709" w:type="dxa"/>
            <w:tcBorders>
              <w:top w:val="nil"/>
              <w:left w:val="nil"/>
              <w:bottom w:val="single" w:sz="4" w:space="0" w:color="auto"/>
              <w:right w:val="single" w:sz="8" w:space="0" w:color="auto"/>
            </w:tcBorders>
            <w:shd w:val="clear" w:color="auto" w:fill="D9D9D9" w:themeFill="background1" w:themeFillShade="D9"/>
            <w:vAlign w:val="center"/>
            <w:hideMark/>
          </w:tcPr>
          <w:p w14:paraId="42F97255" w14:textId="77777777" w:rsidR="00713EC9" w:rsidRPr="0029110D" w:rsidRDefault="00713EC9" w:rsidP="0029110D">
            <w:pPr>
              <w:spacing w:after="0" w:line="240" w:lineRule="auto"/>
              <w:ind w:left="-95" w:right="-104"/>
              <w:jc w:val="center"/>
              <w:rPr>
                <w:rFonts w:eastAsia="Times New Roman"/>
                <w:b/>
                <w:bCs/>
                <w:color w:val="000000"/>
                <w:sz w:val="20"/>
                <w:szCs w:val="20"/>
                <w:lang w:eastAsia="ru-RU"/>
              </w:rPr>
            </w:pPr>
            <w:r w:rsidRPr="0029110D">
              <w:rPr>
                <w:rFonts w:eastAsia="Times New Roman"/>
                <w:b/>
                <w:bCs/>
                <w:color w:val="000000"/>
                <w:sz w:val="20"/>
                <w:szCs w:val="20"/>
                <w:lang w:eastAsia="ru-RU"/>
              </w:rPr>
              <w:t>BARI 4 мг</w:t>
            </w:r>
          </w:p>
        </w:tc>
      </w:tr>
      <w:tr w:rsidR="00331076" w:rsidRPr="0029110D" w14:paraId="242F7E06" w14:textId="77777777" w:rsidTr="009C2F63">
        <w:trPr>
          <w:trHeight w:val="20"/>
          <w:tblHeader/>
        </w:trPr>
        <w:tc>
          <w:tcPr>
            <w:tcW w:w="866" w:type="dxa"/>
            <w:tcBorders>
              <w:top w:val="nil"/>
              <w:left w:val="single" w:sz="8" w:space="0" w:color="auto"/>
              <w:bottom w:val="single" w:sz="8" w:space="0" w:color="auto"/>
              <w:right w:val="single" w:sz="8" w:space="0" w:color="auto"/>
            </w:tcBorders>
            <w:shd w:val="clear" w:color="auto" w:fill="D9D9D9" w:themeFill="background1" w:themeFillShade="D9"/>
            <w:vAlign w:val="center"/>
            <w:hideMark/>
          </w:tcPr>
          <w:p w14:paraId="0C0A2C8A"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n</w:t>
            </w:r>
          </w:p>
        </w:tc>
        <w:tc>
          <w:tcPr>
            <w:tcW w:w="709" w:type="dxa"/>
            <w:tcBorders>
              <w:top w:val="nil"/>
              <w:left w:val="nil"/>
              <w:bottom w:val="single" w:sz="8" w:space="0" w:color="auto"/>
              <w:right w:val="single" w:sz="4" w:space="0" w:color="auto"/>
            </w:tcBorders>
            <w:shd w:val="clear" w:color="auto" w:fill="D9D9D9" w:themeFill="background1" w:themeFillShade="D9"/>
            <w:vAlign w:val="center"/>
            <w:hideMark/>
          </w:tcPr>
          <w:p w14:paraId="7D5B501E"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210</w:t>
            </w:r>
          </w:p>
        </w:tc>
        <w:tc>
          <w:tcPr>
            <w:tcW w:w="708" w:type="dxa"/>
            <w:tcBorders>
              <w:top w:val="nil"/>
              <w:left w:val="nil"/>
              <w:bottom w:val="single" w:sz="8" w:space="0" w:color="auto"/>
              <w:right w:val="single" w:sz="4" w:space="0" w:color="auto"/>
            </w:tcBorders>
            <w:shd w:val="clear" w:color="auto" w:fill="D9D9D9" w:themeFill="background1" w:themeFillShade="D9"/>
            <w:vAlign w:val="center"/>
            <w:hideMark/>
          </w:tcPr>
          <w:p w14:paraId="331D92A0"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159</w:t>
            </w:r>
          </w:p>
        </w:tc>
        <w:tc>
          <w:tcPr>
            <w:tcW w:w="709" w:type="dxa"/>
            <w:tcBorders>
              <w:top w:val="nil"/>
              <w:left w:val="nil"/>
              <w:bottom w:val="single" w:sz="8" w:space="0" w:color="auto"/>
              <w:right w:val="single" w:sz="8" w:space="0" w:color="auto"/>
            </w:tcBorders>
            <w:shd w:val="clear" w:color="auto" w:fill="D9D9D9" w:themeFill="background1" w:themeFillShade="D9"/>
            <w:vAlign w:val="center"/>
            <w:hideMark/>
          </w:tcPr>
          <w:p w14:paraId="108EC40B"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215</w:t>
            </w:r>
          </w:p>
        </w:tc>
        <w:tc>
          <w:tcPr>
            <w:tcW w:w="709" w:type="dxa"/>
            <w:tcBorders>
              <w:top w:val="nil"/>
              <w:left w:val="nil"/>
              <w:bottom w:val="single" w:sz="8" w:space="0" w:color="auto"/>
              <w:right w:val="single" w:sz="4" w:space="0" w:color="auto"/>
            </w:tcBorders>
            <w:shd w:val="clear" w:color="auto" w:fill="D9D9D9" w:themeFill="background1" w:themeFillShade="D9"/>
            <w:vAlign w:val="center"/>
            <w:hideMark/>
          </w:tcPr>
          <w:p w14:paraId="50038B26"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488</w:t>
            </w:r>
          </w:p>
        </w:tc>
        <w:tc>
          <w:tcPr>
            <w:tcW w:w="709" w:type="dxa"/>
            <w:tcBorders>
              <w:top w:val="nil"/>
              <w:left w:val="nil"/>
              <w:bottom w:val="single" w:sz="8" w:space="0" w:color="auto"/>
              <w:right w:val="single" w:sz="4" w:space="0" w:color="auto"/>
            </w:tcBorders>
            <w:shd w:val="clear" w:color="auto" w:fill="D9D9D9" w:themeFill="background1" w:themeFillShade="D9"/>
            <w:vAlign w:val="center"/>
            <w:hideMark/>
          </w:tcPr>
          <w:p w14:paraId="32FE10A4"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487</w:t>
            </w:r>
          </w:p>
        </w:tc>
        <w:tc>
          <w:tcPr>
            <w:tcW w:w="708" w:type="dxa"/>
            <w:tcBorders>
              <w:top w:val="nil"/>
              <w:left w:val="nil"/>
              <w:bottom w:val="single" w:sz="8" w:space="0" w:color="auto"/>
              <w:right w:val="single" w:sz="8" w:space="0" w:color="auto"/>
            </w:tcBorders>
            <w:shd w:val="clear" w:color="auto" w:fill="D9D9D9" w:themeFill="background1" w:themeFillShade="D9"/>
            <w:vAlign w:val="center"/>
            <w:hideMark/>
          </w:tcPr>
          <w:p w14:paraId="57D12344"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330</w:t>
            </w:r>
          </w:p>
        </w:tc>
        <w:tc>
          <w:tcPr>
            <w:tcW w:w="709" w:type="dxa"/>
            <w:tcBorders>
              <w:top w:val="nil"/>
              <w:left w:val="nil"/>
              <w:bottom w:val="nil"/>
              <w:right w:val="single" w:sz="4" w:space="0" w:color="auto"/>
            </w:tcBorders>
            <w:shd w:val="clear" w:color="auto" w:fill="D9D9D9" w:themeFill="background1" w:themeFillShade="D9"/>
            <w:vAlign w:val="center"/>
            <w:hideMark/>
          </w:tcPr>
          <w:p w14:paraId="0D42D0AE"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228</w:t>
            </w:r>
          </w:p>
        </w:tc>
        <w:tc>
          <w:tcPr>
            <w:tcW w:w="709" w:type="dxa"/>
            <w:tcBorders>
              <w:top w:val="nil"/>
              <w:left w:val="nil"/>
              <w:bottom w:val="nil"/>
              <w:right w:val="single" w:sz="4" w:space="0" w:color="auto"/>
            </w:tcBorders>
            <w:shd w:val="clear" w:color="auto" w:fill="D9D9D9" w:themeFill="background1" w:themeFillShade="D9"/>
            <w:vAlign w:val="center"/>
            <w:hideMark/>
          </w:tcPr>
          <w:p w14:paraId="574C690B"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229</w:t>
            </w:r>
          </w:p>
        </w:tc>
        <w:tc>
          <w:tcPr>
            <w:tcW w:w="709" w:type="dxa"/>
            <w:tcBorders>
              <w:top w:val="nil"/>
              <w:left w:val="nil"/>
              <w:bottom w:val="nil"/>
              <w:right w:val="single" w:sz="8" w:space="0" w:color="auto"/>
            </w:tcBorders>
            <w:shd w:val="clear" w:color="auto" w:fill="D9D9D9" w:themeFill="background1" w:themeFillShade="D9"/>
            <w:vAlign w:val="center"/>
            <w:hideMark/>
          </w:tcPr>
          <w:p w14:paraId="2966AFED"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227</w:t>
            </w:r>
          </w:p>
        </w:tc>
        <w:tc>
          <w:tcPr>
            <w:tcW w:w="708" w:type="dxa"/>
            <w:tcBorders>
              <w:top w:val="nil"/>
              <w:left w:val="nil"/>
              <w:bottom w:val="nil"/>
              <w:right w:val="single" w:sz="4" w:space="0" w:color="auto"/>
            </w:tcBorders>
            <w:shd w:val="clear" w:color="auto" w:fill="D9D9D9" w:themeFill="background1" w:themeFillShade="D9"/>
            <w:vAlign w:val="center"/>
            <w:hideMark/>
          </w:tcPr>
          <w:p w14:paraId="6377E446"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176</w:t>
            </w:r>
          </w:p>
        </w:tc>
        <w:tc>
          <w:tcPr>
            <w:tcW w:w="709" w:type="dxa"/>
            <w:tcBorders>
              <w:top w:val="nil"/>
              <w:left w:val="nil"/>
              <w:bottom w:val="nil"/>
              <w:right w:val="single" w:sz="4" w:space="0" w:color="auto"/>
            </w:tcBorders>
            <w:shd w:val="clear" w:color="auto" w:fill="D9D9D9" w:themeFill="background1" w:themeFillShade="D9"/>
            <w:vAlign w:val="center"/>
            <w:hideMark/>
          </w:tcPr>
          <w:p w14:paraId="097D2EB8"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174</w:t>
            </w:r>
          </w:p>
        </w:tc>
        <w:tc>
          <w:tcPr>
            <w:tcW w:w="709" w:type="dxa"/>
            <w:tcBorders>
              <w:top w:val="nil"/>
              <w:left w:val="nil"/>
              <w:bottom w:val="nil"/>
              <w:right w:val="single" w:sz="8" w:space="0" w:color="auto"/>
            </w:tcBorders>
            <w:shd w:val="clear" w:color="auto" w:fill="D9D9D9" w:themeFill="background1" w:themeFillShade="D9"/>
            <w:vAlign w:val="center"/>
            <w:hideMark/>
          </w:tcPr>
          <w:p w14:paraId="227601CB" w14:textId="77777777" w:rsidR="00713EC9" w:rsidRPr="0029110D" w:rsidRDefault="00713EC9">
            <w:pPr>
              <w:spacing w:after="0" w:line="240" w:lineRule="auto"/>
              <w:jc w:val="center"/>
              <w:rPr>
                <w:rFonts w:eastAsia="Times New Roman"/>
                <w:b/>
                <w:color w:val="000000"/>
                <w:sz w:val="20"/>
                <w:szCs w:val="20"/>
                <w:lang w:eastAsia="ru-RU"/>
              </w:rPr>
            </w:pPr>
            <w:r w:rsidRPr="0029110D">
              <w:rPr>
                <w:rFonts w:eastAsia="Times New Roman"/>
                <w:b/>
                <w:color w:val="000000"/>
                <w:sz w:val="20"/>
                <w:szCs w:val="20"/>
                <w:lang w:eastAsia="ru-RU"/>
              </w:rPr>
              <w:t>177</w:t>
            </w:r>
          </w:p>
        </w:tc>
      </w:tr>
      <w:tr w:rsidR="00713EC9" w:rsidRPr="0029110D" w14:paraId="6FF41800" w14:textId="77777777" w:rsidTr="00AB1FF1">
        <w:trPr>
          <w:trHeight w:val="20"/>
        </w:trPr>
        <w:tc>
          <w:tcPr>
            <w:tcW w:w="9371" w:type="dxa"/>
            <w:gridSpan w:val="13"/>
            <w:tcBorders>
              <w:top w:val="single" w:sz="8" w:space="0" w:color="auto"/>
              <w:left w:val="single" w:sz="8" w:space="0" w:color="auto"/>
              <w:bottom w:val="single" w:sz="8" w:space="0" w:color="auto"/>
              <w:right w:val="single" w:sz="8" w:space="0" w:color="000000"/>
            </w:tcBorders>
            <w:shd w:val="clear" w:color="auto" w:fill="auto"/>
            <w:vAlign w:val="bottom"/>
            <w:hideMark/>
          </w:tcPr>
          <w:p w14:paraId="4D026546" w14:textId="77777777" w:rsidR="00713EC9" w:rsidRPr="0029110D" w:rsidRDefault="00713EC9">
            <w:pPr>
              <w:spacing w:after="0" w:line="240" w:lineRule="auto"/>
              <w:jc w:val="left"/>
              <w:rPr>
                <w:rFonts w:eastAsia="Times New Roman"/>
                <w:i/>
                <w:iCs/>
                <w:color w:val="000000"/>
                <w:sz w:val="20"/>
                <w:szCs w:val="20"/>
                <w:lang w:eastAsia="ru-RU"/>
              </w:rPr>
            </w:pPr>
            <w:r w:rsidRPr="0029110D">
              <w:rPr>
                <w:rFonts w:eastAsia="Times New Roman"/>
                <w:i/>
                <w:iCs/>
                <w:color w:val="000000"/>
                <w:sz w:val="20"/>
                <w:szCs w:val="20"/>
                <w:lang w:eastAsia="ru-RU"/>
              </w:rPr>
              <w:t>ACR20:</w:t>
            </w:r>
          </w:p>
        </w:tc>
      </w:tr>
      <w:tr w:rsidR="00713EC9" w:rsidRPr="0029110D" w14:paraId="38F4B88A"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0249B59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12</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60C7D91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59%</w:t>
            </w:r>
          </w:p>
        </w:tc>
        <w:tc>
          <w:tcPr>
            <w:tcW w:w="708" w:type="dxa"/>
            <w:tcBorders>
              <w:top w:val="nil"/>
              <w:left w:val="nil"/>
              <w:bottom w:val="single" w:sz="4" w:space="0" w:color="auto"/>
              <w:right w:val="single" w:sz="4" w:space="0" w:color="auto"/>
            </w:tcBorders>
            <w:shd w:val="clear" w:color="auto" w:fill="auto"/>
            <w:vAlign w:val="center"/>
            <w:hideMark/>
          </w:tcPr>
          <w:p w14:paraId="6DE0178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79%</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48F3948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4395A38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40%</w:t>
            </w:r>
          </w:p>
        </w:tc>
        <w:tc>
          <w:tcPr>
            <w:tcW w:w="709" w:type="dxa"/>
            <w:tcBorders>
              <w:top w:val="nil"/>
              <w:left w:val="nil"/>
              <w:bottom w:val="single" w:sz="4" w:space="0" w:color="auto"/>
              <w:right w:val="single" w:sz="4" w:space="0" w:color="auto"/>
            </w:tcBorders>
            <w:shd w:val="clear" w:color="auto" w:fill="auto"/>
            <w:vAlign w:val="center"/>
            <w:hideMark/>
          </w:tcPr>
          <w:p w14:paraId="5EAF83D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70%</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0E622E2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61%</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791F7A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39%</w:t>
            </w:r>
          </w:p>
        </w:tc>
        <w:tc>
          <w:tcPr>
            <w:tcW w:w="709" w:type="dxa"/>
            <w:tcBorders>
              <w:top w:val="nil"/>
              <w:left w:val="nil"/>
              <w:bottom w:val="single" w:sz="4" w:space="0" w:color="auto"/>
              <w:right w:val="single" w:sz="4" w:space="0" w:color="auto"/>
            </w:tcBorders>
            <w:shd w:val="clear" w:color="auto" w:fill="auto"/>
            <w:vAlign w:val="center"/>
            <w:hideMark/>
          </w:tcPr>
          <w:p w14:paraId="65D64E7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66%</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698DA0D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62%</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7960685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27%</w:t>
            </w:r>
          </w:p>
        </w:tc>
        <w:tc>
          <w:tcPr>
            <w:tcW w:w="709" w:type="dxa"/>
            <w:tcBorders>
              <w:top w:val="nil"/>
              <w:left w:val="nil"/>
              <w:bottom w:val="single" w:sz="4" w:space="0" w:color="auto"/>
              <w:right w:val="single" w:sz="4" w:space="0" w:color="auto"/>
            </w:tcBorders>
            <w:shd w:val="clear" w:color="auto" w:fill="auto"/>
            <w:vAlign w:val="center"/>
            <w:hideMark/>
          </w:tcPr>
          <w:p w14:paraId="028FC4B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49%</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6079BA80"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55%</w:t>
            </w:r>
            <w:r w:rsidRPr="0029110D">
              <w:rPr>
                <w:rFonts w:eastAsia="Times New Roman"/>
                <w:color w:val="000000"/>
                <w:sz w:val="20"/>
                <w:szCs w:val="20"/>
                <w:vertAlign w:val="superscript"/>
                <w:lang w:eastAsia="ru-RU"/>
              </w:rPr>
              <w:t>***</w:t>
            </w:r>
          </w:p>
        </w:tc>
      </w:tr>
      <w:tr w:rsidR="00713EC9" w:rsidRPr="0029110D" w14:paraId="14806080"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1F58502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24</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1A08206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62%</w:t>
            </w:r>
          </w:p>
        </w:tc>
        <w:tc>
          <w:tcPr>
            <w:tcW w:w="708" w:type="dxa"/>
            <w:tcBorders>
              <w:top w:val="nil"/>
              <w:left w:val="nil"/>
              <w:bottom w:val="single" w:sz="4" w:space="0" w:color="auto"/>
              <w:right w:val="single" w:sz="4" w:space="0" w:color="auto"/>
            </w:tcBorders>
            <w:shd w:val="clear" w:color="auto" w:fill="auto"/>
            <w:vAlign w:val="center"/>
            <w:hideMark/>
          </w:tcPr>
          <w:p w14:paraId="44D0757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0C3688A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78%</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2326552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37%</w:t>
            </w:r>
          </w:p>
        </w:tc>
        <w:tc>
          <w:tcPr>
            <w:tcW w:w="709" w:type="dxa"/>
            <w:tcBorders>
              <w:top w:val="nil"/>
              <w:left w:val="nil"/>
              <w:bottom w:val="single" w:sz="4" w:space="0" w:color="auto"/>
              <w:right w:val="single" w:sz="4" w:space="0" w:color="auto"/>
            </w:tcBorders>
            <w:shd w:val="clear" w:color="auto" w:fill="auto"/>
            <w:vAlign w:val="center"/>
            <w:hideMark/>
          </w:tcPr>
          <w:p w14:paraId="109C854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74%</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5FB156F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66%</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31625D0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42%</w:t>
            </w:r>
          </w:p>
        </w:tc>
        <w:tc>
          <w:tcPr>
            <w:tcW w:w="709" w:type="dxa"/>
            <w:tcBorders>
              <w:top w:val="nil"/>
              <w:left w:val="nil"/>
              <w:bottom w:val="single" w:sz="4" w:space="0" w:color="auto"/>
              <w:right w:val="single" w:sz="4" w:space="0" w:color="auto"/>
            </w:tcBorders>
            <w:shd w:val="clear" w:color="auto" w:fill="auto"/>
            <w:vAlign w:val="center"/>
            <w:hideMark/>
          </w:tcPr>
          <w:p w14:paraId="2598D0A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61%</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728A80F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65%</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4681A6A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27%</w:t>
            </w:r>
          </w:p>
        </w:tc>
        <w:tc>
          <w:tcPr>
            <w:tcW w:w="709" w:type="dxa"/>
            <w:tcBorders>
              <w:top w:val="nil"/>
              <w:left w:val="nil"/>
              <w:bottom w:val="single" w:sz="4" w:space="0" w:color="auto"/>
              <w:right w:val="single" w:sz="4" w:space="0" w:color="auto"/>
            </w:tcBorders>
            <w:shd w:val="clear" w:color="auto" w:fill="auto"/>
            <w:vAlign w:val="center"/>
            <w:hideMark/>
          </w:tcPr>
          <w:p w14:paraId="76E3D76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45%</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1DCB1F6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46%</w:t>
            </w:r>
            <w:r w:rsidRPr="0029110D">
              <w:rPr>
                <w:rFonts w:eastAsia="Times New Roman"/>
                <w:color w:val="000000"/>
                <w:sz w:val="20"/>
                <w:szCs w:val="20"/>
                <w:vertAlign w:val="superscript"/>
                <w:lang w:eastAsia="ru-RU"/>
              </w:rPr>
              <w:t>***</w:t>
            </w:r>
          </w:p>
        </w:tc>
      </w:tr>
      <w:tr w:rsidR="00713EC9" w:rsidRPr="0029110D" w14:paraId="76424C23" w14:textId="77777777" w:rsidTr="00AB1FF1">
        <w:trPr>
          <w:trHeight w:val="20"/>
        </w:trPr>
        <w:tc>
          <w:tcPr>
            <w:tcW w:w="866" w:type="dxa"/>
            <w:tcBorders>
              <w:top w:val="nil"/>
              <w:left w:val="single" w:sz="4" w:space="0" w:color="auto"/>
              <w:bottom w:val="nil"/>
              <w:right w:val="nil"/>
            </w:tcBorders>
            <w:shd w:val="clear" w:color="auto" w:fill="auto"/>
            <w:vAlign w:val="center"/>
            <w:hideMark/>
          </w:tcPr>
          <w:p w14:paraId="1C02DD2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52</w:t>
            </w:r>
          </w:p>
        </w:tc>
        <w:tc>
          <w:tcPr>
            <w:tcW w:w="709" w:type="dxa"/>
            <w:tcBorders>
              <w:top w:val="nil"/>
              <w:left w:val="single" w:sz="8" w:space="0" w:color="auto"/>
              <w:bottom w:val="nil"/>
              <w:right w:val="single" w:sz="4" w:space="0" w:color="auto"/>
            </w:tcBorders>
            <w:shd w:val="clear" w:color="auto" w:fill="auto"/>
            <w:vAlign w:val="center"/>
            <w:hideMark/>
          </w:tcPr>
          <w:p w14:paraId="34EBD68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56%</w:t>
            </w:r>
          </w:p>
        </w:tc>
        <w:tc>
          <w:tcPr>
            <w:tcW w:w="708" w:type="dxa"/>
            <w:tcBorders>
              <w:top w:val="nil"/>
              <w:left w:val="nil"/>
              <w:bottom w:val="nil"/>
              <w:right w:val="single" w:sz="4" w:space="0" w:color="auto"/>
            </w:tcBorders>
            <w:shd w:val="clear" w:color="auto" w:fill="auto"/>
            <w:vAlign w:val="center"/>
            <w:hideMark/>
          </w:tcPr>
          <w:p w14:paraId="5692927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73%</w:t>
            </w:r>
            <w:r w:rsidRPr="0029110D">
              <w:rPr>
                <w:rFonts w:eastAsia="Times New Roman"/>
                <w:color w:val="000000"/>
                <w:sz w:val="20"/>
                <w:szCs w:val="20"/>
                <w:vertAlign w:val="superscript"/>
                <w:lang w:eastAsia="ru-RU"/>
              </w:rPr>
              <w:t>***</w:t>
            </w:r>
          </w:p>
        </w:tc>
        <w:tc>
          <w:tcPr>
            <w:tcW w:w="709" w:type="dxa"/>
            <w:tcBorders>
              <w:top w:val="nil"/>
              <w:left w:val="nil"/>
              <w:bottom w:val="nil"/>
              <w:right w:val="single" w:sz="4" w:space="0" w:color="auto"/>
            </w:tcBorders>
            <w:shd w:val="clear" w:color="auto" w:fill="auto"/>
            <w:vAlign w:val="center"/>
            <w:hideMark/>
          </w:tcPr>
          <w:p w14:paraId="500A0F1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73%</w:t>
            </w:r>
            <w:r w:rsidRPr="0029110D">
              <w:rPr>
                <w:rFonts w:eastAsia="Times New Roman"/>
                <w:color w:val="000000"/>
                <w:sz w:val="20"/>
                <w:szCs w:val="20"/>
                <w:vertAlign w:val="superscript"/>
                <w:lang w:eastAsia="ru-RU"/>
              </w:rPr>
              <w:t>***</w:t>
            </w:r>
          </w:p>
        </w:tc>
        <w:tc>
          <w:tcPr>
            <w:tcW w:w="709" w:type="dxa"/>
            <w:tcBorders>
              <w:top w:val="nil"/>
              <w:left w:val="single" w:sz="8" w:space="0" w:color="auto"/>
              <w:bottom w:val="nil"/>
              <w:right w:val="single" w:sz="4" w:space="0" w:color="auto"/>
            </w:tcBorders>
            <w:shd w:val="clear" w:color="auto" w:fill="auto"/>
            <w:vAlign w:val="center"/>
            <w:hideMark/>
          </w:tcPr>
          <w:p w14:paraId="2CF1A4BF"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4D4A007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71%</w:t>
            </w:r>
            <w:r w:rsidRPr="0029110D">
              <w:rPr>
                <w:rFonts w:eastAsia="Times New Roman"/>
                <w:color w:val="000000"/>
                <w:sz w:val="20"/>
                <w:szCs w:val="20"/>
                <w:vertAlign w:val="superscript"/>
                <w:lang w:eastAsia="ru-RU"/>
              </w:rPr>
              <w:t>††</w:t>
            </w:r>
          </w:p>
        </w:tc>
        <w:tc>
          <w:tcPr>
            <w:tcW w:w="708" w:type="dxa"/>
            <w:tcBorders>
              <w:top w:val="nil"/>
              <w:left w:val="nil"/>
              <w:bottom w:val="nil"/>
              <w:right w:val="single" w:sz="8" w:space="0" w:color="auto"/>
            </w:tcBorders>
            <w:shd w:val="clear" w:color="auto" w:fill="auto"/>
            <w:vAlign w:val="center"/>
            <w:hideMark/>
          </w:tcPr>
          <w:p w14:paraId="2B0191B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62%</w:t>
            </w:r>
          </w:p>
        </w:tc>
        <w:tc>
          <w:tcPr>
            <w:tcW w:w="709" w:type="dxa"/>
            <w:tcBorders>
              <w:top w:val="nil"/>
              <w:left w:val="nil"/>
              <w:bottom w:val="nil"/>
              <w:right w:val="single" w:sz="4" w:space="0" w:color="auto"/>
            </w:tcBorders>
            <w:shd w:val="clear" w:color="auto" w:fill="auto"/>
            <w:vAlign w:val="center"/>
            <w:hideMark/>
          </w:tcPr>
          <w:p w14:paraId="76406FFF"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21158B44"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528C6C52" w14:textId="77777777" w:rsidR="00713EC9" w:rsidRPr="0029110D" w:rsidRDefault="00713EC9">
            <w:pPr>
              <w:spacing w:after="0" w:line="240" w:lineRule="auto"/>
              <w:jc w:val="center"/>
              <w:rPr>
                <w:rFonts w:eastAsia="Times New Roman"/>
                <w:color w:val="000000"/>
                <w:sz w:val="20"/>
                <w:szCs w:val="20"/>
                <w:lang w:eastAsia="ru-RU"/>
              </w:rPr>
            </w:pPr>
          </w:p>
        </w:tc>
        <w:tc>
          <w:tcPr>
            <w:tcW w:w="708" w:type="dxa"/>
            <w:tcBorders>
              <w:top w:val="nil"/>
              <w:left w:val="nil"/>
              <w:bottom w:val="nil"/>
              <w:right w:val="single" w:sz="4" w:space="0" w:color="auto"/>
            </w:tcBorders>
            <w:shd w:val="clear" w:color="auto" w:fill="auto"/>
            <w:vAlign w:val="center"/>
            <w:hideMark/>
          </w:tcPr>
          <w:p w14:paraId="70245D9A"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3E27D8A7"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19AF5450" w14:textId="77777777" w:rsidR="00713EC9" w:rsidRPr="0029110D" w:rsidRDefault="00713EC9">
            <w:pPr>
              <w:spacing w:after="0" w:line="240" w:lineRule="auto"/>
              <w:jc w:val="center"/>
              <w:rPr>
                <w:rFonts w:eastAsia="Times New Roman"/>
                <w:color w:val="000000"/>
                <w:sz w:val="20"/>
                <w:szCs w:val="20"/>
                <w:lang w:eastAsia="ru-RU"/>
              </w:rPr>
            </w:pPr>
          </w:p>
        </w:tc>
      </w:tr>
      <w:tr w:rsidR="00713EC9" w:rsidRPr="0029110D" w14:paraId="2633FADC" w14:textId="77777777" w:rsidTr="00AB1FF1">
        <w:trPr>
          <w:trHeight w:val="20"/>
        </w:trPr>
        <w:tc>
          <w:tcPr>
            <w:tcW w:w="9371" w:type="dxa"/>
            <w:gridSpan w:val="13"/>
            <w:tcBorders>
              <w:top w:val="single" w:sz="8" w:space="0" w:color="auto"/>
              <w:left w:val="single" w:sz="8" w:space="0" w:color="auto"/>
              <w:bottom w:val="single" w:sz="8" w:space="0" w:color="auto"/>
              <w:right w:val="single" w:sz="8" w:space="0" w:color="000000"/>
            </w:tcBorders>
            <w:shd w:val="clear" w:color="auto" w:fill="auto"/>
            <w:vAlign w:val="bottom"/>
            <w:hideMark/>
          </w:tcPr>
          <w:p w14:paraId="686FDB11" w14:textId="77777777" w:rsidR="00713EC9" w:rsidRPr="0029110D" w:rsidRDefault="00713EC9">
            <w:pPr>
              <w:spacing w:after="0" w:line="240" w:lineRule="auto"/>
              <w:jc w:val="left"/>
              <w:rPr>
                <w:rFonts w:eastAsia="Times New Roman"/>
                <w:i/>
                <w:iCs/>
                <w:color w:val="000000"/>
                <w:sz w:val="20"/>
                <w:szCs w:val="20"/>
                <w:lang w:eastAsia="ru-RU"/>
              </w:rPr>
            </w:pPr>
            <w:r w:rsidRPr="0029110D">
              <w:rPr>
                <w:rFonts w:eastAsia="Times New Roman"/>
                <w:i/>
                <w:iCs/>
                <w:color w:val="000000"/>
                <w:sz w:val="20"/>
                <w:szCs w:val="20"/>
                <w:lang w:eastAsia="ru-RU"/>
              </w:rPr>
              <w:t>ACR50:</w:t>
            </w:r>
          </w:p>
        </w:tc>
      </w:tr>
      <w:tr w:rsidR="00713EC9" w:rsidRPr="0029110D" w14:paraId="0D2879A5"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332BA20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lastRenderedPageBreak/>
              <w:t>Неделя 12</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2BF4247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33%</w:t>
            </w:r>
          </w:p>
        </w:tc>
        <w:tc>
          <w:tcPr>
            <w:tcW w:w="708" w:type="dxa"/>
            <w:tcBorders>
              <w:top w:val="nil"/>
              <w:left w:val="nil"/>
              <w:bottom w:val="single" w:sz="4" w:space="0" w:color="auto"/>
              <w:right w:val="single" w:sz="4" w:space="0" w:color="auto"/>
            </w:tcBorders>
            <w:shd w:val="clear" w:color="auto" w:fill="auto"/>
            <w:vAlign w:val="center"/>
            <w:hideMark/>
          </w:tcPr>
          <w:p w14:paraId="5028947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55%</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3FD591B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7F451C6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17%</w:t>
            </w:r>
          </w:p>
        </w:tc>
        <w:tc>
          <w:tcPr>
            <w:tcW w:w="709" w:type="dxa"/>
            <w:tcBorders>
              <w:top w:val="nil"/>
              <w:left w:val="nil"/>
              <w:bottom w:val="single" w:sz="4" w:space="0" w:color="auto"/>
              <w:right w:val="single" w:sz="4" w:space="0" w:color="auto"/>
            </w:tcBorders>
            <w:shd w:val="clear" w:color="auto" w:fill="auto"/>
            <w:vAlign w:val="center"/>
            <w:hideMark/>
          </w:tcPr>
          <w:p w14:paraId="195FC1B0"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45%</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099632D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35%</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228200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13%</w:t>
            </w:r>
          </w:p>
        </w:tc>
        <w:tc>
          <w:tcPr>
            <w:tcW w:w="709" w:type="dxa"/>
            <w:tcBorders>
              <w:top w:val="nil"/>
              <w:left w:val="nil"/>
              <w:bottom w:val="single" w:sz="4" w:space="0" w:color="auto"/>
              <w:right w:val="single" w:sz="4" w:space="0" w:color="auto"/>
            </w:tcBorders>
            <w:shd w:val="clear" w:color="auto" w:fill="auto"/>
            <w:vAlign w:val="center"/>
            <w:hideMark/>
          </w:tcPr>
          <w:p w14:paraId="38620E9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33%</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24D7042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34%</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67C7670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8%</w:t>
            </w:r>
          </w:p>
        </w:tc>
        <w:tc>
          <w:tcPr>
            <w:tcW w:w="709" w:type="dxa"/>
            <w:tcBorders>
              <w:top w:val="nil"/>
              <w:left w:val="nil"/>
              <w:bottom w:val="single" w:sz="4" w:space="0" w:color="auto"/>
              <w:right w:val="single" w:sz="4" w:space="0" w:color="auto"/>
            </w:tcBorders>
            <w:shd w:val="clear" w:color="auto" w:fill="auto"/>
            <w:vAlign w:val="center"/>
            <w:hideMark/>
          </w:tcPr>
          <w:p w14:paraId="67C8FC2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247DE78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28%</w:t>
            </w:r>
            <w:r w:rsidRPr="0029110D">
              <w:rPr>
                <w:rFonts w:eastAsia="Times New Roman"/>
                <w:color w:val="000000"/>
                <w:sz w:val="20"/>
                <w:szCs w:val="20"/>
                <w:vertAlign w:val="superscript"/>
                <w:lang w:eastAsia="ru-RU"/>
              </w:rPr>
              <w:t>***</w:t>
            </w:r>
          </w:p>
        </w:tc>
      </w:tr>
      <w:tr w:rsidR="00713EC9" w:rsidRPr="0029110D" w14:paraId="02E5E238"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64CF609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24</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02BA77A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43%</w:t>
            </w:r>
          </w:p>
        </w:tc>
        <w:tc>
          <w:tcPr>
            <w:tcW w:w="708" w:type="dxa"/>
            <w:tcBorders>
              <w:top w:val="nil"/>
              <w:left w:val="nil"/>
              <w:bottom w:val="single" w:sz="4" w:space="0" w:color="auto"/>
              <w:right w:val="single" w:sz="4" w:space="0" w:color="auto"/>
            </w:tcBorders>
            <w:shd w:val="clear" w:color="auto" w:fill="auto"/>
            <w:vAlign w:val="center"/>
            <w:hideMark/>
          </w:tcPr>
          <w:p w14:paraId="468CE48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26273AD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63%</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4A089B3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19%</w:t>
            </w:r>
          </w:p>
        </w:tc>
        <w:tc>
          <w:tcPr>
            <w:tcW w:w="709" w:type="dxa"/>
            <w:tcBorders>
              <w:top w:val="nil"/>
              <w:left w:val="nil"/>
              <w:bottom w:val="single" w:sz="4" w:space="0" w:color="auto"/>
              <w:right w:val="single" w:sz="4" w:space="0" w:color="auto"/>
            </w:tcBorders>
            <w:shd w:val="clear" w:color="auto" w:fill="auto"/>
            <w:vAlign w:val="center"/>
            <w:hideMark/>
          </w:tcPr>
          <w:p w14:paraId="4736D89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51%</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1E208D6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45%</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1DE3D4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21%</w:t>
            </w:r>
          </w:p>
        </w:tc>
        <w:tc>
          <w:tcPr>
            <w:tcW w:w="709" w:type="dxa"/>
            <w:tcBorders>
              <w:top w:val="nil"/>
              <w:left w:val="nil"/>
              <w:bottom w:val="single" w:sz="4" w:space="0" w:color="auto"/>
              <w:right w:val="single" w:sz="4" w:space="0" w:color="auto"/>
            </w:tcBorders>
            <w:shd w:val="clear" w:color="auto" w:fill="auto"/>
            <w:vAlign w:val="center"/>
            <w:hideMark/>
          </w:tcPr>
          <w:p w14:paraId="25E1ACD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41%</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5DB0FBC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44%</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69B850F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13%</w:t>
            </w:r>
          </w:p>
        </w:tc>
        <w:tc>
          <w:tcPr>
            <w:tcW w:w="709" w:type="dxa"/>
            <w:tcBorders>
              <w:top w:val="nil"/>
              <w:left w:val="nil"/>
              <w:bottom w:val="single" w:sz="4" w:space="0" w:color="auto"/>
              <w:right w:val="single" w:sz="4" w:space="0" w:color="auto"/>
            </w:tcBorders>
            <w:shd w:val="clear" w:color="auto" w:fill="auto"/>
            <w:vAlign w:val="center"/>
            <w:hideMark/>
          </w:tcPr>
          <w:p w14:paraId="5F080D9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23%</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52FE5A9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29%</w:t>
            </w:r>
            <w:r w:rsidRPr="0029110D">
              <w:rPr>
                <w:rFonts w:eastAsia="Times New Roman"/>
                <w:color w:val="000000"/>
                <w:sz w:val="20"/>
                <w:szCs w:val="20"/>
                <w:vertAlign w:val="superscript"/>
                <w:lang w:eastAsia="ru-RU"/>
              </w:rPr>
              <w:t>***</w:t>
            </w:r>
          </w:p>
        </w:tc>
      </w:tr>
      <w:tr w:rsidR="00713EC9" w:rsidRPr="0029110D" w14:paraId="262EADCA" w14:textId="77777777" w:rsidTr="00AB1FF1">
        <w:trPr>
          <w:trHeight w:val="20"/>
        </w:trPr>
        <w:tc>
          <w:tcPr>
            <w:tcW w:w="866" w:type="dxa"/>
            <w:tcBorders>
              <w:top w:val="nil"/>
              <w:left w:val="single" w:sz="4" w:space="0" w:color="auto"/>
              <w:bottom w:val="nil"/>
              <w:right w:val="nil"/>
            </w:tcBorders>
            <w:shd w:val="clear" w:color="auto" w:fill="auto"/>
            <w:vAlign w:val="center"/>
            <w:hideMark/>
          </w:tcPr>
          <w:p w14:paraId="48243AE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52</w:t>
            </w:r>
          </w:p>
        </w:tc>
        <w:tc>
          <w:tcPr>
            <w:tcW w:w="709" w:type="dxa"/>
            <w:tcBorders>
              <w:top w:val="nil"/>
              <w:left w:val="single" w:sz="8" w:space="0" w:color="auto"/>
              <w:bottom w:val="nil"/>
              <w:right w:val="single" w:sz="4" w:space="0" w:color="auto"/>
            </w:tcBorders>
            <w:shd w:val="clear" w:color="auto" w:fill="auto"/>
            <w:vAlign w:val="center"/>
            <w:hideMark/>
          </w:tcPr>
          <w:p w14:paraId="30F3E75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38%</w:t>
            </w:r>
          </w:p>
        </w:tc>
        <w:tc>
          <w:tcPr>
            <w:tcW w:w="708" w:type="dxa"/>
            <w:tcBorders>
              <w:top w:val="nil"/>
              <w:left w:val="nil"/>
              <w:bottom w:val="nil"/>
              <w:right w:val="single" w:sz="4" w:space="0" w:color="auto"/>
            </w:tcBorders>
            <w:shd w:val="clear" w:color="auto" w:fill="auto"/>
            <w:vAlign w:val="center"/>
            <w:hideMark/>
          </w:tcPr>
          <w:p w14:paraId="17FDD88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57%</w:t>
            </w:r>
            <w:r w:rsidRPr="0029110D">
              <w:rPr>
                <w:rFonts w:eastAsia="Times New Roman"/>
                <w:color w:val="000000"/>
                <w:sz w:val="20"/>
                <w:szCs w:val="20"/>
                <w:vertAlign w:val="superscript"/>
                <w:lang w:eastAsia="ru-RU"/>
              </w:rPr>
              <w:t>***</w:t>
            </w:r>
          </w:p>
        </w:tc>
        <w:tc>
          <w:tcPr>
            <w:tcW w:w="709" w:type="dxa"/>
            <w:tcBorders>
              <w:top w:val="nil"/>
              <w:left w:val="nil"/>
              <w:bottom w:val="nil"/>
              <w:right w:val="single" w:sz="8" w:space="0" w:color="auto"/>
            </w:tcBorders>
            <w:shd w:val="clear" w:color="auto" w:fill="auto"/>
            <w:vAlign w:val="center"/>
            <w:hideMark/>
          </w:tcPr>
          <w:p w14:paraId="0068A58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62%</w:t>
            </w:r>
            <w:r w:rsidRPr="0029110D">
              <w:rPr>
                <w:rFonts w:eastAsia="Times New Roman"/>
                <w:color w:val="000000"/>
                <w:sz w:val="20"/>
                <w:szCs w:val="20"/>
                <w:vertAlign w:val="superscript"/>
                <w:lang w:eastAsia="ru-RU"/>
              </w:rPr>
              <w:t>***</w:t>
            </w:r>
          </w:p>
        </w:tc>
        <w:tc>
          <w:tcPr>
            <w:tcW w:w="709" w:type="dxa"/>
            <w:tcBorders>
              <w:top w:val="nil"/>
              <w:left w:val="nil"/>
              <w:bottom w:val="nil"/>
              <w:right w:val="single" w:sz="4" w:space="0" w:color="auto"/>
            </w:tcBorders>
            <w:shd w:val="clear" w:color="auto" w:fill="auto"/>
            <w:vAlign w:val="center"/>
            <w:hideMark/>
          </w:tcPr>
          <w:p w14:paraId="49A3413A"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170A1A5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56%</w:t>
            </w:r>
            <w:r w:rsidRPr="0029110D">
              <w:rPr>
                <w:rFonts w:eastAsia="Times New Roman"/>
                <w:color w:val="000000"/>
                <w:sz w:val="20"/>
                <w:szCs w:val="20"/>
                <w:vertAlign w:val="superscript"/>
                <w:lang w:eastAsia="ru-RU"/>
              </w:rPr>
              <w:t>†</w:t>
            </w:r>
          </w:p>
        </w:tc>
        <w:tc>
          <w:tcPr>
            <w:tcW w:w="708" w:type="dxa"/>
            <w:tcBorders>
              <w:top w:val="nil"/>
              <w:left w:val="nil"/>
              <w:bottom w:val="nil"/>
              <w:right w:val="single" w:sz="8" w:space="0" w:color="auto"/>
            </w:tcBorders>
            <w:shd w:val="clear" w:color="auto" w:fill="auto"/>
            <w:vAlign w:val="center"/>
            <w:hideMark/>
          </w:tcPr>
          <w:p w14:paraId="79A1AD1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47%</w:t>
            </w:r>
          </w:p>
        </w:tc>
        <w:tc>
          <w:tcPr>
            <w:tcW w:w="709" w:type="dxa"/>
            <w:tcBorders>
              <w:top w:val="nil"/>
              <w:left w:val="nil"/>
              <w:bottom w:val="nil"/>
              <w:right w:val="single" w:sz="4" w:space="0" w:color="auto"/>
            </w:tcBorders>
            <w:shd w:val="clear" w:color="auto" w:fill="auto"/>
            <w:vAlign w:val="center"/>
            <w:hideMark/>
          </w:tcPr>
          <w:p w14:paraId="4A7AF0C6"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6973C175"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18D18411" w14:textId="77777777" w:rsidR="00713EC9" w:rsidRPr="0029110D" w:rsidRDefault="00713EC9">
            <w:pPr>
              <w:spacing w:after="0" w:line="240" w:lineRule="auto"/>
              <w:jc w:val="center"/>
              <w:rPr>
                <w:rFonts w:eastAsia="Times New Roman"/>
                <w:color w:val="000000"/>
                <w:sz w:val="20"/>
                <w:szCs w:val="20"/>
                <w:lang w:eastAsia="ru-RU"/>
              </w:rPr>
            </w:pPr>
          </w:p>
        </w:tc>
        <w:tc>
          <w:tcPr>
            <w:tcW w:w="708" w:type="dxa"/>
            <w:tcBorders>
              <w:top w:val="nil"/>
              <w:left w:val="nil"/>
              <w:bottom w:val="nil"/>
              <w:right w:val="single" w:sz="4" w:space="0" w:color="auto"/>
            </w:tcBorders>
            <w:shd w:val="clear" w:color="auto" w:fill="auto"/>
            <w:vAlign w:val="center"/>
            <w:hideMark/>
          </w:tcPr>
          <w:p w14:paraId="38C43C7E"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5B519014"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63113517" w14:textId="77777777" w:rsidR="00713EC9" w:rsidRPr="0029110D" w:rsidRDefault="00713EC9">
            <w:pPr>
              <w:spacing w:after="0" w:line="240" w:lineRule="auto"/>
              <w:jc w:val="center"/>
              <w:rPr>
                <w:rFonts w:eastAsia="Times New Roman"/>
                <w:color w:val="000000"/>
                <w:sz w:val="20"/>
                <w:szCs w:val="20"/>
                <w:lang w:eastAsia="ru-RU"/>
              </w:rPr>
            </w:pPr>
          </w:p>
        </w:tc>
      </w:tr>
      <w:tr w:rsidR="00713EC9" w:rsidRPr="0029110D" w14:paraId="62934191" w14:textId="77777777" w:rsidTr="00AB1FF1">
        <w:trPr>
          <w:trHeight w:val="20"/>
        </w:trPr>
        <w:tc>
          <w:tcPr>
            <w:tcW w:w="9371" w:type="dxa"/>
            <w:gridSpan w:val="13"/>
            <w:tcBorders>
              <w:top w:val="single" w:sz="8" w:space="0" w:color="auto"/>
              <w:left w:val="single" w:sz="8" w:space="0" w:color="auto"/>
              <w:bottom w:val="single" w:sz="8" w:space="0" w:color="auto"/>
              <w:right w:val="single" w:sz="8" w:space="0" w:color="000000"/>
            </w:tcBorders>
            <w:shd w:val="clear" w:color="auto" w:fill="auto"/>
            <w:vAlign w:val="bottom"/>
            <w:hideMark/>
          </w:tcPr>
          <w:p w14:paraId="67CDF094" w14:textId="77777777" w:rsidR="00713EC9" w:rsidRPr="0029110D" w:rsidRDefault="00713EC9">
            <w:pPr>
              <w:spacing w:after="0" w:line="240" w:lineRule="auto"/>
              <w:jc w:val="left"/>
              <w:rPr>
                <w:rFonts w:eastAsia="Times New Roman"/>
                <w:i/>
                <w:iCs/>
                <w:color w:val="000000"/>
                <w:sz w:val="20"/>
                <w:szCs w:val="20"/>
                <w:lang w:eastAsia="ru-RU"/>
              </w:rPr>
            </w:pPr>
            <w:r w:rsidRPr="0029110D">
              <w:rPr>
                <w:rFonts w:eastAsia="Times New Roman"/>
                <w:i/>
                <w:iCs/>
                <w:color w:val="000000"/>
                <w:sz w:val="20"/>
                <w:szCs w:val="20"/>
                <w:lang w:eastAsia="ru-RU"/>
              </w:rPr>
              <w:t>ACR70:</w:t>
            </w:r>
          </w:p>
        </w:tc>
      </w:tr>
      <w:tr w:rsidR="00713EC9" w:rsidRPr="0029110D" w14:paraId="25E7ED53"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464755C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12</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39B2A80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16%</w:t>
            </w:r>
          </w:p>
        </w:tc>
        <w:tc>
          <w:tcPr>
            <w:tcW w:w="708" w:type="dxa"/>
            <w:tcBorders>
              <w:top w:val="nil"/>
              <w:left w:val="nil"/>
              <w:bottom w:val="single" w:sz="4" w:space="0" w:color="auto"/>
              <w:right w:val="single" w:sz="4" w:space="0" w:color="auto"/>
            </w:tcBorders>
            <w:shd w:val="clear" w:color="auto" w:fill="auto"/>
            <w:vAlign w:val="center"/>
            <w:hideMark/>
          </w:tcPr>
          <w:p w14:paraId="15E5149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31%</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1053F55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34%</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7FF7060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w:t>
            </w:r>
          </w:p>
        </w:tc>
        <w:tc>
          <w:tcPr>
            <w:tcW w:w="709" w:type="dxa"/>
            <w:tcBorders>
              <w:top w:val="nil"/>
              <w:left w:val="nil"/>
              <w:bottom w:val="single" w:sz="4" w:space="0" w:color="auto"/>
              <w:right w:val="single" w:sz="4" w:space="0" w:color="auto"/>
            </w:tcBorders>
            <w:shd w:val="clear" w:color="auto" w:fill="auto"/>
            <w:vAlign w:val="center"/>
            <w:hideMark/>
          </w:tcPr>
          <w:p w14:paraId="42B03AE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19%</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7DD168E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13%</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5B1E80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w:t>
            </w:r>
          </w:p>
        </w:tc>
        <w:tc>
          <w:tcPr>
            <w:tcW w:w="709" w:type="dxa"/>
            <w:tcBorders>
              <w:top w:val="nil"/>
              <w:left w:val="nil"/>
              <w:bottom w:val="single" w:sz="4" w:space="0" w:color="auto"/>
              <w:right w:val="single" w:sz="4" w:space="0" w:color="auto"/>
            </w:tcBorders>
            <w:shd w:val="clear" w:color="auto" w:fill="auto"/>
            <w:vAlign w:val="center"/>
            <w:hideMark/>
          </w:tcPr>
          <w:p w14:paraId="751EBE9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18%</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3782783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18%</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234B2CF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w:t>
            </w:r>
          </w:p>
        </w:tc>
        <w:tc>
          <w:tcPr>
            <w:tcW w:w="709" w:type="dxa"/>
            <w:tcBorders>
              <w:top w:val="nil"/>
              <w:left w:val="nil"/>
              <w:bottom w:val="single" w:sz="4" w:space="0" w:color="auto"/>
              <w:right w:val="single" w:sz="4" w:space="0" w:color="auto"/>
            </w:tcBorders>
            <w:shd w:val="clear" w:color="auto" w:fill="auto"/>
            <w:vAlign w:val="center"/>
            <w:hideMark/>
          </w:tcPr>
          <w:p w14:paraId="160844F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13%</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564B682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11%</w:t>
            </w:r>
            <w:r w:rsidRPr="0029110D">
              <w:rPr>
                <w:rFonts w:eastAsia="Times New Roman"/>
                <w:color w:val="000000"/>
                <w:sz w:val="20"/>
                <w:szCs w:val="20"/>
                <w:vertAlign w:val="superscript"/>
                <w:lang w:eastAsia="ru-RU"/>
              </w:rPr>
              <w:t>*</w:t>
            </w:r>
          </w:p>
        </w:tc>
      </w:tr>
      <w:tr w:rsidR="00713EC9" w:rsidRPr="0029110D" w14:paraId="456B069C"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4D88495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24</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0073682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21%</w:t>
            </w:r>
          </w:p>
        </w:tc>
        <w:tc>
          <w:tcPr>
            <w:tcW w:w="708" w:type="dxa"/>
            <w:tcBorders>
              <w:top w:val="nil"/>
              <w:left w:val="nil"/>
              <w:bottom w:val="single" w:sz="4" w:space="0" w:color="auto"/>
              <w:right w:val="single" w:sz="4" w:space="0" w:color="auto"/>
            </w:tcBorders>
            <w:shd w:val="clear" w:color="auto" w:fill="auto"/>
            <w:vAlign w:val="center"/>
            <w:hideMark/>
          </w:tcPr>
          <w:p w14:paraId="667055B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42%</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7E94753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2061A55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8%</w:t>
            </w:r>
          </w:p>
        </w:tc>
        <w:tc>
          <w:tcPr>
            <w:tcW w:w="709" w:type="dxa"/>
            <w:tcBorders>
              <w:top w:val="nil"/>
              <w:left w:val="nil"/>
              <w:bottom w:val="single" w:sz="4" w:space="0" w:color="auto"/>
              <w:right w:val="single" w:sz="4" w:space="0" w:color="auto"/>
            </w:tcBorders>
            <w:shd w:val="clear" w:color="auto" w:fill="auto"/>
            <w:vAlign w:val="center"/>
            <w:hideMark/>
          </w:tcPr>
          <w:p w14:paraId="5D108C5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30%</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5EE5A77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22%</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2B57999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8%</w:t>
            </w:r>
          </w:p>
        </w:tc>
        <w:tc>
          <w:tcPr>
            <w:tcW w:w="709" w:type="dxa"/>
            <w:tcBorders>
              <w:top w:val="nil"/>
              <w:left w:val="nil"/>
              <w:bottom w:val="single" w:sz="4" w:space="0" w:color="auto"/>
              <w:right w:val="single" w:sz="4" w:space="0" w:color="auto"/>
            </w:tcBorders>
            <w:shd w:val="clear" w:color="auto" w:fill="auto"/>
            <w:vAlign w:val="center"/>
            <w:hideMark/>
          </w:tcPr>
          <w:p w14:paraId="5AAB0EC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25%</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6F624CC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24%</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2928EE8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w:t>
            </w:r>
          </w:p>
        </w:tc>
        <w:tc>
          <w:tcPr>
            <w:tcW w:w="709" w:type="dxa"/>
            <w:tcBorders>
              <w:top w:val="nil"/>
              <w:left w:val="nil"/>
              <w:bottom w:val="single" w:sz="4" w:space="0" w:color="auto"/>
              <w:right w:val="single" w:sz="4" w:space="0" w:color="auto"/>
            </w:tcBorders>
            <w:shd w:val="clear" w:color="auto" w:fill="auto"/>
            <w:vAlign w:val="center"/>
            <w:hideMark/>
          </w:tcPr>
          <w:p w14:paraId="225452C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13%</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17F8F8B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17%</w:t>
            </w:r>
            <w:r w:rsidRPr="0029110D">
              <w:rPr>
                <w:rFonts w:eastAsia="Times New Roman"/>
                <w:color w:val="000000"/>
                <w:sz w:val="20"/>
                <w:szCs w:val="20"/>
                <w:vertAlign w:val="superscript"/>
                <w:lang w:eastAsia="ru-RU"/>
              </w:rPr>
              <w:t>***</w:t>
            </w:r>
          </w:p>
        </w:tc>
      </w:tr>
      <w:tr w:rsidR="00713EC9" w:rsidRPr="0029110D" w14:paraId="32F43426" w14:textId="77777777" w:rsidTr="00AB1FF1">
        <w:trPr>
          <w:trHeight w:val="20"/>
        </w:trPr>
        <w:tc>
          <w:tcPr>
            <w:tcW w:w="866" w:type="dxa"/>
            <w:tcBorders>
              <w:top w:val="nil"/>
              <w:left w:val="single" w:sz="4" w:space="0" w:color="auto"/>
              <w:bottom w:val="nil"/>
              <w:right w:val="nil"/>
            </w:tcBorders>
            <w:shd w:val="clear" w:color="auto" w:fill="auto"/>
            <w:vAlign w:val="center"/>
            <w:hideMark/>
          </w:tcPr>
          <w:p w14:paraId="35E95EF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52</w:t>
            </w:r>
          </w:p>
        </w:tc>
        <w:tc>
          <w:tcPr>
            <w:tcW w:w="709" w:type="dxa"/>
            <w:tcBorders>
              <w:top w:val="nil"/>
              <w:left w:val="single" w:sz="8" w:space="0" w:color="auto"/>
              <w:bottom w:val="nil"/>
              <w:right w:val="single" w:sz="4" w:space="0" w:color="auto"/>
            </w:tcBorders>
            <w:shd w:val="clear" w:color="auto" w:fill="auto"/>
            <w:vAlign w:val="center"/>
            <w:hideMark/>
          </w:tcPr>
          <w:p w14:paraId="54EE2BA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25%</w:t>
            </w:r>
          </w:p>
        </w:tc>
        <w:tc>
          <w:tcPr>
            <w:tcW w:w="708" w:type="dxa"/>
            <w:tcBorders>
              <w:top w:val="nil"/>
              <w:left w:val="nil"/>
              <w:bottom w:val="nil"/>
              <w:right w:val="single" w:sz="4" w:space="0" w:color="auto"/>
            </w:tcBorders>
            <w:shd w:val="clear" w:color="auto" w:fill="auto"/>
            <w:vAlign w:val="center"/>
            <w:hideMark/>
          </w:tcPr>
          <w:p w14:paraId="500ECA9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42%</w:t>
            </w:r>
            <w:r w:rsidRPr="0029110D">
              <w:rPr>
                <w:rFonts w:eastAsia="Times New Roman"/>
                <w:color w:val="000000"/>
                <w:sz w:val="20"/>
                <w:szCs w:val="20"/>
                <w:vertAlign w:val="superscript"/>
                <w:lang w:eastAsia="ru-RU"/>
              </w:rPr>
              <w:t>***</w:t>
            </w:r>
          </w:p>
        </w:tc>
        <w:tc>
          <w:tcPr>
            <w:tcW w:w="709" w:type="dxa"/>
            <w:tcBorders>
              <w:top w:val="nil"/>
              <w:left w:val="nil"/>
              <w:bottom w:val="nil"/>
              <w:right w:val="single" w:sz="8" w:space="0" w:color="auto"/>
            </w:tcBorders>
            <w:shd w:val="clear" w:color="auto" w:fill="auto"/>
            <w:vAlign w:val="center"/>
            <w:hideMark/>
          </w:tcPr>
          <w:p w14:paraId="627FD46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46%</w:t>
            </w:r>
            <w:r w:rsidRPr="0029110D">
              <w:rPr>
                <w:rFonts w:eastAsia="Times New Roman"/>
                <w:color w:val="000000"/>
                <w:sz w:val="20"/>
                <w:szCs w:val="20"/>
                <w:vertAlign w:val="superscript"/>
                <w:lang w:eastAsia="ru-RU"/>
              </w:rPr>
              <w:t>***</w:t>
            </w:r>
          </w:p>
        </w:tc>
        <w:tc>
          <w:tcPr>
            <w:tcW w:w="709" w:type="dxa"/>
            <w:tcBorders>
              <w:top w:val="nil"/>
              <w:left w:val="nil"/>
              <w:bottom w:val="nil"/>
              <w:right w:val="single" w:sz="4" w:space="0" w:color="auto"/>
            </w:tcBorders>
            <w:shd w:val="clear" w:color="auto" w:fill="auto"/>
            <w:vAlign w:val="center"/>
            <w:hideMark/>
          </w:tcPr>
          <w:p w14:paraId="5D047EC8"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1080B92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37%</w:t>
            </w:r>
          </w:p>
        </w:tc>
        <w:tc>
          <w:tcPr>
            <w:tcW w:w="708" w:type="dxa"/>
            <w:tcBorders>
              <w:top w:val="nil"/>
              <w:left w:val="nil"/>
              <w:bottom w:val="nil"/>
              <w:right w:val="single" w:sz="8" w:space="0" w:color="auto"/>
            </w:tcBorders>
            <w:shd w:val="clear" w:color="auto" w:fill="auto"/>
            <w:vAlign w:val="center"/>
            <w:hideMark/>
          </w:tcPr>
          <w:p w14:paraId="354C596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31%</w:t>
            </w:r>
          </w:p>
        </w:tc>
        <w:tc>
          <w:tcPr>
            <w:tcW w:w="709" w:type="dxa"/>
            <w:tcBorders>
              <w:top w:val="nil"/>
              <w:left w:val="nil"/>
              <w:bottom w:val="nil"/>
              <w:right w:val="single" w:sz="4" w:space="0" w:color="auto"/>
            </w:tcBorders>
            <w:shd w:val="clear" w:color="auto" w:fill="auto"/>
            <w:vAlign w:val="center"/>
            <w:hideMark/>
          </w:tcPr>
          <w:p w14:paraId="4D0F63EB"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6279067C"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57FAB443" w14:textId="77777777" w:rsidR="00713EC9" w:rsidRPr="0029110D" w:rsidRDefault="00713EC9">
            <w:pPr>
              <w:spacing w:after="0" w:line="240" w:lineRule="auto"/>
              <w:jc w:val="center"/>
              <w:rPr>
                <w:rFonts w:eastAsia="Times New Roman"/>
                <w:color w:val="000000"/>
                <w:sz w:val="20"/>
                <w:szCs w:val="20"/>
                <w:lang w:eastAsia="ru-RU"/>
              </w:rPr>
            </w:pPr>
          </w:p>
        </w:tc>
        <w:tc>
          <w:tcPr>
            <w:tcW w:w="708" w:type="dxa"/>
            <w:tcBorders>
              <w:top w:val="nil"/>
              <w:left w:val="nil"/>
              <w:bottom w:val="nil"/>
              <w:right w:val="single" w:sz="4" w:space="0" w:color="auto"/>
            </w:tcBorders>
            <w:shd w:val="clear" w:color="auto" w:fill="auto"/>
            <w:vAlign w:val="center"/>
            <w:hideMark/>
          </w:tcPr>
          <w:p w14:paraId="47E259C9"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519B5FFE"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50BE634C" w14:textId="77777777" w:rsidR="00713EC9" w:rsidRPr="0029110D" w:rsidRDefault="00713EC9">
            <w:pPr>
              <w:spacing w:after="0" w:line="240" w:lineRule="auto"/>
              <w:jc w:val="center"/>
              <w:rPr>
                <w:rFonts w:eastAsia="Times New Roman"/>
                <w:color w:val="000000"/>
                <w:sz w:val="20"/>
                <w:szCs w:val="20"/>
                <w:lang w:eastAsia="ru-RU"/>
              </w:rPr>
            </w:pPr>
          </w:p>
        </w:tc>
      </w:tr>
      <w:tr w:rsidR="00713EC9" w:rsidRPr="0029110D" w14:paraId="49FDFA9B" w14:textId="77777777" w:rsidTr="00AB1FF1">
        <w:trPr>
          <w:trHeight w:val="20"/>
        </w:trPr>
        <w:tc>
          <w:tcPr>
            <w:tcW w:w="9371" w:type="dxa"/>
            <w:gridSpan w:val="13"/>
            <w:tcBorders>
              <w:top w:val="single" w:sz="8" w:space="0" w:color="auto"/>
              <w:left w:val="single" w:sz="8" w:space="0" w:color="auto"/>
              <w:bottom w:val="single" w:sz="8" w:space="0" w:color="auto"/>
              <w:right w:val="single" w:sz="8" w:space="0" w:color="000000"/>
            </w:tcBorders>
            <w:shd w:val="clear" w:color="auto" w:fill="auto"/>
            <w:vAlign w:val="bottom"/>
            <w:hideMark/>
          </w:tcPr>
          <w:p w14:paraId="5D8171F7" w14:textId="77777777" w:rsidR="00713EC9" w:rsidRPr="0029110D" w:rsidRDefault="00713EC9">
            <w:pPr>
              <w:spacing w:after="0" w:line="240" w:lineRule="auto"/>
              <w:jc w:val="left"/>
              <w:rPr>
                <w:rFonts w:eastAsia="Times New Roman"/>
                <w:i/>
                <w:iCs/>
                <w:color w:val="000000"/>
                <w:sz w:val="20"/>
                <w:szCs w:val="20"/>
                <w:lang w:eastAsia="ru-RU"/>
              </w:rPr>
            </w:pPr>
            <w:r w:rsidRPr="0029110D">
              <w:rPr>
                <w:rFonts w:eastAsia="Times New Roman"/>
                <w:i/>
                <w:iCs/>
                <w:color w:val="000000"/>
                <w:sz w:val="20"/>
                <w:szCs w:val="20"/>
                <w:lang w:eastAsia="ru-RU"/>
              </w:rPr>
              <w:t>DAS28-hsCRP ≤ 3,2:</w:t>
            </w:r>
          </w:p>
        </w:tc>
      </w:tr>
      <w:tr w:rsidR="00713EC9" w:rsidRPr="0029110D" w14:paraId="49724134"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2F83D90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12</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702A081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30%</w:t>
            </w:r>
          </w:p>
        </w:tc>
        <w:tc>
          <w:tcPr>
            <w:tcW w:w="708" w:type="dxa"/>
            <w:tcBorders>
              <w:top w:val="nil"/>
              <w:left w:val="nil"/>
              <w:bottom w:val="single" w:sz="4" w:space="0" w:color="auto"/>
              <w:right w:val="single" w:sz="4" w:space="0" w:color="auto"/>
            </w:tcBorders>
            <w:shd w:val="clear" w:color="auto" w:fill="auto"/>
            <w:vAlign w:val="center"/>
            <w:hideMark/>
          </w:tcPr>
          <w:p w14:paraId="1785EBD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07B596D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56%</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5C69442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14%</w:t>
            </w:r>
          </w:p>
        </w:tc>
        <w:tc>
          <w:tcPr>
            <w:tcW w:w="709" w:type="dxa"/>
            <w:tcBorders>
              <w:top w:val="nil"/>
              <w:left w:val="nil"/>
              <w:bottom w:val="single" w:sz="4" w:space="0" w:color="auto"/>
              <w:right w:val="single" w:sz="4" w:space="0" w:color="auto"/>
            </w:tcBorders>
            <w:shd w:val="clear" w:color="auto" w:fill="auto"/>
            <w:vAlign w:val="center"/>
            <w:hideMark/>
          </w:tcPr>
          <w:p w14:paraId="4D68318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44%</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314206E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35%</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4D1092F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17%</w:t>
            </w:r>
          </w:p>
        </w:tc>
        <w:tc>
          <w:tcPr>
            <w:tcW w:w="709" w:type="dxa"/>
            <w:tcBorders>
              <w:top w:val="nil"/>
              <w:left w:val="nil"/>
              <w:bottom w:val="single" w:sz="4" w:space="0" w:color="auto"/>
              <w:right w:val="single" w:sz="4" w:space="0" w:color="auto"/>
            </w:tcBorders>
            <w:shd w:val="clear" w:color="auto" w:fill="auto"/>
            <w:vAlign w:val="center"/>
            <w:hideMark/>
          </w:tcPr>
          <w:p w14:paraId="0FE37BB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36%</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250D7E0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39%</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11A8EA5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9%</w:t>
            </w:r>
          </w:p>
        </w:tc>
        <w:tc>
          <w:tcPr>
            <w:tcW w:w="709" w:type="dxa"/>
            <w:tcBorders>
              <w:top w:val="nil"/>
              <w:left w:val="nil"/>
              <w:bottom w:val="single" w:sz="4" w:space="0" w:color="auto"/>
              <w:right w:val="single" w:sz="4" w:space="0" w:color="auto"/>
            </w:tcBorders>
            <w:shd w:val="clear" w:color="auto" w:fill="auto"/>
            <w:vAlign w:val="center"/>
            <w:hideMark/>
          </w:tcPr>
          <w:p w14:paraId="1833325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24%</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7F1E536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32%</w:t>
            </w:r>
            <w:r w:rsidRPr="0029110D">
              <w:rPr>
                <w:rFonts w:eastAsia="Times New Roman"/>
                <w:color w:val="000000"/>
                <w:sz w:val="20"/>
                <w:szCs w:val="20"/>
                <w:vertAlign w:val="superscript"/>
                <w:lang w:eastAsia="ru-RU"/>
              </w:rPr>
              <w:t>***</w:t>
            </w:r>
          </w:p>
        </w:tc>
      </w:tr>
      <w:tr w:rsidR="00713EC9" w:rsidRPr="0029110D" w14:paraId="1F857729"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3F3C36F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24</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0414873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38%</w:t>
            </w:r>
          </w:p>
        </w:tc>
        <w:tc>
          <w:tcPr>
            <w:tcW w:w="708" w:type="dxa"/>
            <w:tcBorders>
              <w:top w:val="nil"/>
              <w:left w:val="nil"/>
              <w:bottom w:val="single" w:sz="4" w:space="0" w:color="auto"/>
              <w:right w:val="single" w:sz="4" w:space="0" w:color="auto"/>
            </w:tcBorders>
            <w:shd w:val="clear" w:color="auto" w:fill="auto"/>
            <w:vAlign w:val="center"/>
            <w:hideMark/>
          </w:tcPr>
          <w:p w14:paraId="2294A77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3BE87F0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15F103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19%</w:t>
            </w:r>
          </w:p>
        </w:tc>
        <w:tc>
          <w:tcPr>
            <w:tcW w:w="709" w:type="dxa"/>
            <w:tcBorders>
              <w:top w:val="nil"/>
              <w:left w:val="nil"/>
              <w:bottom w:val="single" w:sz="4" w:space="0" w:color="auto"/>
              <w:right w:val="single" w:sz="4" w:space="0" w:color="auto"/>
            </w:tcBorders>
            <w:shd w:val="clear" w:color="auto" w:fill="auto"/>
            <w:vAlign w:val="center"/>
            <w:hideMark/>
          </w:tcPr>
          <w:p w14:paraId="16FE809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52%</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3C984D4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48%</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39D901D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24%</w:t>
            </w:r>
          </w:p>
        </w:tc>
        <w:tc>
          <w:tcPr>
            <w:tcW w:w="709" w:type="dxa"/>
            <w:tcBorders>
              <w:top w:val="nil"/>
              <w:left w:val="nil"/>
              <w:bottom w:val="single" w:sz="4" w:space="0" w:color="auto"/>
              <w:right w:val="single" w:sz="4" w:space="0" w:color="auto"/>
            </w:tcBorders>
            <w:shd w:val="clear" w:color="auto" w:fill="auto"/>
            <w:vAlign w:val="center"/>
            <w:hideMark/>
          </w:tcPr>
          <w:p w14:paraId="5527A02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46%</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6C37708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52%</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25E4B0A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11%</w:t>
            </w:r>
          </w:p>
        </w:tc>
        <w:tc>
          <w:tcPr>
            <w:tcW w:w="709" w:type="dxa"/>
            <w:tcBorders>
              <w:top w:val="nil"/>
              <w:left w:val="nil"/>
              <w:bottom w:val="single" w:sz="4" w:space="0" w:color="auto"/>
              <w:right w:val="single" w:sz="4" w:space="0" w:color="auto"/>
            </w:tcBorders>
            <w:shd w:val="clear" w:color="auto" w:fill="auto"/>
            <w:vAlign w:val="center"/>
            <w:hideMark/>
          </w:tcPr>
          <w:p w14:paraId="5159C6C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7C2B2DB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33%</w:t>
            </w:r>
            <w:r w:rsidRPr="0029110D">
              <w:rPr>
                <w:rFonts w:eastAsia="Times New Roman"/>
                <w:color w:val="000000"/>
                <w:sz w:val="20"/>
                <w:szCs w:val="20"/>
                <w:vertAlign w:val="superscript"/>
                <w:lang w:eastAsia="ru-RU"/>
              </w:rPr>
              <w:t>***</w:t>
            </w:r>
          </w:p>
        </w:tc>
      </w:tr>
      <w:tr w:rsidR="00713EC9" w:rsidRPr="0029110D" w14:paraId="019BA4B7" w14:textId="77777777" w:rsidTr="00AB1FF1">
        <w:trPr>
          <w:trHeight w:val="20"/>
        </w:trPr>
        <w:tc>
          <w:tcPr>
            <w:tcW w:w="866" w:type="dxa"/>
            <w:tcBorders>
              <w:top w:val="nil"/>
              <w:left w:val="single" w:sz="4" w:space="0" w:color="auto"/>
              <w:bottom w:val="nil"/>
              <w:right w:val="nil"/>
            </w:tcBorders>
            <w:shd w:val="clear" w:color="auto" w:fill="auto"/>
            <w:vAlign w:val="center"/>
            <w:hideMark/>
          </w:tcPr>
          <w:p w14:paraId="5E3923D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52</w:t>
            </w:r>
          </w:p>
        </w:tc>
        <w:tc>
          <w:tcPr>
            <w:tcW w:w="709" w:type="dxa"/>
            <w:tcBorders>
              <w:top w:val="nil"/>
              <w:left w:val="single" w:sz="8" w:space="0" w:color="auto"/>
              <w:bottom w:val="nil"/>
              <w:right w:val="single" w:sz="4" w:space="0" w:color="auto"/>
            </w:tcBorders>
            <w:shd w:val="clear" w:color="auto" w:fill="auto"/>
            <w:vAlign w:val="center"/>
            <w:hideMark/>
          </w:tcPr>
          <w:p w14:paraId="512158B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38%</w:t>
            </w:r>
          </w:p>
        </w:tc>
        <w:tc>
          <w:tcPr>
            <w:tcW w:w="708" w:type="dxa"/>
            <w:tcBorders>
              <w:top w:val="nil"/>
              <w:left w:val="nil"/>
              <w:bottom w:val="nil"/>
              <w:right w:val="single" w:sz="4" w:space="0" w:color="auto"/>
            </w:tcBorders>
            <w:shd w:val="clear" w:color="auto" w:fill="auto"/>
            <w:vAlign w:val="center"/>
            <w:hideMark/>
          </w:tcPr>
          <w:p w14:paraId="0755E56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57%</w:t>
            </w:r>
            <w:r w:rsidRPr="0029110D">
              <w:rPr>
                <w:rFonts w:eastAsia="Times New Roman"/>
                <w:color w:val="000000"/>
                <w:sz w:val="20"/>
                <w:szCs w:val="20"/>
                <w:vertAlign w:val="superscript"/>
                <w:lang w:eastAsia="ru-RU"/>
              </w:rPr>
              <w:t>***</w:t>
            </w:r>
          </w:p>
        </w:tc>
        <w:tc>
          <w:tcPr>
            <w:tcW w:w="709" w:type="dxa"/>
            <w:tcBorders>
              <w:top w:val="nil"/>
              <w:left w:val="nil"/>
              <w:bottom w:val="nil"/>
              <w:right w:val="single" w:sz="8" w:space="0" w:color="auto"/>
            </w:tcBorders>
            <w:shd w:val="clear" w:color="auto" w:fill="auto"/>
            <w:vAlign w:val="center"/>
            <w:hideMark/>
          </w:tcPr>
          <w:p w14:paraId="054EC11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63%</w:t>
            </w:r>
            <w:r w:rsidRPr="0029110D">
              <w:rPr>
                <w:rFonts w:eastAsia="Times New Roman"/>
                <w:color w:val="000000"/>
                <w:sz w:val="20"/>
                <w:szCs w:val="20"/>
                <w:vertAlign w:val="superscript"/>
                <w:lang w:eastAsia="ru-RU"/>
              </w:rPr>
              <w:t>***</w:t>
            </w:r>
          </w:p>
        </w:tc>
        <w:tc>
          <w:tcPr>
            <w:tcW w:w="709" w:type="dxa"/>
            <w:tcBorders>
              <w:top w:val="nil"/>
              <w:left w:val="nil"/>
              <w:bottom w:val="nil"/>
              <w:right w:val="single" w:sz="4" w:space="0" w:color="auto"/>
            </w:tcBorders>
            <w:shd w:val="clear" w:color="auto" w:fill="auto"/>
            <w:vAlign w:val="center"/>
            <w:hideMark/>
          </w:tcPr>
          <w:p w14:paraId="39516D70"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03E02760"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56%</w:t>
            </w:r>
            <w:r w:rsidRPr="0029110D">
              <w:rPr>
                <w:rFonts w:eastAsia="Times New Roman"/>
                <w:color w:val="000000"/>
                <w:sz w:val="20"/>
                <w:szCs w:val="20"/>
                <w:vertAlign w:val="superscript"/>
                <w:lang w:eastAsia="ru-RU"/>
              </w:rPr>
              <w:t>†</w:t>
            </w:r>
          </w:p>
        </w:tc>
        <w:tc>
          <w:tcPr>
            <w:tcW w:w="708" w:type="dxa"/>
            <w:tcBorders>
              <w:top w:val="nil"/>
              <w:left w:val="nil"/>
              <w:bottom w:val="nil"/>
              <w:right w:val="single" w:sz="8" w:space="0" w:color="auto"/>
            </w:tcBorders>
            <w:shd w:val="clear" w:color="auto" w:fill="auto"/>
            <w:vAlign w:val="center"/>
            <w:hideMark/>
          </w:tcPr>
          <w:p w14:paraId="49533E8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48%</w:t>
            </w:r>
          </w:p>
        </w:tc>
        <w:tc>
          <w:tcPr>
            <w:tcW w:w="709" w:type="dxa"/>
            <w:tcBorders>
              <w:top w:val="nil"/>
              <w:left w:val="nil"/>
              <w:bottom w:val="nil"/>
              <w:right w:val="single" w:sz="4" w:space="0" w:color="auto"/>
            </w:tcBorders>
            <w:shd w:val="clear" w:color="auto" w:fill="auto"/>
            <w:vAlign w:val="center"/>
            <w:hideMark/>
          </w:tcPr>
          <w:p w14:paraId="1991B049"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052496B2"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67B5EAA7" w14:textId="77777777" w:rsidR="00713EC9" w:rsidRPr="0029110D" w:rsidRDefault="00713EC9">
            <w:pPr>
              <w:spacing w:after="0" w:line="240" w:lineRule="auto"/>
              <w:jc w:val="center"/>
              <w:rPr>
                <w:rFonts w:eastAsia="Times New Roman"/>
                <w:color w:val="000000"/>
                <w:sz w:val="20"/>
                <w:szCs w:val="20"/>
                <w:lang w:eastAsia="ru-RU"/>
              </w:rPr>
            </w:pPr>
          </w:p>
        </w:tc>
        <w:tc>
          <w:tcPr>
            <w:tcW w:w="708" w:type="dxa"/>
            <w:tcBorders>
              <w:top w:val="nil"/>
              <w:left w:val="nil"/>
              <w:bottom w:val="nil"/>
              <w:right w:val="single" w:sz="4" w:space="0" w:color="auto"/>
            </w:tcBorders>
            <w:shd w:val="clear" w:color="auto" w:fill="auto"/>
            <w:vAlign w:val="center"/>
            <w:hideMark/>
          </w:tcPr>
          <w:p w14:paraId="48F7E727"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696B9EE1"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60BB042A" w14:textId="77777777" w:rsidR="00713EC9" w:rsidRPr="0029110D" w:rsidRDefault="00713EC9">
            <w:pPr>
              <w:spacing w:after="0" w:line="240" w:lineRule="auto"/>
              <w:jc w:val="center"/>
              <w:rPr>
                <w:rFonts w:eastAsia="Times New Roman"/>
                <w:color w:val="000000"/>
                <w:sz w:val="20"/>
                <w:szCs w:val="20"/>
                <w:lang w:eastAsia="ru-RU"/>
              </w:rPr>
            </w:pPr>
          </w:p>
        </w:tc>
      </w:tr>
      <w:tr w:rsidR="00713EC9" w:rsidRPr="0029110D" w14:paraId="7450538E" w14:textId="77777777" w:rsidTr="00AB1FF1">
        <w:trPr>
          <w:trHeight w:val="20"/>
        </w:trPr>
        <w:tc>
          <w:tcPr>
            <w:tcW w:w="9371" w:type="dxa"/>
            <w:gridSpan w:val="13"/>
            <w:tcBorders>
              <w:top w:val="single" w:sz="8" w:space="0" w:color="auto"/>
              <w:left w:val="single" w:sz="8" w:space="0" w:color="auto"/>
              <w:bottom w:val="single" w:sz="8" w:space="0" w:color="auto"/>
              <w:right w:val="single" w:sz="8" w:space="0" w:color="000000"/>
            </w:tcBorders>
            <w:shd w:val="clear" w:color="auto" w:fill="auto"/>
            <w:vAlign w:val="bottom"/>
            <w:hideMark/>
          </w:tcPr>
          <w:p w14:paraId="4B0AB1B5" w14:textId="77777777" w:rsidR="00713EC9" w:rsidRPr="0029110D" w:rsidRDefault="00713EC9">
            <w:pPr>
              <w:spacing w:after="0" w:line="240" w:lineRule="auto"/>
              <w:jc w:val="left"/>
              <w:rPr>
                <w:rFonts w:eastAsia="Times New Roman"/>
                <w:i/>
                <w:iCs/>
                <w:color w:val="000000"/>
                <w:sz w:val="20"/>
                <w:szCs w:val="20"/>
                <w:lang w:eastAsia="ru-RU"/>
              </w:rPr>
            </w:pPr>
            <w:r w:rsidRPr="0029110D">
              <w:rPr>
                <w:rFonts w:eastAsia="Times New Roman"/>
                <w:i/>
                <w:iCs/>
                <w:color w:val="000000"/>
                <w:sz w:val="20"/>
                <w:szCs w:val="20"/>
                <w:lang w:eastAsia="ru-RU"/>
              </w:rPr>
              <w:t>SDAI ≤ 3,3:</w:t>
            </w:r>
          </w:p>
        </w:tc>
      </w:tr>
      <w:tr w:rsidR="00713EC9" w:rsidRPr="0029110D" w14:paraId="48CD011E"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48A25BF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12</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17AF8D8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w:t>
            </w:r>
          </w:p>
        </w:tc>
        <w:tc>
          <w:tcPr>
            <w:tcW w:w="708" w:type="dxa"/>
            <w:tcBorders>
              <w:top w:val="nil"/>
              <w:left w:val="nil"/>
              <w:bottom w:val="single" w:sz="4" w:space="0" w:color="auto"/>
              <w:right w:val="single" w:sz="4" w:space="0" w:color="auto"/>
            </w:tcBorders>
            <w:shd w:val="clear" w:color="auto" w:fill="auto"/>
            <w:vAlign w:val="center"/>
            <w:hideMark/>
          </w:tcPr>
          <w:p w14:paraId="44D4D8E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14%</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349292A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7610DDF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w:t>
            </w:r>
          </w:p>
        </w:tc>
        <w:tc>
          <w:tcPr>
            <w:tcW w:w="709" w:type="dxa"/>
            <w:tcBorders>
              <w:top w:val="nil"/>
              <w:left w:val="nil"/>
              <w:bottom w:val="single" w:sz="4" w:space="0" w:color="auto"/>
              <w:right w:val="single" w:sz="4" w:space="0" w:color="auto"/>
            </w:tcBorders>
            <w:shd w:val="clear" w:color="auto" w:fill="auto"/>
            <w:vAlign w:val="center"/>
            <w:hideMark/>
          </w:tcPr>
          <w:p w14:paraId="00214480"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8%</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174D934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1617EE2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w:t>
            </w:r>
          </w:p>
        </w:tc>
        <w:tc>
          <w:tcPr>
            <w:tcW w:w="709" w:type="dxa"/>
            <w:tcBorders>
              <w:top w:val="nil"/>
              <w:left w:val="nil"/>
              <w:bottom w:val="single" w:sz="4" w:space="0" w:color="auto"/>
              <w:right w:val="single" w:sz="4" w:space="0" w:color="auto"/>
            </w:tcBorders>
            <w:shd w:val="clear" w:color="auto" w:fill="auto"/>
            <w:vAlign w:val="center"/>
            <w:hideMark/>
          </w:tcPr>
          <w:p w14:paraId="2F180A7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9%</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4856616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9%</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34E2DD1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w:t>
            </w:r>
          </w:p>
        </w:tc>
        <w:tc>
          <w:tcPr>
            <w:tcW w:w="709" w:type="dxa"/>
            <w:tcBorders>
              <w:top w:val="nil"/>
              <w:left w:val="nil"/>
              <w:bottom w:val="single" w:sz="4" w:space="0" w:color="auto"/>
              <w:right w:val="single" w:sz="4" w:space="0" w:color="auto"/>
            </w:tcBorders>
            <w:shd w:val="clear" w:color="auto" w:fill="auto"/>
            <w:vAlign w:val="center"/>
            <w:hideMark/>
          </w:tcPr>
          <w:p w14:paraId="7E47C7A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w:t>
            </w:r>
          </w:p>
        </w:tc>
        <w:tc>
          <w:tcPr>
            <w:tcW w:w="709" w:type="dxa"/>
            <w:tcBorders>
              <w:top w:val="nil"/>
              <w:left w:val="nil"/>
              <w:bottom w:val="single" w:sz="4" w:space="0" w:color="auto"/>
              <w:right w:val="single" w:sz="8" w:space="0" w:color="auto"/>
            </w:tcBorders>
            <w:shd w:val="clear" w:color="auto" w:fill="auto"/>
            <w:vAlign w:val="center"/>
            <w:hideMark/>
          </w:tcPr>
          <w:p w14:paraId="22C3B39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w:t>
            </w:r>
          </w:p>
        </w:tc>
      </w:tr>
      <w:tr w:rsidR="00713EC9" w:rsidRPr="0029110D" w14:paraId="2B15078D"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7BB0B94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24</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45BFFF4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10%</w:t>
            </w:r>
          </w:p>
        </w:tc>
        <w:tc>
          <w:tcPr>
            <w:tcW w:w="708" w:type="dxa"/>
            <w:tcBorders>
              <w:top w:val="nil"/>
              <w:left w:val="nil"/>
              <w:bottom w:val="single" w:sz="4" w:space="0" w:color="auto"/>
              <w:right w:val="single" w:sz="4" w:space="0" w:color="auto"/>
            </w:tcBorders>
            <w:shd w:val="clear" w:color="auto" w:fill="auto"/>
            <w:vAlign w:val="center"/>
            <w:hideMark/>
          </w:tcPr>
          <w:p w14:paraId="71B0383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22%</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106909B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23%</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28A5AD3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w:t>
            </w:r>
          </w:p>
        </w:tc>
        <w:tc>
          <w:tcPr>
            <w:tcW w:w="709" w:type="dxa"/>
            <w:tcBorders>
              <w:top w:val="nil"/>
              <w:left w:val="nil"/>
              <w:bottom w:val="single" w:sz="4" w:space="0" w:color="auto"/>
              <w:right w:val="single" w:sz="4" w:space="0" w:color="auto"/>
            </w:tcBorders>
            <w:shd w:val="clear" w:color="auto" w:fill="auto"/>
            <w:vAlign w:val="center"/>
            <w:hideMark/>
          </w:tcPr>
          <w:p w14:paraId="76F399C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16%</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7A5F765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14%</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3B4B6B4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w:t>
            </w:r>
          </w:p>
        </w:tc>
        <w:tc>
          <w:tcPr>
            <w:tcW w:w="709" w:type="dxa"/>
            <w:tcBorders>
              <w:top w:val="nil"/>
              <w:left w:val="nil"/>
              <w:bottom w:val="single" w:sz="4" w:space="0" w:color="auto"/>
              <w:right w:val="single" w:sz="4" w:space="0" w:color="auto"/>
            </w:tcBorders>
            <w:shd w:val="clear" w:color="auto" w:fill="auto"/>
            <w:vAlign w:val="center"/>
            <w:hideMark/>
          </w:tcPr>
          <w:p w14:paraId="575F58E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7FE1CAF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15%</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1435338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w:t>
            </w:r>
          </w:p>
        </w:tc>
        <w:tc>
          <w:tcPr>
            <w:tcW w:w="709" w:type="dxa"/>
            <w:tcBorders>
              <w:top w:val="nil"/>
              <w:left w:val="nil"/>
              <w:bottom w:val="single" w:sz="4" w:space="0" w:color="auto"/>
              <w:right w:val="single" w:sz="4" w:space="0" w:color="auto"/>
            </w:tcBorders>
            <w:shd w:val="clear" w:color="auto" w:fill="auto"/>
            <w:vAlign w:val="center"/>
            <w:hideMark/>
          </w:tcPr>
          <w:p w14:paraId="5806F0B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w:t>
            </w:r>
          </w:p>
        </w:tc>
        <w:tc>
          <w:tcPr>
            <w:tcW w:w="709" w:type="dxa"/>
            <w:tcBorders>
              <w:top w:val="nil"/>
              <w:left w:val="nil"/>
              <w:bottom w:val="single" w:sz="4" w:space="0" w:color="auto"/>
              <w:right w:val="single" w:sz="8" w:space="0" w:color="auto"/>
            </w:tcBorders>
            <w:shd w:val="clear" w:color="auto" w:fill="auto"/>
            <w:vAlign w:val="center"/>
            <w:hideMark/>
          </w:tcPr>
          <w:p w14:paraId="1D4CEC6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9%</w:t>
            </w:r>
            <w:r w:rsidRPr="0029110D">
              <w:rPr>
                <w:rFonts w:eastAsia="Times New Roman"/>
                <w:color w:val="000000"/>
                <w:sz w:val="20"/>
                <w:szCs w:val="20"/>
                <w:vertAlign w:val="superscript"/>
                <w:lang w:eastAsia="ru-RU"/>
              </w:rPr>
              <w:t>**</w:t>
            </w:r>
          </w:p>
        </w:tc>
      </w:tr>
      <w:tr w:rsidR="00713EC9" w:rsidRPr="0029110D" w14:paraId="0F546950" w14:textId="77777777" w:rsidTr="00AB1FF1">
        <w:trPr>
          <w:trHeight w:val="20"/>
        </w:trPr>
        <w:tc>
          <w:tcPr>
            <w:tcW w:w="866" w:type="dxa"/>
            <w:tcBorders>
              <w:top w:val="nil"/>
              <w:left w:val="single" w:sz="4" w:space="0" w:color="auto"/>
              <w:bottom w:val="nil"/>
              <w:right w:val="nil"/>
            </w:tcBorders>
            <w:shd w:val="clear" w:color="auto" w:fill="auto"/>
            <w:vAlign w:val="center"/>
            <w:hideMark/>
          </w:tcPr>
          <w:p w14:paraId="60CF7C8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52</w:t>
            </w:r>
          </w:p>
        </w:tc>
        <w:tc>
          <w:tcPr>
            <w:tcW w:w="709" w:type="dxa"/>
            <w:tcBorders>
              <w:top w:val="nil"/>
              <w:left w:val="single" w:sz="8" w:space="0" w:color="auto"/>
              <w:bottom w:val="nil"/>
              <w:right w:val="single" w:sz="4" w:space="0" w:color="auto"/>
            </w:tcBorders>
            <w:shd w:val="clear" w:color="auto" w:fill="auto"/>
            <w:vAlign w:val="center"/>
            <w:hideMark/>
          </w:tcPr>
          <w:p w14:paraId="12E9D5E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13%</w:t>
            </w:r>
          </w:p>
        </w:tc>
        <w:tc>
          <w:tcPr>
            <w:tcW w:w="708" w:type="dxa"/>
            <w:tcBorders>
              <w:top w:val="nil"/>
              <w:left w:val="nil"/>
              <w:bottom w:val="nil"/>
              <w:right w:val="single" w:sz="4" w:space="0" w:color="auto"/>
            </w:tcBorders>
            <w:shd w:val="clear" w:color="auto" w:fill="auto"/>
            <w:vAlign w:val="center"/>
            <w:hideMark/>
          </w:tcPr>
          <w:p w14:paraId="2FC0175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25%</w:t>
            </w:r>
            <w:r w:rsidRPr="0029110D">
              <w:rPr>
                <w:rFonts w:eastAsia="Times New Roman"/>
                <w:color w:val="000000"/>
                <w:sz w:val="20"/>
                <w:szCs w:val="20"/>
                <w:vertAlign w:val="superscript"/>
                <w:lang w:eastAsia="ru-RU"/>
              </w:rPr>
              <w:t>**</w:t>
            </w:r>
          </w:p>
        </w:tc>
        <w:tc>
          <w:tcPr>
            <w:tcW w:w="709" w:type="dxa"/>
            <w:tcBorders>
              <w:top w:val="nil"/>
              <w:left w:val="nil"/>
              <w:bottom w:val="nil"/>
              <w:right w:val="single" w:sz="8" w:space="0" w:color="auto"/>
            </w:tcBorders>
            <w:shd w:val="clear" w:color="auto" w:fill="auto"/>
            <w:vAlign w:val="center"/>
            <w:hideMark/>
          </w:tcPr>
          <w:p w14:paraId="774B902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30%</w:t>
            </w:r>
            <w:r w:rsidRPr="0029110D">
              <w:rPr>
                <w:rFonts w:eastAsia="Times New Roman"/>
                <w:color w:val="000000"/>
                <w:sz w:val="20"/>
                <w:szCs w:val="20"/>
                <w:vertAlign w:val="superscript"/>
                <w:lang w:eastAsia="ru-RU"/>
              </w:rPr>
              <w:t>***</w:t>
            </w:r>
          </w:p>
        </w:tc>
        <w:tc>
          <w:tcPr>
            <w:tcW w:w="709" w:type="dxa"/>
            <w:tcBorders>
              <w:top w:val="nil"/>
              <w:left w:val="nil"/>
              <w:bottom w:val="nil"/>
              <w:right w:val="single" w:sz="4" w:space="0" w:color="auto"/>
            </w:tcBorders>
            <w:shd w:val="clear" w:color="auto" w:fill="auto"/>
            <w:vAlign w:val="center"/>
            <w:hideMark/>
          </w:tcPr>
          <w:p w14:paraId="28E659E6"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2813A0B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23%</w:t>
            </w:r>
          </w:p>
        </w:tc>
        <w:tc>
          <w:tcPr>
            <w:tcW w:w="708" w:type="dxa"/>
            <w:tcBorders>
              <w:top w:val="nil"/>
              <w:left w:val="nil"/>
              <w:bottom w:val="nil"/>
              <w:right w:val="single" w:sz="8" w:space="0" w:color="auto"/>
            </w:tcBorders>
            <w:shd w:val="clear" w:color="auto" w:fill="auto"/>
            <w:vAlign w:val="center"/>
            <w:hideMark/>
          </w:tcPr>
          <w:p w14:paraId="1408CC3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18%</w:t>
            </w:r>
          </w:p>
        </w:tc>
        <w:tc>
          <w:tcPr>
            <w:tcW w:w="709" w:type="dxa"/>
            <w:tcBorders>
              <w:top w:val="nil"/>
              <w:left w:val="nil"/>
              <w:bottom w:val="nil"/>
              <w:right w:val="single" w:sz="4" w:space="0" w:color="auto"/>
            </w:tcBorders>
            <w:shd w:val="clear" w:color="auto" w:fill="auto"/>
            <w:vAlign w:val="center"/>
            <w:hideMark/>
          </w:tcPr>
          <w:p w14:paraId="308E537C"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5F259429"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3FB1DA1D" w14:textId="77777777" w:rsidR="00713EC9" w:rsidRPr="0029110D" w:rsidRDefault="00713EC9">
            <w:pPr>
              <w:spacing w:after="0" w:line="240" w:lineRule="auto"/>
              <w:jc w:val="center"/>
              <w:rPr>
                <w:rFonts w:eastAsia="Times New Roman"/>
                <w:color w:val="000000"/>
                <w:sz w:val="20"/>
                <w:szCs w:val="20"/>
                <w:lang w:eastAsia="ru-RU"/>
              </w:rPr>
            </w:pPr>
          </w:p>
        </w:tc>
        <w:tc>
          <w:tcPr>
            <w:tcW w:w="708" w:type="dxa"/>
            <w:tcBorders>
              <w:top w:val="nil"/>
              <w:left w:val="nil"/>
              <w:bottom w:val="nil"/>
              <w:right w:val="single" w:sz="4" w:space="0" w:color="auto"/>
            </w:tcBorders>
            <w:shd w:val="clear" w:color="auto" w:fill="auto"/>
            <w:vAlign w:val="center"/>
            <w:hideMark/>
          </w:tcPr>
          <w:p w14:paraId="25094F9F"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71404C5E"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4ABEA889" w14:textId="77777777" w:rsidR="00713EC9" w:rsidRPr="0029110D" w:rsidRDefault="00713EC9">
            <w:pPr>
              <w:spacing w:after="0" w:line="240" w:lineRule="auto"/>
              <w:jc w:val="center"/>
              <w:rPr>
                <w:rFonts w:eastAsia="Times New Roman"/>
                <w:color w:val="000000"/>
                <w:sz w:val="20"/>
                <w:szCs w:val="20"/>
                <w:lang w:eastAsia="ru-RU"/>
              </w:rPr>
            </w:pPr>
          </w:p>
        </w:tc>
      </w:tr>
      <w:tr w:rsidR="00713EC9" w:rsidRPr="0029110D" w14:paraId="4F5DFCCC" w14:textId="77777777" w:rsidTr="00AB1FF1">
        <w:trPr>
          <w:trHeight w:val="20"/>
        </w:trPr>
        <w:tc>
          <w:tcPr>
            <w:tcW w:w="9371" w:type="dxa"/>
            <w:gridSpan w:val="13"/>
            <w:tcBorders>
              <w:top w:val="single" w:sz="8" w:space="0" w:color="auto"/>
              <w:left w:val="single" w:sz="8" w:space="0" w:color="auto"/>
              <w:bottom w:val="single" w:sz="8" w:space="0" w:color="auto"/>
              <w:right w:val="single" w:sz="8" w:space="0" w:color="000000"/>
            </w:tcBorders>
            <w:shd w:val="clear" w:color="auto" w:fill="auto"/>
            <w:vAlign w:val="bottom"/>
            <w:hideMark/>
          </w:tcPr>
          <w:p w14:paraId="3458D7DD" w14:textId="77777777" w:rsidR="00713EC9" w:rsidRPr="0029110D" w:rsidRDefault="00713EC9">
            <w:pPr>
              <w:spacing w:after="0" w:line="240" w:lineRule="auto"/>
              <w:jc w:val="left"/>
              <w:rPr>
                <w:rFonts w:eastAsia="Times New Roman"/>
                <w:i/>
                <w:iCs/>
                <w:color w:val="000000"/>
                <w:sz w:val="20"/>
                <w:szCs w:val="20"/>
                <w:lang w:eastAsia="ru-RU"/>
              </w:rPr>
            </w:pPr>
            <w:r w:rsidRPr="0029110D">
              <w:rPr>
                <w:rFonts w:eastAsia="Times New Roman"/>
                <w:i/>
                <w:iCs/>
                <w:color w:val="000000"/>
                <w:sz w:val="20"/>
                <w:szCs w:val="20"/>
                <w:lang w:eastAsia="ru-RU"/>
              </w:rPr>
              <w:t>CDAI ≤ 2,8:</w:t>
            </w:r>
          </w:p>
        </w:tc>
      </w:tr>
      <w:tr w:rsidR="00713EC9" w:rsidRPr="0029110D" w14:paraId="779A7D00"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63B7EAD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12</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21B8ED9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w:t>
            </w:r>
          </w:p>
        </w:tc>
        <w:tc>
          <w:tcPr>
            <w:tcW w:w="708" w:type="dxa"/>
            <w:tcBorders>
              <w:top w:val="nil"/>
              <w:left w:val="nil"/>
              <w:bottom w:val="single" w:sz="4" w:space="0" w:color="auto"/>
              <w:right w:val="single" w:sz="4" w:space="0" w:color="auto"/>
            </w:tcBorders>
            <w:shd w:val="clear" w:color="auto" w:fill="auto"/>
            <w:vAlign w:val="center"/>
            <w:hideMark/>
          </w:tcPr>
          <w:p w14:paraId="4E7F3EC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14%</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029917D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19%</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4635478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w:t>
            </w:r>
          </w:p>
        </w:tc>
        <w:tc>
          <w:tcPr>
            <w:tcW w:w="709" w:type="dxa"/>
            <w:tcBorders>
              <w:top w:val="nil"/>
              <w:left w:val="nil"/>
              <w:bottom w:val="single" w:sz="4" w:space="0" w:color="auto"/>
              <w:right w:val="single" w:sz="4" w:space="0" w:color="auto"/>
            </w:tcBorders>
            <w:shd w:val="clear" w:color="auto" w:fill="auto"/>
            <w:vAlign w:val="center"/>
            <w:hideMark/>
          </w:tcPr>
          <w:p w14:paraId="0505385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8%</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344F6AF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5C6C41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w:t>
            </w:r>
          </w:p>
        </w:tc>
        <w:tc>
          <w:tcPr>
            <w:tcW w:w="709" w:type="dxa"/>
            <w:tcBorders>
              <w:top w:val="nil"/>
              <w:left w:val="nil"/>
              <w:bottom w:val="single" w:sz="4" w:space="0" w:color="auto"/>
              <w:right w:val="single" w:sz="4" w:space="0" w:color="auto"/>
            </w:tcBorders>
            <w:shd w:val="clear" w:color="auto" w:fill="auto"/>
            <w:vAlign w:val="center"/>
            <w:hideMark/>
          </w:tcPr>
          <w:p w14:paraId="155DA21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441F156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9%</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778414B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w:t>
            </w:r>
          </w:p>
        </w:tc>
        <w:tc>
          <w:tcPr>
            <w:tcW w:w="709" w:type="dxa"/>
            <w:tcBorders>
              <w:top w:val="nil"/>
              <w:left w:val="nil"/>
              <w:bottom w:val="single" w:sz="4" w:space="0" w:color="auto"/>
              <w:right w:val="single" w:sz="4" w:space="0" w:color="auto"/>
            </w:tcBorders>
            <w:shd w:val="clear" w:color="auto" w:fill="auto"/>
            <w:vAlign w:val="center"/>
            <w:hideMark/>
          </w:tcPr>
          <w:p w14:paraId="211B683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w:t>
            </w:r>
          </w:p>
        </w:tc>
        <w:tc>
          <w:tcPr>
            <w:tcW w:w="709" w:type="dxa"/>
            <w:tcBorders>
              <w:top w:val="nil"/>
              <w:left w:val="nil"/>
              <w:bottom w:val="single" w:sz="4" w:space="0" w:color="auto"/>
              <w:right w:val="single" w:sz="8" w:space="0" w:color="auto"/>
            </w:tcBorders>
            <w:shd w:val="clear" w:color="auto" w:fill="auto"/>
            <w:vAlign w:val="center"/>
            <w:hideMark/>
          </w:tcPr>
          <w:p w14:paraId="337A584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w:t>
            </w:r>
          </w:p>
        </w:tc>
      </w:tr>
      <w:tr w:rsidR="00713EC9" w:rsidRPr="0029110D" w14:paraId="45B62A90"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7CBA72F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24</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17D870D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11%</w:t>
            </w:r>
          </w:p>
        </w:tc>
        <w:tc>
          <w:tcPr>
            <w:tcW w:w="708" w:type="dxa"/>
            <w:tcBorders>
              <w:top w:val="nil"/>
              <w:left w:val="nil"/>
              <w:bottom w:val="single" w:sz="4" w:space="0" w:color="auto"/>
              <w:right w:val="single" w:sz="4" w:space="0" w:color="auto"/>
            </w:tcBorders>
            <w:shd w:val="clear" w:color="auto" w:fill="auto"/>
            <w:vAlign w:val="center"/>
            <w:hideMark/>
          </w:tcPr>
          <w:p w14:paraId="656D306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21%</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28E7EDB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22%</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4983636"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w:t>
            </w:r>
          </w:p>
        </w:tc>
        <w:tc>
          <w:tcPr>
            <w:tcW w:w="709" w:type="dxa"/>
            <w:tcBorders>
              <w:top w:val="nil"/>
              <w:left w:val="nil"/>
              <w:bottom w:val="single" w:sz="4" w:space="0" w:color="auto"/>
              <w:right w:val="single" w:sz="4" w:space="0" w:color="auto"/>
            </w:tcBorders>
            <w:shd w:val="clear" w:color="auto" w:fill="auto"/>
            <w:vAlign w:val="center"/>
            <w:hideMark/>
          </w:tcPr>
          <w:p w14:paraId="3E64AB8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16%</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37163CA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12%</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B22ADB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w:t>
            </w:r>
          </w:p>
        </w:tc>
        <w:tc>
          <w:tcPr>
            <w:tcW w:w="709" w:type="dxa"/>
            <w:tcBorders>
              <w:top w:val="nil"/>
              <w:left w:val="nil"/>
              <w:bottom w:val="single" w:sz="4" w:space="0" w:color="auto"/>
              <w:right w:val="single" w:sz="4" w:space="0" w:color="auto"/>
            </w:tcBorders>
            <w:shd w:val="clear" w:color="auto" w:fill="auto"/>
            <w:vAlign w:val="center"/>
            <w:hideMark/>
          </w:tcPr>
          <w:p w14:paraId="2C6FECE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15%</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5CE0FBA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15%</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3E23921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w:t>
            </w:r>
          </w:p>
        </w:tc>
        <w:tc>
          <w:tcPr>
            <w:tcW w:w="709" w:type="dxa"/>
            <w:tcBorders>
              <w:top w:val="nil"/>
              <w:left w:val="nil"/>
              <w:bottom w:val="single" w:sz="4" w:space="0" w:color="auto"/>
              <w:right w:val="single" w:sz="4" w:space="0" w:color="auto"/>
            </w:tcBorders>
            <w:shd w:val="clear" w:color="auto" w:fill="auto"/>
            <w:vAlign w:val="center"/>
            <w:hideMark/>
          </w:tcPr>
          <w:p w14:paraId="75A8FE7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w:t>
            </w:r>
          </w:p>
        </w:tc>
        <w:tc>
          <w:tcPr>
            <w:tcW w:w="709" w:type="dxa"/>
            <w:tcBorders>
              <w:top w:val="nil"/>
              <w:left w:val="nil"/>
              <w:bottom w:val="single" w:sz="4" w:space="0" w:color="auto"/>
              <w:right w:val="single" w:sz="8" w:space="0" w:color="auto"/>
            </w:tcBorders>
            <w:shd w:val="clear" w:color="auto" w:fill="auto"/>
            <w:vAlign w:val="center"/>
            <w:hideMark/>
          </w:tcPr>
          <w:p w14:paraId="6F37AB5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9%</w:t>
            </w:r>
            <w:r w:rsidRPr="0029110D">
              <w:rPr>
                <w:rFonts w:eastAsia="Times New Roman"/>
                <w:color w:val="000000"/>
                <w:sz w:val="20"/>
                <w:szCs w:val="20"/>
                <w:vertAlign w:val="superscript"/>
                <w:lang w:eastAsia="ru-RU"/>
              </w:rPr>
              <w:t>*</w:t>
            </w:r>
          </w:p>
        </w:tc>
      </w:tr>
      <w:tr w:rsidR="00713EC9" w:rsidRPr="0029110D" w14:paraId="39653DBE" w14:textId="77777777" w:rsidTr="00AB1FF1">
        <w:trPr>
          <w:trHeight w:val="20"/>
        </w:trPr>
        <w:tc>
          <w:tcPr>
            <w:tcW w:w="866" w:type="dxa"/>
            <w:tcBorders>
              <w:top w:val="nil"/>
              <w:left w:val="single" w:sz="4" w:space="0" w:color="auto"/>
              <w:bottom w:val="nil"/>
              <w:right w:val="nil"/>
            </w:tcBorders>
            <w:shd w:val="clear" w:color="auto" w:fill="auto"/>
            <w:vAlign w:val="center"/>
            <w:hideMark/>
          </w:tcPr>
          <w:p w14:paraId="788BA210"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52</w:t>
            </w:r>
          </w:p>
        </w:tc>
        <w:tc>
          <w:tcPr>
            <w:tcW w:w="709" w:type="dxa"/>
            <w:tcBorders>
              <w:top w:val="nil"/>
              <w:left w:val="single" w:sz="8" w:space="0" w:color="auto"/>
              <w:bottom w:val="nil"/>
              <w:right w:val="single" w:sz="4" w:space="0" w:color="auto"/>
            </w:tcBorders>
            <w:shd w:val="clear" w:color="auto" w:fill="auto"/>
            <w:vAlign w:val="center"/>
            <w:hideMark/>
          </w:tcPr>
          <w:p w14:paraId="1FD5322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16%</w:t>
            </w:r>
          </w:p>
        </w:tc>
        <w:tc>
          <w:tcPr>
            <w:tcW w:w="708" w:type="dxa"/>
            <w:tcBorders>
              <w:top w:val="nil"/>
              <w:left w:val="nil"/>
              <w:bottom w:val="nil"/>
              <w:right w:val="single" w:sz="4" w:space="0" w:color="auto"/>
            </w:tcBorders>
            <w:shd w:val="clear" w:color="auto" w:fill="auto"/>
            <w:vAlign w:val="center"/>
            <w:hideMark/>
          </w:tcPr>
          <w:p w14:paraId="50F1E30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25%</w:t>
            </w:r>
            <w:r w:rsidRPr="0029110D">
              <w:rPr>
                <w:rFonts w:eastAsia="Times New Roman"/>
                <w:color w:val="000000"/>
                <w:sz w:val="20"/>
                <w:szCs w:val="20"/>
                <w:vertAlign w:val="superscript"/>
                <w:lang w:eastAsia="ru-RU"/>
              </w:rPr>
              <w:t>*</w:t>
            </w:r>
          </w:p>
        </w:tc>
        <w:tc>
          <w:tcPr>
            <w:tcW w:w="709" w:type="dxa"/>
            <w:tcBorders>
              <w:top w:val="nil"/>
              <w:left w:val="nil"/>
              <w:bottom w:val="nil"/>
              <w:right w:val="single" w:sz="8" w:space="0" w:color="auto"/>
            </w:tcBorders>
            <w:shd w:val="clear" w:color="auto" w:fill="auto"/>
            <w:vAlign w:val="center"/>
            <w:hideMark/>
          </w:tcPr>
          <w:p w14:paraId="6AA03E3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28%</w:t>
            </w:r>
            <w:r w:rsidRPr="0029110D">
              <w:rPr>
                <w:rFonts w:eastAsia="Times New Roman"/>
                <w:color w:val="000000"/>
                <w:sz w:val="20"/>
                <w:szCs w:val="20"/>
                <w:vertAlign w:val="superscript"/>
                <w:lang w:eastAsia="ru-RU"/>
              </w:rPr>
              <w:t>**</w:t>
            </w:r>
          </w:p>
        </w:tc>
        <w:tc>
          <w:tcPr>
            <w:tcW w:w="709" w:type="dxa"/>
            <w:tcBorders>
              <w:top w:val="nil"/>
              <w:left w:val="nil"/>
              <w:bottom w:val="nil"/>
              <w:right w:val="single" w:sz="4" w:space="0" w:color="auto"/>
            </w:tcBorders>
            <w:shd w:val="clear" w:color="auto" w:fill="auto"/>
            <w:vAlign w:val="center"/>
            <w:hideMark/>
          </w:tcPr>
          <w:p w14:paraId="2080A62B"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02738AB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22%</w:t>
            </w:r>
          </w:p>
        </w:tc>
        <w:tc>
          <w:tcPr>
            <w:tcW w:w="708" w:type="dxa"/>
            <w:tcBorders>
              <w:top w:val="nil"/>
              <w:left w:val="nil"/>
              <w:bottom w:val="nil"/>
              <w:right w:val="single" w:sz="8" w:space="0" w:color="auto"/>
            </w:tcBorders>
            <w:shd w:val="clear" w:color="auto" w:fill="auto"/>
            <w:vAlign w:val="center"/>
            <w:hideMark/>
          </w:tcPr>
          <w:p w14:paraId="259CCF0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18%</w:t>
            </w:r>
          </w:p>
        </w:tc>
        <w:tc>
          <w:tcPr>
            <w:tcW w:w="709" w:type="dxa"/>
            <w:tcBorders>
              <w:top w:val="nil"/>
              <w:left w:val="nil"/>
              <w:bottom w:val="nil"/>
              <w:right w:val="single" w:sz="4" w:space="0" w:color="auto"/>
            </w:tcBorders>
            <w:shd w:val="clear" w:color="auto" w:fill="auto"/>
            <w:vAlign w:val="center"/>
            <w:hideMark/>
          </w:tcPr>
          <w:p w14:paraId="0BBEAC11"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2CDBC9F7"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06DFCEA4" w14:textId="77777777" w:rsidR="00713EC9" w:rsidRPr="0029110D" w:rsidRDefault="00713EC9">
            <w:pPr>
              <w:spacing w:after="0" w:line="240" w:lineRule="auto"/>
              <w:jc w:val="center"/>
              <w:rPr>
                <w:rFonts w:eastAsia="Times New Roman"/>
                <w:color w:val="000000"/>
                <w:sz w:val="20"/>
                <w:szCs w:val="20"/>
                <w:lang w:eastAsia="ru-RU"/>
              </w:rPr>
            </w:pPr>
          </w:p>
        </w:tc>
        <w:tc>
          <w:tcPr>
            <w:tcW w:w="708" w:type="dxa"/>
            <w:tcBorders>
              <w:top w:val="nil"/>
              <w:left w:val="nil"/>
              <w:bottom w:val="nil"/>
              <w:right w:val="single" w:sz="4" w:space="0" w:color="auto"/>
            </w:tcBorders>
            <w:shd w:val="clear" w:color="auto" w:fill="auto"/>
            <w:vAlign w:val="center"/>
            <w:hideMark/>
          </w:tcPr>
          <w:p w14:paraId="53072F1C"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55A73497"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0A996285" w14:textId="77777777" w:rsidR="00713EC9" w:rsidRPr="0029110D" w:rsidRDefault="00713EC9">
            <w:pPr>
              <w:spacing w:after="0" w:line="240" w:lineRule="auto"/>
              <w:jc w:val="center"/>
              <w:rPr>
                <w:rFonts w:eastAsia="Times New Roman"/>
                <w:color w:val="000000"/>
                <w:sz w:val="20"/>
                <w:szCs w:val="20"/>
                <w:lang w:eastAsia="ru-RU"/>
              </w:rPr>
            </w:pPr>
          </w:p>
        </w:tc>
      </w:tr>
      <w:tr w:rsidR="00713EC9" w:rsidRPr="0029110D" w14:paraId="6A111F6A" w14:textId="77777777" w:rsidTr="00AB1FF1">
        <w:trPr>
          <w:trHeight w:val="20"/>
        </w:trPr>
        <w:tc>
          <w:tcPr>
            <w:tcW w:w="9371" w:type="dxa"/>
            <w:gridSpan w:val="13"/>
            <w:tcBorders>
              <w:top w:val="single" w:sz="8" w:space="0" w:color="auto"/>
              <w:left w:val="single" w:sz="8" w:space="0" w:color="auto"/>
              <w:bottom w:val="single" w:sz="8" w:space="0" w:color="auto"/>
              <w:right w:val="single" w:sz="8" w:space="0" w:color="000000"/>
            </w:tcBorders>
            <w:shd w:val="clear" w:color="auto" w:fill="auto"/>
            <w:vAlign w:val="bottom"/>
            <w:hideMark/>
          </w:tcPr>
          <w:p w14:paraId="7BFE690D" w14:textId="33F16271" w:rsidR="00713EC9" w:rsidRPr="0029110D" w:rsidRDefault="00713EC9">
            <w:pPr>
              <w:spacing w:after="0" w:line="240" w:lineRule="auto"/>
              <w:jc w:val="left"/>
              <w:rPr>
                <w:rFonts w:eastAsia="Times New Roman"/>
                <w:i/>
                <w:iCs/>
                <w:color w:val="000000"/>
                <w:sz w:val="20"/>
                <w:szCs w:val="20"/>
                <w:lang w:eastAsia="ru-RU"/>
              </w:rPr>
            </w:pPr>
            <w:r w:rsidRPr="0029110D">
              <w:rPr>
                <w:rFonts w:eastAsia="Times New Roman"/>
                <w:i/>
                <w:iCs/>
                <w:color w:val="000000"/>
                <w:sz w:val="20"/>
                <w:szCs w:val="20"/>
                <w:lang w:eastAsia="ru-RU"/>
              </w:rPr>
              <w:t>HAQ-DI минимальная клинич</w:t>
            </w:r>
            <w:r w:rsidR="00153559" w:rsidRPr="0029110D">
              <w:rPr>
                <w:rFonts w:eastAsia="Times New Roman"/>
                <w:i/>
                <w:iCs/>
                <w:color w:val="000000"/>
                <w:sz w:val="20"/>
                <w:szCs w:val="20"/>
                <w:lang w:eastAsia="ru-RU"/>
              </w:rPr>
              <w:t>ески значимая разница</w:t>
            </w:r>
          </w:p>
        </w:tc>
      </w:tr>
      <w:tr w:rsidR="00713EC9" w:rsidRPr="0029110D" w14:paraId="451D7A26"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2DEF23E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12</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4A418BE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60%</w:t>
            </w:r>
          </w:p>
        </w:tc>
        <w:tc>
          <w:tcPr>
            <w:tcW w:w="708" w:type="dxa"/>
            <w:tcBorders>
              <w:top w:val="nil"/>
              <w:left w:val="nil"/>
              <w:bottom w:val="single" w:sz="4" w:space="0" w:color="auto"/>
              <w:right w:val="single" w:sz="4" w:space="0" w:color="auto"/>
            </w:tcBorders>
            <w:shd w:val="clear" w:color="auto" w:fill="auto"/>
            <w:vAlign w:val="center"/>
            <w:hideMark/>
          </w:tcPr>
          <w:p w14:paraId="4FA0996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81%</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5F29A34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5B6A216D"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46%</w:t>
            </w:r>
          </w:p>
        </w:tc>
        <w:tc>
          <w:tcPr>
            <w:tcW w:w="709" w:type="dxa"/>
            <w:tcBorders>
              <w:top w:val="nil"/>
              <w:left w:val="nil"/>
              <w:bottom w:val="single" w:sz="4" w:space="0" w:color="auto"/>
              <w:right w:val="single" w:sz="4" w:space="0" w:color="auto"/>
            </w:tcBorders>
            <w:shd w:val="clear" w:color="auto" w:fill="auto"/>
            <w:vAlign w:val="center"/>
            <w:hideMark/>
          </w:tcPr>
          <w:p w14:paraId="119140BF"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68%</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0C6D935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64%</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62B9392E"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44%</w:t>
            </w:r>
          </w:p>
        </w:tc>
        <w:tc>
          <w:tcPr>
            <w:tcW w:w="709" w:type="dxa"/>
            <w:tcBorders>
              <w:top w:val="nil"/>
              <w:left w:val="nil"/>
              <w:bottom w:val="single" w:sz="4" w:space="0" w:color="auto"/>
              <w:right w:val="single" w:sz="4" w:space="0" w:color="auto"/>
            </w:tcBorders>
            <w:shd w:val="clear" w:color="auto" w:fill="auto"/>
            <w:vAlign w:val="center"/>
            <w:hideMark/>
          </w:tcPr>
          <w:p w14:paraId="76D380BC"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2AFEA322"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56%</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05C52C5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35%</w:t>
            </w:r>
          </w:p>
        </w:tc>
        <w:tc>
          <w:tcPr>
            <w:tcW w:w="709" w:type="dxa"/>
            <w:tcBorders>
              <w:top w:val="nil"/>
              <w:left w:val="nil"/>
              <w:bottom w:val="single" w:sz="4" w:space="0" w:color="auto"/>
              <w:right w:val="single" w:sz="4" w:space="0" w:color="auto"/>
            </w:tcBorders>
            <w:shd w:val="clear" w:color="auto" w:fill="auto"/>
            <w:vAlign w:val="center"/>
            <w:hideMark/>
          </w:tcPr>
          <w:p w14:paraId="7842C90A"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48%</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352770C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54%</w:t>
            </w:r>
            <w:r w:rsidRPr="0029110D">
              <w:rPr>
                <w:rFonts w:eastAsia="Times New Roman"/>
                <w:color w:val="000000"/>
                <w:sz w:val="20"/>
                <w:szCs w:val="20"/>
                <w:vertAlign w:val="superscript"/>
                <w:lang w:eastAsia="ru-RU"/>
              </w:rPr>
              <w:t>***</w:t>
            </w:r>
          </w:p>
        </w:tc>
      </w:tr>
      <w:tr w:rsidR="00713EC9" w:rsidRPr="0029110D" w14:paraId="2136EA1D" w14:textId="77777777" w:rsidTr="00AB1FF1">
        <w:trPr>
          <w:trHeight w:val="20"/>
        </w:trPr>
        <w:tc>
          <w:tcPr>
            <w:tcW w:w="866" w:type="dxa"/>
            <w:tcBorders>
              <w:top w:val="nil"/>
              <w:left w:val="single" w:sz="4" w:space="0" w:color="auto"/>
              <w:bottom w:val="single" w:sz="4" w:space="0" w:color="auto"/>
              <w:right w:val="nil"/>
            </w:tcBorders>
            <w:shd w:val="clear" w:color="auto" w:fill="auto"/>
            <w:vAlign w:val="center"/>
            <w:hideMark/>
          </w:tcPr>
          <w:p w14:paraId="16E3DC1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24</w:t>
            </w:r>
          </w:p>
        </w:tc>
        <w:tc>
          <w:tcPr>
            <w:tcW w:w="709" w:type="dxa"/>
            <w:tcBorders>
              <w:top w:val="nil"/>
              <w:left w:val="single" w:sz="8" w:space="0" w:color="auto"/>
              <w:bottom w:val="single" w:sz="4" w:space="0" w:color="auto"/>
              <w:right w:val="single" w:sz="4" w:space="0" w:color="auto"/>
            </w:tcBorders>
            <w:shd w:val="clear" w:color="auto" w:fill="auto"/>
            <w:vAlign w:val="center"/>
            <w:hideMark/>
          </w:tcPr>
          <w:p w14:paraId="3E7E775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66%</w:t>
            </w:r>
          </w:p>
        </w:tc>
        <w:tc>
          <w:tcPr>
            <w:tcW w:w="708" w:type="dxa"/>
            <w:tcBorders>
              <w:top w:val="nil"/>
              <w:left w:val="nil"/>
              <w:bottom w:val="single" w:sz="4" w:space="0" w:color="auto"/>
              <w:right w:val="single" w:sz="4" w:space="0" w:color="auto"/>
            </w:tcBorders>
            <w:shd w:val="clear" w:color="auto" w:fill="auto"/>
            <w:vAlign w:val="center"/>
            <w:hideMark/>
          </w:tcPr>
          <w:p w14:paraId="14B4B4B9"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77%</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7385E390"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74%</w:t>
            </w:r>
          </w:p>
        </w:tc>
        <w:tc>
          <w:tcPr>
            <w:tcW w:w="709" w:type="dxa"/>
            <w:tcBorders>
              <w:top w:val="nil"/>
              <w:left w:val="nil"/>
              <w:bottom w:val="single" w:sz="4" w:space="0" w:color="auto"/>
              <w:right w:val="single" w:sz="4" w:space="0" w:color="auto"/>
            </w:tcBorders>
            <w:shd w:val="clear" w:color="auto" w:fill="auto"/>
            <w:vAlign w:val="center"/>
            <w:hideMark/>
          </w:tcPr>
          <w:p w14:paraId="7277FAA7"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37%</w:t>
            </w:r>
          </w:p>
        </w:tc>
        <w:tc>
          <w:tcPr>
            <w:tcW w:w="709" w:type="dxa"/>
            <w:tcBorders>
              <w:top w:val="nil"/>
              <w:left w:val="nil"/>
              <w:bottom w:val="single" w:sz="4" w:space="0" w:color="auto"/>
              <w:right w:val="single" w:sz="4" w:space="0" w:color="auto"/>
            </w:tcBorders>
            <w:shd w:val="clear" w:color="auto" w:fill="auto"/>
            <w:vAlign w:val="center"/>
            <w:hideMark/>
          </w:tcPr>
          <w:p w14:paraId="7FD7D5B8"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67%</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8" w:space="0" w:color="auto"/>
            </w:tcBorders>
            <w:shd w:val="clear" w:color="auto" w:fill="auto"/>
            <w:vAlign w:val="center"/>
            <w:hideMark/>
          </w:tcPr>
          <w:p w14:paraId="162EFA3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60%</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4" w:space="0" w:color="auto"/>
            </w:tcBorders>
            <w:shd w:val="clear" w:color="auto" w:fill="auto"/>
            <w:vAlign w:val="center"/>
            <w:hideMark/>
          </w:tcPr>
          <w:p w14:paraId="2340F78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37%</w:t>
            </w:r>
          </w:p>
        </w:tc>
        <w:tc>
          <w:tcPr>
            <w:tcW w:w="709" w:type="dxa"/>
            <w:tcBorders>
              <w:top w:val="nil"/>
              <w:left w:val="nil"/>
              <w:bottom w:val="single" w:sz="4" w:space="0" w:color="auto"/>
              <w:right w:val="single" w:sz="4" w:space="0" w:color="auto"/>
            </w:tcBorders>
            <w:shd w:val="clear" w:color="auto" w:fill="auto"/>
            <w:vAlign w:val="center"/>
            <w:hideMark/>
          </w:tcPr>
          <w:p w14:paraId="0E63D13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58%</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265D7A5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55%</w:t>
            </w:r>
            <w:r w:rsidRPr="0029110D">
              <w:rPr>
                <w:rFonts w:eastAsia="Times New Roman"/>
                <w:color w:val="000000"/>
                <w:sz w:val="20"/>
                <w:szCs w:val="20"/>
                <w:vertAlign w:val="superscript"/>
                <w:lang w:eastAsia="ru-RU"/>
              </w:rPr>
              <w:t>***</w:t>
            </w:r>
          </w:p>
        </w:tc>
        <w:tc>
          <w:tcPr>
            <w:tcW w:w="708" w:type="dxa"/>
            <w:tcBorders>
              <w:top w:val="nil"/>
              <w:left w:val="nil"/>
              <w:bottom w:val="single" w:sz="4" w:space="0" w:color="auto"/>
              <w:right w:val="single" w:sz="4" w:space="0" w:color="auto"/>
            </w:tcBorders>
            <w:shd w:val="clear" w:color="auto" w:fill="auto"/>
            <w:vAlign w:val="center"/>
            <w:hideMark/>
          </w:tcPr>
          <w:p w14:paraId="6B2BACF4"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24%</w:t>
            </w:r>
          </w:p>
        </w:tc>
        <w:tc>
          <w:tcPr>
            <w:tcW w:w="709" w:type="dxa"/>
            <w:tcBorders>
              <w:top w:val="nil"/>
              <w:left w:val="nil"/>
              <w:bottom w:val="single" w:sz="4" w:space="0" w:color="auto"/>
              <w:right w:val="single" w:sz="4" w:space="0" w:color="auto"/>
            </w:tcBorders>
            <w:shd w:val="clear" w:color="auto" w:fill="auto"/>
            <w:vAlign w:val="center"/>
            <w:hideMark/>
          </w:tcPr>
          <w:p w14:paraId="0596F9D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41%</w:t>
            </w:r>
            <w:r w:rsidRPr="0029110D">
              <w:rPr>
                <w:rFonts w:eastAsia="Times New Roman"/>
                <w:color w:val="000000"/>
                <w:sz w:val="20"/>
                <w:szCs w:val="20"/>
                <w:vertAlign w:val="superscript"/>
                <w:lang w:eastAsia="ru-RU"/>
              </w:rPr>
              <w:t>***</w:t>
            </w:r>
          </w:p>
        </w:tc>
        <w:tc>
          <w:tcPr>
            <w:tcW w:w="709" w:type="dxa"/>
            <w:tcBorders>
              <w:top w:val="nil"/>
              <w:left w:val="nil"/>
              <w:bottom w:val="single" w:sz="4" w:space="0" w:color="auto"/>
              <w:right w:val="single" w:sz="8" w:space="0" w:color="auto"/>
            </w:tcBorders>
            <w:shd w:val="clear" w:color="auto" w:fill="auto"/>
            <w:vAlign w:val="center"/>
            <w:hideMark/>
          </w:tcPr>
          <w:p w14:paraId="0BFA6D11"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44%</w:t>
            </w:r>
            <w:r w:rsidRPr="0029110D">
              <w:rPr>
                <w:rFonts w:eastAsia="Times New Roman"/>
                <w:color w:val="000000"/>
                <w:sz w:val="20"/>
                <w:szCs w:val="20"/>
                <w:vertAlign w:val="superscript"/>
                <w:lang w:eastAsia="ru-RU"/>
              </w:rPr>
              <w:t>***</w:t>
            </w:r>
          </w:p>
        </w:tc>
      </w:tr>
      <w:tr w:rsidR="00713EC9" w:rsidRPr="0029110D" w14:paraId="1683E9C5" w14:textId="77777777" w:rsidTr="00AB1FF1">
        <w:trPr>
          <w:trHeight w:val="20"/>
        </w:trPr>
        <w:tc>
          <w:tcPr>
            <w:tcW w:w="866" w:type="dxa"/>
            <w:tcBorders>
              <w:top w:val="nil"/>
              <w:left w:val="single" w:sz="4" w:space="0" w:color="auto"/>
              <w:bottom w:val="nil"/>
              <w:right w:val="nil"/>
            </w:tcBorders>
            <w:shd w:val="clear" w:color="auto" w:fill="auto"/>
            <w:vAlign w:val="center"/>
            <w:hideMark/>
          </w:tcPr>
          <w:p w14:paraId="52C0123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Неделя 52</w:t>
            </w:r>
          </w:p>
        </w:tc>
        <w:tc>
          <w:tcPr>
            <w:tcW w:w="709" w:type="dxa"/>
            <w:tcBorders>
              <w:top w:val="nil"/>
              <w:left w:val="single" w:sz="8" w:space="0" w:color="auto"/>
              <w:bottom w:val="nil"/>
              <w:right w:val="single" w:sz="4" w:space="0" w:color="auto"/>
            </w:tcBorders>
            <w:shd w:val="clear" w:color="auto" w:fill="auto"/>
            <w:vAlign w:val="center"/>
            <w:hideMark/>
          </w:tcPr>
          <w:p w14:paraId="2D875385"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53%</w:t>
            </w:r>
          </w:p>
        </w:tc>
        <w:tc>
          <w:tcPr>
            <w:tcW w:w="708" w:type="dxa"/>
            <w:tcBorders>
              <w:top w:val="nil"/>
              <w:left w:val="nil"/>
              <w:bottom w:val="nil"/>
              <w:right w:val="single" w:sz="4" w:space="0" w:color="auto"/>
            </w:tcBorders>
            <w:shd w:val="clear" w:color="auto" w:fill="auto"/>
            <w:vAlign w:val="center"/>
            <w:hideMark/>
          </w:tcPr>
          <w:p w14:paraId="3B9BEE1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65%</w:t>
            </w:r>
            <w:r w:rsidRPr="0029110D">
              <w:rPr>
                <w:rFonts w:eastAsia="Times New Roman"/>
                <w:color w:val="000000"/>
                <w:sz w:val="20"/>
                <w:szCs w:val="20"/>
                <w:vertAlign w:val="superscript"/>
                <w:lang w:eastAsia="ru-RU"/>
              </w:rPr>
              <w:t>*</w:t>
            </w:r>
          </w:p>
        </w:tc>
        <w:tc>
          <w:tcPr>
            <w:tcW w:w="709" w:type="dxa"/>
            <w:tcBorders>
              <w:top w:val="nil"/>
              <w:left w:val="nil"/>
              <w:bottom w:val="nil"/>
              <w:right w:val="single" w:sz="8" w:space="0" w:color="auto"/>
            </w:tcBorders>
            <w:shd w:val="clear" w:color="auto" w:fill="auto"/>
            <w:vAlign w:val="center"/>
            <w:hideMark/>
          </w:tcPr>
          <w:p w14:paraId="680A6503"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67%</w:t>
            </w:r>
            <w:r w:rsidRPr="0029110D">
              <w:rPr>
                <w:rFonts w:eastAsia="Times New Roman"/>
                <w:color w:val="000000"/>
                <w:sz w:val="20"/>
                <w:szCs w:val="20"/>
                <w:vertAlign w:val="superscript"/>
                <w:lang w:eastAsia="ru-RU"/>
              </w:rPr>
              <w:t>**</w:t>
            </w:r>
          </w:p>
        </w:tc>
        <w:tc>
          <w:tcPr>
            <w:tcW w:w="709" w:type="dxa"/>
            <w:tcBorders>
              <w:top w:val="nil"/>
              <w:left w:val="nil"/>
              <w:bottom w:val="nil"/>
              <w:right w:val="single" w:sz="4" w:space="0" w:color="auto"/>
            </w:tcBorders>
            <w:shd w:val="clear" w:color="auto" w:fill="auto"/>
            <w:vAlign w:val="center"/>
            <w:hideMark/>
          </w:tcPr>
          <w:p w14:paraId="71D210CF"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22DBC48B"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61%</w:t>
            </w:r>
          </w:p>
        </w:tc>
        <w:tc>
          <w:tcPr>
            <w:tcW w:w="708" w:type="dxa"/>
            <w:tcBorders>
              <w:top w:val="nil"/>
              <w:left w:val="nil"/>
              <w:bottom w:val="nil"/>
              <w:right w:val="single" w:sz="8" w:space="0" w:color="auto"/>
            </w:tcBorders>
            <w:shd w:val="clear" w:color="auto" w:fill="auto"/>
            <w:vAlign w:val="center"/>
            <w:hideMark/>
          </w:tcPr>
          <w:p w14:paraId="640FDF30" w14:textId="77777777" w:rsidR="00713EC9" w:rsidRPr="0029110D" w:rsidRDefault="00713EC9">
            <w:pPr>
              <w:spacing w:after="0" w:line="240" w:lineRule="auto"/>
              <w:jc w:val="center"/>
              <w:rPr>
                <w:rFonts w:eastAsia="Times New Roman"/>
                <w:color w:val="000000"/>
                <w:sz w:val="20"/>
                <w:szCs w:val="20"/>
                <w:lang w:eastAsia="ru-RU"/>
              </w:rPr>
            </w:pPr>
            <w:r w:rsidRPr="0029110D">
              <w:rPr>
                <w:rFonts w:eastAsia="Times New Roman"/>
                <w:color w:val="000000"/>
                <w:sz w:val="20"/>
                <w:szCs w:val="20"/>
                <w:lang w:eastAsia="ru-RU"/>
              </w:rPr>
              <w:t>55%</w:t>
            </w:r>
          </w:p>
        </w:tc>
        <w:tc>
          <w:tcPr>
            <w:tcW w:w="709" w:type="dxa"/>
            <w:tcBorders>
              <w:top w:val="nil"/>
              <w:left w:val="nil"/>
              <w:bottom w:val="single" w:sz="8" w:space="0" w:color="auto"/>
              <w:right w:val="single" w:sz="4" w:space="0" w:color="auto"/>
            </w:tcBorders>
            <w:shd w:val="clear" w:color="auto" w:fill="auto"/>
            <w:vAlign w:val="center"/>
            <w:hideMark/>
          </w:tcPr>
          <w:p w14:paraId="4FF21458"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single" w:sz="8" w:space="0" w:color="auto"/>
              <w:right w:val="single" w:sz="4" w:space="0" w:color="auto"/>
            </w:tcBorders>
            <w:shd w:val="clear" w:color="auto" w:fill="auto"/>
            <w:vAlign w:val="center"/>
            <w:hideMark/>
          </w:tcPr>
          <w:p w14:paraId="150360FE"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single" w:sz="8" w:space="0" w:color="auto"/>
              <w:right w:val="single" w:sz="8" w:space="0" w:color="auto"/>
            </w:tcBorders>
            <w:shd w:val="clear" w:color="auto" w:fill="auto"/>
            <w:vAlign w:val="center"/>
            <w:hideMark/>
          </w:tcPr>
          <w:p w14:paraId="3DACAEC4" w14:textId="77777777" w:rsidR="00713EC9" w:rsidRPr="0029110D" w:rsidRDefault="00713EC9">
            <w:pPr>
              <w:spacing w:after="0" w:line="240" w:lineRule="auto"/>
              <w:jc w:val="center"/>
              <w:rPr>
                <w:rFonts w:eastAsia="Times New Roman"/>
                <w:color w:val="000000"/>
                <w:sz w:val="20"/>
                <w:szCs w:val="20"/>
                <w:lang w:eastAsia="ru-RU"/>
              </w:rPr>
            </w:pPr>
          </w:p>
        </w:tc>
        <w:tc>
          <w:tcPr>
            <w:tcW w:w="708" w:type="dxa"/>
            <w:tcBorders>
              <w:top w:val="nil"/>
              <w:left w:val="nil"/>
              <w:bottom w:val="nil"/>
              <w:right w:val="single" w:sz="4" w:space="0" w:color="auto"/>
            </w:tcBorders>
            <w:shd w:val="clear" w:color="auto" w:fill="auto"/>
            <w:vAlign w:val="center"/>
            <w:hideMark/>
          </w:tcPr>
          <w:p w14:paraId="24B95B6A"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4" w:space="0" w:color="auto"/>
            </w:tcBorders>
            <w:shd w:val="clear" w:color="auto" w:fill="auto"/>
            <w:vAlign w:val="center"/>
            <w:hideMark/>
          </w:tcPr>
          <w:p w14:paraId="75F4AC8C" w14:textId="77777777" w:rsidR="00713EC9" w:rsidRPr="0029110D" w:rsidRDefault="00713EC9">
            <w:pPr>
              <w:spacing w:after="0" w:line="240" w:lineRule="auto"/>
              <w:jc w:val="center"/>
              <w:rPr>
                <w:rFonts w:eastAsia="Times New Roman"/>
                <w:color w:val="000000"/>
                <w:sz w:val="20"/>
                <w:szCs w:val="20"/>
                <w:lang w:eastAsia="ru-RU"/>
              </w:rPr>
            </w:pPr>
          </w:p>
        </w:tc>
        <w:tc>
          <w:tcPr>
            <w:tcW w:w="709" w:type="dxa"/>
            <w:tcBorders>
              <w:top w:val="nil"/>
              <w:left w:val="nil"/>
              <w:bottom w:val="nil"/>
              <w:right w:val="single" w:sz="8" w:space="0" w:color="auto"/>
            </w:tcBorders>
            <w:shd w:val="clear" w:color="auto" w:fill="auto"/>
            <w:vAlign w:val="center"/>
            <w:hideMark/>
          </w:tcPr>
          <w:p w14:paraId="468C7C28" w14:textId="77777777" w:rsidR="00713EC9" w:rsidRPr="0029110D" w:rsidRDefault="00713EC9">
            <w:pPr>
              <w:spacing w:after="0" w:line="240" w:lineRule="auto"/>
              <w:jc w:val="center"/>
              <w:rPr>
                <w:rFonts w:eastAsia="Times New Roman"/>
                <w:color w:val="000000"/>
                <w:sz w:val="20"/>
                <w:szCs w:val="20"/>
                <w:lang w:eastAsia="ru-RU"/>
              </w:rPr>
            </w:pPr>
          </w:p>
        </w:tc>
      </w:tr>
      <w:tr w:rsidR="00713EC9" w:rsidRPr="0029110D" w14:paraId="24ABC698" w14:textId="77777777" w:rsidTr="00AB1FF1">
        <w:trPr>
          <w:trHeight w:val="20"/>
        </w:trPr>
        <w:tc>
          <w:tcPr>
            <w:tcW w:w="9371" w:type="dxa"/>
            <w:gridSpan w:val="13"/>
            <w:tcBorders>
              <w:top w:val="single" w:sz="8" w:space="0" w:color="auto"/>
              <w:left w:val="single" w:sz="8" w:space="0" w:color="auto"/>
              <w:bottom w:val="single" w:sz="8" w:space="0" w:color="auto"/>
              <w:right w:val="single" w:sz="8" w:space="0" w:color="000000"/>
            </w:tcBorders>
            <w:shd w:val="clear" w:color="auto" w:fill="auto"/>
            <w:vAlign w:val="bottom"/>
            <w:hideMark/>
          </w:tcPr>
          <w:p w14:paraId="5DABD8DF" w14:textId="77777777" w:rsidR="00713EC9" w:rsidRPr="0029110D" w:rsidRDefault="00713EC9">
            <w:pPr>
              <w:spacing w:after="0" w:line="240" w:lineRule="auto"/>
              <w:jc w:val="left"/>
              <w:rPr>
                <w:rFonts w:eastAsia="Times New Roman"/>
                <w:color w:val="000000"/>
                <w:sz w:val="20"/>
                <w:szCs w:val="20"/>
                <w:lang w:eastAsia="ru-RU"/>
              </w:rPr>
            </w:pPr>
            <w:r w:rsidRPr="0029110D">
              <w:rPr>
                <w:rFonts w:eastAsia="Times New Roman"/>
                <w:b/>
                <w:color w:val="000000"/>
                <w:sz w:val="20"/>
                <w:szCs w:val="20"/>
                <w:lang w:eastAsia="ru-RU"/>
              </w:rPr>
              <w:t>Примечание:</w:t>
            </w:r>
            <w:r w:rsidRPr="0029110D">
              <w:rPr>
                <w:rFonts w:eastAsia="Times New Roman"/>
                <w:color w:val="000000"/>
                <w:sz w:val="20"/>
                <w:szCs w:val="20"/>
                <w:lang w:eastAsia="ru-RU"/>
              </w:rPr>
              <w:br/>
              <w:t>Доля ответивших в каждый момент времени на основе первоначально рандомизированных для лечения (n). Пациенты, прекратившие лечение или получившие спасательную терапию, впоследствии считались не ответившими на лечение.</w:t>
            </w:r>
            <w:r w:rsidRPr="0029110D">
              <w:rPr>
                <w:rFonts w:eastAsia="Times New Roman"/>
                <w:color w:val="000000"/>
                <w:sz w:val="20"/>
                <w:szCs w:val="20"/>
                <w:lang w:eastAsia="ru-RU"/>
              </w:rPr>
              <w:br/>
              <w:t>Сокращения: ADA = адалимумаб; BARI = барицитиниб; MTX = метотрексат; PBO = плацебо</w:t>
            </w:r>
            <w:r w:rsidRPr="0029110D">
              <w:rPr>
                <w:rFonts w:eastAsia="Times New Roman"/>
                <w:color w:val="000000"/>
                <w:sz w:val="20"/>
                <w:szCs w:val="20"/>
                <w:lang w:eastAsia="ru-RU"/>
              </w:rPr>
              <w:br/>
            </w:r>
            <w:r w:rsidRPr="0029110D">
              <w:rPr>
                <w:rFonts w:eastAsia="Times New Roman"/>
                <w:color w:val="000000"/>
                <w:sz w:val="20"/>
                <w:szCs w:val="20"/>
                <w:vertAlign w:val="superscript"/>
                <w:lang w:eastAsia="ru-RU"/>
              </w:rPr>
              <w:t>*</w:t>
            </w:r>
            <w:r w:rsidRPr="0029110D">
              <w:rPr>
                <w:rFonts w:eastAsia="Times New Roman"/>
                <w:color w:val="000000"/>
                <w:sz w:val="20"/>
                <w:szCs w:val="20"/>
                <w:lang w:eastAsia="ru-RU"/>
              </w:rPr>
              <w:t xml:space="preserve"> р ≤ 0,05; </w:t>
            </w:r>
            <w:r w:rsidRPr="0029110D">
              <w:rPr>
                <w:rFonts w:eastAsia="Times New Roman"/>
                <w:color w:val="000000"/>
                <w:sz w:val="20"/>
                <w:szCs w:val="20"/>
                <w:vertAlign w:val="superscript"/>
                <w:lang w:eastAsia="ru-RU"/>
              </w:rPr>
              <w:t>**</w:t>
            </w:r>
            <w:r w:rsidRPr="0029110D">
              <w:rPr>
                <w:rFonts w:eastAsia="Times New Roman"/>
                <w:color w:val="000000"/>
                <w:sz w:val="20"/>
                <w:szCs w:val="20"/>
                <w:lang w:eastAsia="ru-RU"/>
              </w:rPr>
              <w:t xml:space="preserve"> р ≤ 0,01; </w:t>
            </w:r>
            <w:r w:rsidRPr="0029110D">
              <w:rPr>
                <w:rFonts w:eastAsia="Times New Roman"/>
                <w:color w:val="000000"/>
                <w:sz w:val="20"/>
                <w:szCs w:val="20"/>
                <w:vertAlign w:val="superscript"/>
                <w:lang w:eastAsia="ru-RU"/>
              </w:rPr>
              <w:t>***</w:t>
            </w:r>
            <w:r w:rsidRPr="0029110D">
              <w:rPr>
                <w:rFonts w:eastAsia="Times New Roman"/>
                <w:color w:val="000000"/>
                <w:sz w:val="20"/>
                <w:szCs w:val="20"/>
                <w:lang w:eastAsia="ru-RU"/>
              </w:rPr>
              <w:t xml:space="preserve"> p ≤ 0,001 по сравнению с плацебо (по сравнению с метотрексатом в исследовании RA-BEGIN).</w:t>
            </w:r>
            <w:r w:rsidRPr="0029110D">
              <w:rPr>
                <w:rFonts w:eastAsia="Times New Roman"/>
                <w:color w:val="000000"/>
                <w:sz w:val="20"/>
                <w:szCs w:val="20"/>
                <w:lang w:eastAsia="ru-RU"/>
              </w:rPr>
              <w:br/>
            </w:r>
            <w:r w:rsidRPr="0029110D">
              <w:rPr>
                <w:rFonts w:eastAsia="Times New Roman"/>
                <w:color w:val="000000"/>
                <w:sz w:val="20"/>
                <w:szCs w:val="20"/>
                <w:vertAlign w:val="superscript"/>
                <w:lang w:eastAsia="ru-RU"/>
              </w:rPr>
              <w:t>†</w:t>
            </w:r>
            <w:r w:rsidRPr="0029110D">
              <w:rPr>
                <w:rFonts w:eastAsia="Times New Roman"/>
                <w:color w:val="000000"/>
                <w:sz w:val="20"/>
                <w:szCs w:val="20"/>
                <w:lang w:eastAsia="ru-RU"/>
              </w:rPr>
              <w:t xml:space="preserve"> р ≤ 0,05; </w:t>
            </w:r>
            <w:r w:rsidRPr="0029110D">
              <w:rPr>
                <w:rFonts w:eastAsia="Times New Roman"/>
                <w:color w:val="000000"/>
                <w:sz w:val="20"/>
                <w:szCs w:val="20"/>
                <w:vertAlign w:val="superscript"/>
                <w:lang w:eastAsia="ru-RU"/>
              </w:rPr>
              <w:t>††</w:t>
            </w:r>
            <w:r w:rsidRPr="0029110D">
              <w:rPr>
                <w:rFonts w:eastAsia="Times New Roman"/>
                <w:color w:val="000000"/>
                <w:sz w:val="20"/>
                <w:szCs w:val="20"/>
                <w:lang w:eastAsia="ru-RU"/>
              </w:rPr>
              <w:t xml:space="preserve"> р ≤ 0,01 по сравнению с адалимумабом.</w:t>
            </w:r>
          </w:p>
        </w:tc>
      </w:tr>
    </w:tbl>
    <w:p w14:paraId="13808BD4" w14:textId="77777777" w:rsidR="00713EC9" w:rsidRDefault="00713EC9">
      <w:pPr>
        <w:pStyle w:val="Default"/>
        <w:ind w:firstLine="709"/>
        <w:contextualSpacing/>
        <w:rPr>
          <w:b/>
          <w:i/>
          <w:iCs/>
        </w:rPr>
      </w:pPr>
    </w:p>
    <w:p w14:paraId="44E5FE41" w14:textId="383A0946" w:rsidR="0023074E" w:rsidRPr="00713EC9" w:rsidRDefault="0023074E" w:rsidP="0029110D">
      <w:pPr>
        <w:pStyle w:val="Default"/>
        <w:contextualSpacing/>
        <w:rPr>
          <w:b/>
          <w:i/>
          <w:iCs/>
        </w:rPr>
      </w:pPr>
      <w:r w:rsidRPr="00713EC9">
        <w:rPr>
          <w:b/>
          <w:i/>
          <w:iCs/>
        </w:rPr>
        <w:t>Оценка функциональных исходов по данным регистрационных исследовани</w:t>
      </w:r>
      <w:r w:rsidR="0029110D">
        <w:rPr>
          <w:b/>
          <w:i/>
          <w:iCs/>
        </w:rPr>
        <w:t>и</w:t>
      </w:r>
    </w:p>
    <w:p w14:paraId="2CB76359" w14:textId="77777777" w:rsidR="0029110D" w:rsidRDefault="0029110D" w:rsidP="00AB1FF1">
      <w:pPr>
        <w:pStyle w:val="Default"/>
        <w:ind w:firstLine="709"/>
        <w:contextualSpacing/>
        <w:jc w:val="both"/>
      </w:pPr>
    </w:p>
    <w:p w14:paraId="4657EF5C" w14:textId="535987B1" w:rsidR="0023074E" w:rsidRPr="006B0CD9" w:rsidRDefault="0023074E" w:rsidP="00AB1FF1">
      <w:pPr>
        <w:pStyle w:val="Default"/>
        <w:ind w:firstLine="709"/>
        <w:contextualSpacing/>
        <w:jc w:val="both"/>
      </w:pPr>
      <w:r w:rsidRPr="006B0CD9">
        <w:t xml:space="preserve">Лечение барицитинибом в дозе 4 мг отдельно или в комбинации с </w:t>
      </w:r>
      <w:r w:rsidRPr="006B0CD9">
        <w:rPr>
          <w:lang w:val="en-US"/>
        </w:rPr>
        <w:t>cDMARD</w:t>
      </w:r>
      <w:r w:rsidRPr="006B0CD9">
        <w:t xml:space="preserve"> приводило к значительному улучшению физической функции (</w:t>
      </w:r>
      <w:r w:rsidRPr="006B0CD9">
        <w:rPr>
          <w:lang w:val="en-US"/>
        </w:rPr>
        <w:t>HAQ</w:t>
      </w:r>
      <w:r w:rsidRPr="006B0CD9">
        <w:t>-</w:t>
      </w:r>
      <w:r w:rsidRPr="006B0CD9">
        <w:rPr>
          <w:lang w:val="en-US"/>
        </w:rPr>
        <w:t>DI</w:t>
      </w:r>
      <w:r w:rsidRPr="006B0CD9">
        <w:t xml:space="preserve">) и боли (0-100 по визуальной аналоговой шкале) по сравнению со всеми препаратами сравнения (плацебо, метотрексат, адалимумаб). Улучшения наблюдались уже на 1-й неделе и в исследованиях </w:t>
      </w:r>
      <w:r w:rsidRPr="006B0CD9">
        <w:rPr>
          <w:lang w:val="en-US"/>
        </w:rPr>
        <w:t>RA</w:t>
      </w:r>
      <w:r w:rsidRPr="006B0CD9">
        <w:t>-</w:t>
      </w:r>
      <w:r w:rsidRPr="006B0CD9">
        <w:rPr>
          <w:lang w:val="en-US"/>
        </w:rPr>
        <w:t>BEGIN</w:t>
      </w:r>
      <w:r w:rsidRPr="006B0CD9">
        <w:t xml:space="preserve"> и </w:t>
      </w:r>
      <w:r w:rsidRPr="006B0CD9">
        <w:rPr>
          <w:lang w:val="en-US"/>
        </w:rPr>
        <w:t>RA</w:t>
      </w:r>
      <w:r w:rsidRPr="006B0CD9">
        <w:t>-</w:t>
      </w:r>
      <w:r w:rsidRPr="006B0CD9">
        <w:rPr>
          <w:lang w:val="en-US"/>
        </w:rPr>
        <w:t>BEAM</w:t>
      </w:r>
      <w:r w:rsidRPr="006B0CD9">
        <w:t xml:space="preserve"> сохранялись до 52 недель.</w:t>
      </w:r>
    </w:p>
    <w:p w14:paraId="36867DE8" w14:textId="77777777" w:rsidR="0023074E" w:rsidRPr="006B0CD9" w:rsidRDefault="0023074E" w:rsidP="00AB1FF1">
      <w:pPr>
        <w:pStyle w:val="Default"/>
        <w:ind w:firstLine="709"/>
        <w:contextualSpacing/>
        <w:jc w:val="both"/>
      </w:pPr>
      <w:r w:rsidRPr="006B0CD9">
        <w:t xml:space="preserve">В исследованиях </w:t>
      </w:r>
      <w:r w:rsidRPr="006B0CD9">
        <w:rPr>
          <w:lang w:val="en-US"/>
        </w:rPr>
        <w:t>RA</w:t>
      </w:r>
      <w:r w:rsidRPr="006B0CD9">
        <w:t>-</w:t>
      </w:r>
      <w:r w:rsidRPr="006B0CD9">
        <w:rPr>
          <w:lang w:val="en-US"/>
        </w:rPr>
        <w:t>BEAM</w:t>
      </w:r>
      <w:r w:rsidRPr="006B0CD9">
        <w:t xml:space="preserve"> и </w:t>
      </w:r>
      <w:r w:rsidRPr="006B0CD9">
        <w:rPr>
          <w:lang w:val="en-US"/>
        </w:rPr>
        <w:t>RA</w:t>
      </w:r>
      <w:r w:rsidRPr="006B0CD9">
        <w:t>-</w:t>
      </w:r>
      <w:r w:rsidRPr="006B0CD9">
        <w:rPr>
          <w:lang w:val="en-US"/>
        </w:rPr>
        <w:t>BUILD</w:t>
      </w:r>
      <w:r w:rsidRPr="006B0CD9">
        <w:t xml:space="preserve"> лечение барицитинибом в дозе 4 мг приводило к значительному улучшению средней продолжительности и </w:t>
      </w:r>
      <w:r>
        <w:t xml:space="preserve">уменьшению </w:t>
      </w:r>
      <w:r w:rsidRPr="006B0CD9">
        <w:t>тяжести утренней скованности суставов по сравнению с плацебо или адалимумабом, что оценивалось с помощью ежедневных электронных дневников пациентов.</w:t>
      </w:r>
    </w:p>
    <w:p w14:paraId="451EBA8D" w14:textId="419EDCF1" w:rsidR="00511EB4" w:rsidRPr="001843D3" w:rsidRDefault="0023074E" w:rsidP="00AB1FF1">
      <w:pPr>
        <w:pStyle w:val="Default"/>
        <w:ind w:firstLine="709"/>
        <w:contextualSpacing/>
        <w:jc w:val="both"/>
      </w:pPr>
      <w:r w:rsidRPr="006B0CD9">
        <w:t>Во всех исследованиях пациенты, принимавшие барицитиниб, сообщали</w:t>
      </w:r>
      <w:r>
        <w:t xml:space="preserve"> об улучшении как качества жизни </w:t>
      </w:r>
      <w:r w:rsidRPr="006B0CD9">
        <w:t xml:space="preserve">согласно оценке </w:t>
      </w:r>
      <w:r>
        <w:t xml:space="preserve">по опроснику </w:t>
      </w:r>
      <w:r w:rsidRPr="006B0CD9">
        <w:rPr>
          <w:lang w:val="en-US"/>
        </w:rPr>
        <w:t>Health</w:t>
      </w:r>
      <w:r w:rsidRPr="006B0CD9">
        <w:t xml:space="preserve"> </w:t>
      </w:r>
      <w:r w:rsidRPr="006B0CD9">
        <w:rPr>
          <w:lang w:val="en-US"/>
        </w:rPr>
        <w:t>Survey</w:t>
      </w:r>
      <w:r w:rsidRPr="006B0CD9">
        <w:t xml:space="preserve"> (</w:t>
      </w:r>
      <w:r w:rsidRPr="006B0CD9">
        <w:rPr>
          <w:lang w:val="en-US"/>
        </w:rPr>
        <w:t>SF</w:t>
      </w:r>
      <w:r>
        <w:t>-36) так и о снижении утомляемости</w:t>
      </w:r>
      <w:r w:rsidRPr="006B0CD9">
        <w:t xml:space="preserve"> согласно оценке функциональной оценки тер</w:t>
      </w:r>
      <w:r>
        <w:t xml:space="preserve">апии хронических заболеваний по шкале </w:t>
      </w:r>
      <w:r w:rsidRPr="006B0CD9">
        <w:rPr>
          <w:lang w:val="en-US"/>
        </w:rPr>
        <w:t>FACIT</w:t>
      </w:r>
      <w:r w:rsidRPr="006B0CD9">
        <w:t>-</w:t>
      </w:r>
      <w:r w:rsidRPr="006B0CD9">
        <w:rPr>
          <w:lang w:val="en-US"/>
        </w:rPr>
        <w:t>F</w:t>
      </w:r>
      <w:r w:rsidRPr="006B0CD9">
        <w:t>.</w:t>
      </w:r>
    </w:p>
    <w:p w14:paraId="65C20F53" w14:textId="77777777" w:rsidR="0023074E" w:rsidRPr="006B0CD9" w:rsidRDefault="0023074E">
      <w:pPr>
        <w:pStyle w:val="Default"/>
        <w:contextualSpacing/>
        <w:rPr>
          <w:i/>
          <w:iCs/>
        </w:rPr>
      </w:pPr>
    </w:p>
    <w:p w14:paraId="0CF7E149" w14:textId="36AF253F" w:rsidR="00713EC9" w:rsidRPr="00713EC9" w:rsidRDefault="0023074E" w:rsidP="0029110D">
      <w:pPr>
        <w:spacing w:line="240" w:lineRule="auto"/>
        <w:contextualSpacing/>
        <w:rPr>
          <w:b/>
          <w:i/>
          <w:iCs/>
          <w:color w:val="000000"/>
        </w:rPr>
      </w:pPr>
      <w:r w:rsidRPr="00713EC9">
        <w:rPr>
          <w:b/>
          <w:i/>
          <w:iCs/>
          <w:color w:val="000000"/>
        </w:rPr>
        <w:t>Оценка эффективности терапии барицитинибом в дозе 4 мг против 2 мг</w:t>
      </w:r>
    </w:p>
    <w:p w14:paraId="7CDAE81A" w14:textId="77777777" w:rsidR="0029110D" w:rsidRDefault="0029110D" w:rsidP="001451CD">
      <w:pPr>
        <w:spacing w:line="240" w:lineRule="auto"/>
        <w:ind w:firstLine="709"/>
        <w:contextualSpacing/>
      </w:pPr>
    </w:p>
    <w:p w14:paraId="3D4BF5BF" w14:textId="5F633AFD" w:rsidR="00713EC9" w:rsidRDefault="0023074E" w:rsidP="001451CD">
      <w:pPr>
        <w:spacing w:line="240" w:lineRule="auto"/>
        <w:ind w:firstLine="709"/>
        <w:contextualSpacing/>
      </w:pPr>
      <w:r w:rsidRPr="006B0CD9">
        <w:t xml:space="preserve">Различия в эффективности между дозами 4 мг и 2 мг были наиболее заметны в популяции </w:t>
      </w:r>
      <w:r w:rsidRPr="006B0CD9">
        <w:rPr>
          <w:lang w:val="en-US"/>
        </w:rPr>
        <w:t>bDMARD</w:t>
      </w:r>
      <w:r w:rsidRPr="006B0CD9">
        <w:t>-</w:t>
      </w:r>
      <w:r w:rsidRPr="006B0CD9">
        <w:rPr>
          <w:lang w:val="en-US"/>
        </w:rPr>
        <w:t>IR</w:t>
      </w:r>
      <w:r w:rsidRPr="006B0CD9">
        <w:t xml:space="preserve"> (</w:t>
      </w:r>
      <w:r w:rsidRPr="006B0CD9">
        <w:rPr>
          <w:lang w:val="en-US"/>
        </w:rPr>
        <w:t>RA</w:t>
      </w:r>
      <w:r w:rsidRPr="006B0CD9">
        <w:t>-</w:t>
      </w:r>
      <w:r w:rsidRPr="006B0CD9">
        <w:rPr>
          <w:lang w:val="en-US"/>
        </w:rPr>
        <w:t>BEACON</w:t>
      </w:r>
      <w:r w:rsidRPr="006B0CD9">
        <w:t xml:space="preserve">), в которой для барицитиниба было продемонстрировано статистически значимое улучшение компонентов </w:t>
      </w:r>
      <w:r w:rsidRPr="006B0CD9">
        <w:rPr>
          <w:lang w:val="en-US"/>
        </w:rPr>
        <w:t>ACR</w:t>
      </w:r>
      <w:r w:rsidRPr="006B0CD9">
        <w:t>, таких как количество опухших суставов, количес</w:t>
      </w:r>
      <w:r>
        <w:t xml:space="preserve">тво болезненных суставов и СОЭ для барицитинииба </w:t>
      </w:r>
      <w:r w:rsidRPr="006B0CD9">
        <w:t xml:space="preserve">4 мг по сравнению с плацебо на 24 неделе, но не для барицитиниба 2 мг по сравнению с плацебо. </w:t>
      </w:r>
      <w:r w:rsidRPr="00354353">
        <w:t xml:space="preserve">Кроме того, как для исследования </w:t>
      </w:r>
      <w:r w:rsidRPr="006B0CD9">
        <w:rPr>
          <w:lang w:val="en-US"/>
        </w:rPr>
        <w:t>RA</w:t>
      </w:r>
      <w:r w:rsidRPr="00354353">
        <w:t>-</w:t>
      </w:r>
      <w:r w:rsidRPr="006B0CD9">
        <w:rPr>
          <w:lang w:val="en-US"/>
        </w:rPr>
        <w:t>BEACON</w:t>
      </w:r>
      <w:r w:rsidRPr="00354353">
        <w:t xml:space="preserve">, так и для </w:t>
      </w:r>
      <w:r w:rsidRPr="006B0CD9">
        <w:rPr>
          <w:lang w:val="en-US"/>
        </w:rPr>
        <w:t>RA</w:t>
      </w:r>
      <w:r w:rsidRPr="00354353">
        <w:t>-</w:t>
      </w:r>
      <w:r w:rsidRPr="006B0CD9">
        <w:rPr>
          <w:lang w:val="en-US"/>
        </w:rPr>
        <w:t>BUILD</w:t>
      </w:r>
      <w:r>
        <w:t>,</w:t>
      </w:r>
      <w:r w:rsidRPr="00354353">
        <w:t xml:space="preserve"> начало действия было более быстрым, а </w:t>
      </w:r>
      <w:r>
        <w:t>выраженность</w:t>
      </w:r>
      <w:r w:rsidRPr="00354353">
        <w:t xml:space="preserve"> эффекта, как правило, был</w:t>
      </w:r>
      <w:r>
        <w:t>а</w:t>
      </w:r>
      <w:r w:rsidRPr="00354353">
        <w:t xml:space="preserve"> больше для групп с дозой 4 мг по сравнению с группой с дозой 2 мг.</w:t>
      </w:r>
    </w:p>
    <w:p w14:paraId="53F94D7D" w14:textId="73D917A5" w:rsidR="0023074E" w:rsidRPr="00713EC9" w:rsidRDefault="0023074E" w:rsidP="00AB1FF1">
      <w:pPr>
        <w:spacing w:after="0" w:line="240" w:lineRule="auto"/>
        <w:ind w:firstLine="709"/>
        <w:contextualSpacing/>
        <w:rPr>
          <w:i/>
          <w:iCs/>
          <w:color w:val="000000"/>
        </w:rPr>
      </w:pPr>
      <w:r w:rsidRPr="006B0CD9">
        <w:t xml:space="preserve">В долгосрочном расширенном исследовании пациенты из исследований </w:t>
      </w:r>
      <w:r w:rsidRPr="006B0CD9">
        <w:rPr>
          <w:lang w:val="en-US"/>
        </w:rPr>
        <w:t>RA</w:t>
      </w:r>
      <w:r w:rsidRPr="006B0CD9">
        <w:t>-</w:t>
      </w:r>
      <w:r w:rsidRPr="006B0CD9">
        <w:rPr>
          <w:lang w:val="en-US"/>
        </w:rPr>
        <w:t>BEAM</w:t>
      </w:r>
      <w:r w:rsidRPr="006B0CD9">
        <w:t xml:space="preserve">, </w:t>
      </w:r>
      <w:r w:rsidRPr="006B0CD9">
        <w:rPr>
          <w:lang w:val="en-US"/>
        </w:rPr>
        <w:t>RA</w:t>
      </w:r>
      <w:r w:rsidRPr="006B0CD9">
        <w:t>-</w:t>
      </w:r>
      <w:r w:rsidRPr="006B0CD9">
        <w:rPr>
          <w:lang w:val="en-US"/>
        </w:rPr>
        <w:t>BUILD</w:t>
      </w:r>
      <w:r w:rsidRPr="006B0CD9">
        <w:t xml:space="preserve"> и </w:t>
      </w:r>
      <w:r w:rsidRPr="006B0CD9">
        <w:rPr>
          <w:lang w:val="en-US"/>
        </w:rPr>
        <w:t>RA</w:t>
      </w:r>
      <w:r w:rsidRPr="006B0CD9">
        <w:t>-</w:t>
      </w:r>
      <w:r w:rsidRPr="006B0CD9">
        <w:rPr>
          <w:lang w:val="en-US"/>
        </w:rPr>
        <w:t>BEACON</w:t>
      </w:r>
      <w:r w:rsidRPr="006B0CD9">
        <w:t>, которые достигли устойчивой низкой активности заболевания или ремиссии (</w:t>
      </w:r>
      <w:r w:rsidRPr="006B0CD9">
        <w:rPr>
          <w:lang w:val="en-US"/>
        </w:rPr>
        <w:t>CDAI</w:t>
      </w:r>
      <w:r w:rsidRPr="006B0CD9">
        <w:t xml:space="preserve"> ≤ 10) после не менее 15 месяцев лечения барицитинибом в дозе 4 мг один раз в де</w:t>
      </w:r>
      <w:r>
        <w:t xml:space="preserve">нь, были повторно обследованы и рандомизированы в соотношении </w:t>
      </w:r>
      <w:r w:rsidRPr="006B0CD9">
        <w:t xml:space="preserve">1:1 для продолжения приема </w:t>
      </w:r>
      <w:r>
        <w:t xml:space="preserve">барицитиниба </w:t>
      </w:r>
      <w:r w:rsidRPr="006B0CD9">
        <w:t xml:space="preserve">4 мг один раз в день или снижения дозы </w:t>
      </w:r>
      <w:r>
        <w:t xml:space="preserve">барицитиниба </w:t>
      </w:r>
      <w:r w:rsidRPr="006B0CD9">
        <w:t xml:space="preserve">до 2 мг один раз в день. У большинства пациентов сохранялась низкая активность заболевания или ремиссия по шкале </w:t>
      </w:r>
      <w:r w:rsidRPr="006B0CD9">
        <w:rPr>
          <w:lang w:val="en-US"/>
        </w:rPr>
        <w:t>CDAI</w:t>
      </w:r>
      <w:r w:rsidRPr="006B0CD9">
        <w:t>:</w:t>
      </w:r>
    </w:p>
    <w:p w14:paraId="1E1E948C" w14:textId="77777777" w:rsidR="0023074E" w:rsidRPr="006B0CD9" w:rsidRDefault="0023074E" w:rsidP="00AB1FF1">
      <w:pPr>
        <w:pStyle w:val="Default"/>
        <w:ind w:firstLine="709"/>
        <w:contextualSpacing/>
        <w:jc w:val="both"/>
      </w:pPr>
      <w:r w:rsidRPr="006B0CD9">
        <w:t>• На 12-й неделе: 234/251 (93 %)</w:t>
      </w:r>
      <w:r>
        <w:t xml:space="preserve"> пациентов, продолжающих</w:t>
      </w:r>
      <w:r w:rsidRPr="006B0CD9">
        <w:t xml:space="preserve"> прием </w:t>
      </w:r>
      <w:r>
        <w:t xml:space="preserve">барицитиниба в дозе </w:t>
      </w:r>
      <w:r w:rsidRPr="006B0CD9">
        <w:t>4 мг против 207/251 (82 %)</w:t>
      </w:r>
      <w:r>
        <w:t xml:space="preserve"> пациентов, снизивших дозу барицитиниба</w:t>
      </w:r>
      <w:r w:rsidRPr="006B0CD9">
        <w:t xml:space="preserve"> до 2 мг (</w:t>
      </w:r>
      <w:r w:rsidRPr="006B0CD9">
        <w:rPr>
          <w:lang w:val="en-US"/>
        </w:rPr>
        <w:t>p</w:t>
      </w:r>
      <w:r w:rsidRPr="006B0CD9">
        <w:t xml:space="preserve"> ≤ 0,001).</w:t>
      </w:r>
    </w:p>
    <w:p w14:paraId="16357410" w14:textId="77777777" w:rsidR="0023074E" w:rsidRPr="006B0CD9" w:rsidRDefault="0023074E" w:rsidP="00AB1FF1">
      <w:pPr>
        <w:pStyle w:val="Default"/>
        <w:ind w:firstLine="709"/>
        <w:contextualSpacing/>
        <w:jc w:val="both"/>
      </w:pPr>
      <w:r w:rsidRPr="006B0CD9">
        <w:t>• На 24-й неделе: 163/191 (85 %)</w:t>
      </w:r>
      <w:r>
        <w:t xml:space="preserve"> пациента, продолжающих</w:t>
      </w:r>
      <w:r w:rsidRPr="006B0CD9">
        <w:t xml:space="preserve"> принимать </w:t>
      </w:r>
      <w:r>
        <w:t xml:space="preserve">барицитиниб в дозе </w:t>
      </w:r>
      <w:r w:rsidRPr="006B0CD9">
        <w:t>4 мг против 144/189 (76 %)</w:t>
      </w:r>
      <w:r>
        <w:t xml:space="preserve"> пациентов</w:t>
      </w:r>
      <w:r w:rsidRPr="006B0CD9">
        <w:t xml:space="preserve">, </w:t>
      </w:r>
      <w:r>
        <w:t>снизивших дозу барицитиниба</w:t>
      </w:r>
      <w:r w:rsidRPr="006B0CD9">
        <w:t xml:space="preserve"> до 2 мг (</w:t>
      </w:r>
      <w:r w:rsidRPr="006B0CD9">
        <w:rPr>
          <w:lang w:val="en-US"/>
        </w:rPr>
        <w:t>p</w:t>
      </w:r>
      <w:r w:rsidRPr="006B0CD9">
        <w:t xml:space="preserve"> ≤ 0,05).</w:t>
      </w:r>
    </w:p>
    <w:p w14:paraId="1BB23BF1" w14:textId="77777777" w:rsidR="0023074E" w:rsidRPr="006B0CD9" w:rsidRDefault="0023074E" w:rsidP="00AB1FF1">
      <w:pPr>
        <w:pStyle w:val="Default"/>
        <w:ind w:firstLine="709"/>
        <w:contextualSpacing/>
        <w:jc w:val="both"/>
      </w:pPr>
      <w:r w:rsidRPr="006B0CD9">
        <w:t>• На 48-й неделе: 57/73 (78 %)</w:t>
      </w:r>
      <w:r>
        <w:t xml:space="preserve"> пациентов</w:t>
      </w:r>
      <w:r w:rsidRPr="006B0CD9">
        <w:t xml:space="preserve">, продолжающих принимать </w:t>
      </w:r>
      <w:r>
        <w:t xml:space="preserve">барицитиниб в дозе </w:t>
      </w:r>
      <w:r w:rsidRPr="006B0CD9">
        <w:t>4 мг против 51/86 (59 %)</w:t>
      </w:r>
      <w:r>
        <w:t xml:space="preserve"> пациента</w:t>
      </w:r>
      <w:r w:rsidRPr="006B0CD9">
        <w:t xml:space="preserve">, </w:t>
      </w:r>
      <w:r>
        <w:t>снизивших дозу барицитиниба</w:t>
      </w:r>
      <w:r w:rsidRPr="006B0CD9">
        <w:t xml:space="preserve"> до 2 мг (</w:t>
      </w:r>
      <w:r w:rsidRPr="006B0CD9">
        <w:rPr>
          <w:lang w:val="en-US"/>
        </w:rPr>
        <w:t>p</w:t>
      </w:r>
      <w:r w:rsidRPr="006B0CD9">
        <w:t xml:space="preserve"> ≤ 0,05).</w:t>
      </w:r>
    </w:p>
    <w:p w14:paraId="20B6F5D9" w14:textId="055265F9" w:rsidR="0023074E" w:rsidRPr="00511EB4" w:rsidRDefault="0023074E" w:rsidP="00AB1FF1">
      <w:pPr>
        <w:pStyle w:val="Default"/>
        <w:ind w:firstLine="709"/>
        <w:contextualSpacing/>
        <w:jc w:val="both"/>
      </w:pPr>
      <w:r w:rsidRPr="006B0CD9">
        <w:t xml:space="preserve">Большинство пациентов, которые потеряли низкую активность заболевания или статус ремиссии после снижения дозы, могли восстановить контроль над заболеванием после того, как доза </w:t>
      </w:r>
      <w:r>
        <w:t xml:space="preserve">барицитиниба </w:t>
      </w:r>
      <w:r w:rsidRPr="006B0CD9">
        <w:t>была возвращена к 4 мг.</w:t>
      </w:r>
    </w:p>
    <w:p w14:paraId="39AF734B" w14:textId="77777777" w:rsidR="00C34E4A" w:rsidRDefault="00C34E4A">
      <w:pPr>
        <w:spacing w:after="0" w:line="240" w:lineRule="auto"/>
        <w:rPr>
          <w:color w:val="000000"/>
        </w:rPr>
      </w:pPr>
    </w:p>
    <w:p w14:paraId="1AE6D41F" w14:textId="3A80B141" w:rsidR="00C34E4A" w:rsidRDefault="007D730B">
      <w:pPr>
        <w:pStyle w:val="4"/>
        <w:spacing w:before="0"/>
        <w:rPr>
          <w:szCs w:val="24"/>
        </w:rPr>
      </w:pPr>
      <w:bookmarkStart w:id="161" w:name="_Toc120288173"/>
      <w:bookmarkStart w:id="162" w:name="_Hlk118562487"/>
      <w:r>
        <w:rPr>
          <w:szCs w:val="24"/>
        </w:rPr>
        <w:t>4.2</w:t>
      </w:r>
      <w:r w:rsidR="00C34E4A" w:rsidRPr="00047B0E">
        <w:rPr>
          <w:szCs w:val="24"/>
        </w:rPr>
        <w:t>.1.</w:t>
      </w:r>
      <w:r w:rsidR="00C34E4A">
        <w:rPr>
          <w:szCs w:val="24"/>
        </w:rPr>
        <w:t>2</w:t>
      </w:r>
      <w:r w:rsidR="00C34E4A" w:rsidRPr="00047B0E">
        <w:rPr>
          <w:szCs w:val="24"/>
        </w:rPr>
        <w:t xml:space="preserve">. </w:t>
      </w:r>
      <w:r w:rsidR="00C34E4A">
        <w:rPr>
          <w:szCs w:val="24"/>
        </w:rPr>
        <w:t>Атопический дерматит</w:t>
      </w:r>
      <w:bookmarkEnd w:id="161"/>
    </w:p>
    <w:p w14:paraId="068ED6A8" w14:textId="77777777" w:rsidR="00713EC9" w:rsidRDefault="00713EC9">
      <w:pPr>
        <w:spacing w:after="0" w:line="240" w:lineRule="auto"/>
        <w:ind w:firstLine="708"/>
      </w:pPr>
    </w:p>
    <w:p w14:paraId="246474DE" w14:textId="77777777" w:rsidR="00C34E4A" w:rsidRPr="002F4447" w:rsidRDefault="00C34E4A">
      <w:pPr>
        <w:spacing w:after="0" w:line="240" w:lineRule="auto"/>
        <w:ind w:firstLine="708"/>
      </w:pPr>
      <w:r>
        <w:lastRenderedPageBreak/>
        <w:t xml:space="preserve">Эффективность и безопасность барицитиниба в качестве монотерапии или в комбинации с </w:t>
      </w:r>
      <w:r w:rsidRPr="006D538C">
        <w:t>топическими кортикостероидами (ТКС)</w:t>
      </w:r>
      <w:r>
        <w:t xml:space="preserve"> оценивались в 3 рандомизированных, двойных слепых, плацебо-контролируемых исследованиях III фазы, продолжительностью 16 недель (BREEZE-AD1, -AD2 и -AD7). В исследования были включены 1568 пациентов с АД от умеренной до тяжелой степени, определяемым по </w:t>
      </w:r>
      <w:r w:rsidRPr="006D538C">
        <w:t>шкале Investigator's Global Assessment (IGA)</w:t>
      </w:r>
      <w:r>
        <w:t xml:space="preserve"> ≥ 3, </w:t>
      </w:r>
      <w:r w:rsidRPr="006D538C">
        <w:t>индексу площади и тяжести экземы (EASI)</w:t>
      </w:r>
      <w:r>
        <w:t xml:space="preserve"> ≥ 16 и вовлечению </w:t>
      </w:r>
      <w:r w:rsidRPr="006D538C">
        <w:t>площади поверхности тела (BSA)</w:t>
      </w:r>
      <w:r>
        <w:t xml:space="preserve"> ≥ 10 %. В исследование включили пациентов старше 18 лет, неответчиков на проведенную терапию или имеющих непереносимость местных лекарств. В начале исследования BREEZE-AD7 все пациенты получали сопутствующую терапию ТКС, и пациентам разрешалось использовать местные ингибиторы кальциневрина. В рандомизированном двойном слепом плацебо-контролируемом исследовании III фазы BREEZE-AD4 оценивалась эффективность барицитиниба в комбинации с ТКС в течение 52 недель у 463 пациентов с АД средней и тяжелой степени с неэффективностью, непереносимостью или противопоказаниями к пероральному лечению циклоспорином.</w:t>
      </w:r>
      <w:r w:rsidRPr="00286042">
        <w:t xml:space="preserve"> </w:t>
      </w:r>
      <w:r>
        <w:t xml:space="preserve">Все пациенты, завершившие эти исследования, имели право участвовать в долгосрочном расширенном исследовании (BREEZE AD-3) на срок до 2 лет непрерывного </w:t>
      </w:r>
      <w:r w:rsidRPr="002F4447">
        <w:t xml:space="preserve">лечения </w:t>
      </w:r>
      <w:r w:rsidRPr="002F4447">
        <w:fldChar w:fldCharType="begin"/>
      </w:r>
      <w:r w:rsidRPr="002F4447">
        <w:instrText xml:space="preserve"> ADDIN ZOTERO_ITEM CSL_CITATION {"citationID":"4VLKg8A5","properties":{"formattedCitation":"[6]","plainCitation":"[6]","noteIndex":0},"citationItems":[{"id":3829,"uris":["http://zotero.org/groups/4514912/items/H2A4BXNT"],"itemData":{"id":3829,"type":"document","title":"Summary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3CE426B1" w14:textId="77777777" w:rsidR="00C34E4A" w:rsidRPr="00D21480" w:rsidRDefault="00C34E4A">
      <w:pPr>
        <w:spacing w:after="0" w:line="240" w:lineRule="auto"/>
        <w:ind w:firstLine="708"/>
      </w:pPr>
      <w:r w:rsidRPr="002F4447">
        <w:t xml:space="preserve">В плацебо контролируемых исследованиях III фазы (BREEZE-AD1, -AD2, -AD7 и -AD4) во всех группах лечения 37% были женщинами, 64% – европеоидами, 31% – азиатами и 0,6% – представителями негроидной расы, средний возраст составил 35,6 лет. В этих исследованиях от 42 до 51% пациентов имели исходный IGA 4 (тяжелый АД), а от 54 до 79% пациентов ранее получали системное лечение АД. Исходный средний балл по шкале EASI варьировался от 29,6 до 33,5, исходный еженедельный средний балл по числовой шкале оценки зуда (NRS) варьировал от 6,5 до 7,1, исходный средний дерматологический индекс качества жизни (DLQI) варьировал от 13,6 до 14,9, а исходный средний показатель тревожности и шкала депрессии (HADS) находился в диапазоне от 10,9 до 12,1 </w:t>
      </w:r>
      <w:r w:rsidRPr="002F4447">
        <w:fldChar w:fldCharType="begin"/>
      </w:r>
      <w:r w:rsidRPr="002F4447">
        <w:instrText xml:space="preserve"> ADDIN ZOTERO_ITEM CSL_CITATION {"citationID":"TFM69rGZ","properties":{"formattedCitation":"[6]","plainCitation":"[6]","noteIndex":0},"citationItems":[{"id":3829,"uris":["http://zotero.org/groups/4514912/items/H2A4BXNT"],"itemData":{"id":3829,"type":"document","title":"Summary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0E1B3654" w14:textId="77777777" w:rsidR="0029110D" w:rsidRDefault="0029110D" w:rsidP="0029110D">
      <w:pPr>
        <w:spacing w:after="0" w:line="240" w:lineRule="auto"/>
      </w:pPr>
      <w:bookmarkStart w:id="163" w:name="_Hlk118554009"/>
    </w:p>
    <w:p w14:paraId="665A9495" w14:textId="0D7CF6F8" w:rsidR="00C34E4A" w:rsidRPr="00713EC9" w:rsidRDefault="00C34E4A" w:rsidP="0029110D">
      <w:pPr>
        <w:spacing w:after="0" w:line="240" w:lineRule="auto"/>
        <w:rPr>
          <w:b/>
          <w:i/>
          <w:iCs/>
        </w:rPr>
      </w:pPr>
      <w:r w:rsidRPr="00713EC9">
        <w:rPr>
          <w:b/>
          <w:i/>
          <w:iCs/>
        </w:rPr>
        <w:t xml:space="preserve">Результаты исследований </w:t>
      </w:r>
      <w:r w:rsidRPr="00713EC9">
        <w:rPr>
          <w:b/>
          <w:i/>
          <w:iCs/>
          <w:lang w:val="en-US"/>
        </w:rPr>
        <w:t>BREEZE</w:t>
      </w:r>
      <w:r w:rsidRPr="00713EC9">
        <w:rPr>
          <w:b/>
          <w:i/>
          <w:iCs/>
        </w:rPr>
        <w:t>-</w:t>
      </w:r>
      <w:r w:rsidRPr="00713EC9">
        <w:rPr>
          <w:b/>
          <w:i/>
          <w:iCs/>
          <w:lang w:val="en-US"/>
        </w:rPr>
        <w:t>AD</w:t>
      </w:r>
      <w:r w:rsidRPr="00713EC9">
        <w:rPr>
          <w:b/>
          <w:i/>
          <w:iCs/>
        </w:rPr>
        <w:t>1, -</w:t>
      </w:r>
      <w:r w:rsidRPr="00713EC9">
        <w:rPr>
          <w:b/>
          <w:i/>
          <w:iCs/>
          <w:lang w:val="en-US"/>
        </w:rPr>
        <w:t>AD</w:t>
      </w:r>
      <w:r w:rsidRPr="00713EC9">
        <w:rPr>
          <w:b/>
          <w:i/>
          <w:iCs/>
        </w:rPr>
        <w:t>2, -</w:t>
      </w:r>
      <w:r w:rsidRPr="00713EC9">
        <w:rPr>
          <w:b/>
          <w:i/>
          <w:iCs/>
          <w:lang w:val="en-US"/>
        </w:rPr>
        <w:t>AD</w:t>
      </w:r>
      <w:r w:rsidRPr="00713EC9">
        <w:rPr>
          <w:b/>
          <w:i/>
          <w:iCs/>
        </w:rPr>
        <w:t>7</w:t>
      </w:r>
    </w:p>
    <w:p w14:paraId="1FFFC9AA" w14:textId="77777777" w:rsidR="0029110D" w:rsidRDefault="0029110D">
      <w:pPr>
        <w:spacing w:after="0" w:line="240" w:lineRule="auto"/>
        <w:ind w:firstLine="708"/>
      </w:pPr>
      <w:bookmarkStart w:id="164" w:name="_Hlk118554022"/>
      <w:bookmarkEnd w:id="163"/>
    </w:p>
    <w:p w14:paraId="3C02F4D1" w14:textId="6EF09E8F" w:rsidR="00C34E4A" w:rsidRPr="002F4447" w:rsidRDefault="00C34E4A">
      <w:pPr>
        <w:spacing w:after="0" w:line="240" w:lineRule="auto"/>
        <w:ind w:firstLine="708"/>
      </w:pPr>
      <w:r>
        <w:t>В ходе 16-недельной терапии изучали эффективность барицитиниба в качестве монотерапии (</w:t>
      </w:r>
      <w:r w:rsidRPr="00380F2D">
        <w:t>BREEZE-AD1, -AD2</w:t>
      </w:r>
      <w:r>
        <w:t>) или в комбинации с ТКС (</w:t>
      </w:r>
      <w:r w:rsidRPr="00380F2D">
        <w:t>BREEZE-AD7</w:t>
      </w:r>
      <w:r>
        <w:t xml:space="preserve">). </w:t>
      </w:r>
      <w:bookmarkEnd w:id="164"/>
      <w:r>
        <w:t>Значительно большая часть пациентов, рандомизированных в группу барицитиниба в дозе 4 мг, достигла ответа IGA 0 или 1 (основной результат), улучшения по шкале EASI75 ≥ 4 балла по сравнению с плацебо на 16-й неделе (</w:t>
      </w:r>
      <w:r w:rsidRPr="00795DD4">
        <w:t xml:space="preserve">Таблица </w:t>
      </w:r>
      <w:r w:rsidR="00713EC9">
        <w:t>4-8</w:t>
      </w:r>
      <w:r w:rsidRPr="002F4447">
        <w:t xml:space="preserve">) </w:t>
      </w:r>
      <w:r w:rsidRPr="002F4447">
        <w:fldChar w:fldCharType="begin"/>
      </w:r>
      <w:r w:rsidRPr="002F4447">
        <w:instrText xml:space="preserve"> ADDIN ZOTERO_ITEM CSL_CITATION {"citationID":"phBkb3ng","properties":{"formattedCitation":"[6]","plainCitation":"[6]","noteIndex":0},"citationItems":[{"id":3829,"uris":["http://zotero.org/groups/4514912/items/H2A4BXNT"],"itemData":{"id":3829,"type":"document","title":"Summary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 xml:space="preserve">. </w:t>
      </w:r>
    </w:p>
    <w:bookmarkEnd w:id="162"/>
    <w:p w14:paraId="30CD9AFD" w14:textId="77777777" w:rsidR="00713EC9" w:rsidRDefault="00713EC9">
      <w:pPr>
        <w:spacing w:after="0" w:line="240" w:lineRule="auto"/>
        <w:rPr>
          <w:b/>
          <w:bCs/>
        </w:rPr>
      </w:pPr>
    </w:p>
    <w:p w14:paraId="5876C3DA" w14:textId="5DBDC829" w:rsidR="00C34E4A" w:rsidRPr="00795DD4" w:rsidRDefault="00713EC9">
      <w:pPr>
        <w:spacing w:after="0" w:line="240" w:lineRule="auto"/>
      </w:pPr>
      <w:r>
        <w:rPr>
          <w:b/>
          <w:bCs/>
        </w:rPr>
        <w:t>Таблица 4-8.</w:t>
      </w:r>
      <w:r w:rsidR="00C34E4A" w:rsidRPr="002F4447">
        <w:rPr>
          <w:b/>
          <w:bCs/>
        </w:rPr>
        <w:t xml:space="preserve"> </w:t>
      </w:r>
      <w:r w:rsidR="00C34E4A" w:rsidRPr="00713EC9">
        <w:rPr>
          <w:bCs/>
        </w:rPr>
        <w:t>Эффективность барицитиниба в исследованиях BREEZE-AD1, -AD2, -AD7 на 16-й неделе на основании FAS</w:t>
      </w:r>
      <w:r w:rsidRPr="00713EC9">
        <w:t>.</w:t>
      </w:r>
    </w:p>
    <w:tbl>
      <w:tblPr>
        <w:tblStyle w:val="a8"/>
        <w:tblW w:w="4873" w:type="pct"/>
        <w:tblInd w:w="136" w:type="dxa"/>
        <w:tblLook w:val="04A0" w:firstRow="1" w:lastRow="0" w:firstColumn="1" w:lastColumn="0" w:noHBand="0" w:noVBand="1"/>
      </w:tblPr>
      <w:tblGrid>
        <w:gridCol w:w="1903"/>
        <w:gridCol w:w="693"/>
        <w:gridCol w:w="884"/>
        <w:gridCol w:w="884"/>
        <w:gridCol w:w="691"/>
        <w:gridCol w:w="884"/>
        <w:gridCol w:w="884"/>
        <w:gridCol w:w="886"/>
        <w:gridCol w:w="854"/>
        <w:gridCol w:w="766"/>
      </w:tblGrid>
      <w:tr w:rsidR="00C34E4A" w:rsidRPr="0029110D" w14:paraId="4386060B" w14:textId="77777777" w:rsidTr="00AB1FF1">
        <w:trPr>
          <w:tblHeader/>
        </w:trPr>
        <w:tc>
          <w:tcPr>
            <w:tcW w:w="1926" w:type="dxa"/>
            <w:vMerge w:val="restart"/>
            <w:shd w:val="clear" w:color="auto" w:fill="D9D9D9" w:themeFill="background1" w:themeFillShade="D9"/>
            <w:vAlign w:val="center"/>
          </w:tcPr>
          <w:p w14:paraId="5F445870" w14:textId="77777777" w:rsidR="00C34E4A" w:rsidRPr="0029110D" w:rsidRDefault="00C34E4A">
            <w:pPr>
              <w:jc w:val="center"/>
              <w:rPr>
                <w:b/>
                <w:bCs/>
                <w:sz w:val="20"/>
                <w:szCs w:val="20"/>
              </w:rPr>
            </w:pPr>
            <w:r w:rsidRPr="0029110D">
              <w:rPr>
                <w:b/>
                <w:bCs/>
                <w:sz w:val="20"/>
                <w:szCs w:val="20"/>
              </w:rPr>
              <w:t>Исследование</w:t>
            </w:r>
          </w:p>
        </w:tc>
        <w:tc>
          <w:tcPr>
            <w:tcW w:w="4955" w:type="dxa"/>
            <w:gridSpan w:val="6"/>
            <w:shd w:val="clear" w:color="auto" w:fill="D9D9D9" w:themeFill="background1" w:themeFillShade="D9"/>
            <w:vAlign w:val="center"/>
          </w:tcPr>
          <w:p w14:paraId="5C019D26" w14:textId="77777777" w:rsidR="00C34E4A" w:rsidRPr="0029110D" w:rsidRDefault="00C34E4A">
            <w:pPr>
              <w:jc w:val="center"/>
              <w:rPr>
                <w:b/>
                <w:bCs/>
                <w:sz w:val="20"/>
                <w:szCs w:val="20"/>
              </w:rPr>
            </w:pPr>
            <w:r w:rsidRPr="0029110D">
              <w:rPr>
                <w:b/>
                <w:bCs/>
                <w:sz w:val="20"/>
                <w:szCs w:val="20"/>
              </w:rPr>
              <w:t>Монотерапия барицитинибом</w:t>
            </w:r>
          </w:p>
        </w:tc>
        <w:tc>
          <w:tcPr>
            <w:tcW w:w="2447" w:type="dxa"/>
            <w:gridSpan w:val="3"/>
            <w:shd w:val="clear" w:color="auto" w:fill="D9D9D9" w:themeFill="background1" w:themeFillShade="D9"/>
            <w:vAlign w:val="center"/>
          </w:tcPr>
          <w:p w14:paraId="44F69A30" w14:textId="77777777" w:rsidR="00C34E4A" w:rsidRPr="0029110D" w:rsidRDefault="00C34E4A">
            <w:pPr>
              <w:jc w:val="center"/>
              <w:rPr>
                <w:b/>
                <w:bCs/>
                <w:sz w:val="20"/>
                <w:szCs w:val="20"/>
              </w:rPr>
            </w:pPr>
            <w:r w:rsidRPr="0029110D">
              <w:rPr>
                <w:b/>
                <w:bCs/>
                <w:sz w:val="20"/>
                <w:szCs w:val="20"/>
              </w:rPr>
              <w:t>Барицитинб + топические глюкокортикостероиды</w:t>
            </w:r>
          </w:p>
        </w:tc>
      </w:tr>
      <w:tr w:rsidR="00C34E4A" w:rsidRPr="0029110D" w14:paraId="2A71ADBC" w14:textId="77777777" w:rsidTr="00AB1FF1">
        <w:trPr>
          <w:tblHeader/>
        </w:trPr>
        <w:tc>
          <w:tcPr>
            <w:tcW w:w="1926" w:type="dxa"/>
            <w:vMerge/>
            <w:shd w:val="clear" w:color="auto" w:fill="D9D9D9" w:themeFill="background1" w:themeFillShade="D9"/>
            <w:vAlign w:val="center"/>
          </w:tcPr>
          <w:p w14:paraId="07A2AF56" w14:textId="77777777" w:rsidR="00C34E4A" w:rsidRPr="0029110D" w:rsidRDefault="00C34E4A">
            <w:pPr>
              <w:jc w:val="center"/>
              <w:rPr>
                <w:b/>
                <w:sz w:val="20"/>
                <w:szCs w:val="20"/>
              </w:rPr>
            </w:pPr>
          </w:p>
        </w:tc>
        <w:tc>
          <w:tcPr>
            <w:tcW w:w="696" w:type="dxa"/>
            <w:shd w:val="clear" w:color="auto" w:fill="D9D9D9" w:themeFill="background1" w:themeFillShade="D9"/>
            <w:vAlign w:val="center"/>
          </w:tcPr>
          <w:p w14:paraId="072D39D5" w14:textId="77777777" w:rsidR="00C34E4A" w:rsidRPr="0029110D" w:rsidRDefault="00C34E4A">
            <w:pPr>
              <w:jc w:val="center"/>
              <w:rPr>
                <w:b/>
                <w:sz w:val="20"/>
                <w:szCs w:val="20"/>
              </w:rPr>
            </w:pPr>
            <w:r w:rsidRPr="0029110D">
              <w:rPr>
                <w:b/>
                <w:sz w:val="20"/>
                <w:szCs w:val="20"/>
              </w:rPr>
              <w:t>PBO</w:t>
            </w:r>
          </w:p>
        </w:tc>
        <w:tc>
          <w:tcPr>
            <w:tcW w:w="891" w:type="dxa"/>
            <w:shd w:val="clear" w:color="auto" w:fill="D9D9D9" w:themeFill="background1" w:themeFillShade="D9"/>
            <w:vAlign w:val="center"/>
          </w:tcPr>
          <w:p w14:paraId="6D104DB5" w14:textId="77777777" w:rsidR="00C34E4A" w:rsidRPr="0029110D" w:rsidRDefault="00C34E4A">
            <w:pPr>
              <w:jc w:val="center"/>
              <w:rPr>
                <w:b/>
                <w:sz w:val="20"/>
                <w:szCs w:val="20"/>
              </w:rPr>
            </w:pPr>
            <w:r w:rsidRPr="0029110D">
              <w:rPr>
                <w:b/>
                <w:sz w:val="20"/>
                <w:szCs w:val="20"/>
              </w:rPr>
              <w:t>BARI 2 mg</w:t>
            </w:r>
          </w:p>
        </w:tc>
        <w:tc>
          <w:tcPr>
            <w:tcW w:w="891" w:type="dxa"/>
            <w:shd w:val="clear" w:color="auto" w:fill="D9D9D9" w:themeFill="background1" w:themeFillShade="D9"/>
            <w:vAlign w:val="center"/>
          </w:tcPr>
          <w:p w14:paraId="258214D6" w14:textId="77777777" w:rsidR="00C34E4A" w:rsidRPr="0029110D" w:rsidRDefault="00C34E4A">
            <w:pPr>
              <w:jc w:val="center"/>
              <w:rPr>
                <w:b/>
                <w:sz w:val="20"/>
                <w:szCs w:val="20"/>
              </w:rPr>
            </w:pPr>
            <w:r w:rsidRPr="0029110D">
              <w:rPr>
                <w:b/>
                <w:sz w:val="20"/>
                <w:szCs w:val="20"/>
              </w:rPr>
              <w:t>BARI 4 mg</w:t>
            </w:r>
          </w:p>
        </w:tc>
        <w:tc>
          <w:tcPr>
            <w:tcW w:w="695" w:type="dxa"/>
            <w:shd w:val="clear" w:color="auto" w:fill="D9D9D9" w:themeFill="background1" w:themeFillShade="D9"/>
            <w:vAlign w:val="center"/>
          </w:tcPr>
          <w:p w14:paraId="0A6627CB" w14:textId="77777777" w:rsidR="00C34E4A" w:rsidRPr="0029110D" w:rsidRDefault="00C34E4A">
            <w:pPr>
              <w:jc w:val="center"/>
              <w:rPr>
                <w:b/>
                <w:sz w:val="20"/>
                <w:szCs w:val="20"/>
              </w:rPr>
            </w:pPr>
            <w:r w:rsidRPr="0029110D">
              <w:rPr>
                <w:b/>
                <w:sz w:val="20"/>
                <w:szCs w:val="20"/>
              </w:rPr>
              <w:t>PBO</w:t>
            </w:r>
          </w:p>
        </w:tc>
        <w:tc>
          <w:tcPr>
            <w:tcW w:w="891" w:type="dxa"/>
            <w:shd w:val="clear" w:color="auto" w:fill="D9D9D9" w:themeFill="background1" w:themeFillShade="D9"/>
            <w:vAlign w:val="center"/>
          </w:tcPr>
          <w:p w14:paraId="0C114641" w14:textId="77777777" w:rsidR="00C34E4A" w:rsidRPr="0029110D" w:rsidRDefault="00C34E4A">
            <w:pPr>
              <w:jc w:val="center"/>
              <w:rPr>
                <w:b/>
                <w:sz w:val="20"/>
                <w:szCs w:val="20"/>
              </w:rPr>
            </w:pPr>
            <w:r w:rsidRPr="0029110D">
              <w:rPr>
                <w:b/>
                <w:sz w:val="20"/>
                <w:szCs w:val="20"/>
                <w:lang w:val="en-US"/>
              </w:rPr>
              <w:t>BARI</w:t>
            </w:r>
            <w:r w:rsidRPr="0029110D">
              <w:rPr>
                <w:b/>
                <w:sz w:val="20"/>
                <w:szCs w:val="20"/>
              </w:rPr>
              <w:t xml:space="preserve"> 2 </w:t>
            </w:r>
            <w:r w:rsidRPr="0029110D">
              <w:rPr>
                <w:b/>
                <w:sz w:val="20"/>
                <w:szCs w:val="20"/>
                <w:lang w:val="en-US"/>
              </w:rPr>
              <w:t>mg</w:t>
            </w:r>
          </w:p>
        </w:tc>
        <w:tc>
          <w:tcPr>
            <w:tcW w:w="891" w:type="dxa"/>
            <w:shd w:val="clear" w:color="auto" w:fill="D9D9D9" w:themeFill="background1" w:themeFillShade="D9"/>
            <w:vAlign w:val="center"/>
          </w:tcPr>
          <w:p w14:paraId="0DC0E53D" w14:textId="77777777" w:rsidR="00C34E4A" w:rsidRPr="0029110D" w:rsidRDefault="00C34E4A">
            <w:pPr>
              <w:jc w:val="center"/>
              <w:rPr>
                <w:b/>
                <w:sz w:val="20"/>
                <w:szCs w:val="20"/>
              </w:rPr>
            </w:pPr>
            <w:r w:rsidRPr="0029110D">
              <w:rPr>
                <w:b/>
                <w:sz w:val="20"/>
                <w:szCs w:val="20"/>
                <w:lang w:val="en-US"/>
              </w:rPr>
              <w:t>BARI</w:t>
            </w:r>
            <w:r w:rsidRPr="0029110D">
              <w:rPr>
                <w:b/>
                <w:sz w:val="20"/>
                <w:szCs w:val="20"/>
              </w:rPr>
              <w:t xml:space="preserve"> </w:t>
            </w:r>
            <w:r w:rsidRPr="0029110D">
              <w:rPr>
                <w:b/>
                <w:sz w:val="20"/>
                <w:szCs w:val="20"/>
                <w:lang w:val="en-US"/>
              </w:rPr>
              <w:t>4 mg</w:t>
            </w:r>
          </w:p>
        </w:tc>
        <w:tc>
          <w:tcPr>
            <w:tcW w:w="888" w:type="dxa"/>
            <w:shd w:val="clear" w:color="auto" w:fill="D9D9D9" w:themeFill="background1" w:themeFillShade="D9"/>
            <w:vAlign w:val="center"/>
          </w:tcPr>
          <w:p w14:paraId="3C26FC6C" w14:textId="77777777" w:rsidR="00C34E4A" w:rsidRPr="0029110D" w:rsidRDefault="00C34E4A">
            <w:pPr>
              <w:jc w:val="center"/>
              <w:rPr>
                <w:b/>
                <w:sz w:val="20"/>
                <w:szCs w:val="20"/>
              </w:rPr>
            </w:pPr>
            <w:r w:rsidRPr="0029110D">
              <w:rPr>
                <w:b/>
                <w:sz w:val="20"/>
                <w:szCs w:val="20"/>
                <w:lang w:val="en-US"/>
              </w:rPr>
              <w:t>PBO+ TCS</w:t>
            </w:r>
          </w:p>
        </w:tc>
        <w:tc>
          <w:tcPr>
            <w:tcW w:w="858" w:type="dxa"/>
            <w:shd w:val="clear" w:color="auto" w:fill="D9D9D9" w:themeFill="background1" w:themeFillShade="D9"/>
            <w:vAlign w:val="center"/>
          </w:tcPr>
          <w:p w14:paraId="3EAE9BF8" w14:textId="77777777" w:rsidR="00C34E4A" w:rsidRPr="0029110D" w:rsidRDefault="00C34E4A">
            <w:pPr>
              <w:jc w:val="center"/>
              <w:rPr>
                <w:b/>
                <w:sz w:val="20"/>
                <w:szCs w:val="20"/>
              </w:rPr>
            </w:pPr>
            <w:r w:rsidRPr="0029110D">
              <w:rPr>
                <w:b/>
                <w:sz w:val="20"/>
                <w:szCs w:val="20"/>
                <w:lang w:val="en-US"/>
              </w:rPr>
              <w:t>BARI 2 mg + TCS</w:t>
            </w:r>
          </w:p>
        </w:tc>
        <w:tc>
          <w:tcPr>
            <w:tcW w:w="701" w:type="dxa"/>
            <w:shd w:val="clear" w:color="auto" w:fill="D9D9D9" w:themeFill="background1" w:themeFillShade="D9"/>
            <w:vAlign w:val="center"/>
          </w:tcPr>
          <w:p w14:paraId="4BA23FAD" w14:textId="77777777" w:rsidR="00C34E4A" w:rsidRPr="0029110D" w:rsidRDefault="00C34E4A">
            <w:pPr>
              <w:jc w:val="center"/>
              <w:rPr>
                <w:b/>
                <w:sz w:val="20"/>
                <w:szCs w:val="20"/>
              </w:rPr>
            </w:pPr>
            <w:r w:rsidRPr="0029110D">
              <w:rPr>
                <w:b/>
                <w:sz w:val="20"/>
                <w:szCs w:val="20"/>
                <w:lang w:val="en-US"/>
              </w:rPr>
              <w:t>BARI 4 mg + TCS</w:t>
            </w:r>
          </w:p>
        </w:tc>
      </w:tr>
      <w:tr w:rsidR="00C34E4A" w:rsidRPr="0029110D" w14:paraId="30A5C829" w14:textId="77777777" w:rsidTr="00AB1FF1">
        <w:tc>
          <w:tcPr>
            <w:tcW w:w="1926" w:type="dxa"/>
          </w:tcPr>
          <w:p w14:paraId="6622CFA0" w14:textId="77777777" w:rsidR="00C34E4A" w:rsidRPr="0029110D" w:rsidRDefault="00C34E4A">
            <w:pPr>
              <w:rPr>
                <w:sz w:val="20"/>
                <w:szCs w:val="20"/>
              </w:rPr>
            </w:pPr>
            <w:r w:rsidRPr="0029110D">
              <w:rPr>
                <w:sz w:val="20"/>
                <w:szCs w:val="20"/>
              </w:rPr>
              <w:t>Количество участников</w:t>
            </w:r>
          </w:p>
        </w:tc>
        <w:tc>
          <w:tcPr>
            <w:tcW w:w="696" w:type="dxa"/>
          </w:tcPr>
          <w:p w14:paraId="60840E28" w14:textId="77777777" w:rsidR="00C34E4A" w:rsidRPr="0029110D" w:rsidRDefault="00C34E4A" w:rsidP="00AB1FF1">
            <w:pPr>
              <w:jc w:val="center"/>
              <w:rPr>
                <w:sz w:val="20"/>
                <w:szCs w:val="20"/>
              </w:rPr>
            </w:pPr>
            <w:r w:rsidRPr="0029110D">
              <w:rPr>
                <w:sz w:val="20"/>
                <w:szCs w:val="20"/>
              </w:rPr>
              <w:t>249</w:t>
            </w:r>
          </w:p>
        </w:tc>
        <w:tc>
          <w:tcPr>
            <w:tcW w:w="891" w:type="dxa"/>
          </w:tcPr>
          <w:p w14:paraId="451FF6FD" w14:textId="77777777" w:rsidR="00C34E4A" w:rsidRPr="0029110D" w:rsidRDefault="00C34E4A" w:rsidP="00AB1FF1">
            <w:pPr>
              <w:jc w:val="center"/>
              <w:rPr>
                <w:sz w:val="20"/>
                <w:szCs w:val="20"/>
              </w:rPr>
            </w:pPr>
            <w:r w:rsidRPr="0029110D">
              <w:rPr>
                <w:sz w:val="20"/>
                <w:szCs w:val="20"/>
              </w:rPr>
              <w:t>123</w:t>
            </w:r>
          </w:p>
        </w:tc>
        <w:tc>
          <w:tcPr>
            <w:tcW w:w="891" w:type="dxa"/>
          </w:tcPr>
          <w:p w14:paraId="7653154F" w14:textId="77777777" w:rsidR="00C34E4A" w:rsidRPr="0029110D" w:rsidRDefault="00C34E4A" w:rsidP="00AB1FF1">
            <w:pPr>
              <w:jc w:val="center"/>
              <w:rPr>
                <w:sz w:val="20"/>
                <w:szCs w:val="20"/>
              </w:rPr>
            </w:pPr>
            <w:r w:rsidRPr="0029110D">
              <w:rPr>
                <w:sz w:val="20"/>
                <w:szCs w:val="20"/>
              </w:rPr>
              <w:t>125</w:t>
            </w:r>
          </w:p>
        </w:tc>
        <w:tc>
          <w:tcPr>
            <w:tcW w:w="695" w:type="dxa"/>
          </w:tcPr>
          <w:p w14:paraId="6C6569E3" w14:textId="77777777" w:rsidR="00C34E4A" w:rsidRPr="0029110D" w:rsidRDefault="00C34E4A" w:rsidP="00AB1FF1">
            <w:pPr>
              <w:jc w:val="center"/>
              <w:rPr>
                <w:sz w:val="20"/>
                <w:szCs w:val="20"/>
              </w:rPr>
            </w:pPr>
            <w:r w:rsidRPr="0029110D">
              <w:rPr>
                <w:sz w:val="20"/>
                <w:szCs w:val="20"/>
              </w:rPr>
              <w:t>244</w:t>
            </w:r>
          </w:p>
        </w:tc>
        <w:tc>
          <w:tcPr>
            <w:tcW w:w="891" w:type="dxa"/>
          </w:tcPr>
          <w:p w14:paraId="099C22C7" w14:textId="77777777" w:rsidR="00C34E4A" w:rsidRPr="0029110D" w:rsidRDefault="00C34E4A" w:rsidP="00AB1FF1">
            <w:pPr>
              <w:jc w:val="center"/>
              <w:rPr>
                <w:sz w:val="20"/>
                <w:szCs w:val="20"/>
              </w:rPr>
            </w:pPr>
            <w:r w:rsidRPr="0029110D">
              <w:rPr>
                <w:sz w:val="20"/>
                <w:szCs w:val="20"/>
              </w:rPr>
              <w:t>123</w:t>
            </w:r>
          </w:p>
        </w:tc>
        <w:tc>
          <w:tcPr>
            <w:tcW w:w="891" w:type="dxa"/>
          </w:tcPr>
          <w:p w14:paraId="45EEE2C4" w14:textId="77777777" w:rsidR="00C34E4A" w:rsidRPr="0029110D" w:rsidRDefault="00C34E4A" w:rsidP="00AB1FF1">
            <w:pPr>
              <w:jc w:val="center"/>
              <w:rPr>
                <w:sz w:val="20"/>
                <w:szCs w:val="20"/>
              </w:rPr>
            </w:pPr>
            <w:r w:rsidRPr="0029110D">
              <w:rPr>
                <w:sz w:val="20"/>
                <w:szCs w:val="20"/>
              </w:rPr>
              <w:t>123</w:t>
            </w:r>
          </w:p>
        </w:tc>
        <w:tc>
          <w:tcPr>
            <w:tcW w:w="888" w:type="dxa"/>
          </w:tcPr>
          <w:p w14:paraId="787E5510" w14:textId="77777777" w:rsidR="00C34E4A" w:rsidRPr="0029110D" w:rsidRDefault="00C34E4A" w:rsidP="00AB1FF1">
            <w:pPr>
              <w:jc w:val="center"/>
              <w:rPr>
                <w:sz w:val="20"/>
                <w:szCs w:val="20"/>
              </w:rPr>
            </w:pPr>
            <w:r w:rsidRPr="0029110D">
              <w:rPr>
                <w:sz w:val="20"/>
                <w:szCs w:val="20"/>
              </w:rPr>
              <w:t>109</w:t>
            </w:r>
          </w:p>
        </w:tc>
        <w:tc>
          <w:tcPr>
            <w:tcW w:w="858" w:type="dxa"/>
          </w:tcPr>
          <w:p w14:paraId="21923B2E" w14:textId="77777777" w:rsidR="00C34E4A" w:rsidRPr="0029110D" w:rsidRDefault="00C34E4A" w:rsidP="00AB1FF1">
            <w:pPr>
              <w:jc w:val="center"/>
              <w:rPr>
                <w:sz w:val="20"/>
                <w:szCs w:val="20"/>
              </w:rPr>
            </w:pPr>
            <w:r w:rsidRPr="0029110D">
              <w:rPr>
                <w:sz w:val="20"/>
                <w:szCs w:val="20"/>
              </w:rPr>
              <w:t>109</w:t>
            </w:r>
          </w:p>
        </w:tc>
        <w:tc>
          <w:tcPr>
            <w:tcW w:w="701" w:type="dxa"/>
          </w:tcPr>
          <w:p w14:paraId="01F50AA3" w14:textId="77777777" w:rsidR="00C34E4A" w:rsidRPr="0029110D" w:rsidRDefault="00C34E4A" w:rsidP="00AB1FF1">
            <w:pPr>
              <w:jc w:val="center"/>
              <w:rPr>
                <w:sz w:val="20"/>
                <w:szCs w:val="20"/>
              </w:rPr>
            </w:pPr>
            <w:r w:rsidRPr="0029110D">
              <w:rPr>
                <w:sz w:val="20"/>
                <w:szCs w:val="20"/>
              </w:rPr>
              <w:t>111</w:t>
            </w:r>
          </w:p>
        </w:tc>
      </w:tr>
      <w:tr w:rsidR="00C34E4A" w:rsidRPr="0029110D" w14:paraId="3C3BB271" w14:textId="77777777" w:rsidTr="00AB1FF1">
        <w:tc>
          <w:tcPr>
            <w:tcW w:w="1926" w:type="dxa"/>
          </w:tcPr>
          <w:p w14:paraId="62FCA888" w14:textId="77777777" w:rsidR="00C34E4A" w:rsidRPr="0029110D" w:rsidRDefault="00C34E4A">
            <w:pPr>
              <w:rPr>
                <w:sz w:val="20"/>
                <w:szCs w:val="20"/>
              </w:rPr>
            </w:pPr>
            <w:r w:rsidRPr="0029110D">
              <w:rPr>
                <w:sz w:val="20"/>
                <w:szCs w:val="20"/>
              </w:rPr>
              <w:t>IGA 0 или 1, % участников</w:t>
            </w:r>
            <w:r w:rsidRPr="0029110D">
              <w:rPr>
                <w:sz w:val="20"/>
                <w:szCs w:val="20"/>
                <w:vertAlign w:val="superscript"/>
              </w:rPr>
              <w:t>c</w:t>
            </w:r>
          </w:p>
        </w:tc>
        <w:tc>
          <w:tcPr>
            <w:tcW w:w="696" w:type="dxa"/>
          </w:tcPr>
          <w:p w14:paraId="11DA5FDF" w14:textId="43F58D8C" w:rsidR="00C34E4A" w:rsidRPr="0029110D" w:rsidRDefault="00C34E4A" w:rsidP="00AB1FF1">
            <w:pPr>
              <w:jc w:val="center"/>
              <w:rPr>
                <w:sz w:val="20"/>
                <w:szCs w:val="20"/>
              </w:rPr>
            </w:pPr>
            <w:r w:rsidRPr="0029110D">
              <w:rPr>
                <w:sz w:val="20"/>
                <w:szCs w:val="20"/>
              </w:rPr>
              <w:t>4</w:t>
            </w:r>
            <w:r w:rsidR="008C6732" w:rsidRPr="0029110D">
              <w:rPr>
                <w:sz w:val="20"/>
                <w:szCs w:val="20"/>
              </w:rPr>
              <w:t>,</w:t>
            </w:r>
            <w:r w:rsidRPr="0029110D">
              <w:rPr>
                <w:sz w:val="20"/>
                <w:szCs w:val="20"/>
              </w:rPr>
              <w:t>8</w:t>
            </w:r>
          </w:p>
        </w:tc>
        <w:tc>
          <w:tcPr>
            <w:tcW w:w="891" w:type="dxa"/>
          </w:tcPr>
          <w:p w14:paraId="019CA829" w14:textId="5C4218D9" w:rsidR="00C34E4A" w:rsidRPr="0029110D" w:rsidRDefault="00C34E4A" w:rsidP="00AB1FF1">
            <w:pPr>
              <w:jc w:val="center"/>
              <w:rPr>
                <w:sz w:val="20"/>
                <w:szCs w:val="20"/>
                <w:lang w:val="en-US"/>
              </w:rPr>
            </w:pPr>
            <w:r w:rsidRPr="0029110D">
              <w:rPr>
                <w:sz w:val="20"/>
                <w:szCs w:val="20"/>
              </w:rPr>
              <w:t>11</w:t>
            </w:r>
            <w:r w:rsidR="008C6732" w:rsidRPr="0029110D">
              <w:rPr>
                <w:sz w:val="20"/>
                <w:szCs w:val="20"/>
              </w:rPr>
              <w:t>,</w:t>
            </w:r>
            <w:r w:rsidRPr="0029110D">
              <w:rPr>
                <w:sz w:val="20"/>
                <w:szCs w:val="20"/>
              </w:rPr>
              <w:t>4**</w:t>
            </w:r>
          </w:p>
        </w:tc>
        <w:tc>
          <w:tcPr>
            <w:tcW w:w="891" w:type="dxa"/>
          </w:tcPr>
          <w:p w14:paraId="71EBDE92" w14:textId="1F625D3A" w:rsidR="00C34E4A" w:rsidRPr="0029110D" w:rsidRDefault="00C34E4A" w:rsidP="00AB1FF1">
            <w:pPr>
              <w:jc w:val="center"/>
              <w:rPr>
                <w:sz w:val="20"/>
                <w:szCs w:val="20"/>
                <w:lang w:val="en-US"/>
              </w:rPr>
            </w:pPr>
            <w:r w:rsidRPr="0029110D">
              <w:rPr>
                <w:sz w:val="20"/>
                <w:szCs w:val="20"/>
              </w:rPr>
              <w:t>16</w:t>
            </w:r>
            <w:r w:rsidR="008C6732" w:rsidRPr="0029110D">
              <w:rPr>
                <w:sz w:val="20"/>
                <w:szCs w:val="20"/>
              </w:rPr>
              <w:t>,</w:t>
            </w:r>
            <w:r w:rsidRPr="0029110D">
              <w:rPr>
                <w:sz w:val="20"/>
                <w:szCs w:val="20"/>
              </w:rPr>
              <w:t>8**</w:t>
            </w:r>
          </w:p>
        </w:tc>
        <w:tc>
          <w:tcPr>
            <w:tcW w:w="695" w:type="dxa"/>
          </w:tcPr>
          <w:p w14:paraId="00C6714B" w14:textId="736FEA71" w:rsidR="00C34E4A" w:rsidRPr="0029110D" w:rsidRDefault="00C34E4A" w:rsidP="00AB1FF1">
            <w:pPr>
              <w:jc w:val="center"/>
              <w:rPr>
                <w:sz w:val="20"/>
                <w:szCs w:val="20"/>
                <w:lang w:val="en-US"/>
              </w:rPr>
            </w:pPr>
            <w:r w:rsidRPr="0029110D">
              <w:rPr>
                <w:sz w:val="20"/>
                <w:szCs w:val="20"/>
              </w:rPr>
              <w:t>4</w:t>
            </w:r>
            <w:r w:rsidR="008C6732" w:rsidRPr="0029110D">
              <w:rPr>
                <w:sz w:val="20"/>
                <w:szCs w:val="20"/>
              </w:rPr>
              <w:t>,</w:t>
            </w:r>
            <w:r w:rsidRPr="0029110D">
              <w:rPr>
                <w:sz w:val="20"/>
                <w:szCs w:val="20"/>
              </w:rPr>
              <w:t>5</w:t>
            </w:r>
          </w:p>
        </w:tc>
        <w:tc>
          <w:tcPr>
            <w:tcW w:w="891" w:type="dxa"/>
          </w:tcPr>
          <w:p w14:paraId="57F4F8A0" w14:textId="0BB2A093" w:rsidR="00C34E4A" w:rsidRPr="0029110D" w:rsidRDefault="00C34E4A" w:rsidP="00AB1FF1">
            <w:pPr>
              <w:jc w:val="center"/>
              <w:rPr>
                <w:sz w:val="20"/>
                <w:szCs w:val="20"/>
                <w:lang w:val="en-US"/>
              </w:rPr>
            </w:pPr>
            <w:r w:rsidRPr="0029110D">
              <w:rPr>
                <w:sz w:val="20"/>
                <w:szCs w:val="20"/>
              </w:rPr>
              <w:t>10</w:t>
            </w:r>
            <w:r w:rsidR="008C6732" w:rsidRPr="0029110D">
              <w:rPr>
                <w:sz w:val="20"/>
                <w:szCs w:val="20"/>
              </w:rPr>
              <w:t>,</w:t>
            </w:r>
            <w:r w:rsidRPr="0029110D">
              <w:rPr>
                <w:sz w:val="20"/>
                <w:szCs w:val="20"/>
              </w:rPr>
              <w:t>6**</w:t>
            </w:r>
          </w:p>
        </w:tc>
        <w:tc>
          <w:tcPr>
            <w:tcW w:w="891" w:type="dxa"/>
          </w:tcPr>
          <w:p w14:paraId="6BF2FCAC" w14:textId="5637171E" w:rsidR="00C34E4A" w:rsidRPr="0029110D" w:rsidRDefault="00C34E4A" w:rsidP="00AB1FF1">
            <w:pPr>
              <w:jc w:val="center"/>
              <w:rPr>
                <w:sz w:val="20"/>
                <w:szCs w:val="20"/>
                <w:lang w:val="en-US"/>
              </w:rPr>
            </w:pPr>
            <w:r w:rsidRPr="0029110D">
              <w:rPr>
                <w:sz w:val="20"/>
                <w:szCs w:val="20"/>
              </w:rPr>
              <w:t>13</w:t>
            </w:r>
            <w:r w:rsidR="008C6732" w:rsidRPr="0029110D">
              <w:rPr>
                <w:sz w:val="20"/>
                <w:szCs w:val="20"/>
              </w:rPr>
              <w:t>,</w:t>
            </w:r>
            <w:r w:rsidRPr="0029110D">
              <w:rPr>
                <w:sz w:val="20"/>
                <w:szCs w:val="20"/>
              </w:rPr>
              <w:t>8**</w:t>
            </w:r>
          </w:p>
        </w:tc>
        <w:tc>
          <w:tcPr>
            <w:tcW w:w="888" w:type="dxa"/>
          </w:tcPr>
          <w:p w14:paraId="63D44306" w14:textId="7C451EA5" w:rsidR="00C34E4A" w:rsidRPr="0029110D" w:rsidRDefault="00C34E4A" w:rsidP="00AB1FF1">
            <w:pPr>
              <w:jc w:val="center"/>
              <w:rPr>
                <w:sz w:val="20"/>
                <w:szCs w:val="20"/>
                <w:lang w:val="en-US"/>
              </w:rPr>
            </w:pPr>
            <w:r w:rsidRPr="0029110D">
              <w:rPr>
                <w:sz w:val="20"/>
                <w:szCs w:val="20"/>
              </w:rPr>
              <w:t>14</w:t>
            </w:r>
            <w:r w:rsidR="008C6732" w:rsidRPr="0029110D">
              <w:rPr>
                <w:sz w:val="20"/>
                <w:szCs w:val="20"/>
              </w:rPr>
              <w:t>,</w:t>
            </w:r>
            <w:r w:rsidRPr="0029110D">
              <w:rPr>
                <w:sz w:val="20"/>
                <w:szCs w:val="20"/>
              </w:rPr>
              <w:t>7</w:t>
            </w:r>
          </w:p>
        </w:tc>
        <w:tc>
          <w:tcPr>
            <w:tcW w:w="858" w:type="dxa"/>
          </w:tcPr>
          <w:p w14:paraId="611C36C9" w14:textId="0E4FAB62" w:rsidR="00C34E4A" w:rsidRPr="0029110D" w:rsidRDefault="00C34E4A" w:rsidP="00AB1FF1">
            <w:pPr>
              <w:jc w:val="center"/>
              <w:rPr>
                <w:sz w:val="20"/>
                <w:szCs w:val="20"/>
                <w:lang w:val="en-US"/>
              </w:rPr>
            </w:pPr>
            <w:r w:rsidRPr="0029110D">
              <w:rPr>
                <w:sz w:val="20"/>
                <w:szCs w:val="20"/>
              </w:rPr>
              <w:t>23</w:t>
            </w:r>
            <w:r w:rsidR="008C6732" w:rsidRPr="0029110D">
              <w:rPr>
                <w:sz w:val="20"/>
                <w:szCs w:val="20"/>
              </w:rPr>
              <w:t>,</w:t>
            </w:r>
            <w:r w:rsidRPr="0029110D">
              <w:rPr>
                <w:sz w:val="20"/>
                <w:szCs w:val="20"/>
              </w:rPr>
              <w:t>9</w:t>
            </w:r>
          </w:p>
        </w:tc>
        <w:tc>
          <w:tcPr>
            <w:tcW w:w="701" w:type="dxa"/>
          </w:tcPr>
          <w:p w14:paraId="126EB5A8" w14:textId="09A3BCBF" w:rsidR="00C34E4A" w:rsidRPr="0029110D" w:rsidRDefault="00C34E4A" w:rsidP="00AB1FF1">
            <w:pPr>
              <w:jc w:val="center"/>
              <w:rPr>
                <w:sz w:val="20"/>
                <w:szCs w:val="20"/>
                <w:lang w:val="en-US"/>
              </w:rPr>
            </w:pPr>
            <w:r w:rsidRPr="0029110D">
              <w:rPr>
                <w:sz w:val="20"/>
                <w:szCs w:val="20"/>
              </w:rPr>
              <w:t>30</w:t>
            </w:r>
            <w:r w:rsidR="008C6732" w:rsidRPr="0029110D">
              <w:rPr>
                <w:sz w:val="20"/>
                <w:szCs w:val="20"/>
              </w:rPr>
              <w:t>,</w:t>
            </w:r>
            <w:r w:rsidRPr="0029110D">
              <w:rPr>
                <w:sz w:val="20"/>
                <w:szCs w:val="20"/>
              </w:rPr>
              <w:t>6**</w:t>
            </w:r>
          </w:p>
        </w:tc>
      </w:tr>
      <w:tr w:rsidR="00C34E4A" w:rsidRPr="0029110D" w14:paraId="7AFBFAD7" w14:textId="77777777" w:rsidTr="00AB1FF1">
        <w:tc>
          <w:tcPr>
            <w:tcW w:w="1926" w:type="dxa"/>
          </w:tcPr>
          <w:p w14:paraId="59396CAB" w14:textId="77777777" w:rsidR="00C34E4A" w:rsidRPr="0029110D" w:rsidRDefault="00C34E4A">
            <w:pPr>
              <w:rPr>
                <w:sz w:val="20"/>
                <w:szCs w:val="20"/>
                <w:lang w:val="en-US"/>
              </w:rPr>
            </w:pPr>
            <w:r w:rsidRPr="0029110D">
              <w:rPr>
                <w:sz w:val="20"/>
                <w:szCs w:val="20"/>
              </w:rPr>
              <w:t xml:space="preserve">EASI-75, % </w:t>
            </w:r>
            <w:r w:rsidRPr="0029110D">
              <w:rPr>
                <w:sz w:val="20"/>
                <w:szCs w:val="20"/>
              </w:rPr>
              <w:lastRenderedPageBreak/>
              <w:t>участников</w:t>
            </w:r>
            <w:r w:rsidRPr="0029110D">
              <w:rPr>
                <w:sz w:val="20"/>
                <w:szCs w:val="20"/>
                <w:vertAlign w:val="superscript"/>
              </w:rPr>
              <w:t>c</w:t>
            </w:r>
          </w:p>
        </w:tc>
        <w:tc>
          <w:tcPr>
            <w:tcW w:w="696" w:type="dxa"/>
          </w:tcPr>
          <w:p w14:paraId="0B0AD13D" w14:textId="698CA66E" w:rsidR="00C34E4A" w:rsidRPr="0029110D" w:rsidRDefault="00C34E4A" w:rsidP="00AB1FF1">
            <w:pPr>
              <w:jc w:val="center"/>
              <w:rPr>
                <w:sz w:val="20"/>
                <w:szCs w:val="20"/>
                <w:lang w:val="en-US"/>
              </w:rPr>
            </w:pPr>
            <w:r w:rsidRPr="0029110D">
              <w:rPr>
                <w:sz w:val="20"/>
                <w:szCs w:val="20"/>
              </w:rPr>
              <w:lastRenderedPageBreak/>
              <w:t>8</w:t>
            </w:r>
            <w:r w:rsidR="008C6732" w:rsidRPr="0029110D">
              <w:rPr>
                <w:sz w:val="20"/>
                <w:szCs w:val="20"/>
              </w:rPr>
              <w:t>,</w:t>
            </w:r>
            <w:r w:rsidRPr="0029110D">
              <w:rPr>
                <w:sz w:val="20"/>
                <w:szCs w:val="20"/>
              </w:rPr>
              <w:t>8</w:t>
            </w:r>
          </w:p>
        </w:tc>
        <w:tc>
          <w:tcPr>
            <w:tcW w:w="891" w:type="dxa"/>
          </w:tcPr>
          <w:p w14:paraId="3909C0F7" w14:textId="53D9A8E5" w:rsidR="00C34E4A" w:rsidRPr="0029110D" w:rsidRDefault="00C34E4A" w:rsidP="00AB1FF1">
            <w:pPr>
              <w:jc w:val="center"/>
              <w:rPr>
                <w:sz w:val="20"/>
                <w:szCs w:val="20"/>
                <w:lang w:val="en-US"/>
              </w:rPr>
            </w:pPr>
            <w:r w:rsidRPr="0029110D">
              <w:rPr>
                <w:sz w:val="20"/>
                <w:szCs w:val="20"/>
              </w:rPr>
              <w:t>18</w:t>
            </w:r>
            <w:r w:rsidR="008C6732" w:rsidRPr="0029110D">
              <w:rPr>
                <w:sz w:val="20"/>
                <w:szCs w:val="20"/>
              </w:rPr>
              <w:t>,</w:t>
            </w:r>
            <w:r w:rsidRPr="0029110D">
              <w:rPr>
                <w:sz w:val="20"/>
                <w:szCs w:val="20"/>
              </w:rPr>
              <w:t>7**</w:t>
            </w:r>
          </w:p>
        </w:tc>
        <w:tc>
          <w:tcPr>
            <w:tcW w:w="891" w:type="dxa"/>
          </w:tcPr>
          <w:p w14:paraId="463C9939" w14:textId="60313859" w:rsidR="00C34E4A" w:rsidRPr="0029110D" w:rsidRDefault="00C34E4A" w:rsidP="00AB1FF1">
            <w:pPr>
              <w:jc w:val="center"/>
              <w:rPr>
                <w:sz w:val="20"/>
                <w:szCs w:val="20"/>
                <w:lang w:val="en-US"/>
              </w:rPr>
            </w:pPr>
            <w:r w:rsidRPr="0029110D">
              <w:rPr>
                <w:sz w:val="20"/>
                <w:szCs w:val="20"/>
              </w:rPr>
              <w:t>24</w:t>
            </w:r>
            <w:r w:rsidR="008C6732" w:rsidRPr="0029110D">
              <w:rPr>
                <w:sz w:val="20"/>
                <w:szCs w:val="20"/>
              </w:rPr>
              <w:t>,</w:t>
            </w:r>
            <w:r w:rsidRPr="0029110D">
              <w:rPr>
                <w:sz w:val="20"/>
                <w:szCs w:val="20"/>
              </w:rPr>
              <w:t>8**</w:t>
            </w:r>
          </w:p>
        </w:tc>
        <w:tc>
          <w:tcPr>
            <w:tcW w:w="695" w:type="dxa"/>
          </w:tcPr>
          <w:p w14:paraId="1DCF0337" w14:textId="5B4BA265" w:rsidR="00C34E4A" w:rsidRPr="0029110D" w:rsidRDefault="00C34E4A" w:rsidP="00AB1FF1">
            <w:pPr>
              <w:jc w:val="center"/>
              <w:rPr>
                <w:sz w:val="20"/>
                <w:szCs w:val="20"/>
                <w:lang w:val="en-US"/>
              </w:rPr>
            </w:pPr>
            <w:r w:rsidRPr="0029110D">
              <w:rPr>
                <w:sz w:val="20"/>
                <w:szCs w:val="20"/>
              </w:rPr>
              <w:t>6</w:t>
            </w:r>
            <w:r w:rsidR="008C6732" w:rsidRPr="0029110D">
              <w:rPr>
                <w:sz w:val="20"/>
                <w:szCs w:val="20"/>
              </w:rPr>
              <w:t>,</w:t>
            </w:r>
            <w:r w:rsidRPr="0029110D">
              <w:rPr>
                <w:sz w:val="20"/>
                <w:szCs w:val="20"/>
              </w:rPr>
              <w:t>1</w:t>
            </w:r>
          </w:p>
        </w:tc>
        <w:tc>
          <w:tcPr>
            <w:tcW w:w="891" w:type="dxa"/>
          </w:tcPr>
          <w:p w14:paraId="29BB10DA" w14:textId="7FA1E463" w:rsidR="00C34E4A" w:rsidRPr="0029110D" w:rsidRDefault="00C34E4A" w:rsidP="00AB1FF1">
            <w:pPr>
              <w:jc w:val="center"/>
              <w:rPr>
                <w:sz w:val="20"/>
                <w:szCs w:val="20"/>
                <w:lang w:val="en-US"/>
              </w:rPr>
            </w:pPr>
            <w:r w:rsidRPr="0029110D">
              <w:rPr>
                <w:sz w:val="20"/>
                <w:szCs w:val="20"/>
              </w:rPr>
              <w:t>17</w:t>
            </w:r>
            <w:r w:rsidR="008C6732" w:rsidRPr="0029110D">
              <w:rPr>
                <w:sz w:val="20"/>
                <w:szCs w:val="20"/>
              </w:rPr>
              <w:t>,</w:t>
            </w:r>
            <w:r w:rsidRPr="0029110D">
              <w:rPr>
                <w:sz w:val="20"/>
                <w:szCs w:val="20"/>
              </w:rPr>
              <w:t>9**</w:t>
            </w:r>
          </w:p>
        </w:tc>
        <w:tc>
          <w:tcPr>
            <w:tcW w:w="891" w:type="dxa"/>
          </w:tcPr>
          <w:p w14:paraId="088233B2" w14:textId="00C3B928" w:rsidR="00C34E4A" w:rsidRPr="0029110D" w:rsidRDefault="00C34E4A" w:rsidP="00AB1FF1">
            <w:pPr>
              <w:jc w:val="center"/>
              <w:rPr>
                <w:sz w:val="20"/>
                <w:szCs w:val="20"/>
                <w:lang w:val="en-US"/>
              </w:rPr>
            </w:pPr>
            <w:r w:rsidRPr="0029110D">
              <w:rPr>
                <w:sz w:val="20"/>
                <w:szCs w:val="20"/>
              </w:rPr>
              <w:t>21</w:t>
            </w:r>
            <w:r w:rsidR="008C6732" w:rsidRPr="0029110D">
              <w:rPr>
                <w:sz w:val="20"/>
                <w:szCs w:val="20"/>
              </w:rPr>
              <w:t>,</w:t>
            </w:r>
            <w:r w:rsidRPr="0029110D">
              <w:rPr>
                <w:sz w:val="20"/>
                <w:szCs w:val="20"/>
              </w:rPr>
              <w:t>1**</w:t>
            </w:r>
          </w:p>
        </w:tc>
        <w:tc>
          <w:tcPr>
            <w:tcW w:w="888" w:type="dxa"/>
          </w:tcPr>
          <w:p w14:paraId="0605E57F" w14:textId="6FA2EB80" w:rsidR="00C34E4A" w:rsidRPr="0029110D" w:rsidRDefault="00C34E4A" w:rsidP="00AB1FF1">
            <w:pPr>
              <w:jc w:val="center"/>
              <w:rPr>
                <w:sz w:val="20"/>
                <w:szCs w:val="20"/>
                <w:lang w:val="en-US"/>
              </w:rPr>
            </w:pPr>
            <w:r w:rsidRPr="0029110D">
              <w:rPr>
                <w:sz w:val="20"/>
                <w:szCs w:val="20"/>
              </w:rPr>
              <w:t>22</w:t>
            </w:r>
            <w:r w:rsidR="008C6732" w:rsidRPr="0029110D">
              <w:rPr>
                <w:sz w:val="20"/>
                <w:szCs w:val="20"/>
              </w:rPr>
              <w:t>,</w:t>
            </w:r>
            <w:r w:rsidRPr="0029110D">
              <w:rPr>
                <w:sz w:val="20"/>
                <w:szCs w:val="20"/>
              </w:rPr>
              <w:t>9</w:t>
            </w:r>
          </w:p>
        </w:tc>
        <w:tc>
          <w:tcPr>
            <w:tcW w:w="858" w:type="dxa"/>
          </w:tcPr>
          <w:p w14:paraId="2B41E499" w14:textId="583181A4" w:rsidR="00C34E4A" w:rsidRPr="0029110D" w:rsidRDefault="00C34E4A" w:rsidP="00AB1FF1">
            <w:pPr>
              <w:jc w:val="center"/>
              <w:rPr>
                <w:sz w:val="20"/>
                <w:szCs w:val="20"/>
                <w:lang w:val="en-US"/>
              </w:rPr>
            </w:pPr>
            <w:r w:rsidRPr="0029110D">
              <w:rPr>
                <w:sz w:val="20"/>
                <w:szCs w:val="20"/>
              </w:rPr>
              <w:t>43</w:t>
            </w:r>
            <w:r w:rsidR="008C6732" w:rsidRPr="0029110D">
              <w:rPr>
                <w:sz w:val="20"/>
                <w:szCs w:val="20"/>
              </w:rPr>
              <w:t>,</w:t>
            </w:r>
            <w:r w:rsidRPr="0029110D">
              <w:rPr>
                <w:sz w:val="20"/>
                <w:szCs w:val="20"/>
              </w:rPr>
              <w:t>1*</w:t>
            </w:r>
          </w:p>
        </w:tc>
        <w:tc>
          <w:tcPr>
            <w:tcW w:w="701" w:type="dxa"/>
          </w:tcPr>
          <w:p w14:paraId="19EB828C" w14:textId="7E47446B" w:rsidR="00C34E4A" w:rsidRPr="0029110D" w:rsidRDefault="00C34E4A" w:rsidP="00AB1FF1">
            <w:pPr>
              <w:jc w:val="center"/>
              <w:rPr>
                <w:sz w:val="20"/>
                <w:szCs w:val="20"/>
                <w:lang w:val="en-US"/>
              </w:rPr>
            </w:pPr>
            <w:r w:rsidRPr="0029110D">
              <w:rPr>
                <w:sz w:val="20"/>
                <w:szCs w:val="20"/>
              </w:rPr>
              <w:t>47</w:t>
            </w:r>
            <w:r w:rsidR="008C6732" w:rsidRPr="0029110D">
              <w:rPr>
                <w:sz w:val="20"/>
                <w:szCs w:val="20"/>
              </w:rPr>
              <w:t>,</w:t>
            </w:r>
            <w:r w:rsidRPr="0029110D">
              <w:rPr>
                <w:sz w:val="20"/>
                <w:szCs w:val="20"/>
              </w:rPr>
              <w:t>7**</w:t>
            </w:r>
          </w:p>
        </w:tc>
      </w:tr>
      <w:tr w:rsidR="00C34E4A" w:rsidRPr="0029110D" w14:paraId="57D7F16F" w14:textId="77777777" w:rsidTr="00AB1FF1">
        <w:tc>
          <w:tcPr>
            <w:tcW w:w="1926" w:type="dxa"/>
          </w:tcPr>
          <w:p w14:paraId="2FD2FCF9" w14:textId="77777777" w:rsidR="00C34E4A" w:rsidRPr="0029110D" w:rsidRDefault="00C34E4A">
            <w:pPr>
              <w:rPr>
                <w:sz w:val="20"/>
                <w:szCs w:val="20"/>
              </w:rPr>
            </w:pPr>
            <w:r w:rsidRPr="0029110D">
              <w:rPr>
                <w:sz w:val="20"/>
                <w:szCs w:val="20"/>
                <w:lang w:val="en-US"/>
              </w:rPr>
              <w:t>Itch</w:t>
            </w:r>
            <w:r w:rsidRPr="0029110D">
              <w:rPr>
                <w:sz w:val="20"/>
                <w:szCs w:val="20"/>
              </w:rPr>
              <w:t xml:space="preserve"> </w:t>
            </w:r>
            <w:r w:rsidRPr="0029110D">
              <w:rPr>
                <w:sz w:val="20"/>
                <w:szCs w:val="20"/>
                <w:lang w:val="en-US"/>
              </w:rPr>
              <w:t>NRS</w:t>
            </w:r>
            <w:r w:rsidRPr="0029110D">
              <w:rPr>
                <w:sz w:val="20"/>
                <w:szCs w:val="20"/>
              </w:rPr>
              <w:t xml:space="preserve"> (≥ 4 баллов), % участников</w:t>
            </w:r>
            <w:r w:rsidRPr="0029110D">
              <w:rPr>
                <w:sz w:val="20"/>
                <w:szCs w:val="20"/>
                <w:vertAlign w:val="superscript"/>
              </w:rPr>
              <w:t>c,</w:t>
            </w:r>
            <w:r w:rsidRPr="0029110D">
              <w:rPr>
                <w:sz w:val="20"/>
                <w:szCs w:val="20"/>
                <w:vertAlign w:val="superscript"/>
                <w:lang w:val="en-US"/>
              </w:rPr>
              <w:t>d</w:t>
            </w:r>
          </w:p>
        </w:tc>
        <w:tc>
          <w:tcPr>
            <w:tcW w:w="696" w:type="dxa"/>
          </w:tcPr>
          <w:p w14:paraId="4C3FA177" w14:textId="0F18C6E4" w:rsidR="00C34E4A" w:rsidRPr="0029110D" w:rsidRDefault="00C34E4A" w:rsidP="00AB1FF1">
            <w:pPr>
              <w:jc w:val="center"/>
              <w:rPr>
                <w:sz w:val="20"/>
                <w:szCs w:val="20"/>
                <w:lang w:val="en-US"/>
              </w:rPr>
            </w:pPr>
            <w:r w:rsidRPr="0029110D">
              <w:rPr>
                <w:sz w:val="20"/>
                <w:szCs w:val="20"/>
              </w:rPr>
              <w:t>7</w:t>
            </w:r>
            <w:r w:rsidR="008C6732" w:rsidRPr="0029110D">
              <w:rPr>
                <w:sz w:val="20"/>
                <w:szCs w:val="20"/>
              </w:rPr>
              <w:t>,</w:t>
            </w:r>
            <w:r w:rsidRPr="0029110D">
              <w:rPr>
                <w:sz w:val="20"/>
                <w:szCs w:val="20"/>
              </w:rPr>
              <w:t>2</w:t>
            </w:r>
          </w:p>
        </w:tc>
        <w:tc>
          <w:tcPr>
            <w:tcW w:w="891" w:type="dxa"/>
          </w:tcPr>
          <w:p w14:paraId="4022373C" w14:textId="4492E2C8" w:rsidR="00C34E4A" w:rsidRPr="0029110D" w:rsidRDefault="00C34E4A" w:rsidP="00AB1FF1">
            <w:pPr>
              <w:jc w:val="center"/>
              <w:rPr>
                <w:sz w:val="20"/>
                <w:szCs w:val="20"/>
                <w:lang w:val="en-US"/>
              </w:rPr>
            </w:pPr>
            <w:r w:rsidRPr="0029110D">
              <w:rPr>
                <w:sz w:val="20"/>
                <w:szCs w:val="20"/>
              </w:rPr>
              <w:t>12</w:t>
            </w:r>
            <w:r w:rsidR="008C6732" w:rsidRPr="0029110D">
              <w:rPr>
                <w:sz w:val="20"/>
                <w:szCs w:val="20"/>
              </w:rPr>
              <w:t>,</w:t>
            </w:r>
            <w:r w:rsidRPr="0029110D">
              <w:rPr>
                <w:sz w:val="20"/>
                <w:szCs w:val="20"/>
              </w:rPr>
              <w:t>0</w:t>
            </w:r>
          </w:p>
        </w:tc>
        <w:tc>
          <w:tcPr>
            <w:tcW w:w="891" w:type="dxa"/>
          </w:tcPr>
          <w:p w14:paraId="7BADCCF0" w14:textId="5212F736" w:rsidR="00C34E4A" w:rsidRPr="0029110D" w:rsidRDefault="00C34E4A" w:rsidP="00AB1FF1">
            <w:pPr>
              <w:jc w:val="center"/>
              <w:rPr>
                <w:sz w:val="20"/>
                <w:szCs w:val="20"/>
                <w:lang w:val="en-US"/>
              </w:rPr>
            </w:pPr>
            <w:r w:rsidRPr="0029110D">
              <w:rPr>
                <w:sz w:val="20"/>
                <w:szCs w:val="20"/>
              </w:rPr>
              <w:t>21</w:t>
            </w:r>
            <w:r w:rsidR="008C6732" w:rsidRPr="0029110D">
              <w:rPr>
                <w:sz w:val="20"/>
                <w:szCs w:val="20"/>
              </w:rPr>
              <w:t>,</w:t>
            </w:r>
            <w:r w:rsidRPr="0029110D">
              <w:rPr>
                <w:sz w:val="20"/>
                <w:szCs w:val="20"/>
              </w:rPr>
              <w:t>5**</w:t>
            </w:r>
          </w:p>
        </w:tc>
        <w:tc>
          <w:tcPr>
            <w:tcW w:w="695" w:type="dxa"/>
          </w:tcPr>
          <w:p w14:paraId="559C12B7" w14:textId="3CA2A351" w:rsidR="00C34E4A" w:rsidRPr="0029110D" w:rsidRDefault="00C34E4A" w:rsidP="00AB1FF1">
            <w:pPr>
              <w:jc w:val="center"/>
              <w:rPr>
                <w:sz w:val="20"/>
                <w:szCs w:val="20"/>
                <w:lang w:val="en-US"/>
              </w:rPr>
            </w:pPr>
            <w:r w:rsidRPr="0029110D">
              <w:rPr>
                <w:sz w:val="20"/>
                <w:szCs w:val="20"/>
              </w:rPr>
              <w:t>4</w:t>
            </w:r>
            <w:r w:rsidR="008C6732" w:rsidRPr="0029110D">
              <w:rPr>
                <w:sz w:val="20"/>
                <w:szCs w:val="20"/>
              </w:rPr>
              <w:t>,</w:t>
            </w:r>
            <w:r w:rsidRPr="0029110D">
              <w:rPr>
                <w:sz w:val="20"/>
                <w:szCs w:val="20"/>
              </w:rPr>
              <w:t>7</w:t>
            </w:r>
          </w:p>
        </w:tc>
        <w:tc>
          <w:tcPr>
            <w:tcW w:w="891" w:type="dxa"/>
          </w:tcPr>
          <w:p w14:paraId="5F86D650" w14:textId="466025F4" w:rsidR="00C34E4A" w:rsidRPr="0029110D" w:rsidRDefault="00C34E4A" w:rsidP="00AB1FF1">
            <w:pPr>
              <w:jc w:val="center"/>
              <w:rPr>
                <w:sz w:val="20"/>
                <w:szCs w:val="20"/>
                <w:lang w:val="en-US"/>
              </w:rPr>
            </w:pPr>
            <w:r w:rsidRPr="0029110D">
              <w:rPr>
                <w:sz w:val="20"/>
                <w:szCs w:val="20"/>
              </w:rPr>
              <w:t>15</w:t>
            </w:r>
            <w:r w:rsidR="008C6732" w:rsidRPr="0029110D">
              <w:rPr>
                <w:sz w:val="20"/>
                <w:szCs w:val="20"/>
              </w:rPr>
              <w:t>,</w:t>
            </w:r>
            <w:r w:rsidRPr="0029110D">
              <w:rPr>
                <w:sz w:val="20"/>
                <w:szCs w:val="20"/>
              </w:rPr>
              <w:t>1**</w:t>
            </w:r>
          </w:p>
        </w:tc>
        <w:tc>
          <w:tcPr>
            <w:tcW w:w="891" w:type="dxa"/>
          </w:tcPr>
          <w:p w14:paraId="52D8A11D" w14:textId="719CDF13" w:rsidR="00C34E4A" w:rsidRPr="0029110D" w:rsidRDefault="00C34E4A" w:rsidP="00AB1FF1">
            <w:pPr>
              <w:jc w:val="center"/>
              <w:rPr>
                <w:sz w:val="20"/>
                <w:szCs w:val="20"/>
                <w:lang w:val="en-US"/>
              </w:rPr>
            </w:pPr>
            <w:r w:rsidRPr="0029110D">
              <w:rPr>
                <w:sz w:val="20"/>
                <w:szCs w:val="20"/>
              </w:rPr>
              <w:t>18</w:t>
            </w:r>
            <w:r w:rsidR="008C6732" w:rsidRPr="0029110D">
              <w:rPr>
                <w:sz w:val="20"/>
                <w:szCs w:val="20"/>
              </w:rPr>
              <w:t>,</w:t>
            </w:r>
            <w:r w:rsidRPr="0029110D">
              <w:rPr>
                <w:sz w:val="20"/>
                <w:szCs w:val="20"/>
              </w:rPr>
              <w:t>7**</w:t>
            </w:r>
          </w:p>
        </w:tc>
        <w:tc>
          <w:tcPr>
            <w:tcW w:w="888" w:type="dxa"/>
          </w:tcPr>
          <w:p w14:paraId="5BA9BE82" w14:textId="2A26C926" w:rsidR="00C34E4A" w:rsidRPr="0029110D" w:rsidRDefault="00C34E4A" w:rsidP="00AB1FF1">
            <w:pPr>
              <w:jc w:val="center"/>
              <w:rPr>
                <w:sz w:val="20"/>
                <w:szCs w:val="20"/>
                <w:lang w:val="en-US"/>
              </w:rPr>
            </w:pPr>
            <w:r w:rsidRPr="0029110D">
              <w:rPr>
                <w:sz w:val="20"/>
                <w:szCs w:val="20"/>
              </w:rPr>
              <w:t>20</w:t>
            </w:r>
            <w:r w:rsidR="008C6732" w:rsidRPr="0029110D">
              <w:rPr>
                <w:sz w:val="20"/>
                <w:szCs w:val="20"/>
              </w:rPr>
              <w:t>,</w:t>
            </w:r>
            <w:r w:rsidRPr="0029110D">
              <w:rPr>
                <w:sz w:val="20"/>
                <w:szCs w:val="20"/>
              </w:rPr>
              <w:t>2</w:t>
            </w:r>
          </w:p>
        </w:tc>
        <w:tc>
          <w:tcPr>
            <w:tcW w:w="858" w:type="dxa"/>
          </w:tcPr>
          <w:p w14:paraId="19FE6D6D" w14:textId="2CFF8A5A" w:rsidR="00C34E4A" w:rsidRPr="0029110D" w:rsidRDefault="00C34E4A" w:rsidP="00AB1FF1">
            <w:pPr>
              <w:jc w:val="center"/>
              <w:rPr>
                <w:sz w:val="20"/>
                <w:szCs w:val="20"/>
                <w:lang w:val="en-US"/>
              </w:rPr>
            </w:pPr>
            <w:r w:rsidRPr="0029110D">
              <w:rPr>
                <w:sz w:val="20"/>
                <w:szCs w:val="20"/>
              </w:rPr>
              <w:t>38</w:t>
            </w:r>
            <w:r w:rsidR="008C6732" w:rsidRPr="0029110D">
              <w:rPr>
                <w:sz w:val="20"/>
                <w:szCs w:val="20"/>
              </w:rPr>
              <w:t>,</w:t>
            </w:r>
            <w:r w:rsidRPr="0029110D">
              <w:rPr>
                <w:sz w:val="20"/>
                <w:szCs w:val="20"/>
              </w:rPr>
              <w:t>1*</w:t>
            </w:r>
          </w:p>
        </w:tc>
        <w:tc>
          <w:tcPr>
            <w:tcW w:w="701" w:type="dxa"/>
          </w:tcPr>
          <w:p w14:paraId="50B8AD29" w14:textId="626B667A" w:rsidR="00C34E4A" w:rsidRPr="0029110D" w:rsidRDefault="00C34E4A" w:rsidP="00AB1FF1">
            <w:pPr>
              <w:jc w:val="center"/>
              <w:rPr>
                <w:sz w:val="20"/>
                <w:szCs w:val="20"/>
                <w:lang w:val="en-US"/>
              </w:rPr>
            </w:pPr>
            <w:r w:rsidRPr="0029110D">
              <w:rPr>
                <w:sz w:val="20"/>
                <w:szCs w:val="20"/>
              </w:rPr>
              <w:t>44</w:t>
            </w:r>
            <w:r w:rsidR="008C6732" w:rsidRPr="0029110D">
              <w:rPr>
                <w:sz w:val="20"/>
                <w:szCs w:val="20"/>
              </w:rPr>
              <w:t>,</w:t>
            </w:r>
            <w:r w:rsidRPr="0029110D">
              <w:rPr>
                <w:sz w:val="20"/>
                <w:szCs w:val="20"/>
              </w:rPr>
              <w:t>0**</w:t>
            </w:r>
          </w:p>
        </w:tc>
      </w:tr>
      <w:tr w:rsidR="00C34E4A" w:rsidRPr="0029110D" w14:paraId="0A2E9BFC" w14:textId="77777777" w:rsidTr="00AB1FF1">
        <w:tc>
          <w:tcPr>
            <w:tcW w:w="9328" w:type="dxa"/>
            <w:gridSpan w:val="10"/>
          </w:tcPr>
          <w:p w14:paraId="12560C9D" w14:textId="50119362" w:rsidR="00C34E4A" w:rsidRPr="0029110D" w:rsidRDefault="00713EC9">
            <w:pPr>
              <w:rPr>
                <w:sz w:val="20"/>
                <w:szCs w:val="20"/>
              </w:rPr>
            </w:pPr>
            <w:r w:rsidRPr="0029110D">
              <w:rPr>
                <w:b/>
                <w:sz w:val="20"/>
                <w:szCs w:val="20"/>
              </w:rPr>
              <w:t>Примечание:</w:t>
            </w:r>
            <w:r w:rsidRPr="0029110D">
              <w:rPr>
                <w:sz w:val="20"/>
                <w:szCs w:val="20"/>
              </w:rPr>
              <w:br/>
            </w:r>
            <w:r w:rsidR="00C34E4A" w:rsidRPr="0029110D">
              <w:rPr>
                <w:sz w:val="20"/>
                <w:szCs w:val="20"/>
              </w:rPr>
              <w:t xml:space="preserve">FAS – полная выборка для анализа, включая всех рандомизированных пациентов; IGA – общая оценка исследователя; EASI– площадь экземы и индекс тяжести; </w:t>
            </w:r>
            <w:r w:rsidR="00C34E4A" w:rsidRPr="0029110D">
              <w:rPr>
                <w:sz w:val="20"/>
                <w:szCs w:val="20"/>
                <w:lang w:val="en-US"/>
              </w:rPr>
              <w:t>Itch</w:t>
            </w:r>
            <w:r w:rsidR="00C34E4A" w:rsidRPr="0029110D">
              <w:rPr>
                <w:sz w:val="20"/>
                <w:szCs w:val="20"/>
              </w:rPr>
              <w:t xml:space="preserve"> </w:t>
            </w:r>
            <w:r w:rsidR="00C34E4A" w:rsidRPr="0029110D">
              <w:rPr>
                <w:sz w:val="20"/>
                <w:szCs w:val="20"/>
                <w:lang w:val="en-US"/>
              </w:rPr>
              <w:t>NRS</w:t>
            </w:r>
            <w:r w:rsidR="00C34E4A" w:rsidRPr="0029110D">
              <w:rPr>
                <w:sz w:val="20"/>
                <w:szCs w:val="20"/>
              </w:rPr>
              <w:t xml:space="preserve"> – числовая шкала оценки зуда; PBO – плацебо; BARI 2 mg – барицитиниб в дозе 2 мг; BARI 4 mg – барицитиниб в дозе 4 мг; </w:t>
            </w:r>
            <w:r w:rsidR="00C34E4A" w:rsidRPr="0029110D">
              <w:rPr>
                <w:sz w:val="20"/>
                <w:szCs w:val="20"/>
                <w:lang w:val="en-US"/>
              </w:rPr>
              <w:t>TCS</w:t>
            </w:r>
            <w:r w:rsidR="00C34E4A" w:rsidRPr="0029110D">
              <w:rPr>
                <w:sz w:val="20"/>
                <w:szCs w:val="20"/>
              </w:rPr>
              <w:t xml:space="preserve"> – топические глюкокортикостероиды; b – респондент определялся как пациент с IGA 0 или 1 («чистый» или «почти чистый») со снижением ≥ 2 баллов по шкале 0-4 IGA; c – данные, полученные у пациентов, получивших неотложную терапию или с отсутствующими данными, не учитывались; d – результаты показаны для подгруппы пациентов, подходящих для оценки (пациенты с зудом NRS ≥ 4 на исходном уровне); * – статистически значимо по сравнению с плацебо без поправки на множественность; ** – статистически значимо по сравнению с плацебо с поправкой на множественность.</w:t>
            </w:r>
          </w:p>
        </w:tc>
      </w:tr>
    </w:tbl>
    <w:p w14:paraId="3922C7D2" w14:textId="77777777" w:rsidR="00C34E4A" w:rsidRDefault="00C34E4A">
      <w:pPr>
        <w:spacing w:after="0" w:line="240" w:lineRule="auto"/>
        <w:ind w:firstLine="708"/>
      </w:pPr>
    </w:p>
    <w:p w14:paraId="0658A2C0" w14:textId="77777777" w:rsidR="00C34E4A" w:rsidRPr="002F4447" w:rsidRDefault="00C34E4A">
      <w:pPr>
        <w:spacing w:after="0" w:line="240" w:lineRule="auto"/>
        <w:ind w:firstLine="708"/>
        <w:contextualSpacing/>
      </w:pPr>
      <w:bookmarkStart w:id="165" w:name="_Hlk118562501"/>
      <w:bookmarkStart w:id="166" w:name="_Hlk118554040"/>
      <w:r>
        <w:t xml:space="preserve">Значительно большая доля пациентов, рандомизированных в группу барицитиниба </w:t>
      </w:r>
      <w:bookmarkStart w:id="167" w:name="_Hlk118562494"/>
      <w:bookmarkEnd w:id="165"/>
      <w:r>
        <w:t>в дозе 4 мг, достигла улучшения на ≥ 4 баллов по шкале NRS по сравнению с плацебо (в течение первой недели лечения в исследовании BREEZE-AD1 и -AD2, и уже на 2-й неделе для BREEZE-AD7, p&lt;0,002</w:t>
      </w:r>
      <w:r w:rsidRPr="002F4447">
        <w:t xml:space="preserve">) </w:t>
      </w:r>
      <w:bookmarkEnd w:id="166"/>
      <w:r w:rsidRPr="002F4447">
        <w:fldChar w:fldCharType="begin"/>
      </w:r>
      <w:r w:rsidRPr="002F4447">
        <w:instrText xml:space="preserve"> ADDIN ZOTERO_ITEM CSL_CITATION {"citationID":"ujdBKhDd","properties":{"formattedCitation":"[6]","plainCitation":"[6]","noteIndex":0},"citationItems":[{"id":3829,"uris":["http://zotero.org/groups/4514912/items/H2A4BXNT"],"itemData":{"id":3829,"type":"document","title":"Summary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116862F7" w14:textId="77777777" w:rsidR="00C34E4A" w:rsidRPr="002F4447" w:rsidRDefault="00C34E4A">
      <w:pPr>
        <w:spacing w:after="0" w:line="240" w:lineRule="auto"/>
        <w:ind w:firstLine="708"/>
        <w:contextualSpacing/>
      </w:pPr>
      <w:r w:rsidRPr="002F4447">
        <w:t xml:space="preserve">Эффекты лечения в подгруппах (масса тела, возраст, пол, раса, тяжесть заболевания и предшествующее лечение, включая иммунодепрессанты) соответствовали результатам в общей популяции исследования </w:t>
      </w:r>
      <w:r w:rsidRPr="002F4447">
        <w:fldChar w:fldCharType="begin"/>
      </w:r>
      <w:r w:rsidRPr="002F4447">
        <w:instrText xml:space="preserve"> ADDIN ZOTERO_ITEM CSL_CITATION {"citationID":"MEwUpjST","properties":{"formattedCitation":"[6]","plainCitation":"[6]","noteIndex":0},"citationItems":[{"id":3829,"uris":["http://zotero.org/groups/4514912/items/H2A4BXNT"],"itemData":{"id":3829,"type":"document","title":"Summary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6CA94E95" w14:textId="77777777" w:rsidR="00C34E4A" w:rsidRDefault="00C34E4A">
      <w:pPr>
        <w:spacing w:after="0" w:line="240" w:lineRule="auto"/>
        <w:ind w:firstLine="708"/>
        <w:contextualSpacing/>
      </w:pPr>
      <w:r w:rsidRPr="002F4447">
        <w:t xml:space="preserve">На Рисунке 4-10 показано среднее процентное изменение EASI по сравнению с исходным уровнем </w:t>
      </w:r>
      <w:r w:rsidRPr="002F4447">
        <w:fldChar w:fldCharType="begin"/>
      </w:r>
      <w:r w:rsidRPr="002F4447">
        <w:instrText xml:space="preserve"> ADDIN ZOTERO_ITEM CSL_CITATION {"citationID":"hoM0WTfq","properties":{"formattedCitation":"[6]","plainCitation":"[6]","noteIndex":0},"citationItems":[{"id":3829,"uris":["http://zotero.org/groups/4514912/items/H2A4BXNT"],"itemData":{"id":3829,"type":"document","title":"Summary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36389474" w14:textId="77777777" w:rsidR="00C34E4A" w:rsidRPr="00795DD4" w:rsidRDefault="00C34E4A">
      <w:pPr>
        <w:spacing w:after="0" w:line="240" w:lineRule="auto"/>
        <w:ind w:firstLine="708"/>
        <w:contextualSpacing/>
      </w:pPr>
    </w:p>
    <w:p w14:paraId="33A3F664" w14:textId="1BD2D6C0" w:rsidR="00C34E4A" w:rsidRPr="00795DD4" w:rsidRDefault="00713EC9">
      <w:pPr>
        <w:spacing w:after="0" w:line="240" w:lineRule="auto"/>
        <w:contextualSpacing/>
        <w:rPr>
          <w:b/>
          <w:bCs/>
        </w:rPr>
      </w:pPr>
      <w:r>
        <w:rPr>
          <w:b/>
          <w:bCs/>
        </w:rPr>
        <w:t>Рисунок 4-10.</w:t>
      </w:r>
      <w:r w:rsidR="00C34E4A" w:rsidRPr="00795DD4">
        <w:rPr>
          <w:b/>
          <w:bCs/>
        </w:rPr>
        <w:t xml:space="preserve"> </w:t>
      </w:r>
      <w:r w:rsidR="00C34E4A" w:rsidRPr="00713EC9">
        <w:rPr>
          <w:bCs/>
        </w:rPr>
        <w:t>Среднее процентное изменение по сравнению с исходным уровнем по шкале EASI для пациентов FAS</w:t>
      </w:r>
      <w:r w:rsidRPr="00713EC9">
        <w:rPr>
          <w:bCs/>
        </w:rPr>
        <w:t>.</w:t>
      </w:r>
    </w:p>
    <w:bookmarkEnd w:id="167"/>
    <w:p w14:paraId="34302269" w14:textId="77777777" w:rsidR="00C34E4A" w:rsidRPr="003A4539" w:rsidRDefault="00C34E4A">
      <w:pPr>
        <w:spacing w:after="0" w:line="240" w:lineRule="auto"/>
        <w:contextualSpacing/>
      </w:pPr>
      <w:r>
        <w:rPr>
          <w:noProof/>
          <w:lang w:eastAsia="ru-RU"/>
        </w:rPr>
        <w:drawing>
          <wp:inline distT="0" distB="0" distL="0" distR="0" wp14:anchorId="2DD04E66" wp14:editId="2A10C24D">
            <wp:extent cx="5925377" cy="2676899"/>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3">
                      <a:extLst>
                        <a:ext uri="{28A0092B-C50C-407E-A947-70E740481C1C}">
                          <a14:useLocalDpi xmlns:a14="http://schemas.microsoft.com/office/drawing/2010/main" val="0"/>
                        </a:ext>
                      </a:extLst>
                    </a:blip>
                    <a:stretch>
                      <a:fillRect/>
                    </a:stretch>
                  </pic:blipFill>
                  <pic:spPr>
                    <a:xfrm>
                      <a:off x="0" y="0"/>
                      <a:ext cx="5925377" cy="2676899"/>
                    </a:xfrm>
                    <a:prstGeom prst="rect">
                      <a:avLst/>
                    </a:prstGeom>
                  </pic:spPr>
                </pic:pic>
              </a:graphicData>
            </a:graphic>
          </wp:inline>
        </w:drawing>
      </w:r>
    </w:p>
    <w:p w14:paraId="35A4E5F2" w14:textId="46402D13" w:rsidR="00C34E4A" w:rsidRPr="00713EC9" w:rsidRDefault="00713EC9">
      <w:pPr>
        <w:spacing w:after="0" w:line="240" w:lineRule="auto"/>
        <w:contextualSpacing/>
        <w:rPr>
          <w:sz w:val="20"/>
          <w:szCs w:val="20"/>
        </w:rPr>
      </w:pPr>
      <w:r w:rsidRPr="00713EC9">
        <w:rPr>
          <w:b/>
          <w:sz w:val="20"/>
          <w:szCs w:val="20"/>
        </w:rPr>
        <w:t>Примечание:</w:t>
      </w:r>
      <w:r>
        <w:rPr>
          <w:sz w:val="20"/>
          <w:szCs w:val="20"/>
        </w:rPr>
        <w:br/>
      </w:r>
      <w:r w:rsidR="00C34E4A" w:rsidRPr="00713EC9">
        <w:rPr>
          <w:sz w:val="20"/>
          <w:szCs w:val="20"/>
          <w:lang w:val="en-US"/>
        </w:rPr>
        <w:t>Baricitinib</w:t>
      </w:r>
      <w:r w:rsidR="00C34E4A" w:rsidRPr="00713EC9">
        <w:rPr>
          <w:sz w:val="20"/>
          <w:szCs w:val="20"/>
        </w:rPr>
        <w:t xml:space="preserve"> – барицитиниб; </w:t>
      </w:r>
      <w:r w:rsidR="00C34E4A" w:rsidRPr="00713EC9">
        <w:rPr>
          <w:sz w:val="20"/>
          <w:szCs w:val="20"/>
          <w:lang w:val="en-US"/>
        </w:rPr>
        <w:t>Placebo</w:t>
      </w:r>
      <w:r w:rsidR="00C34E4A" w:rsidRPr="00713EC9">
        <w:rPr>
          <w:sz w:val="20"/>
          <w:szCs w:val="20"/>
        </w:rPr>
        <w:t xml:space="preserve"> – плацебо; </w:t>
      </w:r>
      <w:r w:rsidR="00C34E4A" w:rsidRPr="00713EC9">
        <w:rPr>
          <w:sz w:val="20"/>
          <w:szCs w:val="20"/>
          <w:lang w:val="en-US"/>
        </w:rPr>
        <w:t>TCS</w:t>
      </w:r>
      <w:r w:rsidR="00C34E4A" w:rsidRPr="00713EC9">
        <w:rPr>
          <w:sz w:val="20"/>
          <w:szCs w:val="20"/>
        </w:rPr>
        <w:t xml:space="preserve"> – топические кортикостероиды; </w:t>
      </w:r>
      <w:r w:rsidR="00C34E4A" w:rsidRPr="00713EC9">
        <w:rPr>
          <w:sz w:val="20"/>
          <w:szCs w:val="20"/>
          <w:lang w:val="en-US"/>
        </w:rPr>
        <w:t>QD</w:t>
      </w:r>
      <w:r w:rsidR="00C34E4A" w:rsidRPr="00713EC9">
        <w:rPr>
          <w:sz w:val="20"/>
          <w:szCs w:val="20"/>
        </w:rPr>
        <w:t xml:space="preserve"> – 1 раз в день; FAS – </w:t>
      </w:r>
      <w:r w:rsidR="00C34E4A" w:rsidRPr="00713EC9">
        <w:rPr>
          <w:sz w:val="20"/>
          <w:szCs w:val="20"/>
        </w:rPr>
        <w:lastRenderedPageBreak/>
        <w:t>полная выборка для анализа, включая всех рандомизированных пациентов; EASI– площадь экземы и индекс тяжести; LS – метод наименьших квадратов; * статистически значимо по сравнению с плацебо без поправки на множественность; ** статистически значимо по сравнению с плацебо с поправкой на множественность. Не учитывались данные, собранные после экстренной терапии или после прекращения приема барицитиниба. Средние значения LS взяты из анализа смешанной модели с повторными измерениями.</w:t>
      </w:r>
    </w:p>
    <w:p w14:paraId="1216398D" w14:textId="77777777" w:rsidR="00C34E4A" w:rsidRPr="003A4539" w:rsidRDefault="00C34E4A">
      <w:pPr>
        <w:spacing w:after="0" w:line="240" w:lineRule="auto"/>
        <w:ind w:firstLine="708"/>
        <w:contextualSpacing/>
      </w:pPr>
    </w:p>
    <w:p w14:paraId="79AA9862" w14:textId="77777777" w:rsidR="00C34E4A" w:rsidRPr="00713EC9" w:rsidRDefault="00C34E4A" w:rsidP="0029110D">
      <w:pPr>
        <w:spacing w:after="0" w:line="240" w:lineRule="auto"/>
        <w:contextualSpacing/>
        <w:rPr>
          <w:b/>
          <w:i/>
          <w:iCs/>
        </w:rPr>
      </w:pPr>
      <w:r w:rsidRPr="00713EC9">
        <w:rPr>
          <w:b/>
          <w:i/>
          <w:iCs/>
        </w:rPr>
        <w:t>Поддержание ответа</w:t>
      </w:r>
    </w:p>
    <w:p w14:paraId="163A6B51" w14:textId="77777777" w:rsidR="0029110D" w:rsidRDefault="0029110D">
      <w:pPr>
        <w:spacing w:after="0" w:line="240" w:lineRule="auto"/>
        <w:ind w:firstLine="708"/>
        <w:contextualSpacing/>
      </w:pPr>
      <w:bookmarkStart w:id="168" w:name="_Hlk118562518"/>
    </w:p>
    <w:p w14:paraId="20A4D05B" w14:textId="453B7D15" w:rsidR="00C34E4A" w:rsidRDefault="00C34E4A">
      <w:pPr>
        <w:spacing w:after="0" w:line="240" w:lineRule="auto"/>
        <w:ind w:firstLine="708"/>
        <w:contextualSpacing/>
      </w:pPr>
      <w:r>
        <w:t>Для оценки сохранения ответа у 1373 пациентов, получавших барицитиниб в течение 16 недель в исследованиях BREEZE-AD1 (</w:t>
      </w:r>
      <w:r>
        <w:rPr>
          <w:lang w:val="en-US"/>
        </w:rPr>
        <w:t>n</w:t>
      </w:r>
      <w:r>
        <w:t>=541), BREEZE-AD2 (</w:t>
      </w:r>
      <w:r>
        <w:rPr>
          <w:lang w:val="en-US"/>
        </w:rPr>
        <w:t>n</w:t>
      </w:r>
      <w:r>
        <w:t>=540) и BREEZE-AD7 (</w:t>
      </w:r>
      <w:r>
        <w:rPr>
          <w:lang w:val="en-US"/>
        </w:rPr>
        <w:t>n</w:t>
      </w:r>
      <w:r>
        <w:t xml:space="preserve">=292), соответствовали требованиям для участия в долгосрочной программе (дополнительное исследование BREEZE-AD3). Исследователи располагали данными до 68 недель кумулятивного лечения для пациентов из исследований BREEZE-AD1 и -AD2, и до 32 недель кумулятивного лечения для пациентов из исследования BREEZE-AD7. Сохранением ответа на терапию считали значение IGA 0, 1 или 2 после начала лечения </w:t>
      </w:r>
      <w:r w:rsidRPr="002F4447">
        <w:t xml:space="preserve">барицитинибом </w:t>
      </w:r>
      <w:r w:rsidRPr="002F4447">
        <w:fldChar w:fldCharType="begin"/>
      </w:r>
      <w:r w:rsidRPr="002F4447">
        <w:instrText xml:space="preserve"> ADDIN ZOTERO_ITEM CSL_CITATION {"citationID":"I0v6HMrQ","properties":{"formattedCitation":"[6]","plainCitation":"[6]","noteIndex":0},"citationItems":[{"id":3829,"uris":["http://zotero.org/groups/4514912/items/H2A4BXNT"],"itemData":{"id":3829,"type":"document","title":"Summary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7467E744" w14:textId="77777777" w:rsidR="0029110D" w:rsidRDefault="0029110D" w:rsidP="0029110D">
      <w:pPr>
        <w:spacing w:after="0" w:line="240" w:lineRule="auto"/>
      </w:pPr>
    </w:p>
    <w:p w14:paraId="5B11EB94" w14:textId="543E4848" w:rsidR="00C34E4A" w:rsidRPr="00713EC9" w:rsidRDefault="00C34E4A" w:rsidP="0029110D">
      <w:pPr>
        <w:spacing w:after="0" w:line="240" w:lineRule="auto"/>
        <w:rPr>
          <w:b/>
          <w:i/>
          <w:iCs/>
        </w:rPr>
      </w:pPr>
      <w:r w:rsidRPr="00713EC9">
        <w:rPr>
          <w:b/>
          <w:i/>
          <w:iCs/>
        </w:rPr>
        <w:t>Качество жизни/исходы пациентов при атопическом дерматите</w:t>
      </w:r>
    </w:p>
    <w:p w14:paraId="16449B92" w14:textId="77777777" w:rsidR="0029110D" w:rsidRDefault="0029110D">
      <w:pPr>
        <w:spacing w:after="0" w:line="240" w:lineRule="auto"/>
      </w:pPr>
    </w:p>
    <w:p w14:paraId="59877716" w14:textId="7668319F" w:rsidR="00C34E4A" w:rsidRDefault="00C34E4A" w:rsidP="0029110D">
      <w:pPr>
        <w:spacing w:after="0" w:line="240" w:lineRule="auto"/>
        <w:ind w:firstLine="709"/>
      </w:pPr>
      <w:r>
        <w:t>В обоих исследованиях монотерапии (BREEZE-AD1 и BREEZE-AD2) и в исследовании применения комбинации барицитиниба и ТКС (BREEZE-AD7) барицитиниб в дозе 4 мг значительно улучшал исходы, о которых сообщали пациенты, включая значения по шкале NRS</w:t>
      </w:r>
      <w:r w:rsidRPr="00795DD4">
        <w:t>, DLQI и HADS</w:t>
      </w:r>
      <w:r>
        <w:t xml:space="preserve"> через 16 недель по сравнению с плацебо (</w:t>
      </w:r>
      <w:r w:rsidR="00713EC9">
        <w:t>Таблица 4-9</w:t>
      </w:r>
      <w:r>
        <w:t xml:space="preserve">) </w:t>
      </w:r>
      <w:r w:rsidRPr="002F4447">
        <w:fldChar w:fldCharType="begin"/>
      </w:r>
      <w:r w:rsidRPr="002F4447">
        <w:instrText xml:space="preserve"> ADDIN ZOTERO_ITEM CSL_CITATION {"citationID":"8VlhMznq","properties":{"formattedCitation":"[6]","plainCitation":"[6]","noteIndex":0},"citationItems":[{"id":3829,"uris":["http://zotero.org/groups/4514912/items/H2A4BXNT"],"itemData":{"id":3829,"type":"document","title":"Summary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bookmarkEnd w:id="168"/>
    <w:p w14:paraId="270E0680" w14:textId="77777777" w:rsidR="00713EC9" w:rsidRDefault="00713EC9">
      <w:pPr>
        <w:spacing w:after="0" w:line="240" w:lineRule="auto"/>
        <w:rPr>
          <w:b/>
          <w:bCs/>
        </w:rPr>
      </w:pPr>
    </w:p>
    <w:p w14:paraId="3CF07D87" w14:textId="0398ACE2" w:rsidR="00C34E4A" w:rsidRDefault="00713EC9">
      <w:pPr>
        <w:spacing w:after="0" w:line="240" w:lineRule="auto"/>
      </w:pPr>
      <w:r>
        <w:rPr>
          <w:b/>
          <w:bCs/>
        </w:rPr>
        <w:t>Таблица 4-9.</w:t>
      </w:r>
      <w:r w:rsidR="00C34E4A" w:rsidRPr="00795DD4">
        <w:rPr>
          <w:b/>
          <w:bCs/>
        </w:rPr>
        <w:t xml:space="preserve"> </w:t>
      </w:r>
      <w:r w:rsidR="00C34E4A" w:rsidRPr="00713EC9">
        <w:rPr>
          <w:bCs/>
        </w:rPr>
        <w:t>Качество жизни/исходы, о которых сообщают пациенты, результаты монотерапии барицитинибом и барицитиниба в комбинации с ТКС на 16-й неделе (популяция FAS)</w:t>
      </w:r>
      <w:r w:rsidRPr="00713EC9">
        <w:t>.</w:t>
      </w:r>
    </w:p>
    <w:tbl>
      <w:tblPr>
        <w:tblStyle w:val="a8"/>
        <w:tblW w:w="4873" w:type="pct"/>
        <w:tblInd w:w="136" w:type="dxa"/>
        <w:tblLayout w:type="fixed"/>
        <w:tblLook w:val="04A0" w:firstRow="1" w:lastRow="0" w:firstColumn="1" w:lastColumn="0" w:noHBand="0" w:noVBand="1"/>
      </w:tblPr>
      <w:tblGrid>
        <w:gridCol w:w="1491"/>
        <w:gridCol w:w="750"/>
        <w:gridCol w:w="852"/>
        <w:gridCol w:w="849"/>
        <w:gridCol w:w="709"/>
        <w:gridCol w:w="851"/>
        <w:gridCol w:w="850"/>
        <w:gridCol w:w="709"/>
        <w:gridCol w:w="1134"/>
        <w:gridCol w:w="1134"/>
      </w:tblGrid>
      <w:tr w:rsidR="00C34E4A" w:rsidRPr="0029110D" w14:paraId="7F4B45EA" w14:textId="77777777" w:rsidTr="00AB1FF1">
        <w:trPr>
          <w:tblHeader/>
        </w:trPr>
        <w:tc>
          <w:tcPr>
            <w:tcW w:w="1490" w:type="dxa"/>
            <w:vMerge w:val="restart"/>
            <w:shd w:val="clear" w:color="auto" w:fill="D9D9D9" w:themeFill="background1" w:themeFillShade="D9"/>
            <w:vAlign w:val="center"/>
          </w:tcPr>
          <w:p w14:paraId="710C8B84" w14:textId="77777777" w:rsidR="00C34E4A" w:rsidRPr="0029110D" w:rsidRDefault="00C34E4A">
            <w:pPr>
              <w:jc w:val="center"/>
              <w:rPr>
                <w:b/>
                <w:bCs/>
                <w:sz w:val="20"/>
                <w:szCs w:val="20"/>
              </w:rPr>
            </w:pPr>
            <w:r w:rsidRPr="0029110D">
              <w:rPr>
                <w:b/>
                <w:bCs/>
                <w:sz w:val="20"/>
                <w:szCs w:val="20"/>
              </w:rPr>
              <w:t>Исследование</w:t>
            </w:r>
          </w:p>
        </w:tc>
        <w:tc>
          <w:tcPr>
            <w:tcW w:w="4861" w:type="dxa"/>
            <w:gridSpan w:val="6"/>
            <w:shd w:val="clear" w:color="auto" w:fill="D9D9D9" w:themeFill="background1" w:themeFillShade="D9"/>
            <w:vAlign w:val="center"/>
          </w:tcPr>
          <w:p w14:paraId="0951413D" w14:textId="4D47309C" w:rsidR="00C34E4A" w:rsidRPr="0029110D" w:rsidRDefault="00C34E4A">
            <w:pPr>
              <w:jc w:val="center"/>
              <w:rPr>
                <w:b/>
                <w:bCs/>
                <w:sz w:val="20"/>
                <w:szCs w:val="20"/>
              </w:rPr>
            </w:pPr>
            <w:r w:rsidRPr="0029110D">
              <w:rPr>
                <w:b/>
                <w:bCs/>
                <w:sz w:val="20"/>
                <w:szCs w:val="20"/>
              </w:rPr>
              <w:t>Монотерапия бар</w:t>
            </w:r>
            <w:r w:rsidR="004029E9" w:rsidRPr="0029110D">
              <w:rPr>
                <w:b/>
                <w:bCs/>
                <w:sz w:val="20"/>
                <w:szCs w:val="20"/>
              </w:rPr>
              <w:t>и</w:t>
            </w:r>
            <w:r w:rsidRPr="0029110D">
              <w:rPr>
                <w:b/>
                <w:bCs/>
                <w:sz w:val="20"/>
                <w:szCs w:val="20"/>
              </w:rPr>
              <w:t>цитинибом</w:t>
            </w:r>
          </w:p>
        </w:tc>
        <w:tc>
          <w:tcPr>
            <w:tcW w:w="2977" w:type="dxa"/>
            <w:gridSpan w:val="3"/>
            <w:shd w:val="clear" w:color="auto" w:fill="D9D9D9" w:themeFill="background1" w:themeFillShade="D9"/>
            <w:vAlign w:val="center"/>
          </w:tcPr>
          <w:p w14:paraId="0D40856C" w14:textId="3F20A5CA" w:rsidR="00C34E4A" w:rsidRPr="0029110D" w:rsidRDefault="00C34E4A">
            <w:pPr>
              <w:jc w:val="center"/>
              <w:rPr>
                <w:b/>
                <w:bCs/>
                <w:sz w:val="20"/>
                <w:szCs w:val="20"/>
              </w:rPr>
            </w:pPr>
            <w:r w:rsidRPr="0029110D">
              <w:rPr>
                <w:b/>
                <w:bCs/>
                <w:sz w:val="20"/>
                <w:szCs w:val="20"/>
              </w:rPr>
              <w:t>Бар</w:t>
            </w:r>
            <w:r w:rsidR="004029E9" w:rsidRPr="0029110D">
              <w:rPr>
                <w:b/>
                <w:bCs/>
                <w:sz w:val="20"/>
                <w:szCs w:val="20"/>
              </w:rPr>
              <w:t>и</w:t>
            </w:r>
            <w:r w:rsidRPr="0029110D">
              <w:rPr>
                <w:b/>
                <w:bCs/>
                <w:sz w:val="20"/>
                <w:szCs w:val="20"/>
              </w:rPr>
              <w:t>цитинб+топические глюкокортикостероиды</w:t>
            </w:r>
          </w:p>
        </w:tc>
      </w:tr>
      <w:tr w:rsidR="008C6732" w:rsidRPr="0029110D" w14:paraId="08064EF8" w14:textId="77777777" w:rsidTr="00AB1FF1">
        <w:trPr>
          <w:tblHeader/>
        </w:trPr>
        <w:tc>
          <w:tcPr>
            <w:tcW w:w="1490" w:type="dxa"/>
            <w:vMerge/>
            <w:shd w:val="clear" w:color="auto" w:fill="D9D9D9" w:themeFill="background1" w:themeFillShade="D9"/>
            <w:vAlign w:val="center"/>
          </w:tcPr>
          <w:p w14:paraId="05C61F5E" w14:textId="77777777" w:rsidR="00C34E4A" w:rsidRPr="0029110D" w:rsidRDefault="00C34E4A">
            <w:pPr>
              <w:jc w:val="center"/>
              <w:rPr>
                <w:b/>
                <w:sz w:val="20"/>
                <w:szCs w:val="20"/>
              </w:rPr>
            </w:pPr>
          </w:p>
        </w:tc>
        <w:tc>
          <w:tcPr>
            <w:tcW w:w="2451" w:type="dxa"/>
            <w:gridSpan w:val="3"/>
            <w:shd w:val="clear" w:color="auto" w:fill="D9D9D9" w:themeFill="background1" w:themeFillShade="D9"/>
            <w:vAlign w:val="center"/>
          </w:tcPr>
          <w:p w14:paraId="1CAE0848" w14:textId="77777777" w:rsidR="00C34E4A" w:rsidRPr="0029110D" w:rsidRDefault="00C34E4A">
            <w:pPr>
              <w:jc w:val="center"/>
              <w:rPr>
                <w:b/>
                <w:sz w:val="20"/>
                <w:szCs w:val="20"/>
              </w:rPr>
            </w:pPr>
            <w:r w:rsidRPr="0029110D">
              <w:rPr>
                <w:b/>
                <w:sz w:val="20"/>
                <w:szCs w:val="20"/>
              </w:rPr>
              <w:t>BREEZE-AD1</w:t>
            </w:r>
          </w:p>
        </w:tc>
        <w:tc>
          <w:tcPr>
            <w:tcW w:w="2410" w:type="dxa"/>
            <w:gridSpan w:val="3"/>
            <w:shd w:val="clear" w:color="auto" w:fill="D9D9D9" w:themeFill="background1" w:themeFillShade="D9"/>
            <w:vAlign w:val="center"/>
          </w:tcPr>
          <w:p w14:paraId="5B806F4C" w14:textId="77777777" w:rsidR="00C34E4A" w:rsidRPr="0029110D" w:rsidRDefault="00C34E4A">
            <w:pPr>
              <w:jc w:val="center"/>
              <w:rPr>
                <w:b/>
                <w:sz w:val="20"/>
                <w:szCs w:val="20"/>
              </w:rPr>
            </w:pPr>
            <w:r w:rsidRPr="0029110D">
              <w:rPr>
                <w:b/>
                <w:sz w:val="20"/>
                <w:szCs w:val="20"/>
              </w:rPr>
              <w:t>BREEZE-AD2</w:t>
            </w:r>
          </w:p>
        </w:tc>
        <w:tc>
          <w:tcPr>
            <w:tcW w:w="2977" w:type="dxa"/>
            <w:gridSpan w:val="3"/>
            <w:shd w:val="clear" w:color="auto" w:fill="D9D9D9" w:themeFill="background1" w:themeFillShade="D9"/>
            <w:vAlign w:val="center"/>
          </w:tcPr>
          <w:p w14:paraId="693A98D7" w14:textId="77777777" w:rsidR="00C34E4A" w:rsidRPr="0029110D" w:rsidRDefault="00C34E4A">
            <w:pPr>
              <w:jc w:val="center"/>
              <w:rPr>
                <w:b/>
                <w:sz w:val="20"/>
                <w:szCs w:val="20"/>
              </w:rPr>
            </w:pPr>
            <w:r w:rsidRPr="0029110D">
              <w:rPr>
                <w:b/>
                <w:sz w:val="20"/>
                <w:szCs w:val="20"/>
              </w:rPr>
              <w:t>BREEZE-AD7</w:t>
            </w:r>
          </w:p>
        </w:tc>
      </w:tr>
      <w:tr w:rsidR="00AB1FF1" w:rsidRPr="0029110D" w14:paraId="5F826195" w14:textId="77777777" w:rsidTr="00AB1FF1">
        <w:trPr>
          <w:tblHeader/>
        </w:trPr>
        <w:tc>
          <w:tcPr>
            <w:tcW w:w="1490" w:type="dxa"/>
            <w:vMerge/>
            <w:shd w:val="clear" w:color="auto" w:fill="D9D9D9" w:themeFill="background1" w:themeFillShade="D9"/>
            <w:vAlign w:val="center"/>
          </w:tcPr>
          <w:p w14:paraId="751031EB" w14:textId="77777777" w:rsidR="00C34E4A" w:rsidRPr="0029110D" w:rsidRDefault="00C34E4A">
            <w:pPr>
              <w:jc w:val="center"/>
              <w:rPr>
                <w:b/>
                <w:sz w:val="20"/>
                <w:szCs w:val="20"/>
              </w:rPr>
            </w:pPr>
          </w:p>
        </w:tc>
        <w:tc>
          <w:tcPr>
            <w:tcW w:w="750" w:type="dxa"/>
            <w:shd w:val="clear" w:color="auto" w:fill="D9D9D9" w:themeFill="background1" w:themeFillShade="D9"/>
            <w:vAlign w:val="center"/>
          </w:tcPr>
          <w:p w14:paraId="0957FC8F" w14:textId="77777777" w:rsidR="00C34E4A" w:rsidRPr="0029110D" w:rsidRDefault="00C34E4A">
            <w:pPr>
              <w:jc w:val="center"/>
              <w:rPr>
                <w:b/>
                <w:sz w:val="20"/>
                <w:szCs w:val="20"/>
              </w:rPr>
            </w:pPr>
            <w:r w:rsidRPr="0029110D">
              <w:rPr>
                <w:b/>
                <w:sz w:val="20"/>
                <w:szCs w:val="20"/>
                <w:lang w:val="en-US"/>
              </w:rPr>
              <w:t>PBO</w:t>
            </w:r>
          </w:p>
        </w:tc>
        <w:tc>
          <w:tcPr>
            <w:tcW w:w="852" w:type="dxa"/>
            <w:shd w:val="clear" w:color="auto" w:fill="D9D9D9" w:themeFill="background1" w:themeFillShade="D9"/>
            <w:vAlign w:val="center"/>
          </w:tcPr>
          <w:p w14:paraId="0F80BAEA" w14:textId="77777777" w:rsidR="00C34E4A" w:rsidRPr="0029110D" w:rsidRDefault="00C34E4A">
            <w:pPr>
              <w:jc w:val="center"/>
              <w:rPr>
                <w:b/>
                <w:sz w:val="20"/>
                <w:szCs w:val="20"/>
              </w:rPr>
            </w:pPr>
            <w:r w:rsidRPr="0029110D">
              <w:rPr>
                <w:b/>
                <w:sz w:val="20"/>
                <w:szCs w:val="20"/>
                <w:lang w:val="en-US"/>
              </w:rPr>
              <w:t>BARI</w:t>
            </w:r>
            <w:r w:rsidRPr="0029110D">
              <w:rPr>
                <w:b/>
                <w:sz w:val="20"/>
                <w:szCs w:val="20"/>
              </w:rPr>
              <w:t xml:space="preserve"> </w:t>
            </w:r>
            <w:r w:rsidRPr="0029110D">
              <w:rPr>
                <w:b/>
                <w:sz w:val="20"/>
                <w:szCs w:val="20"/>
                <w:lang w:val="en-US"/>
              </w:rPr>
              <w:t>2 mg</w:t>
            </w:r>
          </w:p>
        </w:tc>
        <w:tc>
          <w:tcPr>
            <w:tcW w:w="849" w:type="dxa"/>
            <w:shd w:val="clear" w:color="auto" w:fill="D9D9D9" w:themeFill="background1" w:themeFillShade="D9"/>
            <w:vAlign w:val="center"/>
          </w:tcPr>
          <w:p w14:paraId="588F68FD" w14:textId="77777777" w:rsidR="00C34E4A" w:rsidRPr="0029110D" w:rsidRDefault="00C34E4A">
            <w:pPr>
              <w:jc w:val="center"/>
              <w:rPr>
                <w:b/>
                <w:sz w:val="20"/>
                <w:szCs w:val="20"/>
              </w:rPr>
            </w:pPr>
            <w:r w:rsidRPr="0029110D">
              <w:rPr>
                <w:b/>
                <w:sz w:val="20"/>
                <w:szCs w:val="20"/>
                <w:lang w:val="en-US"/>
              </w:rPr>
              <w:t>BARI 4 mg</w:t>
            </w:r>
          </w:p>
        </w:tc>
        <w:tc>
          <w:tcPr>
            <w:tcW w:w="709" w:type="dxa"/>
            <w:shd w:val="clear" w:color="auto" w:fill="D9D9D9" w:themeFill="background1" w:themeFillShade="D9"/>
            <w:vAlign w:val="center"/>
          </w:tcPr>
          <w:p w14:paraId="10BBA4C7" w14:textId="77777777" w:rsidR="00C34E4A" w:rsidRPr="0029110D" w:rsidRDefault="00C34E4A">
            <w:pPr>
              <w:jc w:val="center"/>
              <w:rPr>
                <w:b/>
                <w:sz w:val="20"/>
                <w:szCs w:val="20"/>
              </w:rPr>
            </w:pPr>
            <w:r w:rsidRPr="0029110D">
              <w:rPr>
                <w:b/>
                <w:sz w:val="20"/>
                <w:szCs w:val="20"/>
                <w:lang w:val="en-US"/>
              </w:rPr>
              <w:t>PBO</w:t>
            </w:r>
          </w:p>
        </w:tc>
        <w:tc>
          <w:tcPr>
            <w:tcW w:w="851" w:type="dxa"/>
            <w:shd w:val="clear" w:color="auto" w:fill="D9D9D9" w:themeFill="background1" w:themeFillShade="D9"/>
            <w:vAlign w:val="center"/>
          </w:tcPr>
          <w:p w14:paraId="09AD2B3B" w14:textId="77777777" w:rsidR="00C34E4A" w:rsidRPr="0029110D" w:rsidRDefault="00C34E4A">
            <w:pPr>
              <w:jc w:val="center"/>
              <w:rPr>
                <w:b/>
                <w:sz w:val="20"/>
                <w:szCs w:val="20"/>
              </w:rPr>
            </w:pPr>
            <w:r w:rsidRPr="0029110D">
              <w:rPr>
                <w:b/>
                <w:sz w:val="20"/>
                <w:szCs w:val="20"/>
                <w:lang w:val="en-US"/>
              </w:rPr>
              <w:t>BARI 2 mg</w:t>
            </w:r>
          </w:p>
        </w:tc>
        <w:tc>
          <w:tcPr>
            <w:tcW w:w="850" w:type="dxa"/>
            <w:shd w:val="clear" w:color="auto" w:fill="D9D9D9" w:themeFill="background1" w:themeFillShade="D9"/>
            <w:vAlign w:val="center"/>
          </w:tcPr>
          <w:p w14:paraId="53602E1B" w14:textId="77777777" w:rsidR="00C34E4A" w:rsidRPr="0029110D" w:rsidRDefault="00C34E4A">
            <w:pPr>
              <w:jc w:val="center"/>
              <w:rPr>
                <w:b/>
                <w:sz w:val="20"/>
                <w:szCs w:val="20"/>
              </w:rPr>
            </w:pPr>
            <w:r w:rsidRPr="0029110D">
              <w:rPr>
                <w:b/>
                <w:sz w:val="20"/>
                <w:szCs w:val="20"/>
                <w:lang w:val="en-US"/>
              </w:rPr>
              <w:t>BARI 4 mg</w:t>
            </w:r>
          </w:p>
        </w:tc>
        <w:tc>
          <w:tcPr>
            <w:tcW w:w="709" w:type="dxa"/>
            <w:shd w:val="clear" w:color="auto" w:fill="D9D9D9" w:themeFill="background1" w:themeFillShade="D9"/>
            <w:vAlign w:val="center"/>
          </w:tcPr>
          <w:p w14:paraId="2BD59A13" w14:textId="46447A16" w:rsidR="00C34E4A" w:rsidRPr="0029110D" w:rsidRDefault="00C34E4A">
            <w:pPr>
              <w:jc w:val="center"/>
              <w:rPr>
                <w:b/>
                <w:sz w:val="20"/>
                <w:szCs w:val="20"/>
              </w:rPr>
            </w:pPr>
            <w:r w:rsidRPr="0029110D">
              <w:rPr>
                <w:b/>
                <w:sz w:val="20"/>
                <w:szCs w:val="20"/>
                <w:lang w:val="en-US"/>
              </w:rPr>
              <w:t>PBO</w:t>
            </w:r>
            <w:r w:rsidRPr="0029110D">
              <w:rPr>
                <w:b/>
                <w:sz w:val="20"/>
                <w:szCs w:val="20"/>
              </w:rPr>
              <w:t>+</w:t>
            </w:r>
            <w:r w:rsidR="008C6732" w:rsidRPr="0029110D">
              <w:rPr>
                <w:b/>
                <w:sz w:val="20"/>
                <w:szCs w:val="20"/>
                <w:lang w:val="en-US"/>
              </w:rPr>
              <w:t xml:space="preserve"> </w:t>
            </w:r>
            <w:r w:rsidRPr="0029110D">
              <w:rPr>
                <w:b/>
                <w:sz w:val="20"/>
                <w:szCs w:val="20"/>
                <w:lang w:val="en-US"/>
              </w:rPr>
              <w:t>TCS</w:t>
            </w:r>
          </w:p>
        </w:tc>
        <w:tc>
          <w:tcPr>
            <w:tcW w:w="1134" w:type="dxa"/>
            <w:shd w:val="clear" w:color="auto" w:fill="D9D9D9" w:themeFill="background1" w:themeFillShade="D9"/>
            <w:vAlign w:val="center"/>
          </w:tcPr>
          <w:p w14:paraId="3C84A3B1" w14:textId="77777777" w:rsidR="00C34E4A" w:rsidRPr="0029110D" w:rsidRDefault="00C34E4A">
            <w:pPr>
              <w:jc w:val="center"/>
              <w:rPr>
                <w:b/>
                <w:sz w:val="20"/>
                <w:szCs w:val="20"/>
              </w:rPr>
            </w:pPr>
            <w:r w:rsidRPr="0029110D">
              <w:rPr>
                <w:b/>
                <w:sz w:val="20"/>
                <w:szCs w:val="20"/>
                <w:lang w:val="en-US"/>
              </w:rPr>
              <w:t>BARI 2 mg</w:t>
            </w:r>
            <w:r w:rsidRPr="0029110D">
              <w:rPr>
                <w:b/>
                <w:sz w:val="20"/>
                <w:szCs w:val="20"/>
              </w:rPr>
              <w:t>+</w:t>
            </w:r>
            <w:r w:rsidRPr="0029110D">
              <w:rPr>
                <w:b/>
                <w:sz w:val="20"/>
                <w:szCs w:val="20"/>
                <w:lang w:val="en-US"/>
              </w:rPr>
              <w:t>TCS</w:t>
            </w:r>
          </w:p>
        </w:tc>
        <w:tc>
          <w:tcPr>
            <w:tcW w:w="1134" w:type="dxa"/>
            <w:shd w:val="clear" w:color="auto" w:fill="D9D9D9" w:themeFill="background1" w:themeFillShade="D9"/>
            <w:vAlign w:val="center"/>
          </w:tcPr>
          <w:p w14:paraId="4788A081" w14:textId="77777777" w:rsidR="00C34E4A" w:rsidRPr="0029110D" w:rsidRDefault="00C34E4A">
            <w:pPr>
              <w:jc w:val="center"/>
              <w:rPr>
                <w:b/>
                <w:sz w:val="20"/>
                <w:szCs w:val="20"/>
              </w:rPr>
            </w:pPr>
            <w:r w:rsidRPr="0029110D">
              <w:rPr>
                <w:b/>
                <w:sz w:val="20"/>
                <w:szCs w:val="20"/>
                <w:lang w:val="en-US"/>
              </w:rPr>
              <w:t>BARI 4 mg</w:t>
            </w:r>
            <w:r w:rsidRPr="0029110D">
              <w:rPr>
                <w:b/>
                <w:sz w:val="20"/>
                <w:szCs w:val="20"/>
              </w:rPr>
              <w:t>+</w:t>
            </w:r>
            <w:r w:rsidRPr="0029110D">
              <w:rPr>
                <w:b/>
                <w:sz w:val="20"/>
                <w:szCs w:val="20"/>
                <w:lang w:val="en-US"/>
              </w:rPr>
              <w:t>TCS</w:t>
            </w:r>
          </w:p>
        </w:tc>
      </w:tr>
      <w:tr w:rsidR="008C6732" w:rsidRPr="0029110D" w14:paraId="362032B0" w14:textId="77777777" w:rsidTr="00AB1FF1">
        <w:tc>
          <w:tcPr>
            <w:tcW w:w="1490" w:type="dxa"/>
          </w:tcPr>
          <w:p w14:paraId="27E68079" w14:textId="77777777" w:rsidR="00C34E4A" w:rsidRPr="0029110D" w:rsidRDefault="00C34E4A">
            <w:pPr>
              <w:rPr>
                <w:sz w:val="20"/>
                <w:szCs w:val="20"/>
              </w:rPr>
            </w:pPr>
            <w:r w:rsidRPr="0029110D">
              <w:rPr>
                <w:sz w:val="20"/>
                <w:szCs w:val="20"/>
              </w:rPr>
              <w:t>Количество участников</w:t>
            </w:r>
          </w:p>
        </w:tc>
        <w:tc>
          <w:tcPr>
            <w:tcW w:w="750" w:type="dxa"/>
          </w:tcPr>
          <w:p w14:paraId="50DB78A6" w14:textId="77777777" w:rsidR="00C34E4A" w:rsidRPr="0029110D" w:rsidRDefault="00C34E4A" w:rsidP="00AB1FF1">
            <w:pPr>
              <w:jc w:val="center"/>
              <w:rPr>
                <w:sz w:val="20"/>
                <w:szCs w:val="20"/>
              </w:rPr>
            </w:pPr>
            <w:r w:rsidRPr="0029110D">
              <w:rPr>
                <w:sz w:val="20"/>
                <w:szCs w:val="20"/>
              </w:rPr>
              <w:t>249</w:t>
            </w:r>
          </w:p>
        </w:tc>
        <w:tc>
          <w:tcPr>
            <w:tcW w:w="852" w:type="dxa"/>
          </w:tcPr>
          <w:p w14:paraId="0EB05837" w14:textId="77777777" w:rsidR="00C34E4A" w:rsidRPr="0029110D" w:rsidRDefault="00C34E4A" w:rsidP="00AB1FF1">
            <w:pPr>
              <w:jc w:val="center"/>
              <w:rPr>
                <w:sz w:val="20"/>
                <w:szCs w:val="20"/>
              </w:rPr>
            </w:pPr>
            <w:r w:rsidRPr="0029110D">
              <w:rPr>
                <w:sz w:val="20"/>
                <w:szCs w:val="20"/>
              </w:rPr>
              <w:t>123</w:t>
            </w:r>
          </w:p>
        </w:tc>
        <w:tc>
          <w:tcPr>
            <w:tcW w:w="849" w:type="dxa"/>
          </w:tcPr>
          <w:p w14:paraId="1E34FCA4" w14:textId="77777777" w:rsidR="00C34E4A" w:rsidRPr="0029110D" w:rsidRDefault="00C34E4A" w:rsidP="00AB1FF1">
            <w:pPr>
              <w:jc w:val="center"/>
              <w:rPr>
                <w:sz w:val="20"/>
                <w:szCs w:val="20"/>
              </w:rPr>
            </w:pPr>
            <w:r w:rsidRPr="0029110D">
              <w:rPr>
                <w:sz w:val="20"/>
                <w:szCs w:val="20"/>
              </w:rPr>
              <w:t>125</w:t>
            </w:r>
          </w:p>
        </w:tc>
        <w:tc>
          <w:tcPr>
            <w:tcW w:w="709" w:type="dxa"/>
          </w:tcPr>
          <w:p w14:paraId="71CCDE11" w14:textId="77777777" w:rsidR="00C34E4A" w:rsidRPr="0029110D" w:rsidRDefault="00C34E4A" w:rsidP="00AB1FF1">
            <w:pPr>
              <w:jc w:val="center"/>
              <w:rPr>
                <w:sz w:val="20"/>
                <w:szCs w:val="20"/>
              </w:rPr>
            </w:pPr>
            <w:r w:rsidRPr="0029110D">
              <w:rPr>
                <w:sz w:val="20"/>
                <w:szCs w:val="20"/>
              </w:rPr>
              <w:t>244</w:t>
            </w:r>
          </w:p>
        </w:tc>
        <w:tc>
          <w:tcPr>
            <w:tcW w:w="851" w:type="dxa"/>
          </w:tcPr>
          <w:p w14:paraId="5B701EBF" w14:textId="77777777" w:rsidR="00C34E4A" w:rsidRPr="0029110D" w:rsidRDefault="00C34E4A" w:rsidP="00AB1FF1">
            <w:pPr>
              <w:jc w:val="center"/>
              <w:rPr>
                <w:sz w:val="20"/>
                <w:szCs w:val="20"/>
              </w:rPr>
            </w:pPr>
            <w:r w:rsidRPr="0029110D">
              <w:rPr>
                <w:sz w:val="20"/>
                <w:szCs w:val="20"/>
              </w:rPr>
              <w:t>123</w:t>
            </w:r>
          </w:p>
        </w:tc>
        <w:tc>
          <w:tcPr>
            <w:tcW w:w="850" w:type="dxa"/>
          </w:tcPr>
          <w:p w14:paraId="775866DE" w14:textId="77777777" w:rsidR="00C34E4A" w:rsidRPr="0029110D" w:rsidRDefault="00C34E4A" w:rsidP="00AB1FF1">
            <w:pPr>
              <w:jc w:val="center"/>
              <w:rPr>
                <w:sz w:val="20"/>
                <w:szCs w:val="20"/>
              </w:rPr>
            </w:pPr>
            <w:r w:rsidRPr="0029110D">
              <w:rPr>
                <w:sz w:val="20"/>
                <w:szCs w:val="20"/>
              </w:rPr>
              <w:t>123</w:t>
            </w:r>
          </w:p>
        </w:tc>
        <w:tc>
          <w:tcPr>
            <w:tcW w:w="709" w:type="dxa"/>
          </w:tcPr>
          <w:p w14:paraId="156F388E" w14:textId="77777777" w:rsidR="00C34E4A" w:rsidRPr="0029110D" w:rsidRDefault="00C34E4A" w:rsidP="00AB1FF1">
            <w:pPr>
              <w:jc w:val="center"/>
              <w:rPr>
                <w:sz w:val="20"/>
                <w:szCs w:val="20"/>
              </w:rPr>
            </w:pPr>
            <w:r w:rsidRPr="0029110D">
              <w:rPr>
                <w:sz w:val="20"/>
                <w:szCs w:val="20"/>
              </w:rPr>
              <w:t>109</w:t>
            </w:r>
          </w:p>
        </w:tc>
        <w:tc>
          <w:tcPr>
            <w:tcW w:w="1134" w:type="dxa"/>
          </w:tcPr>
          <w:p w14:paraId="66D95442" w14:textId="77777777" w:rsidR="00C34E4A" w:rsidRPr="0029110D" w:rsidRDefault="00C34E4A" w:rsidP="00AB1FF1">
            <w:pPr>
              <w:jc w:val="center"/>
              <w:rPr>
                <w:sz w:val="20"/>
                <w:szCs w:val="20"/>
              </w:rPr>
            </w:pPr>
            <w:r w:rsidRPr="0029110D">
              <w:rPr>
                <w:sz w:val="20"/>
                <w:szCs w:val="20"/>
              </w:rPr>
              <w:t>109</w:t>
            </w:r>
          </w:p>
        </w:tc>
        <w:tc>
          <w:tcPr>
            <w:tcW w:w="1134" w:type="dxa"/>
          </w:tcPr>
          <w:p w14:paraId="3A825C6A" w14:textId="77777777" w:rsidR="00C34E4A" w:rsidRPr="0029110D" w:rsidRDefault="00C34E4A" w:rsidP="00AB1FF1">
            <w:pPr>
              <w:jc w:val="center"/>
              <w:rPr>
                <w:sz w:val="20"/>
                <w:szCs w:val="20"/>
              </w:rPr>
            </w:pPr>
            <w:r w:rsidRPr="0029110D">
              <w:rPr>
                <w:sz w:val="20"/>
                <w:szCs w:val="20"/>
              </w:rPr>
              <w:t>111</w:t>
            </w:r>
          </w:p>
        </w:tc>
      </w:tr>
      <w:tr w:rsidR="008C6732" w:rsidRPr="0029110D" w14:paraId="45EC08FF" w14:textId="77777777" w:rsidTr="00AB1FF1">
        <w:tc>
          <w:tcPr>
            <w:tcW w:w="1490" w:type="dxa"/>
          </w:tcPr>
          <w:p w14:paraId="0C455E29" w14:textId="77777777" w:rsidR="00C34E4A" w:rsidRPr="0029110D" w:rsidRDefault="00C34E4A">
            <w:pPr>
              <w:rPr>
                <w:sz w:val="20"/>
                <w:szCs w:val="20"/>
              </w:rPr>
            </w:pPr>
            <w:r w:rsidRPr="0029110D">
              <w:rPr>
                <w:sz w:val="20"/>
                <w:szCs w:val="20"/>
                <w:lang w:val="en-US"/>
              </w:rPr>
              <w:t>ADSS</w:t>
            </w:r>
            <w:r w:rsidRPr="0029110D">
              <w:rPr>
                <w:sz w:val="20"/>
                <w:szCs w:val="20"/>
              </w:rPr>
              <w:t xml:space="preserve"> </w:t>
            </w:r>
            <w:r w:rsidRPr="0029110D">
              <w:rPr>
                <w:sz w:val="20"/>
                <w:szCs w:val="20"/>
                <w:lang w:val="en-US"/>
              </w:rPr>
              <w:t>Item</w:t>
            </w:r>
            <w:r w:rsidRPr="0029110D">
              <w:rPr>
                <w:sz w:val="20"/>
                <w:szCs w:val="20"/>
              </w:rPr>
              <w:t xml:space="preserve"> 2 ≥ 2-балльное улучшение % участников</w:t>
            </w:r>
            <w:r w:rsidRPr="0029110D">
              <w:rPr>
                <w:sz w:val="20"/>
                <w:szCs w:val="20"/>
                <w:vertAlign w:val="superscript"/>
                <w:lang w:val="en-US"/>
              </w:rPr>
              <w:t>c</w:t>
            </w:r>
          </w:p>
        </w:tc>
        <w:tc>
          <w:tcPr>
            <w:tcW w:w="750" w:type="dxa"/>
          </w:tcPr>
          <w:p w14:paraId="5C3A04AA" w14:textId="62851D68" w:rsidR="00C34E4A" w:rsidRPr="0029110D" w:rsidRDefault="00C34E4A" w:rsidP="00AB1FF1">
            <w:pPr>
              <w:jc w:val="center"/>
              <w:rPr>
                <w:sz w:val="20"/>
                <w:szCs w:val="20"/>
                <w:lang w:val="en-US"/>
              </w:rPr>
            </w:pPr>
            <w:r w:rsidRPr="0029110D">
              <w:rPr>
                <w:sz w:val="20"/>
                <w:szCs w:val="20"/>
              </w:rPr>
              <w:t>12</w:t>
            </w:r>
            <w:r w:rsidR="008C6732" w:rsidRPr="0029110D">
              <w:rPr>
                <w:sz w:val="20"/>
                <w:szCs w:val="20"/>
              </w:rPr>
              <w:t>,</w:t>
            </w:r>
            <w:r w:rsidRPr="0029110D">
              <w:rPr>
                <w:sz w:val="20"/>
                <w:szCs w:val="20"/>
              </w:rPr>
              <w:t>8</w:t>
            </w:r>
          </w:p>
        </w:tc>
        <w:tc>
          <w:tcPr>
            <w:tcW w:w="852" w:type="dxa"/>
          </w:tcPr>
          <w:p w14:paraId="38D1C952" w14:textId="27C6159F" w:rsidR="00C34E4A" w:rsidRPr="0029110D" w:rsidRDefault="00C34E4A" w:rsidP="00AB1FF1">
            <w:pPr>
              <w:jc w:val="center"/>
              <w:rPr>
                <w:sz w:val="20"/>
                <w:szCs w:val="20"/>
                <w:lang w:val="en-US"/>
              </w:rPr>
            </w:pPr>
            <w:r w:rsidRPr="0029110D">
              <w:rPr>
                <w:sz w:val="20"/>
                <w:szCs w:val="20"/>
              </w:rPr>
              <w:t>11</w:t>
            </w:r>
            <w:r w:rsidR="008C6732" w:rsidRPr="0029110D">
              <w:rPr>
                <w:sz w:val="20"/>
                <w:szCs w:val="20"/>
              </w:rPr>
              <w:t>,</w:t>
            </w:r>
            <w:r w:rsidRPr="0029110D">
              <w:rPr>
                <w:sz w:val="20"/>
                <w:szCs w:val="20"/>
              </w:rPr>
              <w:t>4</w:t>
            </w:r>
          </w:p>
        </w:tc>
        <w:tc>
          <w:tcPr>
            <w:tcW w:w="849" w:type="dxa"/>
          </w:tcPr>
          <w:p w14:paraId="63252747" w14:textId="75382B62" w:rsidR="00C34E4A" w:rsidRPr="0029110D" w:rsidRDefault="00C34E4A" w:rsidP="00AB1FF1">
            <w:pPr>
              <w:jc w:val="center"/>
              <w:rPr>
                <w:sz w:val="20"/>
                <w:szCs w:val="20"/>
                <w:lang w:val="en-US"/>
              </w:rPr>
            </w:pPr>
            <w:r w:rsidRPr="0029110D">
              <w:rPr>
                <w:sz w:val="20"/>
                <w:szCs w:val="20"/>
              </w:rPr>
              <w:t>32</w:t>
            </w:r>
            <w:r w:rsidR="008C6732" w:rsidRPr="0029110D">
              <w:rPr>
                <w:sz w:val="20"/>
                <w:szCs w:val="20"/>
              </w:rPr>
              <w:t>,</w:t>
            </w:r>
            <w:r w:rsidRPr="0029110D">
              <w:rPr>
                <w:sz w:val="20"/>
                <w:szCs w:val="20"/>
              </w:rPr>
              <w:t>7*</w:t>
            </w:r>
          </w:p>
        </w:tc>
        <w:tc>
          <w:tcPr>
            <w:tcW w:w="709" w:type="dxa"/>
          </w:tcPr>
          <w:p w14:paraId="2360BC7D" w14:textId="06E53867" w:rsidR="00C34E4A" w:rsidRPr="0029110D" w:rsidRDefault="00C34E4A" w:rsidP="00AB1FF1">
            <w:pPr>
              <w:jc w:val="center"/>
              <w:rPr>
                <w:sz w:val="20"/>
                <w:szCs w:val="20"/>
                <w:lang w:val="en-US"/>
              </w:rPr>
            </w:pPr>
            <w:r w:rsidRPr="0029110D">
              <w:rPr>
                <w:sz w:val="20"/>
                <w:szCs w:val="20"/>
              </w:rPr>
              <w:t>8</w:t>
            </w:r>
            <w:r w:rsidR="008C6732" w:rsidRPr="0029110D">
              <w:rPr>
                <w:sz w:val="20"/>
                <w:szCs w:val="20"/>
              </w:rPr>
              <w:t>,</w:t>
            </w:r>
            <w:r w:rsidRPr="0029110D">
              <w:rPr>
                <w:sz w:val="20"/>
                <w:szCs w:val="20"/>
              </w:rPr>
              <w:t>0</w:t>
            </w:r>
          </w:p>
        </w:tc>
        <w:tc>
          <w:tcPr>
            <w:tcW w:w="851" w:type="dxa"/>
          </w:tcPr>
          <w:p w14:paraId="512BDE40" w14:textId="22B18D2E" w:rsidR="00C34E4A" w:rsidRPr="0029110D" w:rsidRDefault="00C34E4A" w:rsidP="00AB1FF1">
            <w:pPr>
              <w:jc w:val="center"/>
              <w:rPr>
                <w:sz w:val="20"/>
                <w:szCs w:val="20"/>
                <w:lang w:val="en-US"/>
              </w:rPr>
            </w:pPr>
            <w:r w:rsidRPr="0029110D">
              <w:rPr>
                <w:sz w:val="20"/>
                <w:szCs w:val="20"/>
              </w:rPr>
              <w:t>19</w:t>
            </w:r>
            <w:r w:rsidR="008C6732" w:rsidRPr="0029110D">
              <w:rPr>
                <w:sz w:val="20"/>
                <w:szCs w:val="20"/>
              </w:rPr>
              <w:t>,</w:t>
            </w:r>
            <w:r w:rsidRPr="0029110D">
              <w:rPr>
                <w:sz w:val="20"/>
                <w:szCs w:val="20"/>
              </w:rPr>
              <w:t>6</w:t>
            </w:r>
          </w:p>
        </w:tc>
        <w:tc>
          <w:tcPr>
            <w:tcW w:w="850" w:type="dxa"/>
          </w:tcPr>
          <w:p w14:paraId="1AFA2B19" w14:textId="1081D550" w:rsidR="00C34E4A" w:rsidRPr="0029110D" w:rsidRDefault="00C34E4A" w:rsidP="00AB1FF1">
            <w:pPr>
              <w:jc w:val="center"/>
              <w:rPr>
                <w:sz w:val="20"/>
                <w:szCs w:val="20"/>
                <w:lang w:val="en-US"/>
              </w:rPr>
            </w:pPr>
            <w:r w:rsidRPr="0029110D">
              <w:rPr>
                <w:sz w:val="20"/>
                <w:szCs w:val="20"/>
              </w:rPr>
              <w:t>24</w:t>
            </w:r>
            <w:r w:rsidR="008C6732" w:rsidRPr="0029110D">
              <w:rPr>
                <w:sz w:val="20"/>
                <w:szCs w:val="20"/>
              </w:rPr>
              <w:t>,</w:t>
            </w:r>
            <w:r w:rsidRPr="0029110D">
              <w:rPr>
                <w:sz w:val="20"/>
                <w:szCs w:val="20"/>
              </w:rPr>
              <w:t>4*</w:t>
            </w:r>
          </w:p>
        </w:tc>
        <w:tc>
          <w:tcPr>
            <w:tcW w:w="709" w:type="dxa"/>
          </w:tcPr>
          <w:p w14:paraId="0A541C80" w14:textId="5FE108FF" w:rsidR="00C34E4A" w:rsidRPr="0029110D" w:rsidRDefault="00C34E4A" w:rsidP="00AB1FF1">
            <w:pPr>
              <w:jc w:val="center"/>
              <w:rPr>
                <w:sz w:val="20"/>
                <w:szCs w:val="20"/>
                <w:lang w:val="en-US"/>
              </w:rPr>
            </w:pPr>
            <w:r w:rsidRPr="0029110D">
              <w:rPr>
                <w:sz w:val="20"/>
                <w:szCs w:val="20"/>
              </w:rPr>
              <w:t>30</w:t>
            </w:r>
            <w:r w:rsidR="008C6732" w:rsidRPr="0029110D">
              <w:rPr>
                <w:sz w:val="20"/>
                <w:szCs w:val="20"/>
              </w:rPr>
              <w:t>,</w:t>
            </w:r>
            <w:r w:rsidRPr="0029110D">
              <w:rPr>
                <w:sz w:val="20"/>
                <w:szCs w:val="20"/>
              </w:rPr>
              <w:t>6</w:t>
            </w:r>
          </w:p>
        </w:tc>
        <w:tc>
          <w:tcPr>
            <w:tcW w:w="1134" w:type="dxa"/>
          </w:tcPr>
          <w:p w14:paraId="57D619BD" w14:textId="5722FB8C" w:rsidR="00C34E4A" w:rsidRPr="0029110D" w:rsidRDefault="00C34E4A" w:rsidP="00AB1FF1">
            <w:pPr>
              <w:jc w:val="center"/>
              <w:rPr>
                <w:sz w:val="20"/>
                <w:szCs w:val="20"/>
                <w:lang w:val="en-US"/>
              </w:rPr>
            </w:pPr>
            <w:r w:rsidRPr="0029110D">
              <w:rPr>
                <w:sz w:val="20"/>
                <w:szCs w:val="20"/>
              </w:rPr>
              <w:t>61</w:t>
            </w:r>
            <w:r w:rsidR="008C6732" w:rsidRPr="0029110D">
              <w:rPr>
                <w:sz w:val="20"/>
                <w:szCs w:val="20"/>
              </w:rPr>
              <w:t>,</w:t>
            </w:r>
            <w:r w:rsidRPr="0029110D">
              <w:rPr>
                <w:sz w:val="20"/>
                <w:szCs w:val="20"/>
              </w:rPr>
              <w:t>5*</w:t>
            </w:r>
          </w:p>
        </w:tc>
        <w:tc>
          <w:tcPr>
            <w:tcW w:w="1134" w:type="dxa"/>
          </w:tcPr>
          <w:p w14:paraId="4BA64D30" w14:textId="74190CB0" w:rsidR="00C34E4A" w:rsidRPr="0029110D" w:rsidRDefault="00C34E4A" w:rsidP="00AB1FF1">
            <w:pPr>
              <w:jc w:val="center"/>
              <w:rPr>
                <w:sz w:val="20"/>
                <w:szCs w:val="20"/>
                <w:lang w:val="en-US"/>
              </w:rPr>
            </w:pPr>
            <w:r w:rsidRPr="0029110D">
              <w:rPr>
                <w:sz w:val="20"/>
                <w:szCs w:val="20"/>
              </w:rPr>
              <w:t>66</w:t>
            </w:r>
            <w:r w:rsidR="008C6732" w:rsidRPr="0029110D">
              <w:rPr>
                <w:sz w:val="20"/>
                <w:szCs w:val="20"/>
              </w:rPr>
              <w:t>,</w:t>
            </w:r>
            <w:r w:rsidRPr="0029110D">
              <w:rPr>
                <w:sz w:val="20"/>
                <w:szCs w:val="20"/>
              </w:rPr>
              <w:t>7*</w:t>
            </w:r>
          </w:p>
        </w:tc>
      </w:tr>
      <w:tr w:rsidR="008C6732" w:rsidRPr="0029110D" w14:paraId="7C890999" w14:textId="77777777" w:rsidTr="00AB1FF1">
        <w:tc>
          <w:tcPr>
            <w:tcW w:w="1490" w:type="dxa"/>
          </w:tcPr>
          <w:p w14:paraId="0B220152" w14:textId="77777777" w:rsidR="00C34E4A" w:rsidRPr="0029110D" w:rsidRDefault="00C34E4A">
            <w:pPr>
              <w:rPr>
                <w:sz w:val="20"/>
                <w:szCs w:val="20"/>
              </w:rPr>
            </w:pPr>
            <w:r w:rsidRPr="0029110D">
              <w:rPr>
                <w:sz w:val="20"/>
                <w:szCs w:val="20"/>
              </w:rPr>
              <w:t xml:space="preserve">Изменение кожной боли </w:t>
            </w:r>
            <w:r w:rsidRPr="0029110D">
              <w:rPr>
                <w:sz w:val="20"/>
                <w:szCs w:val="20"/>
                <w:lang w:val="en-US"/>
              </w:rPr>
              <w:t>NRS</w:t>
            </w:r>
            <w:r w:rsidRPr="0029110D">
              <w:rPr>
                <w:sz w:val="20"/>
                <w:szCs w:val="20"/>
              </w:rPr>
              <w:t>, среднее (</w:t>
            </w:r>
            <w:r w:rsidRPr="0029110D">
              <w:rPr>
                <w:sz w:val="20"/>
                <w:szCs w:val="20"/>
                <w:lang w:val="en-US"/>
              </w:rPr>
              <w:t>SE</w:t>
            </w:r>
            <w:r w:rsidRPr="0029110D">
              <w:rPr>
                <w:sz w:val="20"/>
                <w:szCs w:val="20"/>
              </w:rPr>
              <w:t>)</w:t>
            </w:r>
            <w:r w:rsidRPr="0029110D">
              <w:rPr>
                <w:sz w:val="20"/>
                <w:szCs w:val="20"/>
                <w:vertAlign w:val="superscript"/>
                <w:lang w:val="en-US"/>
              </w:rPr>
              <w:t>b</w:t>
            </w:r>
          </w:p>
        </w:tc>
        <w:tc>
          <w:tcPr>
            <w:tcW w:w="750" w:type="dxa"/>
          </w:tcPr>
          <w:p w14:paraId="329962BC" w14:textId="67C23E72" w:rsidR="00C34E4A" w:rsidRPr="0029110D" w:rsidRDefault="00C34E4A" w:rsidP="00AB1FF1">
            <w:pPr>
              <w:jc w:val="center"/>
              <w:rPr>
                <w:sz w:val="20"/>
                <w:szCs w:val="20"/>
              </w:rPr>
            </w:pPr>
            <w:r w:rsidRPr="0029110D">
              <w:rPr>
                <w:sz w:val="20"/>
                <w:szCs w:val="20"/>
              </w:rPr>
              <w:t>-0</w:t>
            </w:r>
            <w:r w:rsidR="008C6732" w:rsidRPr="0029110D">
              <w:rPr>
                <w:sz w:val="20"/>
                <w:szCs w:val="20"/>
              </w:rPr>
              <w:t>,</w:t>
            </w:r>
            <w:r w:rsidRPr="0029110D">
              <w:rPr>
                <w:sz w:val="20"/>
                <w:szCs w:val="20"/>
              </w:rPr>
              <w:t>84 (0</w:t>
            </w:r>
            <w:r w:rsidR="008C6732" w:rsidRPr="0029110D">
              <w:rPr>
                <w:sz w:val="20"/>
                <w:szCs w:val="20"/>
              </w:rPr>
              <w:t>,</w:t>
            </w:r>
            <w:r w:rsidRPr="0029110D">
              <w:rPr>
                <w:sz w:val="20"/>
                <w:szCs w:val="20"/>
              </w:rPr>
              <w:t>24)</w:t>
            </w:r>
          </w:p>
        </w:tc>
        <w:tc>
          <w:tcPr>
            <w:tcW w:w="852" w:type="dxa"/>
          </w:tcPr>
          <w:p w14:paraId="416D85C3" w14:textId="090F2E89" w:rsidR="00C34E4A" w:rsidRPr="0029110D" w:rsidRDefault="00C34E4A" w:rsidP="00AB1FF1">
            <w:pPr>
              <w:jc w:val="center"/>
              <w:rPr>
                <w:sz w:val="20"/>
                <w:szCs w:val="20"/>
              </w:rPr>
            </w:pPr>
            <w:r w:rsidRPr="0029110D">
              <w:rPr>
                <w:sz w:val="20"/>
                <w:szCs w:val="20"/>
              </w:rPr>
              <w:t>-1</w:t>
            </w:r>
            <w:r w:rsidR="008C6732" w:rsidRPr="0029110D">
              <w:rPr>
                <w:sz w:val="20"/>
                <w:szCs w:val="20"/>
              </w:rPr>
              <w:t>,</w:t>
            </w:r>
            <w:r w:rsidRPr="0029110D">
              <w:rPr>
                <w:sz w:val="20"/>
                <w:szCs w:val="20"/>
              </w:rPr>
              <w:t>58 (0</w:t>
            </w:r>
            <w:r w:rsidR="008C6732" w:rsidRPr="0029110D">
              <w:rPr>
                <w:sz w:val="20"/>
                <w:szCs w:val="20"/>
              </w:rPr>
              <w:t>,</w:t>
            </w:r>
            <w:r w:rsidRPr="0029110D">
              <w:rPr>
                <w:sz w:val="20"/>
                <w:szCs w:val="20"/>
              </w:rPr>
              <w:t>29)</w:t>
            </w:r>
          </w:p>
        </w:tc>
        <w:tc>
          <w:tcPr>
            <w:tcW w:w="849" w:type="dxa"/>
          </w:tcPr>
          <w:p w14:paraId="21B15DE9" w14:textId="0A4FDE1A" w:rsidR="00C34E4A" w:rsidRPr="0029110D" w:rsidRDefault="00C34E4A" w:rsidP="00AB1FF1">
            <w:pPr>
              <w:jc w:val="center"/>
              <w:rPr>
                <w:sz w:val="20"/>
                <w:szCs w:val="20"/>
              </w:rPr>
            </w:pPr>
            <w:r w:rsidRPr="0029110D">
              <w:rPr>
                <w:sz w:val="20"/>
                <w:szCs w:val="20"/>
              </w:rPr>
              <w:t>-1</w:t>
            </w:r>
            <w:r w:rsidR="008C6732" w:rsidRPr="0029110D">
              <w:rPr>
                <w:sz w:val="20"/>
                <w:szCs w:val="20"/>
              </w:rPr>
              <w:t>,</w:t>
            </w:r>
            <w:r w:rsidRPr="0029110D">
              <w:rPr>
                <w:sz w:val="20"/>
                <w:szCs w:val="20"/>
              </w:rPr>
              <w:t>93** (0</w:t>
            </w:r>
            <w:r w:rsidR="008C6732" w:rsidRPr="0029110D">
              <w:rPr>
                <w:sz w:val="20"/>
                <w:szCs w:val="20"/>
              </w:rPr>
              <w:t>,</w:t>
            </w:r>
            <w:r w:rsidRPr="0029110D">
              <w:rPr>
                <w:sz w:val="20"/>
                <w:szCs w:val="20"/>
              </w:rPr>
              <w:t>26)</w:t>
            </w:r>
          </w:p>
        </w:tc>
        <w:tc>
          <w:tcPr>
            <w:tcW w:w="709" w:type="dxa"/>
          </w:tcPr>
          <w:p w14:paraId="2C6C85D8" w14:textId="1B2E7535" w:rsidR="00C34E4A" w:rsidRPr="0029110D" w:rsidRDefault="00C34E4A" w:rsidP="00AB1FF1">
            <w:pPr>
              <w:jc w:val="center"/>
              <w:rPr>
                <w:sz w:val="20"/>
                <w:szCs w:val="20"/>
              </w:rPr>
            </w:pPr>
            <w:r w:rsidRPr="0029110D">
              <w:rPr>
                <w:sz w:val="20"/>
                <w:szCs w:val="20"/>
              </w:rPr>
              <w:t>-0</w:t>
            </w:r>
            <w:r w:rsidR="008C6732" w:rsidRPr="0029110D">
              <w:rPr>
                <w:sz w:val="20"/>
                <w:szCs w:val="20"/>
              </w:rPr>
              <w:t>,</w:t>
            </w:r>
            <w:r w:rsidRPr="0029110D">
              <w:rPr>
                <w:sz w:val="20"/>
                <w:szCs w:val="20"/>
              </w:rPr>
              <w:t>86 (0</w:t>
            </w:r>
            <w:r w:rsidR="008C6732" w:rsidRPr="0029110D">
              <w:rPr>
                <w:sz w:val="20"/>
                <w:szCs w:val="20"/>
              </w:rPr>
              <w:t>,</w:t>
            </w:r>
            <w:r w:rsidRPr="0029110D">
              <w:rPr>
                <w:sz w:val="20"/>
                <w:szCs w:val="20"/>
              </w:rPr>
              <w:t>26)</w:t>
            </w:r>
          </w:p>
        </w:tc>
        <w:tc>
          <w:tcPr>
            <w:tcW w:w="851" w:type="dxa"/>
          </w:tcPr>
          <w:p w14:paraId="5A576CE9" w14:textId="723CD8B2" w:rsidR="00C34E4A" w:rsidRPr="0029110D" w:rsidRDefault="00C34E4A" w:rsidP="00AB1FF1">
            <w:pPr>
              <w:jc w:val="center"/>
              <w:rPr>
                <w:sz w:val="20"/>
                <w:szCs w:val="20"/>
              </w:rPr>
            </w:pPr>
            <w:r w:rsidRPr="0029110D">
              <w:rPr>
                <w:sz w:val="20"/>
                <w:szCs w:val="20"/>
              </w:rPr>
              <w:t>-2</w:t>
            </w:r>
            <w:r w:rsidR="008C6732" w:rsidRPr="0029110D">
              <w:rPr>
                <w:sz w:val="20"/>
                <w:szCs w:val="20"/>
              </w:rPr>
              <w:t>,</w:t>
            </w:r>
            <w:r w:rsidRPr="0029110D">
              <w:rPr>
                <w:sz w:val="20"/>
                <w:szCs w:val="20"/>
              </w:rPr>
              <w:t>61** (0</w:t>
            </w:r>
            <w:r w:rsidR="008C6732" w:rsidRPr="0029110D">
              <w:rPr>
                <w:sz w:val="20"/>
                <w:szCs w:val="20"/>
              </w:rPr>
              <w:t>,</w:t>
            </w:r>
            <w:r w:rsidRPr="0029110D">
              <w:rPr>
                <w:sz w:val="20"/>
                <w:szCs w:val="20"/>
              </w:rPr>
              <w:t>30)</w:t>
            </w:r>
          </w:p>
        </w:tc>
        <w:tc>
          <w:tcPr>
            <w:tcW w:w="850" w:type="dxa"/>
          </w:tcPr>
          <w:p w14:paraId="66F9FE62" w14:textId="20129932" w:rsidR="00C34E4A" w:rsidRPr="0029110D" w:rsidRDefault="00C34E4A" w:rsidP="00AB1FF1">
            <w:pPr>
              <w:jc w:val="center"/>
              <w:rPr>
                <w:sz w:val="20"/>
                <w:szCs w:val="20"/>
              </w:rPr>
            </w:pPr>
            <w:r w:rsidRPr="0029110D">
              <w:rPr>
                <w:sz w:val="20"/>
                <w:szCs w:val="20"/>
              </w:rPr>
              <w:t>-2</w:t>
            </w:r>
            <w:r w:rsidR="008C6732" w:rsidRPr="0029110D">
              <w:rPr>
                <w:sz w:val="20"/>
                <w:szCs w:val="20"/>
              </w:rPr>
              <w:t>,</w:t>
            </w:r>
            <w:r w:rsidRPr="0029110D">
              <w:rPr>
                <w:sz w:val="20"/>
                <w:szCs w:val="20"/>
              </w:rPr>
              <w:t>49** (0</w:t>
            </w:r>
            <w:r w:rsidR="008C6732" w:rsidRPr="0029110D">
              <w:rPr>
                <w:sz w:val="20"/>
                <w:szCs w:val="20"/>
              </w:rPr>
              <w:t>,</w:t>
            </w:r>
            <w:r w:rsidRPr="0029110D">
              <w:rPr>
                <w:sz w:val="20"/>
                <w:szCs w:val="20"/>
              </w:rPr>
              <w:t>28)</w:t>
            </w:r>
          </w:p>
        </w:tc>
        <w:tc>
          <w:tcPr>
            <w:tcW w:w="709" w:type="dxa"/>
          </w:tcPr>
          <w:p w14:paraId="1FA0EA58" w14:textId="03475C9F" w:rsidR="00C34E4A" w:rsidRPr="0029110D" w:rsidRDefault="00C34E4A" w:rsidP="00AB1FF1">
            <w:pPr>
              <w:jc w:val="center"/>
              <w:rPr>
                <w:sz w:val="20"/>
                <w:szCs w:val="20"/>
              </w:rPr>
            </w:pPr>
            <w:r w:rsidRPr="0029110D">
              <w:rPr>
                <w:sz w:val="20"/>
                <w:szCs w:val="20"/>
              </w:rPr>
              <w:t>-2</w:t>
            </w:r>
            <w:r w:rsidR="008C6732" w:rsidRPr="0029110D">
              <w:rPr>
                <w:sz w:val="20"/>
                <w:szCs w:val="20"/>
              </w:rPr>
              <w:t>,</w:t>
            </w:r>
            <w:r w:rsidRPr="0029110D">
              <w:rPr>
                <w:sz w:val="20"/>
                <w:szCs w:val="20"/>
              </w:rPr>
              <w:t>06 (0</w:t>
            </w:r>
            <w:r w:rsidR="008C6732" w:rsidRPr="0029110D">
              <w:rPr>
                <w:sz w:val="20"/>
                <w:szCs w:val="20"/>
              </w:rPr>
              <w:t>,</w:t>
            </w:r>
            <w:r w:rsidRPr="0029110D">
              <w:rPr>
                <w:sz w:val="20"/>
                <w:szCs w:val="20"/>
              </w:rPr>
              <w:t>23)</w:t>
            </w:r>
          </w:p>
        </w:tc>
        <w:tc>
          <w:tcPr>
            <w:tcW w:w="1134" w:type="dxa"/>
          </w:tcPr>
          <w:p w14:paraId="7B4AE54B" w14:textId="4A6F104A" w:rsidR="00C34E4A" w:rsidRPr="0029110D" w:rsidRDefault="00C34E4A" w:rsidP="00AB1FF1">
            <w:pPr>
              <w:jc w:val="center"/>
              <w:rPr>
                <w:sz w:val="20"/>
                <w:szCs w:val="20"/>
              </w:rPr>
            </w:pPr>
            <w:r w:rsidRPr="0029110D">
              <w:rPr>
                <w:sz w:val="20"/>
                <w:szCs w:val="20"/>
              </w:rPr>
              <w:t>-3</w:t>
            </w:r>
            <w:r w:rsidR="008C6732" w:rsidRPr="0029110D">
              <w:rPr>
                <w:sz w:val="20"/>
                <w:szCs w:val="20"/>
              </w:rPr>
              <w:t>,</w:t>
            </w:r>
            <w:r w:rsidRPr="0029110D">
              <w:rPr>
                <w:sz w:val="20"/>
                <w:szCs w:val="20"/>
              </w:rPr>
              <w:t>22* (0</w:t>
            </w:r>
            <w:r w:rsidR="008C6732" w:rsidRPr="0029110D">
              <w:rPr>
                <w:sz w:val="20"/>
                <w:szCs w:val="20"/>
              </w:rPr>
              <w:t>,</w:t>
            </w:r>
            <w:r w:rsidRPr="0029110D">
              <w:rPr>
                <w:sz w:val="20"/>
                <w:szCs w:val="20"/>
              </w:rPr>
              <w:t>22)</w:t>
            </w:r>
          </w:p>
        </w:tc>
        <w:tc>
          <w:tcPr>
            <w:tcW w:w="1134" w:type="dxa"/>
          </w:tcPr>
          <w:p w14:paraId="034B5859" w14:textId="61757FC1" w:rsidR="00C34E4A" w:rsidRPr="0029110D" w:rsidRDefault="00C34E4A" w:rsidP="00AB1FF1">
            <w:pPr>
              <w:jc w:val="center"/>
              <w:rPr>
                <w:sz w:val="20"/>
                <w:szCs w:val="20"/>
              </w:rPr>
            </w:pPr>
            <w:r w:rsidRPr="0029110D">
              <w:rPr>
                <w:sz w:val="20"/>
                <w:szCs w:val="20"/>
              </w:rPr>
              <w:t>-3</w:t>
            </w:r>
            <w:r w:rsidR="008C6732" w:rsidRPr="0029110D">
              <w:rPr>
                <w:sz w:val="20"/>
                <w:szCs w:val="20"/>
              </w:rPr>
              <w:t>,</w:t>
            </w:r>
            <w:r w:rsidRPr="0029110D">
              <w:rPr>
                <w:sz w:val="20"/>
                <w:szCs w:val="20"/>
              </w:rPr>
              <w:t>73* (0</w:t>
            </w:r>
            <w:r w:rsidR="008C6732" w:rsidRPr="0029110D">
              <w:rPr>
                <w:sz w:val="20"/>
                <w:szCs w:val="20"/>
              </w:rPr>
              <w:t>,</w:t>
            </w:r>
            <w:r w:rsidRPr="0029110D">
              <w:rPr>
                <w:sz w:val="20"/>
                <w:szCs w:val="20"/>
              </w:rPr>
              <w:t>23)</w:t>
            </w:r>
          </w:p>
        </w:tc>
      </w:tr>
      <w:tr w:rsidR="008C6732" w:rsidRPr="0029110D" w14:paraId="3D0A7434" w14:textId="77777777" w:rsidTr="00AB1FF1">
        <w:tc>
          <w:tcPr>
            <w:tcW w:w="1490" w:type="dxa"/>
          </w:tcPr>
          <w:p w14:paraId="3042266D" w14:textId="77777777" w:rsidR="00C34E4A" w:rsidRPr="0029110D" w:rsidRDefault="00C34E4A">
            <w:pPr>
              <w:rPr>
                <w:sz w:val="20"/>
                <w:szCs w:val="20"/>
              </w:rPr>
            </w:pPr>
            <w:r w:rsidRPr="0029110D">
              <w:rPr>
                <w:sz w:val="20"/>
                <w:szCs w:val="20"/>
              </w:rPr>
              <w:t>Изменение DLQI, среднее (SE)</w:t>
            </w:r>
            <w:r w:rsidRPr="0029110D">
              <w:rPr>
                <w:sz w:val="20"/>
                <w:szCs w:val="20"/>
                <w:vertAlign w:val="superscript"/>
              </w:rPr>
              <w:t>b</w:t>
            </w:r>
          </w:p>
        </w:tc>
        <w:tc>
          <w:tcPr>
            <w:tcW w:w="750" w:type="dxa"/>
          </w:tcPr>
          <w:p w14:paraId="74C8E71B" w14:textId="35EF78A7" w:rsidR="00C34E4A" w:rsidRPr="0029110D" w:rsidRDefault="00C34E4A" w:rsidP="00AB1FF1">
            <w:pPr>
              <w:jc w:val="center"/>
              <w:rPr>
                <w:sz w:val="20"/>
                <w:szCs w:val="20"/>
              </w:rPr>
            </w:pPr>
            <w:r w:rsidRPr="0029110D">
              <w:rPr>
                <w:sz w:val="20"/>
                <w:szCs w:val="20"/>
              </w:rPr>
              <w:t>-2</w:t>
            </w:r>
            <w:r w:rsidR="008C6732" w:rsidRPr="0029110D">
              <w:rPr>
                <w:sz w:val="20"/>
                <w:szCs w:val="20"/>
              </w:rPr>
              <w:t>,</w:t>
            </w:r>
            <w:r w:rsidRPr="0029110D">
              <w:rPr>
                <w:sz w:val="20"/>
                <w:szCs w:val="20"/>
              </w:rPr>
              <w:t>46 (0</w:t>
            </w:r>
            <w:r w:rsidR="008C6732" w:rsidRPr="0029110D">
              <w:rPr>
                <w:sz w:val="20"/>
                <w:szCs w:val="20"/>
              </w:rPr>
              <w:t>,</w:t>
            </w:r>
            <w:r w:rsidRPr="0029110D">
              <w:rPr>
                <w:sz w:val="20"/>
                <w:szCs w:val="20"/>
              </w:rPr>
              <w:t>57)</w:t>
            </w:r>
          </w:p>
        </w:tc>
        <w:tc>
          <w:tcPr>
            <w:tcW w:w="852" w:type="dxa"/>
          </w:tcPr>
          <w:p w14:paraId="5A56E9E6" w14:textId="424475F8" w:rsidR="00C34E4A" w:rsidRPr="0029110D" w:rsidRDefault="00C34E4A" w:rsidP="00AB1FF1">
            <w:pPr>
              <w:jc w:val="center"/>
              <w:rPr>
                <w:sz w:val="20"/>
                <w:szCs w:val="20"/>
              </w:rPr>
            </w:pPr>
            <w:r w:rsidRPr="0029110D">
              <w:rPr>
                <w:sz w:val="20"/>
                <w:szCs w:val="20"/>
              </w:rPr>
              <w:t>-4</w:t>
            </w:r>
            <w:r w:rsidR="008C6732" w:rsidRPr="0029110D">
              <w:rPr>
                <w:sz w:val="20"/>
                <w:szCs w:val="20"/>
              </w:rPr>
              <w:t>,</w:t>
            </w:r>
            <w:r w:rsidRPr="0029110D">
              <w:rPr>
                <w:sz w:val="20"/>
                <w:szCs w:val="20"/>
              </w:rPr>
              <w:t>30* (0</w:t>
            </w:r>
            <w:r w:rsidR="008C6732" w:rsidRPr="0029110D">
              <w:rPr>
                <w:sz w:val="20"/>
                <w:szCs w:val="20"/>
              </w:rPr>
              <w:t>,</w:t>
            </w:r>
            <w:r w:rsidRPr="0029110D">
              <w:rPr>
                <w:sz w:val="20"/>
                <w:szCs w:val="20"/>
              </w:rPr>
              <w:t>68)</w:t>
            </w:r>
          </w:p>
        </w:tc>
        <w:tc>
          <w:tcPr>
            <w:tcW w:w="849" w:type="dxa"/>
          </w:tcPr>
          <w:p w14:paraId="5357F665" w14:textId="46E5CB60" w:rsidR="00C34E4A" w:rsidRPr="0029110D" w:rsidRDefault="00C34E4A" w:rsidP="00AB1FF1">
            <w:pPr>
              <w:jc w:val="center"/>
              <w:rPr>
                <w:sz w:val="20"/>
                <w:szCs w:val="20"/>
              </w:rPr>
            </w:pPr>
            <w:r w:rsidRPr="0029110D">
              <w:rPr>
                <w:sz w:val="20"/>
                <w:szCs w:val="20"/>
              </w:rPr>
              <w:t>-6</w:t>
            </w:r>
            <w:r w:rsidR="008C6732" w:rsidRPr="0029110D">
              <w:rPr>
                <w:sz w:val="20"/>
                <w:szCs w:val="20"/>
              </w:rPr>
              <w:t>,</w:t>
            </w:r>
            <w:r w:rsidRPr="0029110D">
              <w:rPr>
                <w:sz w:val="20"/>
                <w:szCs w:val="20"/>
              </w:rPr>
              <w:t>76* (0</w:t>
            </w:r>
            <w:r w:rsidR="008C6732" w:rsidRPr="0029110D">
              <w:rPr>
                <w:sz w:val="20"/>
                <w:szCs w:val="20"/>
              </w:rPr>
              <w:t>,</w:t>
            </w:r>
            <w:r w:rsidRPr="0029110D">
              <w:rPr>
                <w:sz w:val="20"/>
                <w:szCs w:val="20"/>
              </w:rPr>
              <w:t>60)</w:t>
            </w:r>
          </w:p>
        </w:tc>
        <w:tc>
          <w:tcPr>
            <w:tcW w:w="709" w:type="dxa"/>
          </w:tcPr>
          <w:p w14:paraId="7094525C" w14:textId="43D07DB5" w:rsidR="00C34E4A" w:rsidRPr="0029110D" w:rsidRDefault="00C34E4A" w:rsidP="00AB1FF1">
            <w:pPr>
              <w:jc w:val="center"/>
              <w:rPr>
                <w:sz w:val="20"/>
                <w:szCs w:val="20"/>
              </w:rPr>
            </w:pPr>
            <w:r w:rsidRPr="0029110D">
              <w:rPr>
                <w:sz w:val="20"/>
                <w:szCs w:val="20"/>
              </w:rPr>
              <w:t>-3</w:t>
            </w:r>
            <w:r w:rsidR="008C6732" w:rsidRPr="0029110D">
              <w:rPr>
                <w:sz w:val="20"/>
                <w:szCs w:val="20"/>
              </w:rPr>
              <w:t>,</w:t>
            </w:r>
            <w:r w:rsidRPr="0029110D">
              <w:rPr>
                <w:sz w:val="20"/>
                <w:szCs w:val="20"/>
              </w:rPr>
              <w:t>35 (0</w:t>
            </w:r>
            <w:r w:rsidR="008C6732" w:rsidRPr="0029110D">
              <w:rPr>
                <w:sz w:val="20"/>
                <w:szCs w:val="20"/>
              </w:rPr>
              <w:t>,</w:t>
            </w:r>
            <w:r w:rsidRPr="0029110D">
              <w:rPr>
                <w:sz w:val="20"/>
                <w:szCs w:val="20"/>
              </w:rPr>
              <w:t>62)</w:t>
            </w:r>
          </w:p>
        </w:tc>
        <w:tc>
          <w:tcPr>
            <w:tcW w:w="851" w:type="dxa"/>
          </w:tcPr>
          <w:p w14:paraId="0528932E" w14:textId="541EC3F6" w:rsidR="00C34E4A" w:rsidRPr="0029110D" w:rsidRDefault="00C34E4A" w:rsidP="00AB1FF1">
            <w:pPr>
              <w:jc w:val="center"/>
              <w:rPr>
                <w:sz w:val="20"/>
                <w:szCs w:val="20"/>
              </w:rPr>
            </w:pPr>
            <w:r w:rsidRPr="0029110D">
              <w:rPr>
                <w:sz w:val="20"/>
                <w:szCs w:val="20"/>
              </w:rPr>
              <w:t>-7</w:t>
            </w:r>
            <w:r w:rsidR="008C6732" w:rsidRPr="0029110D">
              <w:rPr>
                <w:sz w:val="20"/>
                <w:szCs w:val="20"/>
              </w:rPr>
              <w:t>,</w:t>
            </w:r>
            <w:r w:rsidRPr="0029110D">
              <w:rPr>
                <w:sz w:val="20"/>
                <w:szCs w:val="20"/>
              </w:rPr>
              <w:t>44* (0</w:t>
            </w:r>
            <w:r w:rsidR="008C6732" w:rsidRPr="0029110D">
              <w:rPr>
                <w:sz w:val="20"/>
                <w:szCs w:val="20"/>
              </w:rPr>
              <w:t>,</w:t>
            </w:r>
            <w:r w:rsidRPr="0029110D">
              <w:rPr>
                <w:sz w:val="20"/>
                <w:szCs w:val="20"/>
              </w:rPr>
              <w:t>71)</w:t>
            </w:r>
          </w:p>
        </w:tc>
        <w:tc>
          <w:tcPr>
            <w:tcW w:w="850" w:type="dxa"/>
          </w:tcPr>
          <w:p w14:paraId="00A2F3A7" w14:textId="1D638DCE" w:rsidR="00C34E4A" w:rsidRPr="0029110D" w:rsidRDefault="00C34E4A" w:rsidP="00AB1FF1">
            <w:pPr>
              <w:jc w:val="center"/>
              <w:rPr>
                <w:sz w:val="20"/>
                <w:szCs w:val="20"/>
              </w:rPr>
            </w:pPr>
            <w:r w:rsidRPr="0029110D">
              <w:rPr>
                <w:sz w:val="20"/>
                <w:szCs w:val="20"/>
              </w:rPr>
              <w:t>-7</w:t>
            </w:r>
            <w:r w:rsidR="008C6732" w:rsidRPr="0029110D">
              <w:rPr>
                <w:sz w:val="20"/>
                <w:szCs w:val="20"/>
              </w:rPr>
              <w:t>,</w:t>
            </w:r>
            <w:r w:rsidRPr="0029110D">
              <w:rPr>
                <w:sz w:val="20"/>
                <w:szCs w:val="20"/>
              </w:rPr>
              <w:t>56* (0</w:t>
            </w:r>
            <w:r w:rsidR="008C6732" w:rsidRPr="0029110D">
              <w:rPr>
                <w:sz w:val="20"/>
                <w:szCs w:val="20"/>
              </w:rPr>
              <w:t>,</w:t>
            </w:r>
            <w:r w:rsidRPr="0029110D">
              <w:rPr>
                <w:sz w:val="20"/>
                <w:szCs w:val="20"/>
              </w:rPr>
              <w:t>66)</w:t>
            </w:r>
          </w:p>
        </w:tc>
        <w:tc>
          <w:tcPr>
            <w:tcW w:w="709" w:type="dxa"/>
          </w:tcPr>
          <w:p w14:paraId="0669FA08" w14:textId="3B2B5C13" w:rsidR="00C34E4A" w:rsidRPr="0029110D" w:rsidRDefault="00C34E4A" w:rsidP="00AB1FF1">
            <w:pPr>
              <w:jc w:val="center"/>
              <w:rPr>
                <w:sz w:val="20"/>
                <w:szCs w:val="20"/>
              </w:rPr>
            </w:pPr>
            <w:r w:rsidRPr="0029110D">
              <w:rPr>
                <w:sz w:val="20"/>
                <w:szCs w:val="20"/>
              </w:rPr>
              <w:t>-5</w:t>
            </w:r>
            <w:r w:rsidR="008C6732" w:rsidRPr="0029110D">
              <w:rPr>
                <w:sz w:val="20"/>
                <w:szCs w:val="20"/>
              </w:rPr>
              <w:t>,</w:t>
            </w:r>
            <w:r w:rsidRPr="0029110D">
              <w:rPr>
                <w:sz w:val="20"/>
                <w:szCs w:val="20"/>
              </w:rPr>
              <w:t>58 (0</w:t>
            </w:r>
            <w:r w:rsidR="008C6732" w:rsidRPr="0029110D">
              <w:rPr>
                <w:sz w:val="20"/>
                <w:szCs w:val="20"/>
              </w:rPr>
              <w:t>,</w:t>
            </w:r>
            <w:r w:rsidRPr="0029110D">
              <w:rPr>
                <w:sz w:val="20"/>
                <w:szCs w:val="20"/>
              </w:rPr>
              <w:t>61)</w:t>
            </w:r>
          </w:p>
        </w:tc>
        <w:tc>
          <w:tcPr>
            <w:tcW w:w="1134" w:type="dxa"/>
          </w:tcPr>
          <w:p w14:paraId="2AA9A667" w14:textId="5EBF0206" w:rsidR="00C34E4A" w:rsidRPr="0029110D" w:rsidRDefault="00C34E4A" w:rsidP="00AB1FF1">
            <w:pPr>
              <w:jc w:val="center"/>
              <w:rPr>
                <w:sz w:val="20"/>
                <w:szCs w:val="20"/>
              </w:rPr>
            </w:pPr>
            <w:r w:rsidRPr="0029110D">
              <w:rPr>
                <w:sz w:val="20"/>
                <w:szCs w:val="20"/>
              </w:rPr>
              <w:t>-7</w:t>
            </w:r>
            <w:r w:rsidR="008C6732" w:rsidRPr="0029110D">
              <w:rPr>
                <w:sz w:val="20"/>
                <w:szCs w:val="20"/>
              </w:rPr>
              <w:t>,</w:t>
            </w:r>
            <w:r w:rsidRPr="0029110D">
              <w:rPr>
                <w:sz w:val="20"/>
                <w:szCs w:val="20"/>
              </w:rPr>
              <w:t>50* (0</w:t>
            </w:r>
            <w:r w:rsidR="008C6732" w:rsidRPr="0029110D">
              <w:rPr>
                <w:sz w:val="20"/>
                <w:szCs w:val="20"/>
              </w:rPr>
              <w:t>,</w:t>
            </w:r>
            <w:r w:rsidRPr="0029110D">
              <w:rPr>
                <w:sz w:val="20"/>
                <w:szCs w:val="20"/>
              </w:rPr>
              <w:t>58)</w:t>
            </w:r>
          </w:p>
        </w:tc>
        <w:tc>
          <w:tcPr>
            <w:tcW w:w="1134" w:type="dxa"/>
          </w:tcPr>
          <w:p w14:paraId="496183CF" w14:textId="62324A23" w:rsidR="00C34E4A" w:rsidRPr="0029110D" w:rsidRDefault="00C34E4A" w:rsidP="00AB1FF1">
            <w:pPr>
              <w:jc w:val="center"/>
              <w:rPr>
                <w:sz w:val="20"/>
                <w:szCs w:val="20"/>
              </w:rPr>
            </w:pPr>
            <w:r w:rsidRPr="0029110D">
              <w:rPr>
                <w:sz w:val="20"/>
                <w:szCs w:val="20"/>
              </w:rPr>
              <w:t>-8</w:t>
            </w:r>
            <w:r w:rsidR="008C6732" w:rsidRPr="0029110D">
              <w:rPr>
                <w:sz w:val="20"/>
                <w:szCs w:val="20"/>
              </w:rPr>
              <w:t>,</w:t>
            </w:r>
            <w:r w:rsidRPr="0029110D">
              <w:rPr>
                <w:sz w:val="20"/>
                <w:szCs w:val="20"/>
              </w:rPr>
              <w:t>89* (0</w:t>
            </w:r>
            <w:r w:rsidR="008C6732" w:rsidRPr="0029110D">
              <w:rPr>
                <w:sz w:val="20"/>
                <w:szCs w:val="20"/>
              </w:rPr>
              <w:t>,</w:t>
            </w:r>
            <w:r w:rsidRPr="0029110D">
              <w:rPr>
                <w:sz w:val="20"/>
                <w:szCs w:val="20"/>
              </w:rPr>
              <w:t>58)</w:t>
            </w:r>
          </w:p>
        </w:tc>
      </w:tr>
      <w:tr w:rsidR="008C6732" w:rsidRPr="0029110D" w14:paraId="66DCDC5A" w14:textId="77777777" w:rsidTr="00AB1FF1">
        <w:tc>
          <w:tcPr>
            <w:tcW w:w="1490" w:type="dxa"/>
          </w:tcPr>
          <w:p w14:paraId="5518C282" w14:textId="77777777" w:rsidR="00C34E4A" w:rsidRPr="0029110D" w:rsidRDefault="00C34E4A">
            <w:pPr>
              <w:rPr>
                <w:sz w:val="20"/>
                <w:szCs w:val="20"/>
              </w:rPr>
            </w:pPr>
            <w:r w:rsidRPr="0029110D">
              <w:rPr>
                <w:sz w:val="20"/>
                <w:szCs w:val="20"/>
              </w:rPr>
              <w:t>Изменение HADS, среднее (SE)</w:t>
            </w:r>
            <w:r w:rsidRPr="0029110D">
              <w:rPr>
                <w:sz w:val="20"/>
                <w:szCs w:val="20"/>
                <w:vertAlign w:val="superscript"/>
              </w:rPr>
              <w:t>b</w:t>
            </w:r>
          </w:p>
        </w:tc>
        <w:tc>
          <w:tcPr>
            <w:tcW w:w="750" w:type="dxa"/>
          </w:tcPr>
          <w:p w14:paraId="31EAEA57" w14:textId="15C0ED71" w:rsidR="00C34E4A" w:rsidRPr="0029110D" w:rsidRDefault="00C34E4A" w:rsidP="00AB1FF1">
            <w:pPr>
              <w:jc w:val="center"/>
              <w:rPr>
                <w:sz w:val="20"/>
                <w:szCs w:val="20"/>
              </w:rPr>
            </w:pPr>
            <w:r w:rsidRPr="0029110D">
              <w:rPr>
                <w:sz w:val="20"/>
                <w:szCs w:val="20"/>
              </w:rPr>
              <w:t>-1</w:t>
            </w:r>
            <w:r w:rsidR="008C6732" w:rsidRPr="0029110D">
              <w:rPr>
                <w:sz w:val="20"/>
                <w:szCs w:val="20"/>
              </w:rPr>
              <w:t>,</w:t>
            </w:r>
            <w:r w:rsidRPr="0029110D">
              <w:rPr>
                <w:sz w:val="20"/>
                <w:szCs w:val="20"/>
              </w:rPr>
              <w:t>22 (0</w:t>
            </w:r>
            <w:r w:rsidR="008C6732" w:rsidRPr="0029110D">
              <w:rPr>
                <w:sz w:val="20"/>
                <w:szCs w:val="20"/>
              </w:rPr>
              <w:t>,</w:t>
            </w:r>
            <w:r w:rsidRPr="0029110D">
              <w:rPr>
                <w:sz w:val="20"/>
                <w:szCs w:val="20"/>
              </w:rPr>
              <w:t>48)</w:t>
            </w:r>
          </w:p>
        </w:tc>
        <w:tc>
          <w:tcPr>
            <w:tcW w:w="852" w:type="dxa"/>
          </w:tcPr>
          <w:p w14:paraId="1C2CE1C7" w14:textId="3512D14C" w:rsidR="00C34E4A" w:rsidRPr="0029110D" w:rsidRDefault="00C34E4A" w:rsidP="00AB1FF1">
            <w:pPr>
              <w:jc w:val="center"/>
              <w:rPr>
                <w:sz w:val="20"/>
                <w:szCs w:val="20"/>
              </w:rPr>
            </w:pPr>
            <w:r w:rsidRPr="0029110D">
              <w:rPr>
                <w:sz w:val="20"/>
                <w:szCs w:val="20"/>
              </w:rPr>
              <w:t>-3</w:t>
            </w:r>
            <w:r w:rsidR="008C6732" w:rsidRPr="0029110D">
              <w:rPr>
                <w:sz w:val="20"/>
                <w:szCs w:val="20"/>
              </w:rPr>
              <w:t>,</w:t>
            </w:r>
            <w:r w:rsidRPr="0029110D">
              <w:rPr>
                <w:sz w:val="20"/>
                <w:szCs w:val="20"/>
              </w:rPr>
              <w:t>22* (0</w:t>
            </w:r>
            <w:r w:rsidR="008C6732" w:rsidRPr="0029110D">
              <w:rPr>
                <w:sz w:val="20"/>
                <w:szCs w:val="20"/>
              </w:rPr>
              <w:t>,</w:t>
            </w:r>
            <w:r w:rsidRPr="0029110D">
              <w:rPr>
                <w:sz w:val="20"/>
                <w:szCs w:val="20"/>
              </w:rPr>
              <w:t>58)</w:t>
            </w:r>
          </w:p>
        </w:tc>
        <w:tc>
          <w:tcPr>
            <w:tcW w:w="849" w:type="dxa"/>
          </w:tcPr>
          <w:p w14:paraId="00DE3E6D" w14:textId="09A31FBF" w:rsidR="00C34E4A" w:rsidRPr="0029110D" w:rsidRDefault="00C34E4A" w:rsidP="00AB1FF1">
            <w:pPr>
              <w:jc w:val="center"/>
              <w:rPr>
                <w:sz w:val="20"/>
                <w:szCs w:val="20"/>
              </w:rPr>
            </w:pPr>
            <w:r w:rsidRPr="0029110D">
              <w:rPr>
                <w:sz w:val="20"/>
                <w:szCs w:val="20"/>
              </w:rPr>
              <w:t>-3</w:t>
            </w:r>
            <w:r w:rsidR="008C6732" w:rsidRPr="0029110D">
              <w:rPr>
                <w:sz w:val="20"/>
                <w:szCs w:val="20"/>
              </w:rPr>
              <w:t>,</w:t>
            </w:r>
            <w:r w:rsidRPr="0029110D">
              <w:rPr>
                <w:sz w:val="20"/>
                <w:szCs w:val="20"/>
              </w:rPr>
              <w:t>56* (0</w:t>
            </w:r>
            <w:r w:rsidR="008C6732" w:rsidRPr="0029110D">
              <w:rPr>
                <w:sz w:val="20"/>
                <w:szCs w:val="20"/>
              </w:rPr>
              <w:t>,</w:t>
            </w:r>
            <w:r w:rsidRPr="0029110D">
              <w:rPr>
                <w:sz w:val="20"/>
                <w:szCs w:val="20"/>
              </w:rPr>
              <w:t>52)</w:t>
            </w:r>
          </w:p>
        </w:tc>
        <w:tc>
          <w:tcPr>
            <w:tcW w:w="709" w:type="dxa"/>
          </w:tcPr>
          <w:p w14:paraId="690D98BD" w14:textId="3E556E4C" w:rsidR="00C34E4A" w:rsidRPr="0029110D" w:rsidRDefault="00C34E4A" w:rsidP="00AB1FF1">
            <w:pPr>
              <w:jc w:val="center"/>
              <w:rPr>
                <w:sz w:val="20"/>
                <w:szCs w:val="20"/>
              </w:rPr>
            </w:pPr>
            <w:r w:rsidRPr="0029110D">
              <w:rPr>
                <w:sz w:val="20"/>
                <w:szCs w:val="20"/>
              </w:rPr>
              <w:t>-1</w:t>
            </w:r>
            <w:r w:rsidR="008C6732" w:rsidRPr="0029110D">
              <w:rPr>
                <w:sz w:val="20"/>
                <w:szCs w:val="20"/>
              </w:rPr>
              <w:t>,</w:t>
            </w:r>
            <w:r w:rsidRPr="0029110D">
              <w:rPr>
                <w:sz w:val="20"/>
                <w:szCs w:val="20"/>
              </w:rPr>
              <w:t>25 (0</w:t>
            </w:r>
            <w:r w:rsidR="008C6732" w:rsidRPr="0029110D">
              <w:rPr>
                <w:sz w:val="20"/>
                <w:szCs w:val="20"/>
              </w:rPr>
              <w:t>,</w:t>
            </w:r>
            <w:r w:rsidRPr="0029110D">
              <w:rPr>
                <w:sz w:val="20"/>
                <w:szCs w:val="20"/>
              </w:rPr>
              <w:t>57)</w:t>
            </w:r>
          </w:p>
        </w:tc>
        <w:tc>
          <w:tcPr>
            <w:tcW w:w="851" w:type="dxa"/>
          </w:tcPr>
          <w:p w14:paraId="49A96CE4" w14:textId="2268C743" w:rsidR="00C34E4A" w:rsidRPr="0029110D" w:rsidRDefault="00C34E4A" w:rsidP="00AB1FF1">
            <w:pPr>
              <w:jc w:val="center"/>
              <w:rPr>
                <w:sz w:val="20"/>
                <w:szCs w:val="20"/>
              </w:rPr>
            </w:pPr>
            <w:r w:rsidRPr="0029110D">
              <w:rPr>
                <w:sz w:val="20"/>
                <w:szCs w:val="20"/>
              </w:rPr>
              <w:t>-2</w:t>
            </w:r>
            <w:r w:rsidR="008C6732" w:rsidRPr="0029110D">
              <w:rPr>
                <w:sz w:val="20"/>
                <w:szCs w:val="20"/>
              </w:rPr>
              <w:t>,</w:t>
            </w:r>
            <w:r w:rsidRPr="0029110D">
              <w:rPr>
                <w:sz w:val="20"/>
                <w:szCs w:val="20"/>
              </w:rPr>
              <w:t>82 (0</w:t>
            </w:r>
            <w:r w:rsidR="008C6732" w:rsidRPr="0029110D">
              <w:rPr>
                <w:sz w:val="20"/>
                <w:szCs w:val="20"/>
              </w:rPr>
              <w:t>,</w:t>
            </w:r>
            <w:r w:rsidRPr="0029110D">
              <w:rPr>
                <w:sz w:val="20"/>
                <w:szCs w:val="20"/>
              </w:rPr>
              <w:t>66)</w:t>
            </w:r>
          </w:p>
        </w:tc>
        <w:tc>
          <w:tcPr>
            <w:tcW w:w="850" w:type="dxa"/>
          </w:tcPr>
          <w:p w14:paraId="03C35128" w14:textId="2ADA0988" w:rsidR="00C34E4A" w:rsidRPr="0029110D" w:rsidRDefault="00C34E4A" w:rsidP="00AB1FF1">
            <w:pPr>
              <w:jc w:val="center"/>
              <w:rPr>
                <w:sz w:val="20"/>
                <w:szCs w:val="20"/>
              </w:rPr>
            </w:pPr>
            <w:r w:rsidRPr="0029110D">
              <w:rPr>
                <w:sz w:val="20"/>
                <w:szCs w:val="20"/>
              </w:rPr>
              <w:t>-3</w:t>
            </w:r>
            <w:r w:rsidR="008C6732" w:rsidRPr="0029110D">
              <w:rPr>
                <w:sz w:val="20"/>
                <w:szCs w:val="20"/>
              </w:rPr>
              <w:t>,</w:t>
            </w:r>
            <w:r w:rsidRPr="0029110D">
              <w:rPr>
                <w:sz w:val="20"/>
                <w:szCs w:val="20"/>
              </w:rPr>
              <w:t>71* (0</w:t>
            </w:r>
            <w:r w:rsidR="008C6732" w:rsidRPr="0029110D">
              <w:rPr>
                <w:sz w:val="20"/>
                <w:szCs w:val="20"/>
              </w:rPr>
              <w:t>,</w:t>
            </w:r>
            <w:r w:rsidRPr="0029110D">
              <w:rPr>
                <w:sz w:val="20"/>
                <w:szCs w:val="20"/>
              </w:rPr>
              <w:t>62)</w:t>
            </w:r>
          </w:p>
        </w:tc>
        <w:tc>
          <w:tcPr>
            <w:tcW w:w="709" w:type="dxa"/>
          </w:tcPr>
          <w:p w14:paraId="770D1557" w14:textId="358DB2ED" w:rsidR="00C34E4A" w:rsidRPr="0029110D" w:rsidRDefault="00C34E4A" w:rsidP="00AB1FF1">
            <w:pPr>
              <w:jc w:val="center"/>
              <w:rPr>
                <w:sz w:val="20"/>
                <w:szCs w:val="20"/>
              </w:rPr>
            </w:pPr>
            <w:r w:rsidRPr="0029110D">
              <w:rPr>
                <w:sz w:val="20"/>
                <w:szCs w:val="20"/>
              </w:rPr>
              <w:t>-3</w:t>
            </w:r>
            <w:r w:rsidR="008C6732" w:rsidRPr="0029110D">
              <w:rPr>
                <w:sz w:val="20"/>
                <w:szCs w:val="20"/>
              </w:rPr>
              <w:t>,</w:t>
            </w:r>
            <w:r w:rsidRPr="0029110D">
              <w:rPr>
                <w:sz w:val="20"/>
                <w:szCs w:val="20"/>
              </w:rPr>
              <w:t>18 (0</w:t>
            </w:r>
            <w:r w:rsidR="008C6732" w:rsidRPr="0029110D">
              <w:rPr>
                <w:sz w:val="20"/>
                <w:szCs w:val="20"/>
              </w:rPr>
              <w:t>,</w:t>
            </w:r>
            <w:r w:rsidRPr="0029110D">
              <w:rPr>
                <w:sz w:val="20"/>
                <w:szCs w:val="20"/>
              </w:rPr>
              <w:t>56)</w:t>
            </w:r>
          </w:p>
        </w:tc>
        <w:tc>
          <w:tcPr>
            <w:tcW w:w="1134" w:type="dxa"/>
          </w:tcPr>
          <w:p w14:paraId="4BF89215" w14:textId="212CC900" w:rsidR="00C34E4A" w:rsidRPr="0029110D" w:rsidRDefault="00C34E4A" w:rsidP="00AB1FF1">
            <w:pPr>
              <w:jc w:val="center"/>
              <w:rPr>
                <w:sz w:val="20"/>
                <w:szCs w:val="20"/>
              </w:rPr>
            </w:pPr>
            <w:r w:rsidRPr="0029110D">
              <w:rPr>
                <w:sz w:val="20"/>
                <w:szCs w:val="20"/>
              </w:rPr>
              <w:t>-4</w:t>
            </w:r>
            <w:r w:rsidR="008C6732" w:rsidRPr="0029110D">
              <w:rPr>
                <w:sz w:val="20"/>
                <w:szCs w:val="20"/>
              </w:rPr>
              <w:t>,</w:t>
            </w:r>
            <w:r w:rsidRPr="0029110D">
              <w:rPr>
                <w:sz w:val="20"/>
                <w:szCs w:val="20"/>
              </w:rPr>
              <w:t>75* (0</w:t>
            </w:r>
            <w:r w:rsidR="008C6732" w:rsidRPr="0029110D">
              <w:rPr>
                <w:sz w:val="20"/>
                <w:szCs w:val="20"/>
              </w:rPr>
              <w:t>,</w:t>
            </w:r>
            <w:r w:rsidRPr="0029110D">
              <w:rPr>
                <w:sz w:val="20"/>
                <w:szCs w:val="20"/>
              </w:rPr>
              <w:t>54)</w:t>
            </w:r>
          </w:p>
        </w:tc>
        <w:tc>
          <w:tcPr>
            <w:tcW w:w="1134" w:type="dxa"/>
          </w:tcPr>
          <w:p w14:paraId="1A0903A0" w14:textId="64A93451" w:rsidR="00C34E4A" w:rsidRPr="0029110D" w:rsidRDefault="00C34E4A" w:rsidP="00AB1FF1">
            <w:pPr>
              <w:jc w:val="center"/>
              <w:rPr>
                <w:sz w:val="20"/>
                <w:szCs w:val="20"/>
              </w:rPr>
            </w:pPr>
            <w:r w:rsidRPr="0029110D">
              <w:rPr>
                <w:sz w:val="20"/>
                <w:szCs w:val="20"/>
              </w:rPr>
              <w:t>-5</w:t>
            </w:r>
            <w:r w:rsidR="008C6732" w:rsidRPr="0029110D">
              <w:rPr>
                <w:sz w:val="20"/>
                <w:szCs w:val="20"/>
              </w:rPr>
              <w:t>,</w:t>
            </w:r>
            <w:r w:rsidRPr="0029110D">
              <w:rPr>
                <w:sz w:val="20"/>
                <w:szCs w:val="20"/>
              </w:rPr>
              <w:t>12* (0</w:t>
            </w:r>
            <w:r w:rsidR="008C6732" w:rsidRPr="0029110D">
              <w:rPr>
                <w:sz w:val="20"/>
                <w:szCs w:val="20"/>
              </w:rPr>
              <w:t>,</w:t>
            </w:r>
            <w:r w:rsidRPr="0029110D">
              <w:rPr>
                <w:sz w:val="20"/>
                <w:szCs w:val="20"/>
              </w:rPr>
              <w:t>54)</w:t>
            </w:r>
          </w:p>
        </w:tc>
      </w:tr>
      <w:tr w:rsidR="00C34E4A" w:rsidRPr="0029110D" w14:paraId="5467BB21" w14:textId="77777777" w:rsidTr="00AB1FF1">
        <w:tc>
          <w:tcPr>
            <w:tcW w:w="9328" w:type="dxa"/>
            <w:gridSpan w:val="10"/>
          </w:tcPr>
          <w:p w14:paraId="41FE509F" w14:textId="09066587" w:rsidR="00C34E4A" w:rsidRPr="0029110D" w:rsidRDefault="00713EC9">
            <w:pPr>
              <w:rPr>
                <w:sz w:val="20"/>
                <w:szCs w:val="20"/>
              </w:rPr>
            </w:pPr>
            <w:r w:rsidRPr="0029110D">
              <w:rPr>
                <w:b/>
                <w:sz w:val="20"/>
                <w:szCs w:val="20"/>
              </w:rPr>
              <w:t>Примечание:</w:t>
            </w:r>
            <w:r w:rsidRPr="0029110D">
              <w:rPr>
                <w:sz w:val="20"/>
                <w:szCs w:val="20"/>
              </w:rPr>
              <w:br/>
            </w:r>
            <w:r w:rsidR="00C34E4A" w:rsidRPr="0029110D">
              <w:rPr>
                <w:sz w:val="20"/>
                <w:szCs w:val="20"/>
              </w:rPr>
              <w:t xml:space="preserve">PBO – плацебо; BARI 2 mg – барицитиниб в дозе 2 мг; BARI 4 mg – барицитиниб в дозе 4 мг; </w:t>
            </w:r>
            <w:r w:rsidR="00C34E4A" w:rsidRPr="0029110D">
              <w:rPr>
                <w:sz w:val="20"/>
                <w:szCs w:val="20"/>
                <w:lang w:val="en-US"/>
              </w:rPr>
              <w:t>TCS</w:t>
            </w:r>
            <w:r w:rsidR="00C34E4A" w:rsidRPr="0029110D">
              <w:rPr>
                <w:sz w:val="20"/>
                <w:szCs w:val="20"/>
              </w:rPr>
              <w:t xml:space="preserve"> – </w:t>
            </w:r>
            <w:r w:rsidR="00C34E4A" w:rsidRPr="0029110D">
              <w:rPr>
                <w:sz w:val="20"/>
                <w:szCs w:val="20"/>
              </w:rPr>
              <w:lastRenderedPageBreak/>
              <w:t xml:space="preserve">топические глюкокортикостероиды; FAS – выборка для анализа, включающая всех рандомизированных пациентов; b – представленные результаты представляют собой среднее изменение критерия, рассчитанного методом наименьших квадратов по сравнению с исходным уровнем (данные, полученные у пациентов, получивших экстренную терапию или после прекращения приема барицитиниба, исключались); ADSS – количество ночных пробуждений из-за зуда; с – не учитывались данные, полученные от пациентов не ответивших на лечение; * –  статистически значимо по сравнению с плацебо без поправки на множественность; ** статистически значимо по сравнению с плацебо с поправкой на множественность. </w:t>
            </w:r>
          </w:p>
        </w:tc>
      </w:tr>
    </w:tbl>
    <w:p w14:paraId="2A82B2E3" w14:textId="77777777" w:rsidR="00C34E4A" w:rsidRPr="00C87314" w:rsidRDefault="00C34E4A">
      <w:pPr>
        <w:spacing w:after="0" w:line="240" w:lineRule="auto"/>
      </w:pPr>
    </w:p>
    <w:p w14:paraId="73157665" w14:textId="77777777" w:rsidR="00C34E4A" w:rsidRPr="00713EC9" w:rsidRDefault="00C34E4A" w:rsidP="0029110D">
      <w:pPr>
        <w:spacing w:after="0" w:line="240" w:lineRule="auto"/>
        <w:rPr>
          <w:b/>
          <w:i/>
          <w:iCs/>
        </w:rPr>
      </w:pPr>
      <w:bookmarkStart w:id="169" w:name="_Hlk118554065"/>
      <w:bookmarkStart w:id="170" w:name="_Hlk118562524"/>
      <w:r w:rsidRPr="00713EC9">
        <w:rPr>
          <w:b/>
          <w:i/>
          <w:iCs/>
        </w:rPr>
        <w:t xml:space="preserve">Результаты исследования BREEZE-AD4 с участием пациентов, получавших циклоспорин или с противопоказаниями к нему </w:t>
      </w:r>
    </w:p>
    <w:bookmarkEnd w:id="169"/>
    <w:p w14:paraId="17A734B2" w14:textId="77777777" w:rsidR="0029110D" w:rsidRDefault="0029110D">
      <w:pPr>
        <w:spacing w:after="0" w:line="240" w:lineRule="auto"/>
        <w:ind w:firstLine="708"/>
      </w:pPr>
    </w:p>
    <w:p w14:paraId="196BE8EB" w14:textId="23C6AB52" w:rsidR="00C34E4A" w:rsidRPr="002F4447" w:rsidRDefault="00C34E4A">
      <w:pPr>
        <w:spacing w:after="0" w:line="240" w:lineRule="auto"/>
        <w:ind w:firstLine="708"/>
      </w:pPr>
      <w:r>
        <w:t>В исследование включили 463 пациента, из них не ответивших на циклоспорин n=173, с непереносимостью n=75, с противопоказаниями к применению циклоспорина</w:t>
      </w:r>
      <w:r w:rsidRPr="00795DD4">
        <w:t xml:space="preserve"> </w:t>
      </w:r>
      <w:r>
        <w:t xml:space="preserve">n=126. Первичной конечной точкой была доля пациентов, достигших EASI-75 на 16-й неделе. Первичные и некоторые из наиболее важных вторичных конечных точек на 16-й неделе обобщены в </w:t>
      </w:r>
      <w:r w:rsidRPr="00795DD4">
        <w:t>Таблице 4-</w:t>
      </w:r>
      <w:r w:rsidR="00713EC9">
        <w:t>10</w:t>
      </w:r>
      <w:r w:rsidRPr="002F4447">
        <w:t xml:space="preserve"> </w:t>
      </w:r>
      <w:r w:rsidRPr="002F4447">
        <w:fldChar w:fldCharType="begin"/>
      </w:r>
      <w:r w:rsidRPr="002F4447">
        <w:instrText xml:space="preserve"> ADDIN ZOTERO_ITEM CSL_CITATION {"citationID":"s4lAaluZ","properties":{"formattedCitation":"[6]","plainCitation":"[6]","noteIndex":0},"citationItems":[{"id":3829,"uris":["http://zotero.org/groups/4514912/items/H2A4BXNT"],"itemData":{"id":3829,"type":"document","title":"Summary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bookmarkEnd w:id="170"/>
    <w:p w14:paraId="55719E2B" w14:textId="77777777" w:rsidR="00713EC9" w:rsidRDefault="00713EC9">
      <w:pPr>
        <w:spacing w:after="0" w:line="240" w:lineRule="auto"/>
        <w:rPr>
          <w:b/>
          <w:bCs/>
        </w:rPr>
      </w:pPr>
    </w:p>
    <w:p w14:paraId="5BD34C52" w14:textId="01CCB071" w:rsidR="00C34E4A" w:rsidRPr="00795DD4" w:rsidRDefault="00713EC9">
      <w:pPr>
        <w:spacing w:after="0" w:line="240" w:lineRule="auto"/>
      </w:pPr>
      <w:r>
        <w:rPr>
          <w:b/>
          <w:bCs/>
        </w:rPr>
        <w:t xml:space="preserve">Таблица 4-10. </w:t>
      </w:r>
      <w:r w:rsidR="00C34E4A" w:rsidRPr="00713EC9">
        <w:rPr>
          <w:bCs/>
        </w:rPr>
        <w:t xml:space="preserve">Эффективность барицитиниба в комбинации с ТКС на 16-й неделе исследования </w:t>
      </w:r>
      <w:r w:rsidR="00C34E4A" w:rsidRPr="00713EC9">
        <w:rPr>
          <w:bCs/>
          <w:lang w:val="en-US"/>
        </w:rPr>
        <w:t>BREEZE</w:t>
      </w:r>
      <w:r w:rsidR="00C34E4A" w:rsidRPr="00713EC9">
        <w:rPr>
          <w:bCs/>
        </w:rPr>
        <w:t>-</w:t>
      </w:r>
      <w:r w:rsidR="00C34E4A" w:rsidRPr="00713EC9">
        <w:rPr>
          <w:bCs/>
          <w:lang w:val="en-US"/>
        </w:rPr>
        <w:t>AD</w:t>
      </w:r>
      <w:r w:rsidR="00C34E4A" w:rsidRPr="00713EC9">
        <w:rPr>
          <w:bCs/>
        </w:rPr>
        <w:t xml:space="preserve">4 (популяция </w:t>
      </w:r>
      <w:r w:rsidR="00C34E4A" w:rsidRPr="00713EC9">
        <w:rPr>
          <w:bCs/>
          <w:lang w:val="en-US"/>
        </w:rPr>
        <w:t>FAS</w:t>
      </w:r>
      <w:r w:rsidR="00C34E4A" w:rsidRPr="00713EC9">
        <w:rPr>
          <w:bCs/>
        </w:rPr>
        <w:t>)</w:t>
      </w:r>
      <w:r w:rsidRPr="00713EC9">
        <w:t>.</w:t>
      </w:r>
    </w:p>
    <w:tbl>
      <w:tblPr>
        <w:tblStyle w:val="a8"/>
        <w:tblW w:w="4873" w:type="pct"/>
        <w:tblInd w:w="136" w:type="dxa"/>
        <w:tblLook w:val="04A0" w:firstRow="1" w:lastRow="0" w:firstColumn="1" w:lastColumn="0" w:noHBand="0" w:noVBand="1"/>
      </w:tblPr>
      <w:tblGrid>
        <w:gridCol w:w="2393"/>
        <w:gridCol w:w="2392"/>
        <w:gridCol w:w="2394"/>
        <w:gridCol w:w="2150"/>
      </w:tblGrid>
      <w:tr w:rsidR="00C34E4A" w:rsidRPr="00795DD4" w14:paraId="49884017" w14:textId="77777777" w:rsidTr="0029110D">
        <w:trPr>
          <w:trHeight w:val="463"/>
          <w:tblHeader/>
        </w:trPr>
        <w:tc>
          <w:tcPr>
            <w:tcW w:w="2392" w:type="dxa"/>
            <w:shd w:val="clear" w:color="auto" w:fill="D9D9D9" w:themeFill="background1" w:themeFillShade="D9"/>
            <w:vAlign w:val="center"/>
          </w:tcPr>
          <w:p w14:paraId="5423D488" w14:textId="7711B0A3" w:rsidR="00C34E4A" w:rsidRPr="0029110D" w:rsidRDefault="00C34E4A" w:rsidP="0029110D">
            <w:pPr>
              <w:jc w:val="center"/>
              <w:rPr>
                <w:b/>
                <w:bCs/>
              </w:rPr>
            </w:pPr>
            <w:r w:rsidRPr="0029110D">
              <w:rPr>
                <w:b/>
                <w:bCs/>
              </w:rPr>
              <w:t>Группа</w:t>
            </w:r>
          </w:p>
        </w:tc>
        <w:tc>
          <w:tcPr>
            <w:tcW w:w="2392" w:type="dxa"/>
            <w:shd w:val="clear" w:color="auto" w:fill="D9D9D9" w:themeFill="background1" w:themeFillShade="D9"/>
            <w:vAlign w:val="center"/>
          </w:tcPr>
          <w:p w14:paraId="7D9D5113" w14:textId="77777777" w:rsidR="00C34E4A" w:rsidRPr="0029110D" w:rsidRDefault="00C34E4A" w:rsidP="0029110D">
            <w:pPr>
              <w:jc w:val="center"/>
              <w:rPr>
                <w:b/>
                <w:bCs/>
              </w:rPr>
            </w:pPr>
            <w:r w:rsidRPr="0029110D">
              <w:rPr>
                <w:b/>
                <w:bCs/>
                <w:lang w:val="en-US"/>
              </w:rPr>
              <w:t>PBO</w:t>
            </w:r>
            <w:r w:rsidRPr="0029110D">
              <w:rPr>
                <w:b/>
                <w:bCs/>
                <w:vertAlign w:val="superscript"/>
                <w:lang w:val="en-US"/>
              </w:rPr>
              <w:t>a</w:t>
            </w:r>
          </w:p>
        </w:tc>
        <w:tc>
          <w:tcPr>
            <w:tcW w:w="2394" w:type="dxa"/>
            <w:shd w:val="clear" w:color="auto" w:fill="D9D9D9" w:themeFill="background1" w:themeFillShade="D9"/>
            <w:vAlign w:val="center"/>
          </w:tcPr>
          <w:p w14:paraId="173C46C8" w14:textId="77777777" w:rsidR="00C34E4A" w:rsidRPr="0029110D" w:rsidRDefault="00C34E4A" w:rsidP="0029110D">
            <w:pPr>
              <w:jc w:val="center"/>
              <w:rPr>
                <w:b/>
                <w:bCs/>
              </w:rPr>
            </w:pPr>
            <w:r w:rsidRPr="0029110D">
              <w:rPr>
                <w:b/>
                <w:bCs/>
                <w:lang w:val="en-US"/>
              </w:rPr>
              <w:t>BARI 2 mg</w:t>
            </w:r>
            <w:r w:rsidRPr="0029110D">
              <w:rPr>
                <w:b/>
                <w:bCs/>
                <w:vertAlign w:val="superscript"/>
                <w:lang w:val="en-US"/>
              </w:rPr>
              <w:t>a</w:t>
            </w:r>
          </w:p>
        </w:tc>
        <w:tc>
          <w:tcPr>
            <w:tcW w:w="2150" w:type="dxa"/>
            <w:shd w:val="clear" w:color="auto" w:fill="D9D9D9" w:themeFill="background1" w:themeFillShade="D9"/>
            <w:vAlign w:val="center"/>
          </w:tcPr>
          <w:p w14:paraId="7E742A50" w14:textId="77777777" w:rsidR="00C34E4A" w:rsidRPr="0029110D" w:rsidRDefault="00C34E4A" w:rsidP="0029110D">
            <w:pPr>
              <w:jc w:val="center"/>
              <w:rPr>
                <w:b/>
                <w:bCs/>
              </w:rPr>
            </w:pPr>
            <w:r w:rsidRPr="0029110D">
              <w:rPr>
                <w:b/>
                <w:bCs/>
                <w:lang w:val="en-US"/>
              </w:rPr>
              <w:t>BARI 4 mg</w:t>
            </w:r>
            <w:r w:rsidRPr="0029110D">
              <w:rPr>
                <w:b/>
                <w:bCs/>
                <w:vertAlign w:val="superscript"/>
                <w:lang w:val="en-US"/>
              </w:rPr>
              <w:t>a</w:t>
            </w:r>
          </w:p>
        </w:tc>
      </w:tr>
      <w:tr w:rsidR="00C34E4A" w:rsidRPr="00795DD4" w14:paraId="6CD5E589" w14:textId="77777777" w:rsidTr="00AB1FF1">
        <w:tc>
          <w:tcPr>
            <w:tcW w:w="2392" w:type="dxa"/>
          </w:tcPr>
          <w:p w14:paraId="0B0F841B" w14:textId="77777777" w:rsidR="00C34E4A" w:rsidRPr="0029110D" w:rsidRDefault="00C34E4A">
            <w:r w:rsidRPr="0029110D">
              <w:t>Число участников</w:t>
            </w:r>
          </w:p>
        </w:tc>
        <w:tc>
          <w:tcPr>
            <w:tcW w:w="2392" w:type="dxa"/>
          </w:tcPr>
          <w:p w14:paraId="6D4BB9CD" w14:textId="77777777" w:rsidR="00C34E4A" w:rsidRPr="0029110D" w:rsidRDefault="00C34E4A" w:rsidP="00AB1FF1">
            <w:pPr>
              <w:jc w:val="center"/>
              <w:rPr>
                <w:lang w:val="en-US"/>
              </w:rPr>
            </w:pPr>
            <w:r w:rsidRPr="0029110D">
              <w:t>93</w:t>
            </w:r>
          </w:p>
        </w:tc>
        <w:tc>
          <w:tcPr>
            <w:tcW w:w="2394" w:type="dxa"/>
          </w:tcPr>
          <w:p w14:paraId="0D23DDF2" w14:textId="01F7670B" w:rsidR="00C34E4A" w:rsidRPr="0029110D" w:rsidRDefault="00C34E4A" w:rsidP="00AB1FF1">
            <w:pPr>
              <w:jc w:val="center"/>
              <w:rPr>
                <w:lang w:val="en-US"/>
              </w:rPr>
            </w:pPr>
            <w:r w:rsidRPr="0029110D">
              <w:t>185</w:t>
            </w:r>
          </w:p>
        </w:tc>
        <w:tc>
          <w:tcPr>
            <w:tcW w:w="2150" w:type="dxa"/>
          </w:tcPr>
          <w:p w14:paraId="340632C1" w14:textId="77777777" w:rsidR="00C34E4A" w:rsidRPr="0029110D" w:rsidRDefault="00C34E4A" w:rsidP="00AB1FF1">
            <w:pPr>
              <w:jc w:val="center"/>
              <w:rPr>
                <w:lang w:val="en-US"/>
              </w:rPr>
            </w:pPr>
            <w:r w:rsidRPr="0029110D">
              <w:t>92</w:t>
            </w:r>
          </w:p>
        </w:tc>
      </w:tr>
      <w:tr w:rsidR="00C34E4A" w:rsidRPr="00795DD4" w14:paraId="7B404619" w14:textId="77777777" w:rsidTr="00AB1FF1">
        <w:tc>
          <w:tcPr>
            <w:tcW w:w="2392" w:type="dxa"/>
          </w:tcPr>
          <w:p w14:paraId="64D3A749" w14:textId="77777777" w:rsidR="00C34E4A" w:rsidRPr="0029110D" w:rsidRDefault="00C34E4A">
            <w:pPr>
              <w:rPr>
                <w:vertAlign w:val="superscript"/>
              </w:rPr>
            </w:pPr>
            <w:r w:rsidRPr="0029110D">
              <w:t>EASI-75, % участников</w:t>
            </w:r>
            <w:r w:rsidRPr="0029110D">
              <w:rPr>
                <w:vertAlign w:val="superscript"/>
                <w:lang w:val="en-US"/>
              </w:rPr>
              <w:t xml:space="preserve"> c</w:t>
            </w:r>
          </w:p>
        </w:tc>
        <w:tc>
          <w:tcPr>
            <w:tcW w:w="2392" w:type="dxa"/>
          </w:tcPr>
          <w:p w14:paraId="26C598BA" w14:textId="4A4904A1" w:rsidR="00C34E4A" w:rsidRPr="0029110D" w:rsidRDefault="00C34E4A" w:rsidP="00AB1FF1">
            <w:pPr>
              <w:jc w:val="center"/>
              <w:rPr>
                <w:lang w:val="en-US"/>
              </w:rPr>
            </w:pPr>
            <w:r w:rsidRPr="0029110D">
              <w:t>17</w:t>
            </w:r>
            <w:r w:rsidR="008C6732" w:rsidRPr="0029110D">
              <w:t>,</w:t>
            </w:r>
            <w:r w:rsidRPr="0029110D">
              <w:t>2</w:t>
            </w:r>
          </w:p>
        </w:tc>
        <w:tc>
          <w:tcPr>
            <w:tcW w:w="2394" w:type="dxa"/>
          </w:tcPr>
          <w:p w14:paraId="0580DF0E" w14:textId="6E438255" w:rsidR="00C34E4A" w:rsidRPr="0029110D" w:rsidRDefault="00C34E4A" w:rsidP="00AB1FF1">
            <w:pPr>
              <w:jc w:val="center"/>
              <w:rPr>
                <w:lang w:val="en-US"/>
              </w:rPr>
            </w:pPr>
            <w:r w:rsidRPr="0029110D">
              <w:t>27</w:t>
            </w:r>
            <w:r w:rsidR="008C6732" w:rsidRPr="0029110D">
              <w:t>,</w:t>
            </w:r>
            <w:r w:rsidRPr="0029110D">
              <w:t>6</w:t>
            </w:r>
          </w:p>
        </w:tc>
        <w:tc>
          <w:tcPr>
            <w:tcW w:w="2150" w:type="dxa"/>
          </w:tcPr>
          <w:p w14:paraId="3BF9DA80" w14:textId="2EEBDBA9" w:rsidR="00C34E4A" w:rsidRPr="0029110D" w:rsidRDefault="00C34E4A" w:rsidP="00AB1FF1">
            <w:pPr>
              <w:jc w:val="center"/>
              <w:rPr>
                <w:lang w:val="en-US"/>
              </w:rPr>
            </w:pPr>
            <w:r w:rsidRPr="0029110D">
              <w:t>31</w:t>
            </w:r>
            <w:r w:rsidR="008C6732" w:rsidRPr="0029110D">
              <w:t>,</w:t>
            </w:r>
            <w:r w:rsidRPr="0029110D">
              <w:t>5**</w:t>
            </w:r>
          </w:p>
        </w:tc>
      </w:tr>
      <w:tr w:rsidR="00C34E4A" w:rsidRPr="00795DD4" w14:paraId="39159DF4" w14:textId="77777777" w:rsidTr="00AB1FF1">
        <w:tc>
          <w:tcPr>
            <w:tcW w:w="2392" w:type="dxa"/>
          </w:tcPr>
          <w:p w14:paraId="6BCE38F9" w14:textId="77777777" w:rsidR="00C34E4A" w:rsidRPr="0029110D" w:rsidRDefault="00C34E4A">
            <w:r w:rsidRPr="0029110D">
              <w:rPr>
                <w:lang w:val="en-US"/>
              </w:rPr>
              <w:t>IGA</w:t>
            </w:r>
            <w:r w:rsidRPr="0029110D">
              <w:t xml:space="preserve"> 0 или 1, % участников </w:t>
            </w:r>
            <w:r w:rsidRPr="0029110D">
              <w:rPr>
                <w:vertAlign w:val="superscript"/>
                <w:lang w:val="en-US"/>
              </w:rPr>
              <w:t>c</w:t>
            </w:r>
            <w:r w:rsidRPr="0029110D">
              <w:rPr>
                <w:vertAlign w:val="superscript"/>
              </w:rPr>
              <w:t>,</w:t>
            </w:r>
            <w:r w:rsidRPr="0029110D">
              <w:rPr>
                <w:vertAlign w:val="superscript"/>
                <w:lang w:val="en-US"/>
              </w:rPr>
              <w:t>e</w:t>
            </w:r>
          </w:p>
        </w:tc>
        <w:tc>
          <w:tcPr>
            <w:tcW w:w="2392" w:type="dxa"/>
          </w:tcPr>
          <w:p w14:paraId="616C8717" w14:textId="2956A1B6" w:rsidR="00C34E4A" w:rsidRPr="0029110D" w:rsidRDefault="00C34E4A" w:rsidP="00AB1FF1">
            <w:pPr>
              <w:jc w:val="center"/>
              <w:rPr>
                <w:lang w:val="en-US"/>
              </w:rPr>
            </w:pPr>
            <w:r w:rsidRPr="0029110D">
              <w:t>9</w:t>
            </w:r>
            <w:r w:rsidR="008C6732" w:rsidRPr="0029110D">
              <w:t>,</w:t>
            </w:r>
            <w:r w:rsidRPr="0029110D">
              <w:t>7</w:t>
            </w:r>
          </w:p>
        </w:tc>
        <w:tc>
          <w:tcPr>
            <w:tcW w:w="2394" w:type="dxa"/>
          </w:tcPr>
          <w:p w14:paraId="1B876715" w14:textId="7B86893F" w:rsidR="00C34E4A" w:rsidRPr="0029110D" w:rsidRDefault="00C34E4A" w:rsidP="00AB1FF1">
            <w:pPr>
              <w:jc w:val="center"/>
              <w:rPr>
                <w:lang w:val="en-US"/>
              </w:rPr>
            </w:pPr>
            <w:r w:rsidRPr="0029110D">
              <w:t>15</w:t>
            </w:r>
            <w:r w:rsidR="008C6732" w:rsidRPr="0029110D">
              <w:t>,</w:t>
            </w:r>
            <w:r w:rsidRPr="0029110D">
              <w:t>1</w:t>
            </w:r>
          </w:p>
        </w:tc>
        <w:tc>
          <w:tcPr>
            <w:tcW w:w="2150" w:type="dxa"/>
          </w:tcPr>
          <w:p w14:paraId="348A4F6B" w14:textId="734C36B0" w:rsidR="00C34E4A" w:rsidRPr="0029110D" w:rsidRDefault="00C34E4A" w:rsidP="00AB1FF1">
            <w:pPr>
              <w:jc w:val="center"/>
              <w:rPr>
                <w:lang w:val="en-US"/>
              </w:rPr>
            </w:pPr>
            <w:r w:rsidRPr="0029110D">
              <w:t>21</w:t>
            </w:r>
            <w:r w:rsidR="008C6732" w:rsidRPr="0029110D">
              <w:t>,</w:t>
            </w:r>
            <w:r w:rsidRPr="0029110D">
              <w:t>7*</w:t>
            </w:r>
          </w:p>
        </w:tc>
      </w:tr>
      <w:tr w:rsidR="00C34E4A" w:rsidRPr="00795DD4" w14:paraId="23EDF635" w14:textId="77777777" w:rsidTr="00AB1FF1">
        <w:tc>
          <w:tcPr>
            <w:tcW w:w="2392" w:type="dxa"/>
          </w:tcPr>
          <w:p w14:paraId="0D596A91" w14:textId="77777777" w:rsidR="00C34E4A" w:rsidRPr="0029110D" w:rsidRDefault="00C34E4A">
            <w:r w:rsidRPr="0029110D">
              <w:rPr>
                <w:lang w:val="en-US"/>
              </w:rPr>
              <w:t>Itch</w:t>
            </w:r>
            <w:r w:rsidRPr="0029110D">
              <w:t xml:space="preserve"> </w:t>
            </w:r>
            <w:r w:rsidRPr="0029110D">
              <w:rPr>
                <w:lang w:val="en-US"/>
              </w:rPr>
              <w:t>NRS</w:t>
            </w:r>
            <w:r w:rsidRPr="0029110D">
              <w:t xml:space="preserve"> (≥ 4 балльное улучшение), % участников </w:t>
            </w:r>
            <w:r w:rsidRPr="0029110D">
              <w:rPr>
                <w:vertAlign w:val="superscript"/>
                <w:lang w:val="en-US"/>
              </w:rPr>
              <w:t>c</w:t>
            </w:r>
            <w:r w:rsidRPr="0029110D">
              <w:rPr>
                <w:vertAlign w:val="superscript"/>
              </w:rPr>
              <w:t>,</w:t>
            </w:r>
            <w:r w:rsidRPr="0029110D">
              <w:rPr>
                <w:vertAlign w:val="superscript"/>
                <w:lang w:val="en-US"/>
              </w:rPr>
              <w:t>f</w:t>
            </w:r>
          </w:p>
        </w:tc>
        <w:tc>
          <w:tcPr>
            <w:tcW w:w="2392" w:type="dxa"/>
          </w:tcPr>
          <w:p w14:paraId="3A59F6BF" w14:textId="4DDAE111" w:rsidR="00C34E4A" w:rsidRPr="0029110D" w:rsidRDefault="00C34E4A" w:rsidP="00AB1FF1">
            <w:pPr>
              <w:jc w:val="center"/>
              <w:rPr>
                <w:lang w:val="en-US"/>
              </w:rPr>
            </w:pPr>
            <w:r w:rsidRPr="0029110D">
              <w:t>8</w:t>
            </w:r>
            <w:r w:rsidR="008C6732" w:rsidRPr="0029110D">
              <w:t>,</w:t>
            </w:r>
            <w:r w:rsidRPr="0029110D">
              <w:t>2</w:t>
            </w:r>
          </w:p>
        </w:tc>
        <w:tc>
          <w:tcPr>
            <w:tcW w:w="2394" w:type="dxa"/>
          </w:tcPr>
          <w:p w14:paraId="285BCE76" w14:textId="60F92F00" w:rsidR="00C34E4A" w:rsidRPr="0029110D" w:rsidRDefault="00C34E4A" w:rsidP="00AB1FF1">
            <w:pPr>
              <w:jc w:val="center"/>
              <w:rPr>
                <w:lang w:val="en-US"/>
              </w:rPr>
            </w:pPr>
            <w:r w:rsidRPr="0029110D">
              <w:t>22</w:t>
            </w:r>
            <w:r w:rsidR="008C6732" w:rsidRPr="0029110D">
              <w:t>,</w:t>
            </w:r>
            <w:r w:rsidRPr="0029110D">
              <w:t>9*</w:t>
            </w:r>
          </w:p>
        </w:tc>
        <w:tc>
          <w:tcPr>
            <w:tcW w:w="2150" w:type="dxa"/>
          </w:tcPr>
          <w:p w14:paraId="650C4CDF" w14:textId="528D0D6F" w:rsidR="00C34E4A" w:rsidRPr="0029110D" w:rsidRDefault="00C34E4A" w:rsidP="00AB1FF1">
            <w:pPr>
              <w:jc w:val="center"/>
              <w:rPr>
                <w:lang w:val="en-US"/>
              </w:rPr>
            </w:pPr>
            <w:r w:rsidRPr="0029110D">
              <w:t>38</w:t>
            </w:r>
            <w:r w:rsidR="008C6732" w:rsidRPr="0029110D">
              <w:t>,</w:t>
            </w:r>
            <w:r w:rsidRPr="0029110D">
              <w:t>2**</w:t>
            </w:r>
          </w:p>
        </w:tc>
      </w:tr>
      <w:tr w:rsidR="00C34E4A" w:rsidRPr="00AB1FF1" w14:paraId="764966CF" w14:textId="77777777" w:rsidTr="00AB1FF1">
        <w:tc>
          <w:tcPr>
            <w:tcW w:w="2392" w:type="dxa"/>
          </w:tcPr>
          <w:p w14:paraId="7B0B1802" w14:textId="77777777" w:rsidR="00C34E4A" w:rsidRPr="0029110D" w:rsidRDefault="00C34E4A">
            <w:r w:rsidRPr="0029110D">
              <w:t xml:space="preserve">Изменения по шкале </w:t>
            </w:r>
            <w:r w:rsidRPr="0029110D">
              <w:rPr>
                <w:lang w:val="en-US"/>
              </w:rPr>
              <w:t>DLQI</w:t>
            </w:r>
            <w:r w:rsidRPr="0029110D">
              <w:t>, среднее (</w:t>
            </w:r>
            <w:r w:rsidRPr="0029110D">
              <w:rPr>
                <w:lang w:val="en-US"/>
              </w:rPr>
              <w:t>SE</w:t>
            </w:r>
            <w:r w:rsidRPr="0029110D">
              <w:t>)</w:t>
            </w:r>
            <w:r w:rsidRPr="0029110D">
              <w:rPr>
                <w:vertAlign w:val="superscript"/>
                <w:lang w:val="en-US"/>
              </w:rPr>
              <w:t>d</w:t>
            </w:r>
          </w:p>
        </w:tc>
        <w:tc>
          <w:tcPr>
            <w:tcW w:w="2392" w:type="dxa"/>
          </w:tcPr>
          <w:p w14:paraId="73A4ECE0" w14:textId="7A642B1E" w:rsidR="00C34E4A" w:rsidRPr="0029110D" w:rsidRDefault="00C34E4A" w:rsidP="00AB1FF1">
            <w:pPr>
              <w:jc w:val="center"/>
              <w:rPr>
                <w:lang w:val="en-US"/>
              </w:rPr>
            </w:pPr>
            <w:r w:rsidRPr="0029110D">
              <w:t>-4</w:t>
            </w:r>
            <w:r w:rsidR="008C6732" w:rsidRPr="0029110D">
              <w:t>,</w:t>
            </w:r>
            <w:r w:rsidRPr="0029110D">
              <w:t>95 (0</w:t>
            </w:r>
            <w:r w:rsidR="008C6732" w:rsidRPr="0029110D">
              <w:t>,</w:t>
            </w:r>
            <w:r w:rsidRPr="0029110D">
              <w:t>752)</w:t>
            </w:r>
          </w:p>
        </w:tc>
        <w:tc>
          <w:tcPr>
            <w:tcW w:w="2394" w:type="dxa"/>
          </w:tcPr>
          <w:p w14:paraId="192039CD" w14:textId="2A5A20D1" w:rsidR="00C34E4A" w:rsidRPr="0029110D" w:rsidRDefault="00C34E4A" w:rsidP="00AB1FF1">
            <w:pPr>
              <w:jc w:val="center"/>
              <w:rPr>
                <w:lang w:val="en-US"/>
              </w:rPr>
            </w:pPr>
            <w:r w:rsidRPr="0029110D">
              <w:t>-6</w:t>
            </w:r>
            <w:r w:rsidR="008C6732" w:rsidRPr="0029110D">
              <w:t>,</w:t>
            </w:r>
            <w:r w:rsidRPr="0029110D">
              <w:t>57 (0</w:t>
            </w:r>
            <w:r w:rsidR="008C6732" w:rsidRPr="0029110D">
              <w:t>,</w:t>
            </w:r>
            <w:r w:rsidRPr="0029110D">
              <w:t>494)</w:t>
            </w:r>
          </w:p>
        </w:tc>
        <w:tc>
          <w:tcPr>
            <w:tcW w:w="2150" w:type="dxa"/>
          </w:tcPr>
          <w:p w14:paraId="04561AA9" w14:textId="77777777" w:rsidR="00C34E4A" w:rsidRPr="0029110D" w:rsidRDefault="00C34E4A" w:rsidP="00AB1FF1">
            <w:pPr>
              <w:jc w:val="center"/>
              <w:rPr>
                <w:lang w:val="en-US"/>
              </w:rPr>
            </w:pPr>
            <w:r w:rsidRPr="0029110D">
              <w:rPr>
                <w:lang w:val="en-US"/>
              </w:rPr>
              <w:t>Change in DLQI mean (SE)d</w:t>
            </w:r>
          </w:p>
        </w:tc>
      </w:tr>
      <w:tr w:rsidR="00C34E4A" w:rsidRPr="00795DD4" w14:paraId="2CD86764" w14:textId="77777777" w:rsidTr="00AB1FF1">
        <w:tc>
          <w:tcPr>
            <w:tcW w:w="9328" w:type="dxa"/>
            <w:gridSpan w:val="4"/>
          </w:tcPr>
          <w:p w14:paraId="78FA13D9" w14:textId="32ACADAF" w:rsidR="00C34E4A" w:rsidRPr="00713EC9" w:rsidRDefault="00713EC9">
            <w:pPr>
              <w:tabs>
                <w:tab w:val="left" w:pos="2595"/>
              </w:tabs>
              <w:rPr>
                <w:sz w:val="20"/>
                <w:szCs w:val="20"/>
              </w:rPr>
            </w:pPr>
            <w:r w:rsidRPr="00713EC9">
              <w:rPr>
                <w:b/>
                <w:sz w:val="20"/>
                <w:szCs w:val="20"/>
              </w:rPr>
              <w:t>Примечание:</w:t>
            </w:r>
            <w:r>
              <w:rPr>
                <w:sz w:val="20"/>
                <w:szCs w:val="20"/>
              </w:rPr>
              <w:br/>
            </w:r>
            <w:r w:rsidR="00C34E4A" w:rsidRPr="00713EC9">
              <w:rPr>
                <w:sz w:val="20"/>
                <w:szCs w:val="20"/>
                <w:lang w:val="en-US"/>
              </w:rPr>
              <w:t>PBO</w:t>
            </w:r>
            <w:r w:rsidR="00C34E4A" w:rsidRPr="00713EC9">
              <w:rPr>
                <w:sz w:val="20"/>
                <w:szCs w:val="20"/>
              </w:rPr>
              <w:t xml:space="preserve"> – плацебо; </w:t>
            </w:r>
            <w:r w:rsidR="00C34E4A" w:rsidRPr="00713EC9">
              <w:rPr>
                <w:sz w:val="20"/>
                <w:szCs w:val="20"/>
                <w:lang w:val="en-US"/>
              </w:rPr>
              <w:t>BARI</w:t>
            </w:r>
            <w:r w:rsidR="00C34E4A" w:rsidRPr="00713EC9">
              <w:rPr>
                <w:sz w:val="20"/>
                <w:szCs w:val="20"/>
              </w:rPr>
              <w:t xml:space="preserve"> 2 </w:t>
            </w:r>
            <w:r w:rsidR="00C34E4A" w:rsidRPr="00713EC9">
              <w:rPr>
                <w:sz w:val="20"/>
                <w:szCs w:val="20"/>
                <w:lang w:val="en-US"/>
              </w:rPr>
              <w:t>mg</w:t>
            </w:r>
            <w:r w:rsidR="00C34E4A" w:rsidRPr="00713EC9">
              <w:rPr>
                <w:sz w:val="20"/>
                <w:szCs w:val="20"/>
              </w:rPr>
              <w:t xml:space="preserve"> – барицитиниб в дозе 2 мг; </w:t>
            </w:r>
            <w:r w:rsidR="00C34E4A" w:rsidRPr="00713EC9">
              <w:rPr>
                <w:sz w:val="20"/>
                <w:szCs w:val="20"/>
                <w:lang w:val="en-US"/>
              </w:rPr>
              <w:t>BARI</w:t>
            </w:r>
            <w:r w:rsidR="00C34E4A" w:rsidRPr="00713EC9">
              <w:rPr>
                <w:sz w:val="20"/>
                <w:szCs w:val="20"/>
              </w:rPr>
              <w:t xml:space="preserve"> 4 </w:t>
            </w:r>
            <w:r w:rsidR="00C34E4A" w:rsidRPr="00713EC9">
              <w:rPr>
                <w:sz w:val="20"/>
                <w:szCs w:val="20"/>
                <w:lang w:val="en-US"/>
              </w:rPr>
              <w:t>mg</w:t>
            </w:r>
            <w:r w:rsidR="00C34E4A" w:rsidRPr="00713EC9">
              <w:rPr>
                <w:sz w:val="20"/>
                <w:szCs w:val="20"/>
              </w:rPr>
              <w:t xml:space="preserve"> – барицитиниб в дозе 4 мг; </w:t>
            </w:r>
            <w:r w:rsidR="00C34E4A" w:rsidRPr="00713EC9">
              <w:rPr>
                <w:sz w:val="20"/>
                <w:szCs w:val="20"/>
                <w:lang w:val="en-US"/>
              </w:rPr>
              <w:t>TCS</w:t>
            </w:r>
            <w:r w:rsidR="00C34E4A" w:rsidRPr="00713EC9">
              <w:rPr>
                <w:sz w:val="20"/>
                <w:szCs w:val="20"/>
              </w:rPr>
              <w:t xml:space="preserve"> – топические глюкокортикостероиды; </w:t>
            </w:r>
            <w:r w:rsidR="00C34E4A" w:rsidRPr="00713EC9">
              <w:rPr>
                <w:sz w:val="20"/>
                <w:szCs w:val="20"/>
                <w:lang w:val="en-US"/>
              </w:rPr>
              <w:t>FAS</w:t>
            </w:r>
            <w:r w:rsidR="00C34E4A" w:rsidRPr="00713EC9">
              <w:rPr>
                <w:sz w:val="20"/>
                <w:szCs w:val="20"/>
              </w:rPr>
              <w:t xml:space="preserve"> – выборка для анализа, включающая всех рандомизированных пациентов; </w:t>
            </w:r>
            <w:r w:rsidR="00C34E4A" w:rsidRPr="00713EC9">
              <w:rPr>
                <w:sz w:val="20"/>
                <w:szCs w:val="20"/>
                <w:lang w:val="en-US"/>
              </w:rPr>
              <w:t>IGA</w:t>
            </w:r>
            <w:r w:rsidR="00C34E4A" w:rsidRPr="00713EC9">
              <w:rPr>
                <w:sz w:val="20"/>
                <w:szCs w:val="20"/>
              </w:rPr>
              <w:t xml:space="preserve"> – общая оценка исследователя; </w:t>
            </w:r>
            <w:r w:rsidR="00C34E4A" w:rsidRPr="00713EC9">
              <w:rPr>
                <w:sz w:val="20"/>
                <w:szCs w:val="20"/>
                <w:lang w:val="en-US"/>
              </w:rPr>
              <w:t>EASI</w:t>
            </w:r>
            <w:r w:rsidR="00C34E4A" w:rsidRPr="00713EC9">
              <w:rPr>
                <w:sz w:val="20"/>
                <w:szCs w:val="20"/>
              </w:rPr>
              <w:t xml:space="preserve">– площадь экземы и индекс тяжести; </w:t>
            </w:r>
            <w:r w:rsidR="00C34E4A" w:rsidRPr="00713EC9">
              <w:rPr>
                <w:sz w:val="20"/>
                <w:szCs w:val="20"/>
                <w:lang w:val="en-US"/>
              </w:rPr>
              <w:t>Itch</w:t>
            </w:r>
            <w:r w:rsidR="00C34E4A" w:rsidRPr="00713EC9">
              <w:rPr>
                <w:sz w:val="20"/>
                <w:szCs w:val="20"/>
              </w:rPr>
              <w:t xml:space="preserve"> </w:t>
            </w:r>
            <w:r w:rsidR="00C34E4A" w:rsidRPr="00713EC9">
              <w:rPr>
                <w:sz w:val="20"/>
                <w:szCs w:val="20"/>
                <w:lang w:val="en-US"/>
              </w:rPr>
              <w:t>NRS</w:t>
            </w:r>
            <w:r w:rsidR="00C34E4A" w:rsidRPr="00713EC9">
              <w:rPr>
                <w:sz w:val="20"/>
                <w:szCs w:val="20"/>
              </w:rPr>
              <w:t xml:space="preserve"> – числовая шкала оценки зуда; </w:t>
            </w:r>
            <w:r w:rsidR="00C34E4A" w:rsidRPr="00713EC9">
              <w:rPr>
                <w:sz w:val="20"/>
                <w:szCs w:val="20"/>
                <w:lang w:val="en-US"/>
              </w:rPr>
              <w:t>DLQI</w:t>
            </w:r>
            <w:r w:rsidR="00C34E4A" w:rsidRPr="00713EC9">
              <w:rPr>
                <w:sz w:val="20"/>
                <w:szCs w:val="20"/>
              </w:rPr>
              <w:t xml:space="preserve"> – шкала оценки качества жизни; </w:t>
            </w:r>
            <w:r w:rsidR="00C34E4A" w:rsidRPr="00713EC9">
              <w:rPr>
                <w:sz w:val="20"/>
                <w:szCs w:val="20"/>
                <w:lang w:val="en-US"/>
              </w:rPr>
              <w:t>SE</w:t>
            </w:r>
            <w:r w:rsidR="00C34E4A" w:rsidRPr="00713EC9">
              <w:rPr>
                <w:sz w:val="20"/>
                <w:szCs w:val="20"/>
              </w:rPr>
              <w:t xml:space="preserve"> – стандартная ошибка; а – все пациенты получали сопутствующую терапию местными кортикостероидами, пациентам было разрешено использовать местные ингибиторы кальциневрина; с – учитывали данные неответчиков (пациенты, получившие неотложную терапию или с отсутствующими данными); d – не включали данные, полученные от пациентов, получивших экстренную терапию или закончивших прием барицитиниба; e – респондент определялся как пациент с IGA 0 или 1 («чистый» или «почти чистый») со снижением ≥ 2 баллов по шкале 0-4 IGA; f – результаты показаны для подгруппы пациентов с зудом NRS ≥ 4 на исходном уровне); * – статистически значимо по сравнению с плацебо без поправки на множественность; ** – статистически значимо по сравнению с плацебо с поправкой на множественность. </w:t>
            </w:r>
          </w:p>
        </w:tc>
      </w:tr>
    </w:tbl>
    <w:p w14:paraId="05032F0A" w14:textId="77777777" w:rsidR="00C34E4A" w:rsidRDefault="00C34E4A">
      <w:pPr>
        <w:spacing w:after="0" w:line="240" w:lineRule="auto"/>
      </w:pPr>
    </w:p>
    <w:p w14:paraId="66303F96" w14:textId="4576F8BA" w:rsidR="00C34E4A" w:rsidRDefault="007D730B">
      <w:pPr>
        <w:pStyle w:val="4"/>
        <w:spacing w:before="0"/>
        <w:rPr>
          <w:szCs w:val="24"/>
        </w:rPr>
      </w:pPr>
      <w:bookmarkStart w:id="171" w:name="_Toc120288174"/>
      <w:bookmarkStart w:id="172" w:name="_Hlk118562534"/>
      <w:r>
        <w:rPr>
          <w:szCs w:val="24"/>
        </w:rPr>
        <w:t>4.2</w:t>
      </w:r>
      <w:r w:rsidR="00C34E4A" w:rsidRPr="00047B0E">
        <w:rPr>
          <w:szCs w:val="24"/>
        </w:rPr>
        <w:t>.1.</w:t>
      </w:r>
      <w:r w:rsidR="00C34E4A">
        <w:rPr>
          <w:szCs w:val="24"/>
        </w:rPr>
        <w:t>3</w:t>
      </w:r>
      <w:r w:rsidR="00C34E4A" w:rsidRPr="00047B0E">
        <w:rPr>
          <w:szCs w:val="24"/>
        </w:rPr>
        <w:t xml:space="preserve">. </w:t>
      </w:r>
      <w:bookmarkStart w:id="173" w:name="_Hlk118554093"/>
      <w:r w:rsidR="00C34E4A">
        <w:rPr>
          <w:szCs w:val="24"/>
        </w:rPr>
        <w:t>Очаговая алопеция</w:t>
      </w:r>
      <w:bookmarkEnd w:id="171"/>
    </w:p>
    <w:p w14:paraId="258FEAD7" w14:textId="77777777" w:rsidR="00713EC9" w:rsidRDefault="00713EC9">
      <w:pPr>
        <w:spacing w:after="0" w:line="240" w:lineRule="auto"/>
        <w:ind w:firstLine="708"/>
        <w:rPr>
          <w:color w:val="000000"/>
        </w:rPr>
      </w:pPr>
    </w:p>
    <w:p w14:paraId="64045D18" w14:textId="77777777" w:rsidR="00C34E4A" w:rsidRPr="002F4447" w:rsidRDefault="00C34E4A">
      <w:pPr>
        <w:spacing w:after="0" w:line="240" w:lineRule="auto"/>
        <w:ind w:firstLine="708"/>
      </w:pPr>
      <w:r w:rsidRPr="000D2BA7">
        <w:rPr>
          <w:color w:val="000000"/>
        </w:rPr>
        <w:t xml:space="preserve">Эффективность и безопасность </w:t>
      </w:r>
      <w:r>
        <w:rPr>
          <w:color w:val="000000"/>
        </w:rPr>
        <w:t xml:space="preserve">применения </w:t>
      </w:r>
      <w:r w:rsidRPr="000D2BA7">
        <w:rPr>
          <w:color w:val="000000"/>
        </w:rPr>
        <w:t xml:space="preserve">барицитиниба </w:t>
      </w:r>
      <w:r>
        <w:rPr>
          <w:color w:val="000000"/>
        </w:rPr>
        <w:t>1 р/</w:t>
      </w:r>
      <w:r w:rsidRPr="000D2BA7">
        <w:rPr>
          <w:color w:val="000000"/>
        </w:rPr>
        <w:t xml:space="preserve">день </w:t>
      </w:r>
      <w:r>
        <w:rPr>
          <w:color w:val="000000"/>
        </w:rPr>
        <w:t xml:space="preserve">в отношении </w:t>
      </w:r>
      <w:r w:rsidRPr="00795DD4">
        <w:rPr>
          <w:color w:val="000000"/>
        </w:rPr>
        <w:t>ОА</w:t>
      </w:r>
      <w:r>
        <w:rPr>
          <w:color w:val="000000"/>
        </w:rPr>
        <w:t xml:space="preserve"> </w:t>
      </w:r>
      <w:r w:rsidRPr="000D2BA7">
        <w:rPr>
          <w:color w:val="000000"/>
        </w:rPr>
        <w:t xml:space="preserve">оценивали в исследовании фазы II/III </w:t>
      </w:r>
      <w:r>
        <w:rPr>
          <w:color w:val="000000"/>
        </w:rPr>
        <w:t xml:space="preserve">с </w:t>
      </w:r>
      <w:r w:rsidRPr="000D2BA7">
        <w:rPr>
          <w:color w:val="000000"/>
        </w:rPr>
        <w:t>адаптивн</w:t>
      </w:r>
      <w:r>
        <w:rPr>
          <w:color w:val="000000"/>
        </w:rPr>
        <w:t>ы</w:t>
      </w:r>
      <w:r w:rsidRPr="000D2BA7">
        <w:rPr>
          <w:color w:val="000000"/>
        </w:rPr>
        <w:t>м</w:t>
      </w:r>
      <w:r>
        <w:rPr>
          <w:color w:val="000000"/>
        </w:rPr>
        <w:t xml:space="preserve"> дизайном</w:t>
      </w:r>
      <w:r w:rsidRPr="000D2BA7">
        <w:rPr>
          <w:color w:val="000000"/>
        </w:rPr>
        <w:t xml:space="preserve"> (BRAVE-AA1) и в исследовании III фазы (BRAVE-AA2). Ч</w:t>
      </w:r>
      <w:bookmarkEnd w:id="173"/>
      <w:r w:rsidRPr="000D2BA7">
        <w:rPr>
          <w:color w:val="000000"/>
        </w:rPr>
        <w:t>асть III фазы исследования BRAVE-AA1 и III фаза исследования BRAVE-AA2 были рандомизированными, двойными слепыми, плацебо</w:t>
      </w:r>
      <w:r>
        <w:rPr>
          <w:color w:val="000000"/>
        </w:rPr>
        <w:t xml:space="preserve"> </w:t>
      </w:r>
      <w:r w:rsidRPr="000D2BA7">
        <w:rPr>
          <w:color w:val="000000"/>
        </w:rPr>
        <w:t xml:space="preserve">контролируемыми, 36-недельными исследованиями с </w:t>
      </w:r>
      <w:r>
        <w:rPr>
          <w:color w:val="000000"/>
        </w:rPr>
        <w:t xml:space="preserve">увеличением приема барицитиниба </w:t>
      </w:r>
      <w:r w:rsidRPr="000D2BA7">
        <w:rPr>
          <w:color w:val="000000"/>
        </w:rPr>
        <w:t xml:space="preserve">до 200 недель. В обоих исследованиях III фазы пациенты были рандомизированы в группы плацебо, 2 мг или 4 мг барицитиниба в соотношении 2:2:3. </w:t>
      </w:r>
      <w:r>
        <w:rPr>
          <w:color w:val="000000"/>
        </w:rPr>
        <w:t xml:space="preserve">В исследование включали </w:t>
      </w:r>
      <w:r w:rsidRPr="000D2BA7">
        <w:rPr>
          <w:color w:val="000000"/>
        </w:rPr>
        <w:t>муж</w:t>
      </w:r>
      <w:r>
        <w:rPr>
          <w:color w:val="000000"/>
        </w:rPr>
        <w:t>чин</w:t>
      </w:r>
      <w:r w:rsidRPr="000D2BA7">
        <w:rPr>
          <w:color w:val="000000"/>
        </w:rPr>
        <w:t xml:space="preserve"> в возрасте от 18 до 60 лет и жен</w:t>
      </w:r>
      <w:r>
        <w:rPr>
          <w:color w:val="000000"/>
        </w:rPr>
        <w:t xml:space="preserve">щин </w:t>
      </w:r>
      <w:r w:rsidRPr="000D2BA7">
        <w:rPr>
          <w:color w:val="000000"/>
        </w:rPr>
        <w:t xml:space="preserve">от 18 до 70 лет с текущим эпизодом тяжелой </w:t>
      </w:r>
      <w:r>
        <w:rPr>
          <w:color w:val="000000"/>
        </w:rPr>
        <w:t>ОА</w:t>
      </w:r>
      <w:r w:rsidRPr="000D2BA7">
        <w:rPr>
          <w:color w:val="000000"/>
        </w:rPr>
        <w:t xml:space="preserve"> продолжительностью более 6 месяцев (выпадение волос, охватывающее ≥ 50% </w:t>
      </w:r>
      <w:r>
        <w:rPr>
          <w:color w:val="000000"/>
        </w:rPr>
        <w:t xml:space="preserve">волосистой части </w:t>
      </w:r>
      <w:r w:rsidRPr="000D2BA7">
        <w:rPr>
          <w:color w:val="000000"/>
        </w:rPr>
        <w:t>кож</w:t>
      </w:r>
      <w:r>
        <w:rPr>
          <w:color w:val="000000"/>
        </w:rPr>
        <w:t>и</w:t>
      </w:r>
      <w:r w:rsidRPr="000D2BA7">
        <w:rPr>
          <w:color w:val="000000"/>
        </w:rPr>
        <w:t xml:space="preserve"> головы). Пациенты с текущим эпизодом продолжительностью более 8 лет не включались в исследование, если в течение последних 8 лет на пораженных </w:t>
      </w:r>
      <w:r w:rsidRPr="000D2BA7">
        <w:rPr>
          <w:color w:val="000000"/>
        </w:rPr>
        <w:t xml:space="preserve">участках кожи головы не наблюдались эпизоды повторного роста. Единственными разрешенными сопутствующими препаратами при </w:t>
      </w:r>
      <w:r>
        <w:rPr>
          <w:color w:val="000000"/>
        </w:rPr>
        <w:t>ОА</w:t>
      </w:r>
      <w:r w:rsidRPr="000D2BA7">
        <w:rPr>
          <w:color w:val="000000"/>
        </w:rPr>
        <w:t xml:space="preserve"> были финастерид (или другие ингибиторы 5-альфа-редуктазы), пероральный или местный миноксидил и офтальмологический раствор биматопроста для ресниц, при условии стабильной дозы на момент начала </w:t>
      </w:r>
      <w:r w:rsidRPr="002F4447">
        <w:rPr>
          <w:color w:val="000000"/>
        </w:rPr>
        <w:t xml:space="preserve">исследования </w:t>
      </w:r>
      <w:r w:rsidRPr="002F4447">
        <w:fldChar w:fldCharType="begin"/>
      </w:r>
      <w:r w:rsidRPr="002F4447">
        <w:instrText xml:space="preserve"> ADDIN ZOTERO_ITEM CSL_CITATION {"citationID":"2XlfjLNt","properties":{"formattedCitation":"[6]","plainCitation":"[6]","noteIndex":0},"citationItems":[{"id":3829,"uris":["http://zotero.org/groups/4514912/items/H2A4BXNT"],"itemData":{"id":3829,"type":"document","title":"Summary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16744860" w14:textId="77777777" w:rsidR="00C34E4A" w:rsidRPr="002F4447" w:rsidRDefault="00C34E4A">
      <w:pPr>
        <w:spacing w:after="0" w:line="240" w:lineRule="auto"/>
        <w:ind w:firstLine="708"/>
      </w:pPr>
      <w:r w:rsidRPr="002F4447">
        <w:rPr>
          <w:color w:val="000000"/>
        </w:rPr>
        <w:t>В обоих исследованиях в качестве основного результата оценивалась доля субъектов, которые достигли ≤20 баллов по шкале SALT (80% или более покрытия кожи головы волосами) на 36-й неделе. Кроме того, в обоих исследованиях оценивалась клиническая оценка роста волос на бровях и ресницах</w:t>
      </w:r>
      <w:r w:rsidRPr="002F4447">
        <w:t xml:space="preserve"> </w:t>
      </w:r>
      <w:r w:rsidRPr="002F4447">
        <w:fldChar w:fldCharType="begin"/>
      </w:r>
      <w:r w:rsidRPr="002F4447">
        <w:instrText xml:space="preserve"> ADDIN ZOTERO_ITEM CSL_CITATION {"citationID":"jl3YqVxw","properties":{"formattedCitation":"[6]","plainCitation":"[6]","noteIndex":0},"citationItems":[{"id":3829,"uris":["http://zotero.org/groups/4514912/items/H2A4BXNT"],"itemData":{"id":3829,"type":"document","title":"Summary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06093883" w14:textId="77777777" w:rsidR="00C34E4A" w:rsidRPr="004A0B9D" w:rsidRDefault="00C34E4A">
      <w:pPr>
        <w:spacing w:after="0" w:line="240" w:lineRule="auto"/>
        <w:ind w:firstLine="708"/>
      </w:pPr>
      <w:r w:rsidRPr="002F4447">
        <w:rPr>
          <w:color w:val="000000"/>
        </w:rPr>
        <w:t xml:space="preserve">Часть III фазы исследования BRAVE-AA1 и III фаза исследования BRAVE-AA2 включали 1200 взрослых пациентов. Во всех группах лечения средний возраст составил 37,5 лет, 61% пациентов – женщины. Средняя продолжительность ОА от начала заболевания и средняя продолжительность текущего эпизода выпадения волос составляли 12,2 и 3,9 года соответственно. Медиана оценки SALT в исследованиях составила 96 (это соответствует 96% выпадению волос на голове), и примерно у 44% пациентов была зарегистрирована универсальная алопеция. До начала исследований 69% пациентов имели значительное или полное выпадение бровей, 58% имели значительное или полное выпадение ресниц по шкале для бровей и ресниц с оценкой 2 или 3. Приблизительно 90% пациентов получали по крайней мере одно лечение ОА в какой-то момент до начала исследований и 50% по крайней мере один системный иммунодепрессант. Об использовании разрешенных сопутствующих методов лечения ОА во время исследований сообщили только 4,3% пациентов </w:t>
      </w:r>
      <w:r w:rsidRPr="002F4447">
        <w:fldChar w:fldCharType="begin"/>
      </w:r>
      <w:r w:rsidRPr="002F4447">
        <w:instrText xml:space="preserve"> ADDIN ZOTERO_ITEM CSL_CITATION {"citationID":"bB0nuXBa","properties":{"formattedCitation":"[6]","plainCitation":"[6]","noteIndex":0},"citationItems":[{"id":3829,"uris":["http://zotero.org/groups/4514912/items/H2A4BXNT"],"itemData":{"id":3829,"type":"document","title":"Summary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t>.</w:t>
      </w:r>
    </w:p>
    <w:p w14:paraId="2AC99E75" w14:textId="77777777" w:rsidR="00C34E4A" w:rsidRPr="000D2BA7" w:rsidRDefault="00C34E4A">
      <w:pPr>
        <w:spacing w:after="0" w:line="240" w:lineRule="auto"/>
        <w:ind w:firstLine="708"/>
        <w:rPr>
          <w:color w:val="000000"/>
        </w:rPr>
      </w:pPr>
    </w:p>
    <w:p w14:paraId="13D0B012" w14:textId="77777777" w:rsidR="00C34E4A" w:rsidRPr="00713EC9" w:rsidRDefault="00C34E4A" w:rsidP="0029110D">
      <w:pPr>
        <w:spacing w:after="0" w:line="240" w:lineRule="auto"/>
        <w:rPr>
          <w:b/>
          <w:i/>
          <w:iCs/>
        </w:rPr>
      </w:pPr>
      <w:bookmarkStart w:id="174" w:name="_Hlk118554115"/>
      <w:r w:rsidRPr="00713EC9">
        <w:rPr>
          <w:b/>
          <w:i/>
          <w:iCs/>
        </w:rPr>
        <w:t xml:space="preserve">Результаты исследований </w:t>
      </w:r>
      <w:r w:rsidRPr="00713EC9">
        <w:rPr>
          <w:b/>
          <w:i/>
          <w:iCs/>
          <w:color w:val="000000"/>
        </w:rPr>
        <w:t>BRAVE-AA1 и BRAVE-AA2</w:t>
      </w:r>
      <w:r w:rsidRPr="00713EC9">
        <w:rPr>
          <w:b/>
          <w:color w:val="000000"/>
        </w:rPr>
        <w:t xml:space="preserve"> </w:t>
      </w:r>
    </w:p>
    <w:p w14:paraId="66BE35D4" w14:textId="77777777" w:rsidR="0029110D" w:rsidRDefault="0029110D">
      <w:pPr>
        <w:spacing w:after="0" w:line="240" w:lineRule="auto"/>
        <w:ind w:firstLine="708"/>
        <w:rPr>
          <w:color w:val="000000"/>
        </w:rPr>
      </w:pPr>
    </w:p>
    <w:p w14:paraId="47FF538B" w14:textId="0646D74C" w:rsidR="00C34E4A" w:rsidRDefault="00C34E4A">
      <w:pPr>
        <w:spacing w:after="0" w:line="240" w:lineRule="auto"/>
        <w:ind w:firstLine="708"/>
        <w:rPr>
          <w:color w:val="000000"/>
        </w:rPr>
      </w:pPr>
      <w:r w:rsidRPr="000D2BA7">
        <w:rPr>
          <w:color w:val="000000"/>
        </w:rPr>
        <w:t xml:space="preserve">В обоих исследованиях значительно большая часть пациентов, рандомизированно получавших барицитиниб в дозе 4 мг </w:t>
      </w:r>
      <w:r>
        <w:rPr>
          <w:color w:val="000000"/>
        </w:rPr>
        <w:t>1</w:t>
      </w:r>
      <w:r w:rsidRPr="000D2BA7">
        <w:rPr>
          <w:color w:val="000000"/>
        </w:rPr>
        <w:t xml:space="preserve"> р</w:t>
      </w:r>
      <w:r>
        <w:rPr>
          <w:color w:val="000000"/>
        </w:rPr>
        <w:t>/с</w:t>
      </w:r>
      <w:r w:rsidRPr="000D2BA7">
        <w:rPr>
          <w:color w:val="000000"/>
        </w:rPr>
        <w:t xml:space="preserve">утки, достигла SALT ≤ 20 на 36-й неделе по сравнению с плацебо, начиная с 8-й недели в исследовании BRAVE-AA1 и на 12-й неделе в исследовании BRAVE-AA2. Постоянная эффективность наблюдалась по большинству вторичных конечных точек </w:t>
      </w:r>
      <w:bookmarkEnd w:id="174"/>
      <w:r w:rsidRPr="000D2BA7">
        <w:rPr>
          <w:color w:val="000000"/>
        </w:rPr>
        <w:t>(</w:t>
      </w:r>
      <w:r w:rsidRPr="00795DD4">
        <w:rPr>
          <w:color w:val="000000"/>
        </w:rPr>
        <w:t xml:space="preserve">Таблица </w:t>
      </w:r>
      <w:r w:rsidR="00713EC9">
        <w:rPr>
          <w:color w:val="000000"/>
        </w:rPr>
        <w:t>4-11</w:t>
      </w:r>
      <w:r w:rsidRPr="000D2BA7">
        <w:rPr>
          <w:color w:val="000000"/>
        </w:rPr>
        <w:t xml:space="preserve">). </w:t>
      </w:r>
    </w:p>
    <w:p w14:paraId="2934CD65" w14:textId="77777777" w:rsidR="00C34E4A" w:rsidRDefault="00C34E4A">
      <w:pPr>
        <w:spacing w:after="0" w:line="240" w:lineRule="auto"/>
        <w:rPr>
          <w:color w:val="000000"/>
        </w:rPr>
      </w:pPr>
    </w:p>
    <w:bookmarkEnd w:id="172"/>
    <w:p w14:paraId="163BAB10" w14:textId="77777777" w:rsidR="0029110D" w:rsidRDefault="0029110D">
      <w:pPr>
        <w:spacing w:after="0" w:line="240" w:lineRule="auto"/>
        <w:rPr>
          <w:b/>
          <w:bCs/>
          <w:color w:val="000000"/>
        </w:rPr>
        <w:sectPr w:rsidR="0029110D" w:rsidSect="00AB01E2">
          <w:pgSz w:w="11906" w:h="16838"/>
          <w:pgMar w:top="1134" w:right="849" w:bottom="1134" w:left="1701" w:header="708" w:footer="709" w:gutter="0"/>
          <w:cols w:space="708"/>
          <w:docGrid w:linePitch="360"/>
        </w:sectPr>
      </w:pPr>
    </w:p>
    <w:p w14:paraId="69B8639F" w14:textId="654B5653" w:rsidR="00C34E4A" w:rsidRPr="00713EC9" w:rsidRDefault="00713EC9">
      <w:pPr>
        <w:spacing w:after="0" w:line="240" w:lineRule="auto"/>
        <w:rPr>
          <w:color w:val="000000"/>
        </w:rPr>
      </w:pPr>
      <w:r>
        <w:rPr>
          <w:b/>
          <w:bCs/>
          <w:color w:val="000000"/>
        </w:rPr>
        <w:lastRenderedPageBreak/>
        <w:t>Таблица 4-11.</w:t>
      </w:r>
      <w:r w:rsidR="00C34E4A" w:rsidRPr="00795DD4">
        <w:rPr>
          <w:b/>
          <w:bCs/>
          <w:color w:val="000000"/>
        </w:rPr>
        <w:t xml:space="preserve"> </w:t>
      </w:r>
      <w:r w:rsidR="00C34E4A" w:rsidRPr="00713EC9">
        <w:rPr>
          <w:bCs/>
          <w:color w:val="000000"/>
        </w:rPr>
        <w:t>Эффективность барицитиниба до 36-й недели для объединенных данных исследований BRAVE-AA1 и BRAVE-AA2</w:t>
      </w:r>
      <w:r w:rsidRPr="00713EC9">
        <w:rPr>
          <w:color w:val="000000"/>
        </w:rPr>
        <w:t>.</w:t>
      </w:r>
    </w:p>
    <w:tbl>
      <w:tblPr>
        <w:tblStyle w:val="a8"/>
        <w:tblW w:w="4873" w:type="pct"/>
        <w:tblInd w:w="136" w:type="dxa"/>
        <w:tblLook w:val="04A0" w:firstRow="1" w:lastRow="0" w:firstColumn="1" w:lastColumn="0" w:noHBand="0" w:noVBand="1"/>
      </w:tblPr>
      <w:tblGrid>
        <w:gridCol w:w="2949"/>
        <w:gridCol w:w="1836"/>
        <w:gridCol w:w="2275"/>
        <w:gridCol w:w="2269"/>
      </w:tblGrid>
      <w:tr w:rsidR="00C34E4A" w:rsidRPr="00795DD4" w14:paraId="2D72E6CC" w14:textId="77777777" w:rsidTr="0029110D">
        <w:trPr>
          <w:tblHeader/>
        </w:trPr>
        <w:tc>
          <w:tcPr>
            <w:tcW w:w="2949" w:type="dxa"/>
            <w:vMerge w:val="restart"/>
            <w:shd w:val="clear" w:color="auto" w:fill="D9D9D9" w:themeFill="background1" w:themeFillShade="D9"/>
            <w:vAlign w:val="center"/>
          </w:tcPr>
          <w:p w14:paraId="61D2B2FC" w14:textId="2AC35E1F" w:rsidR="00C34E4A" w:rsidRPr="0029110D" w:rsidRDefault="0029110D">
            <w:pPr>
              <w:jc w:val="center"/>
              <w:rPr>
                <w:b/>
                <w:bCs/>
                <w:color w:val="000000"/>
              </w:rPr>
            </w:pPr>
            <w:r w:rsidRPr="0029110D">
              <w:rPr>
                <w:b/>
                <w:bCs/>
                <w:color w:val="000000"/>
              </w:rPr>
              <w:t>Параметр</w:t>
            </w:r>
          </w:p>
        </w:tc>
        <w:tc>
          <w:tcPr>
            <w:tcW w:w="6380" w:type="dxa"/>
            <w:gridSpan w:val="3"/>
            <w:shd w:val="clear" w:color="auto" w:fill="D9D9D9" w:themeFill="background1" w:themeFillShade="D9"/>
            <w:vAlign w:val="center"/>
          </w:tcPr>
          <w:p w14:paraId="6B2960C9" w14:textId="618A96CB" w:rsidR="00C34E4A" w:rsidRPr="0029110D" w:rsidRDefault="00C34E4A">
            <w:pPr>
              <w:jc w:val="center"/>
              <w:rPr>
                <w:b/>
                <w:bCs/>
                <w:color w:val="000000"/>
              </w:rPr>
            </w:pPr>
            <w:r w:rsidRPr="0029110D">
              <w:rPr>
                <w:b/>
                <w:bCs/>
                <w:color w:val="000000"/>
              </w:rPr>
              <w:t>Объединенные данные* исследований BRAVE-AA1 (III фаза, часть исследования II/III фазы) и BRAVE-AA2 (исследование III фазы)</w:t>
            </w:r>
          </w:p>
        </w:tc>
      </w:tr>
      <w:tr w:rsidR="00C34E4A" w:rsidRPr="00795DD4" w14:paraId="1C02D571" w14:textId="77777777" w:rsidTr="0029110D">
        <w:trPr>
          <w:tblHeader/>
        </w:trPr>
        <w:tc>
          <w:tcPr>
            <w:tcW w:w="2949" w:type="dxa"/>
            <w:vMerge/>
            <w:shd w:val="clear" w:color="auto" w:fill="D9D9D9" w:themeFill="background1" w:themeFillShade="D9"/>
            <w:vAlign w:val="center"/>
          </w:tcPr>
          <w:p w14:paraId="2C0CE99E" w14:textId="77777777" w:rsidR="00C34E4A" w:rsidRPr="0029110D" w:rsidRDefault="00C34E4A">
            <w:pPr>
              <w:jc w:val="center"/>
              <w:rPr>
                <w:b/>
                <w:color w:val="000000"/>
              </w:rPr>
            </w:pPr>
          </w:p>
        </w:tc>
        <w:tc>
          <w:tcPr>
            <w:tcW w:w="1836" w:type="dxa"/>
            <w:shd w:val="clear" w:color="auto" w:fill="D9D9D9" w:themeFill="background1" w:themeFillShade="D9"/>
            <w:vAlign w:val="center"/>
          </w:tcPr>
          <w:p w14:paraId="53E40780" w14:textId="266BCB9F" w:rsidR="00C34E4A" w:rsidRPr="0029110D" w:rsidRDefault="00C34E4A" w:rsidP="0029110D">
            <w:pPr>
              <w:jc w:val="center"/>
              <w:rPr>
                <w:b/>
                <w:color w:val="000000"/>
              </w:rPr>
            </w:pPr>
            <w:r w:rsidRPr="0029110D">
              <w:rPr>
                <w:b/>
                <w:lang w:val="en-US"/>
              </w:rPr>
              <w:t>PBO</w:t>
            </w:r>
            <w:r w:rsidRPr="0029110D">
              <w:rPr>
                <w:b/>
                <w:color w:val="000000"/>
              </w:rPr>
              <w:t xml:space="preserve">, </w:t>
            </w:r>
            <w:r w:rsidRPr="0029110D">
              <w:rPr>
                <w:b/>
                <w:color w:val="000000"/>
                <w:lang w:val="en-US"/>
              </w:rPr>
              <w:t>n=</w:t>
            </w:r>
            <w:r w:rsidRPr="0029110D">
              <w:rPr>
                <w:b/>
                <w:color w:val="000000"/>
              </w:rPr>
              <w:t>345</w:t>
            </w:r>
          </w:p>
        </w:tc>
        <w:tc>
          <w:tcPr>
            <w:tcW w:w="2275" w:type="dxa"/>
            <w:shd w:val="clear" w:color="auto" w:fill="D9D9D9" w:themeFill="background1" w:themeFillShade="D9"/>
            <w:vAlign w:val="center"/>
          </w:tcPr>
          <w:p w14:paraId="6E00A924" w14:textId="77777777" w:rsidR="00C34E4A" w:rsidRPr="0029110D" w:rsidRDefault="00C34E4A">
            <w:pPr>
              <w:jc w:val="center"/>
              <w:rPr>
                <w:b/>
                <w:color w:val="000000"/>
              </w:rPr>
            </w:pPr>
            <w:r w:rsidRPr="0029110D">
              <w:rPr>
                <w:b/>
                <w:lang w:val="en-US"/>
              </w:rPr>
              <w:t>BARI</w:t>
            </w:r>
            <w:r w:rsidRPr="0029110D">
              <w:rPr>
                <w:b/>
              </w:rPr>
              <w:t xml:space="preserve"> 2 </w:t>
            </w:r>
            <w:r w:rsidRPr="0029110D">
              <w:rPr>
                <w:b/>
                <w:lang w:val="en-US"/>
              </w:rPr>
              <w:t>mg</w:t>
            </w:r>
            <w:r w:rsidRPr="0029110D">
              <w:rPr>
                <w:b/>
                <w:color w:val="000000"/>
              </w:rPr>
              <w:t xml:space="preserve">, </w:t>
            </w:r>
            <w:r w:rsidRPr="0029110D">
              <w:rPr>
                <w:b/>
                <w:color w:val="000000"/>
                <w:lang w:val="en-US"/>
              </w:rPr>
              <w:t>n</w:t>
            </w:r>
            <w:r w:rsidRPr="0029110D">
              <w:rPr>
                <w:b/>
                <w:color w:val="000000"/>
              </w:rPr>
              <w:t>=340</w:t>
            </w:r>
          </w:p>
        </w:tc>
        <w:tc>
          <w:tcPr>
            <w:tcW w:w="2269" w:type="dxa"/>
            <w:shd w:val="clear" w:color="auto" w:fill="D9D9D9" w:themeFill="background1" w:themeFillShade="D9"/>
            <w:vAlign w:val="center"/>
          </w:tcPr>
          <w:p w14:paraId="2A65BCA5" w14:textId="77777777" w:rsidR="00C34E4A" w:rsidRPr="0029110D" w:rsidRDefault="00C34E4A">
            <w:pPr>
              <w:jc w:val="center"/>
              <w:rPr>
                <w:b/>
                <w:color w:val="000000"/>
              </w:rPr>
            </w:pPr>
            <w:r w:rsidRPr="0029110D">
              <w:rPr>
                <w:b/>
                <w:lang w:val="en-US"/>
              </w:rPr>
              <w:t>BARI 4 mg</w:t>
            </w:r>
            <w:r w:rsidRPr="0029110D">
              <w:rPr>
                <w:b/>
                <w:color w:val="000000"/>
              </w:rPr>
              <w:t xml:space="preserve">, </w:t>
            </w:r>
            <w:r w:rsidRPr="0029110D">
              <w:rPr>
                <w:b/>
                <w:color w:val="000000"/>
                <w:lang w:val="en-US"/>
              </w:rPr>
              <w:t>n=</w:t>
            </w:r>
            <w:r w:rsidRPr="0029110D">
              <w:rPr>
                <w:b/>
                <w:color w:val="000000"/>
              </w:rPr>
              <w:t>340</w:t>
            </w:r>
          </w:p>
        </w:tc>
      </w:tr>
      <w:tr w:rsidR="00C34E4A" w:rsidRPr="00795DD4" w14:paraId="432BF012" w14:textId="77777777" w:rsidTr="0029110D">
        <w:tc>
          <w:tcPr>
            <w:tcW w:w="2949" w:type="dxa"/>
          </w:tcPr>
          <w:p w14:paraId="33C31F2D" w14:textId="77777777" w:rsidR="00C34E4A" w:rsidRPr="0029110D" w:rsidRDefault="00C34E4A">
            <w:pPr>
              <w:rPr>
                <w:color w:val="000000"/>
              </w:rPr>
            </w:pPr>
            <w:r w:rsidRPr="0029110D">
              <w:t>SALT ≤ 20 на 36 неделе</w:t>
            </w:r>
          </w:p>
        </w:tc>
        <w:tc>
          <w:tcPr>
            <w:tcW w:w="1836" w:type="dxa"/>
            <w:vAlign w:val="center"/>
          </w:tcPr>
          <w:p w14:paraId="5F8FD3FE" w14:textId="4952137E" w:rsidR="00C34E4A" w:rsidRPr="0029110D" w:rsidRDefault="00C34E4A" w:rsidP="00AB1FF1">
            <w:pPr>
              <w:jc w:val="center"/>
              <w:rPr>
                <w:color w:val="000000"/>
              </w:rPr>
            </w:pPr>
            <w:r w:rsidRPr="0029110D">
              <w:t>4</w:t>
            </w:r>
            <w:r w:rsidR="008C6732" w:rsidRPr="0029110D">
              <w:t>,</w:t>
            </w:r>
            <w:r w:rsidRPr="0029110D">
              <w:t>1 %</w:t>
            </w:r>
          </w:p>
        </w:tc>
        <w:tc>
          <w:tcPr>
            <w:tcW w:w="2275" w:type="dxa"/>
            <w:vAlign w:val="center"/>
          </w:tcPr>
          <w:p w14:paraId="2BC49E87" w14:textId="5E059768" w:rsidR="00C34E4A" w:rsidRPr="0029110D" w:rsidRDefault="00C34E4A" w:rsidP="00AB1FF1">
            <w:pPr>
              <w:jc w:val="center"/>
              <w:rPr>
                <w:color w:val="000000"/>
              </w:rPr>
            </w:pPr>
            <w:r w:rsidRPr="0029110D">
              <w:t>19</w:t>
            </w:r>
            <w:r w:rsidR="008C6732" w:rsidRPr="0029110D">
              <w:t>,</w:t>
            </w:r>
            <w:r w:rsidRPr="0029110D">
              <w:t>7 %**</w:t>
            </w:r>
          </w:p>
        </w:tc>
        <w:tc>
          <w:tcPr>
            <w:tcW w:w="2269" w:type="dxa"/>
            <w:vAlign w:val="center"/>
          </w:tcPr>
          <w:p w14:paraId="3102600F" w14:textId="1882B4B2" w:rsidR="00C34E4A" w:rsidRPr="0029110D" w:rsidRDefault="00C34E4A" w:rsidP="00AB1FF1">
            <w:pPr>
              <w:jc w:val="center"/>
              <w:rPr>
                <w:color w:val="000000"/>
              </w:rPr>
            </w:pPr>
            <w:r w:rsidRPr="0029110D">
              <w:t>34</w:t>
            </w:r>
            <w:r w:rsidR="008C6732" w:rsidRPr="0029110D">
              <w:t>,</w:t>
            </w:r>
            <w:r w:rsidRPr="0029110D">
              <w:t>0 %**</w:t>
            </w:r>
          </w:p>
        </w:tc>
      </w:tr>
      <w:tr w:rsidR="00C34E4A" w:rsidRPr="00795DD4" w14:paraId="4950D0E4" w14:textId="77777777" w:rsidTr="0029110D">
        <w:tc>
          <w:tcPr>
            <w:tcW w:w="2949" w:type="dxa"/>
          </w:tcPr>
          <w:p w14:paraId="07A5CD77" w14:textId="77777777" w:rsidR="00C34E4A" w:rsidRPr="0029110D" w:rsidRDefault="00C34E4A">
            <w:pPr>
              <w:rPr>
                <w:color w:val="000000"/>
              </w:rPr>
            </w:pPr>
            <w:r w:rsidRPr="0029110D">
              <w:t>SALT ≤ 20 на 24 неделе</w:t>
            </w:r>
          </w:p>
        </w:tc>
        <w:tc>
          <w:tcPr>
            <w:tcW w:w="1836" w:type="dxa"/>
            <w:vAlign w:val="center"/>
          </w:tcPr>
          <w:p w14:paraId="7EC8096C" w14:textId="7BDE81FF" w:rsidR="00C34E4A" w:rsidRPr="0029110D" w:rsidRDefault="00C34E4A" w:rsidP="00AB1FF1">
            <w:pPr>
              <w:jc w:val="center"/>
              <w:rPr>
                <w:color w:val="000000"/>
              </w:rPr>
            </w:pPr>
            <w:r w:rsidRPr="0029110D">
              <w:t>3</w:t>
            </w:r>
            <w:r w:rsidR="008C6732" w:rsidRPr="0029110D">
              <w:t>,</w:t>
            </w:r>
            <w:r w:rsidRPr="0029110D">
              <w:t>2 %</w:t>
            </w:r>
          </w:p>
        </w:tc>
        <w:tc>
          <w:tcPr>
            <w:tcW w:w="2275" w:type="dxa"/>
            <w:vAlign w:val="center"/>
          </w:tcPr>
          <w:p w14:paraId="5B1E611B" w14:textId="02AA921E" w:rsidR="00C34E4A" w:rsidRPr="0029110D" w:rsidRDefault="00C34E4A" w:rsidP="00AB1FF1">
            <w:pPr>
              <w:jc w:val="center"/>
              <w:rPr>
                <w:color w:val="000000"/>
              </w:rPr>
            </w:pPr>
            <w:r w:rsidRPr="0029110D">
              <w:t>11</w:t>
            </w:r>
            <w:r w:rsidR="008C6732" w:rsidRPr="0029110D">
              <w:t>,</w:t>
            </w:r>
            <w:r w:rsidRPr="0029110D">
              <w:t>2 %</w:t>
            </w:r>
          </w:p>
        </w:tc>
        <w:tc>
          <w:tcPr>
            <w:tcW w:w="2269" w:type="dxa"/>
            <w:vAlign w:val="center"/>
          </w:tcPr>
          <w:p w14:paraId="37801FCD" w14:textId="333E3218" w:rsidR="00C34E4A" w:rsidRPr="0029110D" w:rsidRDefault="00C34E4A" w:rsidP="00AB1FF1">
            <w:pPr>
              <w:jc w:val="center"/>
              <w:rPr>
                <w:color w:val="000000"/>
              </w:rPr>
            </w:pPr>
            <w:r w:rsidRPr="0029110D">
              <w:t>27</w:t>
            </w:r>
            <w:r w:rsidR="008C6732" w:rsidRPr="0029110D">
              <w:t>,</w:t>
            </w:r>
            <w:r w:rsidRPr="0029110D">
              <w:t>4 %**</w:t>
            </w:r>
          </w:p>
        </w:tc>
      </w:tr>
      <w:tr w:rsidR="00C34E4A" w:rsidRPr="00795DD4" w14:paraId="36A6C497" w14:textId="77777777" w:rsidTr="0029110D">
        <w:tc>
          <w:tcPr>
            <w:tcW w:w="2949" w:type="dxa"/>
          </w:tcPr>
          <w:p w14:paraId="3C6A975D" w14:textId="77777777" w:rsidR="00C34E4A" w:rsidRPr="0029110D" w:rsidRDefault="00C34E4A">
            <w:pPr>
              <w:rPr>
                <w:color w:val="000000"/>
              </w:rPr>
            </w:pPr>
            <w:r w:rsidRPr="0029110D">
              <w:rPr>
                <w:color w:val="000000"/>
              </w:rPr>
              <w:t xml:space="preserve">Показатель клинического ответа для выпадения бровей 0 или 1 на 36 неделе с улучшением на ≥ 2 баллов по сравнению с исходным уровнем </w:t>
            </w:r>
            <w:r w:rsidRPr="0029110D">
              <w:rPr>
                <w:color w:val="000000"/>
                <w:vertAlign w:val="superscript"/>
              </w:rPr>
              <w:t>а</w:t>
            </w:r>
          </w:p>
        </w:tc>
        <w:tc>
          <w:tcPr>
            <w:tcW w:w="1836" w:type="dxa"/>
            <w:vAlign w:val="center"/>
          </w:tcPr>
          <w:p w14:paraId="603DB123" w14:textId="025BD4FF" w:rsidR="00C34E4A" w:rsidRPr="0029110D" w:rsidRDefault="00C34E4A" w:rsidP="00AB1FF1">
            <w:pPr>
              <w:jc w:val="center"/>
              <w:rPr>
                <w:color w:val="000000"/>
              </w:rPr>
            </w:pPr>
            <w:r w:rsidRPr="0029110D">
              <w:t>3</w:t>
            </w:r>
            <w:r w:rsidR="008C6732" w:rsidRPr="0029110D">
              <w:t>,</w:t>
            </w:r>
            <w:r w:rsidRPr="0029110D">
              <w:t>8 %</w:t>
            </w:r>
          </w:p>
        </w:tc>
        <w:tc>
          <w:tcPr>
            <w:tcW w:w="2275" w:type="dxa"/>
            <w:vAlign w:val="center"/>
          </w:tcPr>
          <w:p w14:paraId="39C16A33" w14:textId="315EF061" w:rsidR="00C34E4A" w:rsidRPr="0029110D" w:rsidRDefault="00C34E4A" w:rsidP="00AB1FF1">
            <w:pPr>
              <w:jc w:val="center"/>
              <w:rPr>
                <w:color w:val="000000"/>
              </w:rPr>
            </w:pPr>
            <w:r w:rsidRPr="0029110D">
              <w:t>15</w:t>
            </w:r>
            <w:r w:rsidR="008C6732" w:rsidRPr="0029110D">
              <w:t>,</w:t>
            </w:r>
            <w:r w:rsidRPr="0029110D">
              <w:t>8 %</w:t>
            </w:r>
          </w:p>
        </w:tc>
        <w:tc>
          <w:tcPr>
            <w:tcW w:w="2269" w:type="dxa"/>
            <w:vAlign w:val="center"/>
          </w:tcPr>
          <w:p w14:paraId="4C14023D" w14:textId="2D356897" w:rsidR="00C34E4A" w:rsidRPr="0029110D" w:rsidRDefault="00C34E4A" w:rsidP="00AB1FF1">
            <w:pPr>
              <w:jc w:val="center"/>
              <w:rPr>
                <w:color w:val="000000"/>
              </w:rPr>
            </w:pPr>
            <w:r w:rsidRPr="0029110D">
              <w:t>33</w:t>
            </w:r>
            <w:r w:rsidR="008C6732" w:rsidRPr="0029110D">
              <w:t>,</w:t>
            </w:r>
            <w:r w:rsidRPr="0029110D">
              <w:t>0 %**</w:t>
            </w:r>
          </w:p>
        </w:tc>
      </w:tr>
      <w:tr w:rsidR="00C34E4A" w:rsidRPr="00795DD4" w14:paraId="77F0355C" w14:textId="77777777" w:rsidTr="0029110D">
        <w:tc>
          <w:tcPr>
            <w:tcW w:w="2949" w:type="dxa"/>
          </w:tcPr>
          <w:p w14:paraId="36D093F2" w14:textId="77777777" w:rsidR="00C34E4A" w:rsidRPr="0029110D" w:rsidRDefault="00C34E4A">
            <w:pPr>
              <w:rPr>
                <w:color w:val="000000"/>
              </w:rPr>
            </w:pPr>
            <w:r w:rsidRPr="0029110D">
              <w:rPr>
                <w:color w:val="000000"/>
              </w:rPr>
              <w:t xml:space="preserve">Показатель клинического ответа для выпадения ресниц 0 или 1 на 36 неделе с улучшением ≥ 2 баллов по сравнению с исходным уровнем </w:t>
            </w:r>
            <w:r w:rsidRPr="0029110D">
              <w:rPr>
                <w:color w:val="000000"/>
                <w:vertAlign w:val="superscript"/>
              </w:rPr>
              <w:t>а</w:t>
            </w:r>
          </w:p>
        </w:tc>
        <w:tc>
          <w:tcPr>
            <w:tcW w:w="1836" w:type="dxa"/>
            <w:vAlign w:val="center"/>
          </w:tcPr>
          <w:p w14:paraId="7AC88281" w14:textId="29121FFC" w:rsidR="00C34E4A" w:rsidRPr="0029110D" w:rsidRDefault="00C34E4A" w:rsidP="00AB1FF1">
            <w:pPr>
              <w:jc w:val="center"/>
              <w:rPr>
                <w:color w:val="000000"/>
              </w:rPr>
            </w:pPr>
            <w:r w:rsidRPr="0029110D">
              <w:t>4</w:t>
            </w:r>
            <w:r w:rsidR="008C6732" w:rsidRPr="0029110D">
              <w:t>,</w:t>
            </w:r>
            <w:r w:rsidRPr="0029110D">
              <w:t>3 %</w:t>
            </w:r>
          </w:p>
        </w:tc>
        <w:tc>
          <w:tcPr>
            <w:tcW w:w="2275" w:type="dxa"/>
            <w:vAlign w:val="center"/>
          </w:tcPr>
          <w:p w14:paraId="794375A9" w14:textId="0B48BCA2" w:rsidR="00C34E4A" w:rsidRPr="0029110D" w:rsidRDefault="00C34E4A" w:rsidP="00AB1FF1">
            <w:pPr>
              <w:jc w:val="center"/>
              <w:rPr>
                <w:color w:val="000000"/>
              </w:rPr>
            </w:pPr>
            <w:r w:rsidRPr="0029110D">
              <w:t>12</w:t>
            </w:r>
            <w:r w:rsidR="008C6732" w:rsidRPr="0029110D">
              <w:t>,</w:t>
            </w:r>
            <w:r w:rsidRPr="0029110D">
              <w:t>0 %</w:t>
            </w:r>
          </w:p>
        </w:tc>
        <w:tc>
          <w:tcPr>
            <w:tcW w:w="2269" w:type="dxa"/>
            <w:vAlign w:val="center"/>
          </w:tcPr>
          <w:p w14:paraId="2C05DCB1" w14:textId="014DAA5A" w:rsidR="00C34E4A" w:rsidRPr="0029110D" w:rsidRDefault="00C34E4A" w:rsidP="00AB1FF1">
            <w:pPr>
              <w:jc w:val="center"/>
              <w:rPr>
                <w:color w:val="000000"/>
              </w:rPr>
            </w:pPr>
            <w:r w:rsidRPr="0029110D">
              <w:t>33</w:t>
            </w:r>
            <w:r w:rsidR="008C6732" w:rsidRPr="0029110D">
              <w:t>,</w:t>
            </w:r>
            <w:r w:rsidRPr="0029110D">
              <w:t>9 %**</w:t>
            </w:r>
          </w:p>
        </w:tc>
      </w:tr>
      <w:tr w:rsidR="00C34E4A" w:rsidRPr="00795DD4" w14:paraId="5063CEFF" w14:textId="77777777" w:rsidTr="0029110D">
        <w:tc>
          <w:tcPr>
            <w:tcW w:w="2949" w:type="dxa"/>
          </w:tcPr>
          <w:p w14:paraId="553BFA10" w14:textId="77777777" w:rsidR="00C34E4A" w:rsidRPr="0029110D" w:rsidRDefault="00C34E4A">
            <w:pPr>
              <w:rPr>
                <w:color w:val="000000"/>
              </w:rPr>
            </w:pPr>
            <w:r w:rsidRPr="0029110D">
              <w:rPr>
                <w:color w:val="000000"/>
              </w:rPr>
              <w:t>Изменение шкалы Skindex-16, адаптированном для домена эмоций при ОА, среднее значение (SE)</w:t>
            </w:r>
            <w:r w:rsidRPr="0029110D">
              <w:rPr>
                <w:color w:val="000000"/>
                <w:vertAlign w:val="superscript"/>
                <w:lang w:val="en-US"/>
              </w:rPr>
              <w:t>b</w:t>
            </w:r>
          </w:p>
        </w:tc>
        <w:tc>
          <w:tcPr>
            <w:tcW w:w="1836" w:type="dxa"/>
            <w:vAlign w:val="center"/>
          </w:tcPr>
          <w:p w14:paraId="78F52A86" w14:textId="0207859E" w:rsidR="00C34E4A" w:rsidRPr="0029110D" w:rsidRDefault="00C34E4A" w:rsidP="00AB1FF1">
            <w:pPr>
              <w:jc w:val="center"/>
              <w:rPr>
                <w:color w:val="000000"/>
              </w:rPr>
            </w:pPr>
            <w:r w:rsidRPr="0029110D">
              <w:t>-11</w:t>
            </w:r>
            <w:r w:rsidR="008C6732" w:rsidRPr="0029110D">
              <w:t>,</w:t>
            </w:r>
            <w:r w:rsidRPr="0029110D">
              <w:t>33 (1</w:t>
            </w:r>
            <w:r w:rsidR="008C6732" w:rsidRPr="0029110D">
              <w:t>,</w:t>
            </w:r>
            <w:r w:rsidRPr="0029110D">
              <w:t>768)</w:t>
            </w:r>
          </w:p>
        </w:tc>
        <w:tc>
          <w:tcPr>
            <w:tcW w:w="2275" w:type="dxa"/>
            <w:vAlign w:val="center"/>
          </w:tcPr>
          <w:p w14:paraId="706D5A67" w14:textId="57AF97D5" w:rsidR="00C34E4A" w:rsidRPr="0029110D" w:rsidRDefault="00C34E4A" w:rsidP="00AB1FF1">
            <w:pPr>
              <w:jc w:val="center"/>
              <w:rPr>
                <w:color w:val="000000"/>
              </w:rPr>
            </w:pPr>
            <w:r w:rsidRPr="0029110D">
              <w:t>-19</w:t>
            </w:r>
            <w:r w:rsidR="008C6732" w:rsidRPr="0029110D">
              <w:t>,</w:t>
            </w:r>
            <w:r w:rsidRPr="0029110D">
              <w:t>89 (1</w:t>
            </w:r>
            <w:r w:rsidR="008C6732" w:rsidRPr="0029110D">
              <w:t>,</w:t>
            </w:r>
            <w:r w:rsidRPr="0029110D">
              <w:t>788)</w:t>
            </w:r>
          </w:p>
        </w:tc>
        <w:tc>
          <w:tcPr>
            <w:tcW w:w="2269" w:type="dxa"/>
            <w:vAlign w:val="center"/>
          </w:tcPr>
          <w:p w14:paraId="2E3207D9" w14:textId="072B57E0" w:rsidR="00C34E4A" w:rsidRPr="0029110D" w:rsidRDefault="00C34E4A" w:rsidP="00AB1FF1">
            <w:pPr>
              <w:jc w:val="center"/>
              <w:rPr>
                <w:color w:val="000000"/>
              </w:rPr>
            </w:pPr>
            <w:r w:rsidRPr="0029110D">
              <w:t>-23</w:t>
            </w:r>
            <w:r w:rsidR="008C6732" w:rsidRPr="0029110D">
              <w:t>,</w:t>
            </w:r>
            <w:r w:rsidRPr="0029110D">
              <w:t>81 (1</w:t>
            </w:r>
            <w:r w:rsidR="008C6732" w:rsidRPr="0029110D">
              <w:t>,</w:t>
            </w:r>
            <w:r w:rsidRPr="0029110D">
              <w:t>488)</w:t>
            </w:r>
          </w:p>
        </w:tc>
      </w:tr>
      <w:tr w:rsidR="00C34E4A" w:rsidRPr="00795DD4" w14:paraId="7A288E8B" w14:textId="77777777" w:rsidTr="0029110D">
        <w:tc>
          <w:tcPr>
            <w:tcW w:w="2949" w:type="dxa"/>
          </w:tcPr>
          <w:p w14:paraId="2008EB33" w14:textId="77777777" w:rsidR="00C34E4A" w:rsidRPr="0029110D" w:rsidRDefault="00C34E4A">
            <w:pPr>
              <w:rPr>
                <w:color w:val="000000"/>
              </w:rPr>
            </w:pPr>
            <w:r w:rsidRPr="0029110D">
              <w:rPr>
                <w:color w:val="000000"/>
              </w:rPr>
              <w:t>Изменение функционального домена Skindex-16, адаптированного к ОА, среднее значение (SE)</w:t>
            </w:r>
            <w:r w:rsidRPr="0029110D">
              <w:rPr>
                <w:color w:val="000000"/>
                <w:vertAlign w:val="superscript"/>
                <w:lang w:val="en-US"/>
              </w:rPr>
              <w:t>b</w:t>
            </w:r>
          </w:p>
        </w:tc>
        <w:tc>
          <w:tcPr>
            <w:tcW w:w="1836" w:type="dxa"/>
            <w:vAlign w:val="center"/>
          </w:tcPr>
          <w:p w14:paraId="1133BFD9" w14:textId="5578F9BB" w:rsidR="00C34E4A" w:rsidRPr="0029110D" w:rsidRDefault="00C34E4A" w:rsidP="00AB1FF1">
            <w:pPr>
              <w:jc w:val="center"/>
              <w:rPr>
                <w:color w:val="000000"/>
              </w:rPr>
            </w:pPr>
            <w:r w:rsidRPr="0029110D">
              <w:t>-9</w:t>
            </w:r>
            <w:r w:rsidR="008C6732" w:rsidRPr="0029110D">
              <w:t>,</w:t>
            </w:r>
            <w:r w:rsidRPr="0029110D">
              <w:t>26 (1</w:t>
            </w:r>
            <w:r w:rsidR="008C6732" w:rsidRPr="0029110D">
              <w:t>,</w:t>
            </w:r>
            <w:r w:rsidRPr="0029110D">
              <w:t>605)</w:t>
            </w:r>
          </w:p>
        </w:tc>
        <w:tc>
          <w:tcPr>
            <w:tcW w:w="2275" w:type="dxa"/>
            <w:vAlign w:val="center"/>
          </w:tcPr>
          <w:p w14:paraId="0953A3C7" w14:textId="43ED0076" w:rsidR="00C34E4A" w:rsidRPr="0029110D" w:rsidRDefault="00C34E4A" w:rsidP="00AB1FF1">
            <w:pPr>
              <w:jc w:val="center"/>
              <w:rPr>
                <w:color w:val="000000"/>
              </w:rPr>
            </w:pPr>
            <w:r w:rsidRPr="0029110D">
              <w:t>-13</w:t>
            </w:r>
            <w:r w:rsidR="008C6732" w:rsidRPr="0029110D">
              <w:t>,</w:t>
            </w:r>
            <w:r w:rsidRPr="0029110D">
              <w:t>68 (1</w:t>
            </w:r>
            <w:r w:rsidR="008C6732" w:rsidRPr="0029110D">
              <w:t>,</w:t>
            </w:r>
            <w:r w:rsidRPr="0029110D">
              <w:t>623)</w:t>
            </w:r>
          </w:p>
        </w:tc>
        <w:tc>
          <w:tcPr>
            <w:tcW w:w="2269" w:type="dxa"/>
            <w:vAlign w:val="center"/>
          </w:tcPr>
          <w:p w14:paraId="68BEC8C1" w14:textId="25E281D9" w:rsidR="00C34E4A" w:rsidRPr="0029110D" w:rsidRDefault="00C34E4A" w:rsidP="00AB1FF1">
            <w:pPr>
              <w:jc w:val="center"/>
              <w:rPr>
                <w:color w:val="000000"/>
              </w:rPr>
            </w:pPr>
            <w:r w:rsidRPr="0029110D">
              <w:t>-16</w:t>
            </w:r>
            <w:r w:rsidR="008C6732" w:rsidRPr="0029110D">
              <w:t>,</w:t>
            </w:r>
            <w:r w:rsidRPr="0029110D">
              <w:t>93 (1</w:t>
            </w:r>
            <w:r w:rsidR="008C6732" w:rsidRPr="0029110D">
              <w:t>,</w:t>
            </w:r>
            <w:r w:rsidRPr="0029110D">
              <w:t>349)</w:t>
            </w:r>
          </w:p>
        </w:tc>
      </w:tr>
      <w:tr w:rsidR="00C34E4A" w:rsidRPr="00795DD4" w14:paraId="4771F3F7" w14:textId="77777777" w:rsidTr="00AB1FF1">
        <w:tc>
          <w:tcPr>
            <w:tcW w:w="9329" w:type="dxa"/>
            <w:gridSpan w:val="4"/>
          </w:tcPr>
          <w:p w14:paraId="00F1630F" w14:textId="5A41F9EA" w:rsidR="00C34E4A" w:rsidRPr="00713EC9" w:rsidRDefault="00713EC9">
            <w:pPr>
              <w:contextualSpacing/>
              <w:rPr>
                <w:sz w:val="20"/>
                <w:szCs w:val="20"/>
              </w:rPr>
            </w:pPr>
            <w:r w:rsidRPr="00713EC9">
              <w:rPr>
                <w:b/>
                <w:sz w:val="20"/>
                <w:szCs w:val="20"/>
              </w:rPr>
              <w:t>Примечание:</w:t>
            </w:r>
            <w:r>
              <w:rPr>
                <w:sz w:val="20"/>
                <w:szCs w:val="20"/>
              </w:rPr>
              <w:br/>
            </w:r>
            <w:r w:rsidR="00C34E4A" w:rsidRPr="00713EC9">
              <w:rPr>
                <w:sz w:val="20"/>
                <w:szCs w:val="20"/>
              </w:rPr>
              <w:t xml:space="preserve">ОА – очаговая алопеция; </w:t>
            </w:r>
            <w:r w:rsidR="00C34E4A" w:rsidRPr="00713EC9">
              <w:rPr>
                <w:sz w:val="20"/>
                <w:szCs w:val="20"/>
                <w:lang w:val="en-US"/>
              </w:rPr>
              <w:t>PBO</w:t>
            </w:r>
            <w:r w:rsidR="00C34E4A" w:rsidRPr="00713EC9">
              <w:rPr>
                <w:sz w:val="20"/>
                <w:szCs w:val="20"/>
              </w:rPr>
              <w:t xml:space="preserve"> – плацебо; </w:t>
            </w:r>
            <w:r w:rsidR="00C34E4A" w:rsidRPr="00713EC9">
              <w:rPr>
                <w:sz w:val="20"/>
                <w:szCs w:val="20"/>
                <w:lang w:val="en-US"/>
              </w:rPr>
              <w:t>BARI</w:t>
            </w:r>
            <w:r w:rsidR="00C34E4A" w:rsidRPr="00713EC9">
              <w:rPr>
                <w:sz w:val="20"/>
                <w:szCs w:val="20"/>
              </w:rPr>
              <w:t xml:space="preserve"> 2 </w:t>
            </w:r>
            <w:r w:rsidR="00C34E4A" w:rsidRPr="00713EC9">
              <w:rPr>
                <w:sz w:val="20"/>
                <w:szCs w:val="20"/>
                <w:lang w:val="en-US"/>
              </w:rPr>
              <w:t>mg</w:t>
            </w:r>
            <w:r w:rsidR="00C34E4A" w:rsidRPr="00713EC9">
              <w:rPr>
                <w:sz w:val="20"/>
                <w:szCs w:val="20"/>
              </w:rPr>
              <w:t xml:space="preserve"> – барицитиниб в дозе 2 мг; </w:t>
            </w:r>
            <w:r w:rsidR="00C34E4A" w:rsidRPr="00713EC9">
              <w:rPr>
                <w:sz w:val="20"/>
                <w:szCs w:val="20"/>
                <w:lang w:val="en-US"/>
              </w:rPr>
              <w:t>BARI</w:t>
            </w:r>
            <w:r w:rsidR="00C34E4A" w:rsidRPr="00713EC9">
              <w:rPr>
                <w:sz w:val="20"/>
                <w:szCs w:val="20"/>
              </w:rPr>
              <w:t xml:space="preserve"> 4 </w:t>
            </w:r>
            <w:r w:rsidR="00C34E4A" w:rsidRPr="00713EC9">
              <w:rPr>
                <w:sz w:val="20"/>
                <w:szCs w:val="20"/>
                <w:lang w:val="en-US"/>
              </w:rPr>
              <w:t>mg</w:t>
            </w:r>
            <w:r w:rsidR="00C34E4A" w:rsidRPr="00713EC9">
              <w:rPr>
                <w:sz w:val="20"/>
                <w:szCs w:val="20"/>
              </w:rPr>
              <w:t xml:space="preserve"> – барицитиниб в дозе 4 мг; SE – стандартная ошибка;  а – пациенты с показателем выпадения бровей ≥ 2 на исходном уровне: 236 (плацебо), 240 (барицитиниб 2 мг), 349 (барицитиниб 4 мг); а – пациенты с показателем выпадения ресниц ≥ 2 на исходном уровне: 186 (плацебо), 200 (барицитиниб 2 мг), 307 (барицитиниб 4 мг), в обоих показателях клинического ответа используется 4-балльная шкала ответов от 0, указывающая на отсутствие выпадения волос, до 3, указывающая на отсутствие заметных бровей/ресниц; </w:t>
            </w:r>
            <w:r w:rsidR="00C34E4A" w:rsidRPr="00713EC9">
              <w:rPr>
                <w:sz w:val="20"/>
                <w:szCs w:val="20"/>
                <w:lang w:val="en-US"/>
              </w:rPr>
              <w:t>b</w:t>
            </w:r>
            <w:r w:rsidR="00C34E4A" w:rsidRPr="00713EC9">
              <w:rPr>
                <w:sz w:val="20"/>
                <w:szCs w:val="20"/>
              </w:rPr>
              <w:t xml:space="preserve"> – размер выборки для анализа на Skindex-16 (шкала оценки эстетических результатов), адаптированном для очаговой алопеции на 36 неделе, составляет n = 256 (плацебо), 249 (барицитиниб 2 мг), 392 (барицитиниб 4 мг); * – результаты объединенного анализа соответствуют результатам отдельных исследований; ** – статистически значимо с поправкой на множественность графической схемы тестирования в рамках каждого отдельного исследования.</w:t>
            </w:r>
          </w:p>
        </w:tc>
      </w:tr>
    </w:tbl>
    <w:p w14:paraId="14459A60" w14:textId="77777777" w:rsidR="0029110D" w:rsidRDefault="0029110D" w:rsidP="0029110D">
      <w:pPr>
        <w:spacing w:after="0" w:line="240" w:lineRule="auto"/>
        <w:jc w:val="left"/>
        <w:rPr>
          <w:color w:val="000000"/>
        </w:rPr>
      </w:pPr>
    </w:p>
    <w:p w14:paraId="6EF48A77" w14:textId="1732D5ED" w:rsidR="008C6732" w:rsidRDefault="00C34E4A" w:rsidP="0029110D">
      <w:pPr>
        <w:spacing w:after="0" w:line="240" w:lineRule="auto"/>
        <w:ind w:firstLine="709"/>
        <w:jc w:val="left"/>
        <w:rPr>
          <w:b/>
          <w:bCs/>
          <w:color w:val="000000"/>
        </w:rPr>
      </w:pPr>
      <w:r w:rsidRPr="000D2BA7">
        <w:rPr>
          <w:color w:val="000000"/>
        </w:rPr>
        <w:t xml:space="preserve">На </w:t>
      </w:r>
      <w:r w:rsidRPr="00795DD4">
        <w:rPr>
          <w:color w:val="000000"/>
        </w:rPr>
        <w:t>Рисунке 4-11</w:t>
      </w:r>
      <w:r w:rsidRPr="000D2BA7">
        <w:rPr>
          <w:color w:val="000000"/>
        </w:rPr>
        <w:t xml:space="preserve"> показана доля пациентов, достигших SALT ≤ 20 до 36-й </w:t>
      </w:r>
      <w:r w:rsidRPr="002F4447">
        <w:rPr>
          <w:color w:val="000000"/>
        </w:rPr>
        <w:t xml:space="preserve">недели </w:t>
      </w:r>
      <w:r w:rsidRPr="002F4447">
        <w:fldChar w:fldCharType="begin"/>
      </w:r>
      <w:r w:rsidRPr="002F4447">
        <w:instrText xml:space="preserve"> ADDIN ZOTERO_ITEM CSL_CITATION {"citationID":"4NzfxGUC","properties":{"formattedCitation":"[6]","plainCitation":"[6]","noteIndex":0},"citationItems":[{"id":3829,"uris":["http://zotero.org/groups/4514912/items/H2A4BXNT"],"itemData":{"id":3829,"type":"document","title":"Summary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rPr>
          <w:color w:val="000000"/>
        </w:rPr>
        <w:t>.</w:t>
      </w:r>
    </w:p>
    <w:p w14:paraId="5653E59A" w14:textId="77777777" w:rsidR="0029110D" w:rsidRDefault="0029110D">
      <w:pPr>
        <w:spacing w:after="0" w:line="240" w:lineRule="auto"/>
        <w:contextualSpacing/>
        <w:rPr>
          <w:b/>
          <w:bCs/>
          <w:color w:val="000000"/>
        </w:rPr>
        <w:sectPr w:rsidR="0029110D" w:rsidSect="00AB01E2">
          <w:pgSz w:w="11906" w:h="16838"/>
          <w:pgMar w:top="1134" w:right="849" w:bottom="1134" w:left="1701" w:header="708" w:footer="709" w:gutter="0"/>
          <w:cols w:space="708"/>
          <w:docGrid w:linePitch="360"/>
        </w:sectPr>
      </w:pPr>
    </w:p>
    <w:p w14:paraId="6028BC9C" w14:textId="3A046999" w:rsidR="00C34E4A" w:rsidRPr="002F4447" w:rsidRDefault="00C34E4A">
      <w:pPr>
        <w:spacing w:after="0" w:line="240" w:lineRule="auto"/>
        <w:contextualSpacing/>
        <w:rPr>
          <w:color w:val="000000"/>
        </w:rPr>
      </w:pPr>
      <w:r w:rsidRPr="002F4447">
        <w:rPr>
          <w:b/>
          <w:bCs/>
          <w:color w:val="000000"/>
        </w:rPr>
        <w:lastRenderedPageBreak/>
        <w:t>Рисунок 4-11</w:t>
      </w:r>
      <w:r w:rsidR="00713EC9">
        <w:rPr>
          <w:b/>
          <w:bCs/>
          <w:color w:val="000000"/>
        </w:rPr>
        <w:t>.</w:t>
      </w:r>
      <w:r w:rsidRPr="002F4447">
        <w:rPr>
          <w:b/>
          <w:bCs/>
          <w:color w:val="000000"/>
        </w:rPr>
        <w:t xml:space="preserve"> </w:t>
      </w:r>
      <w:r w:rsidRPr="00713EC9">
        <w:rPr>
          <w:bCs/>
          <w:color w:val="000000"/>
        </w:rPr>
        <w:t>Динамика показателя SALT в ходе 36 недель исследования</w:t>
      </w:r>
      <w:r w:rsidR="00713EC9" w:rsidRPr="00713EC9">
        <w:rPr>
          <w:color w:val="000000"/>
        </w:rPr>
        <w:t>.</w:t>
      </w:r>
    </w:p>
    <w:p w14:paraId="33D485E7" w14:textId="36F872CD" w:rsidR="00C34E4A" w:rsidRDefault="00C34E4A">
      <w:pPr>
        <w:spacing w:after="0" w:line="240" w:lineRule="auto"/>
        <w:contextualSpacing/>
        <w:rPr>
          <w:color w:val="000000"/>
        </w:rPr>
      </w:pPr>
      <w:r w:rsidRPr="002F4447">
        <w:rPr>
          <w:noProof/>
          <w:color w:val="000000"/>
          <w:lang w:eastAsia="ru-RU"/>
        </w:rPr>
        <w:drawing>
          <wp:inline distT="0" distB="0" distL="0" distR="0" wp14:anchorId="15885B83" wp14:editId="60C9F5B2">
            <wp:extent cx="4796287" cy="2856215"/>
            <wp:effectExtent l="0" t="0" r="444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4">
                      <a:extLst>
                        <a:ext uri="{28A0092B-C50C-407E-A947-70E740481C1C}">
                          <a14:useLocalDpi xmlns:a14="http://schemas.microsoft.com/office/drawing/2010/main" val="0"/>
                        </a:ext>
                      </a:extLst>
                    </a:blip>
                    <a:stretch>
                      <a:fillRect/>
                    </a:stretch>
                  </pic:blipFill>
                  <pic:spPr>
                    <a:xfrm>
                      <a:off x="0" y="0"/>
                      <a:ext cx="4804997" cy="2861402"/>
                    </a:xfrm>
                    <a:prstGeom prst="rect">
                      <a:avLst/>
                    </a:prstGeom>
                  </pic:spPr>
                </pic:pic>
              </a:graphicData>
            </a:graphic>
          </wp:inline>
        </w:drawing>
      </w:r>
    </w:p>
    <w:p w14:paraId="7B21BC8A" w14:textId="451A1604" w:rsidR="00C34E4A" w:rsidRPr="00713EC9" w:rsidRDefault="00713EC9">
      <w:pPr>
        <w:spacing w:after="0" w:line="240" w:lineRule="auto"/>
        <w:contextualSpacing/>
        <w:rPr>
          <w:color w:val="000000"/>
          <w:sz w:val="20"/>
          <w:szCs w:val="20"/>
        </w:rPr>
      </w:pPr>
      <w:r w:rsidRPr="00713EC9">
        <w:rPr>
          <w:b/>
          <w:color w:val="000000"/>
          <w:sz w:val="20"/>
          <w:szCs w:val="20"/>
        </w:rPr>
        <w:t>Примечание:</w:t>
      </w:r>
      <w:r>
        <w:rPr>
          <w:color w:val="000000"/>
          <w:sz w:val="20"/>
          <w:szCs w:val="20"/>
        </w:rPr>
        <w:br/>
      </w:r>
      <w:r w:rsidR="00C34E4A" w:rsidRPr="00713EC9">
        <w:rPr>
          <w:color w:val="000000"/>
          <w:sz w:val="20"/>
          <w:szCs w:val="20"/>
        </w:rPr>
        <w:t xml:space="preserve">SALT – шкала оценки тяжести алопеции; </w:t>
      </w:r>
      <w:r w:rsidR="00C34E4A" w:rsidRPr="00713EC9">
        <w:rPr>
          <w:color w:val="000000"/>
          <w:sz w:val="20"/>
          <w:szCs w:val="20"/>
          <w:lang w:val="en-US"/>
        </w:rPr>
        <w:t>proportion</w:t>
      </w:r>
      <w:r w:rsidR="00C34E4A" w:rsidRPr="00713EC9">
        <w:rPr>
          <w:color w:val="000000"/>
          <w:sz w:val="20"/>
          <w:szCs w:val="20"/>
        </w:rPr>
        <w:t xml:space="preserve"> </w:t>
      </w:r>
      <w:r w:rsidR="00C34E4A" w:rsidRPr="00713EC9">
        <w:rPr>
          <w:color w:val="000000"/>
          <w:sz w:val="20"/>
          <w:szCs w:val="20"/>
          <w:lang w:val="en-US"/>
        </w:rPr>
        <w:t>of</w:t>
      </w:r>
      <w:r w:rsidR="00C34E4A" w:rsidRPr="00713EC9">
        <w:rPr>
          <w:color w:val="000000"/>
          <w:sz w:val="20"/>
          <w:szCs w:val="20"/>
        </w:rPr>
        <w:t xml:space="preserve"> </w:t>
      </w:r>
      <w:r w:rsidR="00C34E4A" w:rsidRPr="00713EC9">
        <w:rPr>
          <w:color w:val="000000"/>
          <w:sz w:val="20"/>
          <w:szCs w:val="20"/>
          <w:lang w:val="en-US"/>
        </w:rPr>
        <w:t>patients</w:t>
      </w:r>
      <w:r w:rsidR="00C34E4A" w:rsidRPr="00713EC9">
        <w:rPr>
          <w:color w:val="000000"/>
          <w:sz w:val="20"/>
          <w:szCs w:val="20"/>
        </w:rPr>
        <w:t xml:space="preserve"> </w:t>
      </w:r>
      <w:r w:rsidR="00C34E4A" w:rsidRPr="00713EC9">
        <w:rPr>
          <w:color w:val="000000"/>
          <w:sz w:val="20"/>
          <w:szCs w:val="20"/>
          <w:lang w:val="en-US"/>
        </w:rPr>
        <w:t>with</w:t>
      </w:r>
      <w:r w:rsidR="00C34E4A" w:rsidRPr="00713EC9">
        <w:rPr>
          <w:color w:val="000000"/>
          <w:sz w:val="20"/>
          <w:szCs w:val="20"/>
        </w:rPr>
        <w:t xml:space="preserve"> </w:t>
      </w:r>
      <w:r w:rsidR="00C34E4A" w:rsidRPr="00713EC9">
        <w:rPr>
          <w:color w:val="000000"/>
          <w:sz w:val="20"/>
          <w:szCs w:val="20"/>
          <w:lang w:val="en-US"/>
        </w:rPr>
        <w:t>SALT</w:t>
      </w:r>
      <w:r w:rsidR="00C34E4A" w:rsidRPr="00713EC9">
        <w:rPr>
          <w:color w:val="000000"/>
          <w:sz w:val="20"/>
          <w:szCs w:val="20"/>
        </w:rPr>
        <w:t xml:space="preserve"> ≤20 – пропорция пациентов со значением </w:t>
      </w:r>
      <w:r w:rsidR="00C34E4A" w:rsidRPr="00713EC9">
        <w:rPr>
          <w:color w:val="000000"/>
          <w:sz w:val="20"/>
          <w:szCs w:val="20"/>
          <w:lang w:val="en-US"/>
        </w:rPr>
        <w:t>SALT</w:t>
      </w:r>
      <w:r w:rsidR="00C34E4A" w:rsidRPr="00713EC9">
        <w:rPr>
          <w:color w:val="000000"/>
          <w:sz w:val="20"/>
          <w:szCs w:val="20"/>
        </w:rPr>
        <w:t xml:space="preserve"> ≤20; </w:t>
      </w:r>
      <w:r w:rsidR="00C34E4A" w:rsidRPr="00713EC9">
        <w:rPr>
          <w:color w:val="000000"/>
          <w:sz w:val="20"/>
          <w:szCs w:val="20"/>
          <w:lang w:val="en-US"/>
        </w:rPr>
        <w:t>Placebo</w:t>
      </w:r>
      <w:r w:rsidR="00C34E4A" w:rsidRPr="00713EC9">
        <w:rPr>
          <w:color w:val="000000"/>
          <w:sz w:val="20"/>
          <w:szCs w:val="20"/>
        </w:rPr>
        <w:t xml:space="preserve"> – плацебо; </w:t>
      </w:r>
      <w:r w:rsidR="00C34E4A" w:rsidRPr="00713EC9">
        <w:rPr>
          <w:color w:val="000000"/>
          <w:sz w:val="20"/>
          <w:szCs w:val="20"/>
          <w:lang w:val="en-US"/>
        </w:rPr>
        <w:t>Baricitinib</w:t>
      </w:r>
      <w:r w:rsidR="00C34E4A" w:rsidRPr="00713EC9">
        <w:rPr>
          <w:color w:val="000000"/>
          <w:sz w:val="20"/>
          <w:szCs w:val="20"/>
        </w:rPr>
        <w:t xml:space="preserve"> – барицитиниб; ** – статистически значимые отличия в группе барицитиниба по сравнению с плацебо ≤ 0,01; *** – статистически значимые отличия в группе барицитиниба по сравнению с плацебо ≤ 0,001.</w:t>
      </w:r>
    </w:p>
    <w:p w14:paraId="584B013A" w14:textId="77777777" w:rsidR="00C34E4A" w:rsidRDefault="00C34E4A">
      <w:pPr>
        <w:spacing w:after="0" w:line="240" w:lineRule="auto"/>
        <w:contextualSpacing/>
        <w:rPr>
          <w:color w:val="000000"/>
        </w:rPr>
      </w:pPr>
      <w:bookmarkStart w:id="175" w:name="_Hlk118562545"/>
    </w:p>
    <w:p w14:paraId="507AFB17" w14:textId="77777777" w:rsidR="00C34E4A" w:rsidRPr="002F4447" w:rsidRDefault="00C34E4A">
      <w:pPr>
        <w:spacing w:after="0" w:line="240" w:lineRule="auto"/>
        <w:ind w:firstLine="708"/>
        <w:contextualSpacing/>
        <w:rPr>
          <w:color w:val="000000"/>
        </w:rPr>
      </w:pPr>
      <w:r w:rsidRPr="000D2BA7">
        <w:rPr>
          <w:color w:val="000000"/>
        </w:rPr>
        <w:t xml:space="preserve">Эффекты лечения в подгруппах (пол, возраст, вес, СКФ, раса, географический регион, тяжесть заболевания, продолжительность текущего эпизода </w:t>
      </w:r>
      <w:r>
        <w:rPr>
          <w:color w:val="000000"/>
        </w:rPr>
        <w:t>ОА</w:t>
      </w:r>
      <w:r w:rsidRPr="000D2BA7">
        <w:rPr>
          <w:color w:val="000000"/>
        </w:rPr>
        <w:t>) соответствовали результатам в общей популяции исследования на 36-й неделе</w:t>
      </w:r>
      <w:r>
        <w:rPr>
          <w:color w:val="000000"/>
        </w:rPr>
        <w:t xml:space="preserve"> </w:t>
      </w:r>
      <w:r w:rsidRPr="002F4447">
        <w:fldChar w:fldCharType="begin"/>
      </w:r>
      <w:r w:rsidRPr="002F4447">
        <w:instrText xml:space="preserve"> ADDIN ZOTERO_ITEM CSL_CITATION {"citationID":"3C5p8Ell","properties":{"formattedCitation":"[6]","plainCitation":"[6]","noteIndex":0},"citationItems":[{"id":3829,"uris":["http://zotero.org/groups/4514912/items/H2A4BXNT"],"itemData":{"id":3829,"type":"document","title":"Summary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rPr>
          <w:color w:val="000000"/>
        </w:rPr>
        <w:t>.</w:t>
      </w:r>
    </w:p>
    <w:p w14:paraId="18FF8636" w14:textId="77777777" w:rsidR="00C34E4A" w:rsidRPr="002F4447" w:rsidRDefault="00C34E4A">
      <w:pPr>
        <w:spacing w:after="0" w:line="240" w:lineRule="auto"/>
        <w:contextualSpacing/>
        <w:rPr>
          <w:color w:val="000000"/>
        </w:rPr>
      </w:pPr>
    </w:p>
    <w:p w14:paraId="1DCC8BD4" w14:textId="77777777" w:rsidR="00C34E4A" w:rsidRPr="002F4447" w:rsidRDefault="00C34E4A">
      <w:pPr>
        <w:spacing w:after="0" w:line="240" w:lineRule="auto"/>
        <w:ind w:firstLine="708"/>
        <w:contextualSpacing/>
        <w:rPr>
          <w:i/>
          <w:iCs/>
          <w:color w:val="000000"/>
        </w:rPr>
      </w:pPr>
      <w:r w:rsidRPr="002F4447">
        <w:rPr>
          <w:i/>
          <w:iCs/>
          <w:color w:val="000000"/>
        </w:rPr>
        <w:t>Эффективность до 52 недели</w:t>
      </w:r>
    </w:p>
    <w:p w14:paraId="4B1CFF0F" w14:textId="77777777" w:rsidR="00C34E4A" w:rsidRDefault="00C34E4A">
      <w:pPr>
        <w:spacing w:after="0" w:line="240" w:lineRule="auto"/>
        <w:ind w:firstLine="708"/>
        <w:contextualSpacing/>
        <w:rPr>
          <w:color w:val="000000"/>
        </w:rPr>
      </w:pPr>
      <w:r w:rsidRPr="002F4447">
        <w:rPr>
          <w:color w:val="000000"/>
        </w:rPr>
        <w:t xml:space="preserve">Доля пациентов, получавших барицитиниб, достигших SALT ≤ 20, продолжала увеличиваться после 36-й недели, достигнув 39,0% пациентов, принимавших барицитиниб в дозе 4 мг на 52-й неделе, наблюдаемые результаты соответствовали результатам в общей популяции исследования </w:t>
      </w:r>
      <w:r w:rsidRPr="002F4447">
        <w:fldChar w:fldCharType="begin"/>
      </w:r>
      <w:r w:rsidRPr="002F4447">
        <w:instrText xml:space="preserve"> ADDIN ZOTERO_ITEM CSL_CITATION {"citationID":"JgktmMwp","properties":{"formattedCitation":"[6]","plainCitation":"[6]","noteIndex":0},"citationItems":[{"id":3829,"uris":["http://zotero.org/groups/4514912/items/H2A4BXNT"],"itemData":{"id":3829,"type":"document","title":"Summary of product characteristics. Olumiant."}}],"schema":"https://github.com/citation-style-language/schema/raw/master/csl-citation.json"} </w:instrText>
      </w:r>
      <w:r w:rsidRPr="002F4447">
        <w:fldChar w:fldCharType="separate"/>
      </w:r>
      <w:r w:rsidRPr="002F4447">
        <w:t>[6]</w:t>
      </w:r>
      <w:r w:rsidRPr="002F4447">
        <w:fldChar w:fldCharType="end"/>
      </w:r>
      <w:r w:rsidRPr="002F4447">
        <w:rPr>
          <w:color w:val="000000"/>
        </w:rPr>
        <w:t>.</w:t>
      </w:r>
    </w:p>
    <w:bookmarkEnd w:id="175"/>
    <w:p w14:paraId="3271C162" w14:textId="77777777" w:rsidR="00C34E4A" w:rsidRDefault="00C34E4A">
      <w:pPr>
        <w:spacing w:after="0" w:line="240" w:lineRule="auto"/>
        <w:ind w:firstLine="708"/>
        <w:rPr>
          <w:color w:val="000000"/>
        </w:rPr>
      </w:pPr>
    </w:p>
    <w:p w14:paraId="5114ABC3" w14:textId="6CD2FC2C" w:rsidR="00C34E4A" w:rsidRDefault="007D730B">
      <w:pPr>
        <w:pStyle w:val="4"/>
        <w:spacing w:before="0"/>
        <w:rPr>
          <w:szCs w:val="24"/>
        </w:rPr>
      </w:pPr>
      <w:bookmarkStart w:id="176" w:name="_Toc120288175"/>
      <w:bookmarkStart w:id="177" w:name="_Hlk118562554"/>
      <w:r>
        <w:rPr>
          <w:szCs w:val="24"/>
        </w:rPr>
        <w:t>4.2</w:t>
      </w:r>
      <w:r w:rsidR="00C34E4A" w:rsidRPr="00047B0E">
        <w:rPr>
          <w:szCs w:val="24"/>
        </w:rPr>
        <w:t>.1.</w:t>
      </w:r>
      <w:r w:rsidR="00C34E4A">
        <w:rPr>
          <w:szCs w:val="24"/>
        </w:rPr>
        <w:t>4</w:t>
      </w:r>
      <w:r w:rsidR="00C34E4A" w:rsidRPr="00047B0E">
        <w:rPr>
          <w:szCs w:val="24"/>
        </w:rPr>
        <w:t xml:space="preserve">. </w:t>
      </w:r>
      <w:r w:rsidR="00C34E4A" w:rsidRPr="00937087">
        <w:rPr>
          <w:szCs w:val="24"/>
        </w:rPr>
        <w:t>COVID-19</w:t>
      </w:r>
      <w:bookmarkEnd w:id="176"/>
    </w:p>
    <w:p w14:paraId="4F25D7DE" w14:textId="77777777" w:rsidR="003E7F6A" w:rsidRDefault="00C34E4A">
      <w:pPr>
        <w:spacing w:after="0" w:line="240" w:lineRule="auto"/>
      </w:pPr>
      <w:r>
        <w:tab/>
      </w:r>
    </w:p>
    <w:p w14:paraId="210E258B" w14:textId="79D746F9" w:rsidR="00C34E4A" w:rsidRDefault="00C34E4A" w:rsidP="00AB1FF1">
      <w:pPr>
        <w:spacing w:after="0" w:line="240" w:lineRule="auto"/>
        <w:ind w:firstLine="709"/>
      </w:pPr>
      <w:r>
        <w:t xml:space="preserve">Эффективность и безопасность применения барицитиниба оценивались в двух рандомизированных двойных слепых плацебо контролируемых исследованиях </w:t>
      </w:r>
      <w:r>
        <w:rPr>
          <w:lang w:val="en-US"/>
        </w:rPr>
        <w:t>III</w:t>
      </w:r>
      <w:r>
        <w:t xml:space="preserve"> фазы: в исследовании АСТТ-2 оценивали барицитиниб 4 мг в комбинации с ремдесивиром в сравнении с плацебо в комбинации с ремдесивиром; в исследовании </w:t>
      </w:r>
      <w:r>
        <w:rPr>
          <w:lang w:val="en-US"/>
        </w:rPr>
        <w:t>COV</w:t>
      </w:r>
      <w:r w:rsidRPr="00937087">
        <w:t>-</w:t>
      </w:r>
      <w:r>
        <w:rPr>
          <w:lang w:val="en-US"/>
        </w:rPr>
        <w:t>BARRIER</w:t>
      </w:r>
      <w:r>
        <w:t xml:space="preserve"> оценивали барицитиниб 4 мг в режиме монотерапии в сравнении с плацебо. Пациенты могли оставаться на стандартной терапии в соответствии с местными рекомендациями </w:t>
      </w:r>
      <w:r>
        <w:fldChar w:fldCharType="begin"/>
      </w:r>
      <w:r>
        <w:instrText xml:space="preserve"> ADDIN ZOTERO_ITEM CSL_CITATION {"citationID":"73PluYvB","properties":{"formattedCitation":"[5,7,8]","plainCitation":"[5,7,8]","noteIndex":0},"citationItems":[{"id":3871,"uris":["http://zotero.org/groups/4514912/items/YGRMP49U"],"itemData":{"id":3871,"type":"document","title":"Lin Z, Niu J, Xu Y, Qin L, Ding J, Zhou L. Clinical efficacy and adverse events of baricitinib treatment for coronavirus disease-2019 (COVID-19): A systematic review and meta-analysis. J Med Virol. 2022 Apr;94(4):1523-1534. doi: 10.1002/jmv.27482. Epub 2021 Dec 13. PMID: 34846766; PMCID: PMC9015594."},"label":"page"},{"id":3873,"uris":["http://zotero.org/groups/4514912/items/ZFXQNJ5M"],"itemData":{"id":3873,"type":"document","title":"Ely EW, Ramanan AV, Kartman CE, de Bono S, Liao R, Piruzeli MLB, Goldman JD, Saraiva JFK, Chakladar S, Marconi VC; COV-BARRIER Study Group. Efficacy and safety of baricitinib plus standard of care for the treatment of critically ill hospitalised adults with COVID-19 on invasive mechanical ventilation or extracorporeal membrane oxygenation: an exploratory, randomised, placebo-controlled trial. Lancet Respir Med. 2022 Apr;10(4):327-336. doi: 10.1016/S2213-2600(22)00006-6. Epub 2022 Feb 3. Erratum in: Lancet Respir Med. 2022 Feb 11;: PMID: 35123660; PMCID: PMC8813065."},"label":"page"},{"id":3868,"uris":["http://zotero.org/groups/4514912/items/4LBBEWPX"],"itemData":{"id":3868,"type":"article-journal","title":"Sarah C.J. Jorgensen Christopher L.Y. Tse,Lisa Burry, and Linda D. Dresser. Baricitinib: A Review of Pharmacology, Safety, and Emerging Clinical Experience in COVID-19. Pharmacotherapy 2020;40(8):843–856) doi: 10.1002/phar.2438"},"label":"page"}],"schema":"https://github.com/citation-style-language/schema/raw/master/csl-citation.json"} </w:instrText>
      </w:r>
      <w:r>
        <w:fldChar w:fldCharType="separate"/>
      </w:r>
      <w:r w:rsidRPr="002F4447">
        <w:t>[5,7,8]</w:t>
      </w:r>
      <w:r>
        <w:fldChar w:fldCharType="end"/>
      </w:r>
      <w:r>
        <w:t>.</w:t>
      </w:r>
    </w:p>
    <w:p w14:paraId="36C306D6" w14:textId="77777777" w:rsidR="00C34E4A" w:rsidRDefault="00C34E4A" w:rsidP="00AB1FF1">
      <w:pPr>
        <w:spacing w:after="0" w:line="240" w:lineRule="auto"/>
        <w:ind w:firstLine="708"/>
        <w:rPr>
          <w:i/>
          <w:iCs/>
        </w:rPr>
      </w:pPr>
    </w:p>
    <w:p w14:paraId="72EA0233" w14:textId="77777777" w:rsidR="00C34E4A" w:rsidRPr="003E7F6A" w:rsidRDefault="00C34E4A" w:rsidP="0029110D">
      <w:pPr>
        <w:spacing w:after="0" w:line="240" w:lineRule="auto"/>
        <w:rPr>
          <w:b/>
          <w:i/>
          <w:iCs/>
        </w:rPr>
      </w:pPr>
      <w:bookmarkStart w:id="178" w:name="_Hlk118555894"/>
      <w:r w:rsidRPr="003E7F6A">
        <w:rPr>
          <w:b/>
          <w:i/>
          <w:iCs/>
        </w:rPr>
        <w:t>Исследование АСТТ-2</w:t>
      </w:r>
    </w:p>
    <w:bookmarkEnd w:id="178"/>
    <w:p w14:paraId="095CDA01" w14:textId="77777777" w:rsidR="0029110D" w:rsidRDefault="0029110D">
      <w:pPr>
        <w:spacing w:after="0" w:line="240" w:lineRule="auto"/>
        <w:ind w:firstLine="708"/>
      </w:pPr>
    </w:p>
    <w:p w14:paraId="16636327" w14:textId="4B0B3E2B" w:rsidR="00C34E4A" w:rsidRPr="00D21480" w:rsidRDefault="00C34E4A">
      <w:pPr>
        <w:spacing w:after="0" w:line="240" w:lineRule="auto"/>
        <w:ind w:firstLine="708"/>
      </w:pPr>
      <w:r>
        <w:t xml:space="preserve">При включении в исследование, пациентов делили на группы в соответствии с тяжестью заболевания и рандомизировали в соотношении 1:1 в группы барицитиниб + ремдесивир или плацебо + ремдесивир. Пациенты получали терапию по следующей </w:t>
      </w:r>
      <w:r>
        <w:lastRenderedPageBreak/>
        <w:t xml:space="preserve">схеме: барицитиниб 4 мг или плацебо внутрь один раз в сутки в течение 14 дней или до выписки из стационара; ремдесивир в виде внутривенной инфузии в течение 10 дней или до выписки из стационара (200 мг в первый день терапии и далее по 100 мг один раз в сутки). В исследовании принимали участие 1033 взрослых пациента, госпитализированных по поводу новой коронавирусной инфекции </w:t>
      </w:r>
      <w:r>
        <w:rPr>
          <w:lang w:val="en-US"/>
        </w:rPr>
        <w:t>COVID</w:t>
      </w:r>
      <w:r>
        <w:t xml:space="preserve">-19. Для оценки тяжести заболевания в начале исследования использовали 8-ми балльную порядковую шкалу Национального института аллергии и инфекционных заболеваний США (МТАТО). Среди пациентов, принимавших участие в исследовании: 14% пациентов, не нуждались в оксигенотерапии (4 балла по шкале МАПО); 55% пациентов нуждались в низкопоточной оксигенотерапии (5 баллов); 21% пациентов нуждались в неинвазивной вентиляции легких либо в высокопоточной оксигенотерапии (6 баллов); 11% пациентов нуждались в инвазивной искусственной вентиляции легких или экстракорпоральной мембранной оксигенации (ЭКМО) (7 баллов) </w:t>
      </w:r>
      <w:r>
        <w:fldChar w:fldCharType="begin"/>
      </w:r>
      <w:r>
        <w:instrText xml:space="preserve"> ADDIN ZOTERO_ITEM CSL_CITATION {"citationID":"u2qOR8XY","properties":{"formattedCitation":"[5,9]","plainCitation":"[5,9]","noteIndex":0},"citationItems":[{"id":3871,"uris":["http://zotero.org/groups/4514912/items/YGRMP49U"],"itemData":{"id":3871,"type":"document","title":"Lin Z, Niu J, Xu Y, Qin L, Ding J, Zhou L. Clinical efficacy and adverse events of baricitinib treatment for coronavirus disease-2019 (COVID-19): A systematic review and meta-analysis. J Med Virol. 2022 Apr;94(4):1523-1534. doi: 10.1002/jmv.27482. Epub 2021 Dec 13. PMID: 34846766; PMCID: PMC9015594."},"label":"page"},{"id":3872,"uris":["http://zotero.org/groups/4514912/items/HKWT8RJI"],"itemData":{"id":3872,"type":"document","title":"Yasuda Y, Hirayama Y, Uemasu K, Arasawa S, Iwashima D, Takahashi KI. Efficacy of the combination of baricitinib, remdesivir, and dexamethasone in hypoxic adults with COVID-19: A retrospective study. Respir Med Res. 2022 May;81:100903. doi: 10.1016/j.resmer.2022.100903. Epub 2022 Mar 19. PMID: 35316675; PMCID: PMC8933643."},"label":"page"}],"schema":"https://github.com/citation-style-language/schema/raw/master/csl-citation.json"} </w:instrText>
      </w:r>
      <w:r>
        <w:fldChar w:fldCharType="separate"/>
      </w:r>
      <w:r w:rsidRPr="002F4447">
        <w:t>[5,9]</w:t>
      </w:r>
      <w:r>
        <w:fldChar w:fldCharType="end"/>
      </w:r>
      <w:r w:rsidRPr="00D21480">
        <w:t>.</w:t>
      </w:r>
    </w:p>
    <w:p w14:paraId="7DDF961F" w14:textId="77777777" w:rsidR="00C34E4A" w:rsidRDefault="00C34E4A">
      <w:pPr>
        <w:spacing w:after="0" w:line="240" w:lineRule="auto"/>
        <w:ind w:firstLine="708"/>
      </w:pPr>
      <w:r>
        <w:t xml:space="preserve">Средний возраст пациентов, принимавших участие в исследовании, составлял 55 лет (30% пациентов были в возрасте 65 лет и старше), 63% пациентов были мужского пола, 48% – европеоидной расы, 15% – негроидной расы и 10% – азиатского происхождения. Наиболее частыми сопутствующими патологиями были ожирение (56%), артериальная гипертензия (52%) и диабет 2-го типа (37%). Демографические характеристики и перечень сопутствующих заболеваний в группе барицитиниба и группе плацебо были схожими. Основным первичным критерием оценки эффективности было выздоровление в течение 29 дней после рандомизации. Выздоровление определялось как выписка из больницы (с ограничением активности или без, с необходимостью в оксигенотерапии в домашних условиях или без нее) либо нахождение в стационаре, но без необходимости в оксигенотерапии и в медицинской помощи. По порядковой шкале выздоровление соответствовало 1, 2 или 3 баллам. Среднее время выздоровления для пациентов, принимавших участие в исследовании, составило 7 дней для исследуемой группы (барицитиниб с ремдесивиром) и 8 дней для контрольной группы (плацебо с ремдесивиром) </w:t>
      </w:r>
      <w:r>
        <w:fldChar w:fldCharType="begin"/>
      </w:r>
      <w:r>
        <w:instrText xml:space="preserve"> ADDIN ZOTERO_ITEM CSL_CITATION {"citationID":"7Ro9MaDL","properties":{"formattedCitation":"[5,9]","plainCitation":"[5,9]","noteIndex":0},"citationItems":[{"id":3871,"uris":["http://zotero.org/groups/4514912/items/YGRMP49U"],"itemData":{"id":3871,"type":"document","title":"Lin Z, Niu J, Xu Y, Qin L, Ding J, Zhou L. Clinical efficacy and adverse events of baricitinib treatment for coronavirus disease-2019 (COVID-19): A systematic review and meta-analysis. J Med Virol. 2022 Apr;94(4):1523-1534. doi: 10.1002/jmv.27482. Epub 2021 Dec 13. PMID: 34846766; PMCID: PMC9015594."},"label":"page"},{"id":3872,"uris":["http://zotero.org/groups/4514912/items/HKWT8RJI"],"itemData":{"id":3872,"type":"document","title":"Yasuda Y, Hirayama Y, Uemasu K, Arasawa S, Iwashima D, Takahashi KI. Efficacy of the combination of baricitinib, remdesivir, and dexamethasone in hypoxic adults with COVID-19: A retrospective study. Respir Med Res. 2022 May;81:100903. doi: 10.1016/j.resmer.2022.100903. Epub 2022 Mar 19. PMID: 35316675; PMCID: PMC8933643."},"label":"page"}],"schema":"https://github.com/citation-style-language/schema/raw/master/csl-citation.json"} </w:instrText>
      </w:r>
      <w:r>
        <w:fldChar w:fldCharType="separate"/>
      </w:r>
      <w:r w:rsidRPr="002F4447">
        <w:t>[5,9]</w:t>
      </w:r>
      <w:r>
        <w:fldChar w:fldCharType="end"/>
      </w:r>
      <w:r>
        <w:t>.</w:t>
      </w:r>
    </w:p>
    <w:p w14:paraId="5F647D25" w14:textId="6997ECDC" w:rsidR="00C34E4A" w:rsidRDefault="00C34E4A" w:rsidP="00AB1FF1">
      <w:pPr>
        <w:spacing w:after="0" w:line="240" w:lineRule="auto"/>
        <w:ind w:firstLine="708"/>
      </w:pPr>
      <w:bookmarkStart w:id="179" w:name="_Hlk118556002"/>
      <w:r>
        <w:t>Наибольшее преимущество от терапии барицитинибом было отмечено у пациентов,</w:t>
      </w:r>
      <w:r w:rsidR="009365F8">
        <w:t xml:space="preserve"> </w:t>
      </w:r>
      <w:r>
        <w:t xml:space="preserve">нуждающихся в низкопоточной оксигенотерапии, неинвазивной вентиляции легких или высокопоточной оксигенотерапии. </w:t>
      </w:r>
      <w:bookmarkEnd w:id="179"/>
      <w:r>
        <w:t xml:space="preserve">У пациентов, не нуждающихся в оксигенотерапии, существенных различий в среднем времени выздоровления между группами барицитиниб + ремдесивир (5 дней) и плацебо + ремдесивир (4 дня) не наблюдалось. У пациентов, получавших барицитиниб с ремдесивиром, была выше вероятность достижения благоприятного клинического статуса (в соответствии с 8-ми бальной порядковой шкалой) на 15-ый день терапии, чем у пациентов, получавших плацебо с ремдесивиром. Доля смертельных исходов или случаев прогрессии заболевания, приводивших к необходимости неинвазивной вентиляции легких/высокопоточной оксигенотерапии или к инвазивной вентиляции легких к 29 дню наблюдения была ниже в группе пациентов, получавших барицитиниб с ремдесивиром (23%), по сравнению группой пациентов, получавших плацебо с ремдесивиром (28%). Доля пациентов, умерших к 29 дню составила 4,9% в группе барицитиниба с ремдесивиром по сравнению с 7,8% в группе плацебо с ремдесивиром. Клиническое преимущество в группе барицитиниба было наиболее выражено у пациентов, нуждающихся в низкопоточной оксигенотерапии, неинвазивной вентиляции легких или высокопоточной оксигенотерапии </w:t>
      </w:r>
      <w:r>
        <w:fldChar w:fldCharType="begin"/>
      </w:r>
      <w:r>
        <w:instrText xml:space="preserve"> ADDIN ZOTERO_ITEM CSL_CITATION {"citationID":"ZAELWuXX","properties":{"formattedCitation":"[5,9]","plainCitation":"[5,9]","noteIndex":0},"citationItems":[{"id":3871,"uris":["http://zotero.org/groups/4514912/items/YGRMP49U"],"itemData":{"id":3871,"type":"document","title":"Lin Z, Niu J, Xu Y, Qin L, Ding J, Zhou L. Clinical efficacy and adverse events of baricitinib treatment for coronavirus disease-2019 (COVID-19): A systematic review and meta-analysis. J Med Virol. 2022 Apr;94(4):1523-1534. doi: 10.1002/jmv.27482. Epub 2021 Dec 13. PMID: 34846766; PMCID: PMC9015594."},"label":"page"},{"id":3872,"uris":["http://zotero.org/groups/4514912/items/HKWT8RJI"],"itemData":{"id":3872,"type":"document","title":"Yasuda Y, Hirayama Y, Uemasu K, Arasawa S, Iwashima D, Takahashi KI. Efficacy of the combination of baricitinib, remdesivir, and dexamethasone in hypoxic adults with COVID-19: A retrospective study. Respir Med Res. 2022 May;81:100903. doi: 10.1016/j.resmer.2022.100903. Epub 2022 Mar 19. PMID: 35316675; PMCID: PMC8933643."},"label":"page"}],"schema":"https://github.com/citation-style-language/schema/raw/master/csl-citation.json"} </w:instrText>
      </w:r>
      <w:r>
        <w:fldChar w:fldCharType="separate"/>
      </w:r>
      <w:r w:rsidRPr="002F4447">
        <w:t>[5,9]</w:t>
      </w:r>
      <w:r>
        <w:fldChar w:fldCharType="end"/>
      </w:r>
      <w:r>
        <w:t>.</w:t>
      </w:r>
    </w:p>
    <w:p w14:paraId="5A397D97" w14:textId="77777777" w:rsidR="0029110D" w:rsidRDefault="0029110D" w:rsidP="0029110D">
      <w:pPr>
        <w:spacing w:after="0" w:line="240" w:lineRule="auto"/>
      </w:pPr>
      <w:bookmarkStart w:id="180" w:name="_Hlk118556010"/>
    </w:p>
    <w:p w14:paraId="0865EA21" w14:textId="6F5991C1" w:rsidR="00C34E4A" w:rsidRPr="003E7F6A" w:rsidRDefault="00C34E4A" w:rsidP="0029110D">
      <w:pPr>
        <w:spacing w:after="0" w:line="240" w:lineRule="auto"/>
        <w:rPr>
          <w:b/>
          <w:i/>
          <w:iCs/>
        </w:rPr>
      </w:pPr>
      <w:r w:rsidRPr="003E7F6A">
        <w:rPr>
          <w:b/>
          <w:i/>
          <w:iCs/>
        </w:rPr>
        <w:t xml:space="preserve">Исследование </w:t>
      </w:r>
      <w:r w:rsidRPr="003E7F6A">
        <w:rPr>
          <w:b/>
          <w:i/>
          <w:iCs/>
          <w:lang w:val="en-US"/>
        </w:rPr>
        <w:t>COV</w:t>
      </w:r>
      <w:r w:rsidRPr="003E7F6A">
        <w:rPr>
          <w:b/>
          <w:i/>
          <w:iCs/>
        </w:rPr>
        <w:t>-</w:t>
      </w:r>
      <w:r w:rsidRPr="003E7F6A">
        <w:rPr>
          <w:b/>
          <w:i/>
          <w:iCs/>
          <w:lang w:val="en-US"/>
        </w:rPr>
        <w:t>BARRIER</w:t>
      </w:r>
    </w:p>
    <w:bookmarkEnd w:id="180"/>
    <w:p w14:paraId="16B7DF97" w14:textId="77777777" w:rsidR="0029110D" w:rsidRDefault="0029110D">
      <w:pPr>
        <w:spacing w:after="0" w:line="240" w:lineRule="auto"/>
        <w:ind w:firstLine="709"/>
      </w:pPr>
    </w:p>
    <w:p w14:paraId="48D3A7D7" w14:textId="3BF08F57" w:rsidR="00C34E4A" w:rsidRPr="00D21480" w:rsidRDefault="00C34E4A">
      <w:pPr>
        <w:spacing w:after="0" w:line="240" w:lineRule="auto"/>
        <w:ind w:firstLine="709"/>
      </w:pPr>
      <w:r>
        <w:lastRenderedPageBreak/>
        <w:t xml:space="preserve">В исследовании </w:t>
      </w:r>
      <w:r w:rsidRPr="00735D21">
        <w:t xml:space="preserve">COV-BARRIER </w:t>
      </w:r>
      <w:r>
        <w:t xml:space="preserve">оценивалась монотерапия барицитинибом 4 мг один раз в сутки в сравнении с плацебо у взрослых госпитализированных пациентов с </w:t>
      </w:r>
      <w:r>
        <w:rPr>
          <w:lang w:val="en-US"/>
        </w:rPr>
        <w:t>COVID</w:t>
      </w:r>
      <w:r>
        <w:t xml:space="preserve">-19. Пациенты могли оставаться на стандартной терапии в соответствии с местными рекомендациями, включая глюкокортикостероиды, противомалярийные препараты, противовирусные препараты (такие как ремдесивир) и/или азитромицин. Наиболее частыми вариантами фоновой терапии были следующие: глюкокортикостероиды (79,3% пациентов, из них 91,3% получали дексаметазон); ремдесивир (18,9% пациентов) </w:t>
      </w:r>
      <w:r w:rsidRPr="00973A5A">
        <w:rPr>
          <w:highlight w:val="cyan"/>
        </w:rPr>
        <w:fldChar w:fldCharType="begin"/>
      </w:r>
      <w:r>
        <w:rPr>
          <w:highlight w:val="cyan"/>
        </w:rPr>
        <w:instrText xml:space="preserve"> ADDIN ZOTERO_ITEM CSL_CITATION {"citationID":"vifsbZhF","properties":{"formattedCitation":"[7,10,11]","plainCitation":"[7,10,11]","noteIndex":0},"citationItems":[{"id":3869,"uris":["http://zotero.org/groups/4514912/items/ZIXA59ZA"],"itemData":{"id":3869,"type":"document","title":"Thoms BL, Gosselin J, Libman B, Littenberg B, Budd RC. Efficacy of Combination Therapy with the JAK Inhibitor Baricitinib in the Treatment of COVID-19. SN Compr Clin Med. 2022;4(1):42. doi: 10.1007/s42399-022-01121-4. Epub 2022 Jan 21. PMID: 35079694; PMCID: PMC8776555."},"label":"page"},{"id":3870,"uris":["http://zotero.org/groups/4514912/items/H25JHMYF"],"itemData":{"id":3870,"type":"document","title":"Marconi VC, Ramanan AV, de Bono S, Kartman CE, Krishnan V, Liao R, Piruzeli MLB, Goldman JD, Alatorre-Alexander J, de Cassia Pellegrini R, Estrada V, Som M, Cardoso A, Chakladar S, Crowe B, Reis P, Zhang X, Adams DH, Ely EW; COV-BARRIER Study Group. Efficacy and safety of baricitinib for the treatment of hospitalised adults with COVID-19 (COV-BARRIER): a randomised, double-blind, parallel-group, placebo-controlled phase 3 trial. Lancet Respir Med. 2021 Dec;9(12):1407-1418. doi: 10.1016/S2213-2600(21)00331-3. Epub 2021 Sep 1. Erratum in: Lancet Respir Med. 2021 Oct;9(10):e102. PMID: 34480861; PMCID: PMC8409066."},"label":"page"},{"id":3873,"uris":["http://zotero.org/groups/4514912/items/ZFXQNJ5M"],"itemData":{"id":3873,"type":"document","title":"Ely EW, Ramanan AV, Kartman CE, de Bono S, Liao R, Piruzeli MLB, Goldman JD, Saraiva JFK, Chakladar S, Marconi VC; COV-BARRIER Study Group. Efficacy and safety of baricitinib plus standard of care for the treatment of critically ill hospitalised adults with COVID-19 on invasive mechanical ventilation or extracorporeal membrane oxygenation: an exploratory, randomised, placebo-controlled trial. Lancet Respir Med. 2022 Apr;10(4):327-336. doi: 10.1016/S2213-2600(22)00006-6. Epub 2022 Feb 3. Erratum in: Lancet Respir Med. 2022 Feb 11;: PMID: 35123660; PMCID: PMC8813065."},"label":"page"}],"schema":"https://github.com/citation-style-language/schema/raw/master/csl-citation.json"} </w:instrText>
      </w:r>
      <w:r w:rsidRPr="00973A5A">
        <w:rPr>
          <w:highlight w:val="cyan"/>
        </w:rPr>
        <w:fldChar w:fldCharType="separate"/>
      </w:r>
      <w:r w:rsidRPr="002F4447">
        <w:t>[7,10,11]</w:t>
      </w:r>
      <w:r w:rsidRPr="00973A5A">
        <w:rPr>
          <w:highlight w:val="cyan"/>
        </w:rPr>
        <w:fldChar w:fldCharType="end"/>
      </w:r>
      <w:r w:rsidRPr="00D21480">
        <w:t>.</w:t>
      </w:r>
    </w:p>
    <w:p w14:paraId="7ADAB141" w14:textId="62798CAA" w:rsidR="00C34E4A" w:rsidRDefault="00C34E4A">
      <w:pPr>
        <w:spacing w:after="0" w:line="240" w:lineRule="auto"/>
        <w:ind w:firstLine="708"/>
      </w:pPr>
      <w:r>
        <w:t xml:space="preserve">В исследовании принимали участие 1525 взрослых пациента, госпитализированных по поводу новой коронавирусной инфекции </w:t>
      </w:r>
      <w:r>
        <w:rPr>
          <w:lang w:val="en-US"/>
        </w:rPr>
        <w:t>COVID</w:t>
      </w:r>
      <w:r>
        <w:t xml:space="preserve">-19. Для оценки тяжести заболевания в начале исследования использовали 8-ми балльную порядковую шкалу МАТ. Среди пациентов, принимавших участие в исследовании: 12,3% пациентов, не нуждались в оксигенотерапии (4 балла); 63,4% пациентов нуждались в низкопоточной оксигенотерапии (5 баллов); 24,4% пациентов нуждались в неинвазивной вентиляции легких либо в высокопоточной оксигенотерапии (6 баллов). Средний возраст пациентов, принимавших участие в исследовании, составлял 58 лет (33% пациентов были в возрасте 65 лет и старше), 63% пациентов были мужского пола, 62% – европеоидной расы, 5% – негроидной расы и 12% – азиатского происхождения. Наиболее частыми сопутствующими патологиями были артериальная гипертензия (48,3%), ожирение (33,0%), и диабет 2-го типа (29,4%). Демографические характеристики и перечень сопутствующих заболеваний в группе барицитиниба и группе плацебо были схожими. </w:t>
      </w:r>
      <w:r w:rsidR="007F72CA">
        <w:t xml:space="preserve">Основным первичным критерием оценки эффективности была доля пациентов с </w:t>
      </w:r>
      <w:r w:rsidR="007F72CA">
        <w:t>п</w:t>
      </w:r>
      <w:r w:rsidR="007F72CA">
        <w:t xml:space="preserve">рогрессированием заболевания до неинвазивной вентиляции легких/высокопоточной оксигенотерапии, инвазивной искусственной вентиляции легких (включая ЭКМО) или смерти к 28 дню терапии. </w:t>
      </w:r>
      <w:r>
        <w:t xml:space="preserve">Относительно первичного критерия значительных различий между группой барицитиниба и группой плацебо отмечено не было. Смертность к 28 дню наблюдения среди пациентов, принимавших участие в исследовании, составила 8,1% в группе барицитиниба и 13,1% в группе плацебо (относительное снижение - 38,2%). </w:t>
      </w:r>
      <w:bookmarkStart w:id="181" w:name="_Hlk118556053"/>
      <w:r>
        <w:t>Наибольшее преимущество от терапии барицитинибом было отмечено у пациентов, нуждающихся в низкопоточной оксигенотерапии, неинвазивной вентиляции легких или высокопоточной оксигенотерапии.</w:t>
      </w:r>
    </w:p>
    <w:bookmarkEnd w:id="181"/>
    <w:p w14:paraId="32CEF5C3" w14:textId="77777777" w:rsidR="00C34E4A" w:rsidRDefault="00C34E4A">
      <w:pPr>
        <w:spacing w:after="0" w:line="240" w:lineRule="auto"/>
        <w:ind w:firstLine="708"/>
        <w:rPr>
          <w:color w:val="000000"/>
        </w:rPr>
      </w:pPr>
      <w:r>
        <w:t xml:space="preserve">У пациентов из группы барицитиниба к 14 дню терапии чаще наблюдалось улучшение клинического статуса по сравнению с пациентами из группы плацебо </w:t>
      </w:r>
      <w:r>
        <w:fldChar w:fldCharType="begin"/>
      </w:r>
      <w:r>
        <w:instrText xml:space="preserve"> ADDIN ZOTERO_ITEM CSL_CITATION {"citationID":"V1JIswd7","properties":{"formattedCitation":"[5,9]","plainCitation":"[5,9]","noteIndex":0},"citationItems":[{"id":3871,"uris":["http://zotero.org/groups/4514912/items/YGRMP49U"],"itemData":{"id":3871,"type":"document","title":"Lin Z, Niu J, Xu Y, Qin L, Ding J, Zhou L. Clinical efficacy and adverse events of baricitinib treatment for coronavirus disease-2019 (COVID-19): A systematic review and meta-analysis. J Med Virol. 2022 Apr;94(4):1523-1534. doi: 10.1002/jmv.27482. Epub 2021 Dec 13. PMID: 34846766; PMCID: PMC9015594."},"label":"page"},{"id":3872,"uris":["http://zotero.org/groups/4514912/items/HKWT8RJI"],"itemData":{"id":3872,"type":"document","title":"Yasuda Y, Hirayama Y, Uemasu K, Arasawa S, Iwashima D, Takahashi KI. Efficacy of the combination of baricitinib, remdesivir, and dexamethasone in hypoxic adults with COVID-19: A retrospective study. Respir Med Res. 2022 May;81:100903. doi: 10.1016/j.resmer.2022.100903. Epub 2022 Mar 19. PMID: 35316675; PMCID: PMC8933643."},"label":"page"}],"schema":"https://github.com/citation-style-language/schema/raw/master/csl-citation.json"} </w:instrText>
      </w:r>
      <w:r>
        <w:fldChar w:fldCharType="separate"/>
      </w:r>
      <w:r w:rsidRPr="002F4447">
        <w:t>[5,9]</w:t>
      </w:r>
      <w:r>
        <w:fldChar w:fldCharType="end"/>
      </w:r>
      <w:r>
        <w:t>.</w:t>
      </w:r>
    </w:p>
    <w:bookmarkEnd w:id="177"/>
    <w:p w14:paraId="48B70A16" w14:textId="77777777" w:rsidR="00C34E4A" w:rsidRDefault="00C34E4A">
      <w:pPr>
        <w:spacing w:after="0" w:line="240" w:lineRule="auto"/>
        <w:rPr>
          <w:color w:val="000000"/>
        </w:rPr>
      </w:pPr>
    </w:p>
    <w:p w14:paraId="310ADC70" w14:textId="77777777" w:rsidR="00C34E4A" w:rsidRDefault="00C34E4A">
      <w:pPr>
        <w:spacing w:after="0" w:line="240" w:lineRule="auto"/>
        <w:outlineLvl w:val="2"/>
        <w:rPr>
          <w:rFonts w:eastAsia="Times New Roman"/>
          <w:b/>
          <w:bCs/>
          <w:iCs/>
          <w:lang w:eastAsia="en-US"/>
        </w:rPr>
      </w:pPr>
      <w:bookmarkStart w:id="182" w:name="_Toc52190594"/>
      <w:bookmarkStart w:id="183" w:name="_Toc120288176"/>
      <w:r w:rsidRPr="00620389">
        <w:rPr>
          <w:rFonts w:eastAsia="Times New Roman"/>
          <w:b/>
          <w:bCs/>
          <w:iCs/>
          <w:lang w:eastAsia="en-US"/>
        </w:rPr>
        <w:t>4.</w:t>
      </w:r>
      <w:r>
        <w:rPr>
          <w:rFonts w:eastAsia="Times New Roman"/>
          <w:b/>
          <w:bCs/>
          <w:iCs/>
          <w:lang w:eastAsia="en-US"/>
        </w:rPr>
        <w:t>3.2.</w:t>
      </w:r>
      <w:bookmarkEnd w:id="182"/>
      <w:r>
        <w:rPr>
          <w:rFonts w:eastAsia="Times New Roman"/>
          <w:b/>
          <w:bCs/>
          <w:iCs/>
          <w:lang w:eastAsia="en-US"/>
        </w:rPr>
        <w:t xml:space="preserve"> Клиническая безопасность</w:t>
      </w:r>
      <w:bookmarkEnd w:id="183"/>
    </w:p>
    <w:p w14:paraId="08B7847D" w14:textId="77777777" w:rsidR="00C34E4A" w:rsidRDefault="00C34E4A">
      <w:pPr>
        <w:spacing w:after="0" w:line="240" w:lineRule="auto"/>
        <w:ind w:firstLine="708"/>
      </w:pPr>
      <w:bookmarkStart w:id="184" w:name="_Toc52190595"/>
    </w:p>
    <w:p w14:paraId="0362740C" w14:textId="2BF747D3" w:rsidR="00C34E4A" w:rsidRPr="00484413" w:rsidRDefault="00C34E4A">
      <w:pPr>
        <w:spacing w:after="0" w:line="240" w:lineRule="auto"/>
        <w:ind w:firstLine="708"/>
      </w:pPr>
      <w:r w:rsidRPr="00484413">
        <w:t xml:space="preserve">Потенциальные проблемы безопасности, рассмотренные в программе разработки барицитиниба были основаны на (1) проблемах, вытекающих из результатов доклинических токсикологических исследований и (2) потенциальных проблемах, которые основаны на механизме действия </w:t>
      </w:r>
      <w:r>
        <w:t>барицитиниба</w:t>
      </w:r>
      <w:r w:rsidRPr="00484413">
        <w:t>.</w:t>
      </w:r>
    </w:p>
    <w:p w14:paraId="730AB285" w14:textId="77777777" w:rsidR="00C34E4A" w:rsidRPr="00484413" w:rsidRDefault="00C34E4A">
      <w:pPr>
        <w:spacing w:after="0" w:line="240" w:lineRule="auto"/>
        <w:ind w:firstLine="708"/>
      </w:pPr>
      <w:r w:rsidRPr="00484413">
        <w:t xml:space="preserve">Проблемами доклинических токсикологических исследований были </w:t>
      </w:r>
      <w:r>
        <w:t>оппортунистические инфекции, гепатотоксичность</w:t>
      </w:r>
      <w:r w:rsidRPr="00484413">
        <w:t>.</w:t>
      </w:r>
      <w:r>
        <w:t xml:space="preserve"> </w:t>
      </w:r>
      <w:r w:rsidRPr="00484413">
        <w:t xml:space="preserve">Потенциальных проблемы безопасности, за которыми следили во время клинической разработки, включали </w:t>
      </w:r>
      <w:r>
        <w:t>инфекции и инвазии, злокачественные новообразования, риски в отношении сердечно-сосудистой системы, риски в отношении мочевыделительной системы, риски в отношении функции печени и лабораторные данные.</w:t>
      </w:r>
    </w:p>
    <w:p w14:paraId="7C6F8110" w14:textId="77777777" w:rsidR="00C34E4A" w:rsidRPr="00484413" w:rsidRDefault="00C34E4A">
      <w:pPr>
        <w:spacing w:after="0" w:line="240" w:lineRule="auto"/>
        <w:ind w:firstLine="709"/>
      </w:pPr>
      <w:r w:rsidRPr="00484413">
        <w:t>В анализ безопасности был</w:t>
      </w:r>
      <w:r>
        <w:t xml:space="preserve">и включены исследования по оценке эффективности барицитиниба в отношении РА, ОА, АД И </w:t>
      </w:r>
      <w:r>
        <w:rPr>
          <w:lang w:val="en-US"/>
        </w:rPr>
        <w:t>COVID</w:t>
      </w:r>
      <w:r w:rsidRPr="001B62FA">
        <w:t>-19</w:t>
      </w:r>
      <w:r w:rsidRPr="00484413">
        <w:t>.</w:t>
      </w:r>
      <w:r>
        <w:t xml:space="preserve"> Данные по безопасности </w:t>
      </w:r>
      <w:r>
        <w:lastRenderedPageBreak/>
        <w:t xml:space="preserve">барицитиниба представлены по каждой нозологии отдельно, также приведены объединенные данные. </w:t>
      </w:r>
    </w:p>
    <w:p w14:paraId="5CB7409E" w14:textId="4E6CE28F" w:rsidR="00C34E4A" w:rsidRDefault="00C34E4A">
      <w:pPr>
        <w:spacing w:after="0" w:line="240" w:lineRule="auto"/>
        <w:ind w:firstLine="709"/>
      </w:pPr>
      <w:r w:rsidRPr="00484413">
        <w:t xml:space="preserve">В контролируемых клинических исследованиях как монотерапии, так и комбинированной терапии с </w:t>
      </w:r>
      <w:r>
        <w:t xml:space="preserve">МТХ, </w:t>
      </w:r>
      <w:r>
        <w:rPr>
          <w:rFonts w:eastAsia="Times New Roman"/>
          <w:iCs/>
          <w:lang w:eastAsia="ru-RU"/>
        </w:rPr>
        <w:t xml:space="preserve">БМАРП или </w:t>
      </w:r>
      <w:r>
        <w:t>ремдес</w:t>
      </w:r>
      <w:r w:rsidR="00E90436">
        <w:t>и</w:t>
      </w:r>
      <w:r>
        <w:t>виром</w:t>
      </w:r>
      <w:r w:rsidRPr="00484413">
        <w:t xml:space="preserve"> общая частота нежелательных реакций</w:t>
      </w:r>
      <w:r>
        <w:t xml:space="preserve"> </w:t>
      </w:r>
      <w:r w:rsidRPr="00484413">
        <w:t xml:space="preserve">были аналогичны в группах </w:t>
      </w:r>
      <w:r>
        <w:t>барицитиниба</w:t>
      </w:r>
      <w:r w:rsidRPr="00484413">
        <w:t xml:space="preserve"> и плацебо</w:t>
      </w:r>
      <w:r w:rsidR="00851AA3">
        <w:t>.</w:t>
      </w:r>
    </w:p>
    <w:p w14:paraId="7D36C656" w14:textId="77777777" w:rsidR="00C34E4A" w:rsidRPr="00DD1452" w:rsidRDefault="00C34E4A">
      <w:pPr>
        <w:spacing w:after="0" w:line="240" w:lineRule="auto"/>
        <w:ind w:firstLine="709"/>
      </w:pPr>
    </w:p>
    <w:p w14:paraId="3963C262" w14:textId="77777777" w:rsidR="00C34E4A" w:rsidRDefault="00C34E4A">
      <w:pPr>
        <w:pStyle w:val="4"/>
        <w:spacing w:before="0"/>
        <w:rPr>
          <w:szCs w:val="24"/>
        </w:rPr>
      </w:pPr>
      <w:bookmarkStart w:id="185" w:name="_Toc120288177"/>
      <w:r w:rsidRPr="00035EBB">
        <w:rPr>
          <w:szCs w:val="24"/>
        </w:rPr>
        <w:t xml:space="preserve">4.3.2.1. </w:t>
      </w:r>
      <w:r>
        <w:rPr>
          <w:szCs w:val="24"/>
        </w:rPr>
        <w:t>Безопасность пациентов с ревматоидным артритом</w:t>
      </w:r>
      <w:bookmarkEnd w:id="185"/>
      <w:r w:rsidRPr="00035EBB">
        <w:rPr>
          <w:szCs w:val="24"/>
        </w:rPr>
        <w:t xml:space="preserve"> </w:t>
      </w:r>
    </w:p>
    <w:p w14:paraId="52CAAACD" w14:textId="77777777" w:rsidR="003E7F6A" w:rsidRDefault="003E7F6A">
      <w:pPr>
        <w:spacing w:after="0" w:line="240" w:lineRule="auto"/>
        <w:ind w:firstLine="709"/>
        <w:rPr>
          <w:i/>
          <w:iCs/>
        </w:rPr>
      </w:pPr>
    </w:p>
    <w:p w14:paraId="43250E3B" w14:textId="77777777" w:rsidR="00C34E4A" w:rsidRPr="00035EBB" w:rsidRDefault="00C34E4A">
      <w:pPr>
        <w:spacing w:after="0" w:line="240" w:lineRule="auto"/>
        <w:ind w:firstLine="709"/>
        <w:rPr>
          <w:i/>
          <w:iCs/>
        </w:rPr>
      </w:pPr>
      <w:r w:rsidRPr="00035EBB">
        <w:rPr>
          <w:i/>
          <w:iCs/>
        </w:rPr>
        <w:t>Характеристики пациентов</w:t>
      </w:r>
    </w:p>
    <w:p w14:paraId="7F9FC519" w14:textId="6FB104F5" w:rsidR="00C34E4A" w:rsidRDefault="00C34E4A">
      <w:pPr>
        <w:spacing w:after="0" w:line="240" w:lineRule="auto"/>
        <w:ind w:firstLine="709"/>
      </w:pPr>
      <w:r>
        <w:t xml:space="preserve">Демографические данные и стадии заболевания приведены в Разделе 4.3.1.1. Пациенты, </w:t>
      </w:r>
      <w:r>
        <w:t xml:space="preserve">ранее не </w:t>
      </w:r>
      <w:r w:rsidRPr="00973A5A">
        <w:t xml:space="preserve">получавших </w:t>
      </w:r>
      <w:r>
        <w:t xml:space="preserve">БМАРП имели меньше факторов сердечно-сосудистого риска на исходном уровне, таких как диабет, гиперлипидемия и гипертензия, по сравнению с группами пациентов с большей длительностью предыдущего </w:t>
      </w:r>
      <w:r w:rsidR="003E7F6A">
        <w:t>лечения (Таблица 4-12</w:t>
      </w:r>
      <w:r w:rsidRPr="00973A5A">
        <w:t>)</w:t>
      </w:r>
      <w:r>
        <w:t xml:space="preserve"> </w:t>
      </w:r>
      <w:r>
        <w:fldChar w:fldCharType="begin"/>
      </w:r>
      <w:r>
        <w:instrText xml:space="preserve"> ADDIN ZOTERO_ITEM CSL_CITATION {"citationID":"JDv3V1dA","properties":{"formattedCitation":"[1]","plainCitation":"[1]","noteIndex":0},"citationItems":[{"id":3826,"uris":["http://zotero.org/groups/4514912/items/UB7ESC4C"],"itemData":{"id":3826,"type":"document","title":"Assessment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r>
        <w:t xml:space="preserve"> </w:t>
      </w:r>
    </w:p>
    <w:p w14:paraId="44076D56" w14:textId="77777777" w:rsidR="003E7F6A" w:rsidRDefault="003E7F6A">
      <w:pPr>
        <w:spacing w:after="0" w:line="240" w:lineRule="auto"/>
        <w:rPr>
          <w:b/>
          <w:bCs/>
        </w:rPr>
      </w:pPr>
    </w:p>
    <w:p w14:paraId="2F593DDA" w14:textId="7EB62F24" w:rsidR="00C34E4A" w:rsidRPr="00973A5A" w:rsidRDefault="003E7F6A">
      <w:pPr>
        <w:spacing w:after="0" w:line="240" w:lineRule="auto"/>
        <w:rPr>
          <w:b/>
          <w:bCs/>
        </w:rPr>
      </w:pPr>
      <w:r>
        <w:rPr>
          <w:b/>
          <w:bCs/>
        </w:rPr>
        <w:t>Таблица 4-12.</w:t>
      </w:r>
      <w:r w:rsidR="00C34E4A" w:rsidRPr="00973A5A">
        <w:rPr>
          <w:b/>
          <w:bCs/>
        </w:rPr>
        <w:t xml:space="preserve"> </w:t>
      </w:r>
      <w:r w:rsidR="00C34E4A" w:rsidRPr="003E7F6A">
        <w:rPr>
          <w:bCs/>
        </w:rPr>
        <w:t xml:space="preserve">Сопутствующие заболевания пациентов в основных исследуемых популяциях, зарегистрированные </w:t>
      </w:r>
      <w:r w:rsidRPr="003E7F6A">
        <w:rPr>
          <w:bCs/>
        </w:rPr>
        <w:t>до начала терапии барицитинибом.</w:t>
      </w:r>
    </w:p>
    <w:tbl>
      <w:tblPr>
        <w:tblStyle w:val="a8"/>
        <w:tblW w:w="4873" w:type="pct"/>
        <w:tblInd w:w="136" w:type="dxa"/>
        <w:tblLook w:val="04A0" w:firstRow="1" w:lastRow="0" w:firstColumn="1" w:lastColumn="0" w:noHBand="0" w:noVBand="1"/>
      </w:tblPr>
      <w:tblGrid>
        <w:gridCol w:w="2400"/>
        <w:gridCol w:w="1801"/>
        <w:gridCol w:w="1725"/>
        <w:gridCol w:w="1701"/>
        <w:gridCol w:w="1702"/>
      </w:tblGrid>
      <w:tr w:rsidR="00C34E4A" w:rsidRPr="00973A5A" w14:paraId="4129CC49" w14:textId="77777777" w:rsidTr="00AB1FF1">
        <w:trPr>
          <w:tblHeader/>
        </w:trPr>
        <w:tc>
          <w:tcPr>
            <w:tcW w:w="2400" w:type="dxa"/>
            <w:shd w:val="clear" w:color="auto" w:fill="D9D9D9" w:themeFill="background1" w:themeFillShade="D9"/>
            <w:vAlign w:val="center"/>
          </w:tcPr>
          <w:p w14:paraId="0DA6B215" w14:textId="77777777" w:rsidR="00C34E4A" w:rsidRPr="0029110D" w:rsidRDefault="00C34E4A">
            <w:pPr>
              <w:jc w:val="center"/>
              <w:rPr>
                <w:b/>
                <w:bCs/>
              </w:rPr>
            </w:pPr>
            <w:r w:rsidRPr="0029110D">
              <w:rPr>
                <w:b/>
                <w:bCs/>
              </w:rPr>
              <w:t>Исследование</w:t>
            </w:r>
          </w:p>
        </w:tc>
        <w:tc>
          <w:tcPr>
            <w:tcW w:w="1801" w:type="dxa"/>
            <w:shd w:val="clear" w:color="auto" w:fill="D9D9D9" w:themeFill="background1" w:themeFillShade="D9"/>
            <w:vAlign w:val="center"/>
          </w:tcPr>
          <w:p w14:paraId="4F0A99F5" w14:textId="77777777" w:rsidR="00C34E4A" w:rsidRPr="0029110D" w:rsidRDefault="00C34E4A">
            <w:pPr>
              <w:jc w:val="center"/>
              <w:rPr>
                <w:b/>
                <w:bCs/>
              </w:rPr>
            </w:pPr>
            <w:r w:rsidRPr="0029110D">
              <w:rPr>
                <w:b/>
                <w:bCs/>
              </w:rPr>
              <w:t>JADZ (n=584) MTX-naive</w:t>
            </w:r>
          </w:p>
        </w:tc>
        <w:tc>
          <w:tcPr>
            <w:tcW w:w="1725" w:type="dxa"/>
            <w:shd w:val="clear" w:color="auto" w:fill="D9D9D9" w:themeFill="background1" w:themeFillShade="D9"/>
            <w:vAlign w:val="center"/>
          </w:tcPr>
          <w:p w14:paraId="64C12D09" w14:textId="77777777" w:rsidR="00C34E4A" w:rsidRPr="0029110D" w:rsidRDefault="00C34E4A">
            <w:pPr>
              <w:jc w:val="center"/>
              <w:rPr>
                <w:b/>
                <w:bCs/>
              </w:rPr>
            </w:pPr>
            <w:r w:rsidRPr="0029110D">
              <w:rPr>
                <w:b/>
                <w:bCs/>
              </w:rPr>
              <w:t>JADV (n=1305) MTX-IR</w:t>
            </w:r>
          </w:p>
        </w:tc>
        <w:tc>
          <w:tcPr>
            <w:tcW w:w="1701" w:type="dxa"/>
            <w:shd w:val="clear" w:color="auto" w:fill="D9D9D9" w:themeFill="background1" w:themeFillShade="D9"/>
            <w:vAlign w:val="center"/>
          </w:tcPr>
          <w:p w14:paraId="61E994B9" w14:textId="77777777" w:rsidR="00C34E4A" w:rsidRPr="0029110D" w:rsidRDefault="00C34E4A">
            <w:pPr>
              <w:jc w:val="center"/>
              <w:rPr>
                <w:b/>
                <w:bCs/>
              </w:rPr>
            </w:pPr>
            <w:r w:rsidRPr="0029110D">
              <w:rPr>
                <w:b/>
                <w:bCs/>
              </w:rPr>
              <w:t>JADX (n=684) cDMARD-IR</w:t>
            </w:r>
          </w:p>
        </w:tc>
        <w:tc>
          <w:tcPr>
            <w:tcW w:w="1702" w:type="dxa"/>
            <w:shd w:val="clear" w:color="auto" w:fill="D9D9D9" w:themeFill="background1" w:themeFillShade="D9"/>
            <w:vAlign w:val="center"/>
          </w:tcPr>
          <w:p w14:paraId="58FB70F8" w14:textId="77777777" w:rsidR="00C34E4A" w:rsidRPr="0029110D" w:rsidRDefault="00C34E4A">
            <w:pPr>
              <w:jc w:val="center"/>
              <w:rPr>
                <w:b/>
                <w:bCs/>
              </w:rPr>
            </w:pPr>
            <w:r w:rsidRPr="0029110D">
              <w:rPr>
                <w:b/>
                <w:bCs/>
              </w:rPr>
              <w:t>JADW (n=527) TNF-IR</w:t>
            </w:r>
          </w:p>
        </w:tc>
      </w:tr>
      <w:tr w:rsidR="00C34E4A" w:rsidRPr="00973A5A" w14:paraId="22335D31" w14:textId="77777777" w:rsidTr="00AB1FF1">
        <w:tc>
          <w:tcPr>
            <w:tcW w:w="2400" w:type="dxa"/>
          </w:tcPr>
          <w:p w14:paraId="7B8EDF76" w14:textId="77777777" w:rsidR="00C34E4A" w:rsidRPr="0029110D" w:rsidRDefault="00C34E4A">
            <w:r w:rsidRPr="0029110D">
              <w:t>Сахарный диабет</w:t>
            </w:r>
          </w:p>
        </w:tc>
        <w:tc>
          <w:tcPr>
            <w:tcW w:w="1801" w:type="dxa"/>
            <w:vAlign w:val="center"/>
          </w:tcPr>
          <w:p w14:paraId="331FB4FE" w14:textId="447972F7" w:rsidR="00C34E4A" w:rsidRPr="0029110D" w:rsidRDefault="00C34E4A" w:rsidP="00AB1FF1">
            <w:pPr>
              <w:jc w:val="center"/>
            </w:pPr>
            <w:r w:rsidRPr="0029110D">
              <w:t>8</w:t>
            </w:r>
            <w:r w:rsidR="001451CD" w:rsidRPr="0029110D">
              <w:t>,</w:t>
            </w:r>
            <w:r w:rsidRPr="0029110D">
              <w:t>0</w:t>
            </w:r>
          </w:p>
        </w:tc>
        <w:tc>
          <w:tcPr>
            <w:tcW w:w="1725" w:type="dxa"/>
            <w:vAlign w:val="center"/>
          </w:tcPr>
          <w:p w14:paraId="626F4951" w14:textId="13AEFFBE" w:rsidR="00C34E4A" w:rsidRPr="0029110D" w:rsidRDefault="00C34E4A" w:rsidP="00AB1FF1">
            <w:pPr>
              <w:jc w:val="center"/>
            </w:pPr>
            <w:r w:rsidRPr="0029110D">
              <w:t>8</w:t>
            </w:r>
            <w:r w:rsidR="001451CD" w:rsidRPr="0029110D">
              <w:t>,</w:t>
            </w:r>
            <w:r w:rsidRPr="0029110D">
              <w:t>1</w:t>
            </w:r>
          </w:p>
        </w:tc>
        <w:tc>
          <w:tcPr>
            <w:tcW w:w="1701" w:type="dxa"/>
            <w:vAlign w:val="center"/>
          </w:tcPr>
          <w:p w14:paraId="625C887B" w14:textId="4DB4373B" w:rsidR="00C34E4A" w:rsidRPr="0029110D" w:rsidRDefault="00C34E4A" w:rsidP="00AB1FF1">
            <w:pPr>
              <w:jc w:val="center"/>
            </w:pPr>
            <w:r w:rsidRPr="0029110D">
              <w:t>9</w:t>
            </w:r>
            <w:r w:rsidR="001451CD" w:rsidRPr="0029110D">
              <w:t>,</w:t>
            </w:r>
            <w:r w:rsidRPr="0029110D">
              <w:t>4</w:t>
            </w:r>
          </w:p>
        </w:tc>
        <w:tc>
          <w:tcPr>
            <w:tcW w:w="1702" w:type="dxa"/>
            <w:vAlign w:val="center"/>
          </w:tcPr>
          <w:p w14:paraId="12ECD1A5" w14:textId="1C1D0797" w:rsidR="00C34E4A" w:rsidRPr="0029110D" w:rsidRDefault="00C34E4A" w:rsidP="00AB1FF1">
            <w:pPr>
              <w:jc w:val="center"/>
              <w:rPr>
                <w:lang w:val="en-US"/>
              </w:rPr>
            </w:pPr>
            <w:r w:rsidRPr="0029110D">
              <w:t>13</w:t>
            </w:r>
            <w:r w:rsidR="001451CD" w:rsidRPr="0029110D">
              <w:t>,</w:t>
            </w:r>
            <w:r w:rsidRPr="0029110D">
              <w:t>3</w:t>
            </w:r>
          </w:p>
        </w:tc>
      </w:tr>
      <w:tr w:rsidR="00C34E4A" w:rsidRPr="00973A5A" w14:paraId="43E49269" w14:textId="77777777" w:rsidTr="00AB1FF1">
        <w:tc>
          <w:tcPr>
            <w:tcW w:w="2400" w:type="dxa"/>
          </w:tcPr>
          <w:p w14:paraId="278AE7C2" w14:textId="77777777" w:rsidR="00C34E4A" w:rsidRPr="0029110D" w:rsidRDefault="00C34E4A">
            <w:r w:rsidRPr="0029110D">
              <w:t>Заболевания ССС (сердечная недостаточность, кардиомиопатия, цереброваскулярная болезнь, ишемическая болезнь сердца)</w:t>
            </w:r>
          </w:p>
        </w:tc>
        <w:tc>
          <w:tcPr>
            <w:tcW w:w="1801" w:type="dxa"/>
            <w:vAlign w:val="center"/>
          </w:tcPr>
          <w:p w14:paraId="16E9D7D8" w14:textId="474C942F" w:rsidR="00C34E4A" w:rsidRPr="0029110D" w:rsidRDefault="00C34E4A" w:rsidP="00AB1FF1">
            <w:pPr>
              <w:jc w:val="center"/>
            </w:pPr>
            <w:r w:rsidRPr="0029110D">
              <w:t>3</w:t>
            </w:r>
            <w:r w:rsidR="001451CD" w:rsidRPr="0029110D">
              <w:t>,</w:t>
            </w:r>
            <w:r w:rsidRPr="0029110D">
              <w:t>4</w:t>
            </w:r>
          </w:p>
        </w:tc>
        <w:tc>
          <w:tcPr>
            <w:tcW w:w="1725" w:type="dxa"/>
            <w:vAlign w:val="center"/>
          </w:tcPr>
          <w:p w14:paraId="240A2F32" w14:textId="128785D0" w:rsidR="00C34E4A" w:rsidRPr="0029110D" w:rsidRDefault="00C34E4A" w:rsidP="00AB1FF1">
            <w:pPr>
              <w:jc w:val="center"/>
            </w:pPr>
            <w:r w:rsidRPr="0029110D">
              <w:t>4</w:t>
            </w:r>
            <w:r w:rsidR="001451CD" w:rsidRPr="0029110D">
              <w:t>,</w:t>
            </w:r>
            <w:r w:rsidRPr="0029110D">
              <w:t>1</w:t>
            </w:r>
          </w:p>
        </w:tc>
        <w:tc>
          <w:tcPr>
            <w:tcW w:w="1701" w:type="dxa"/>
            <w:vAlign w:val="center"/>
          </w:tcPr>
          <w:p w14:paraId="35C14DB5" w14:textId="51319CD8" w:rsidR="00C34E4A" w:rsidRPr="0029110D" w:rsidRDefault="00C34E4A" w:rsidP="00AB1FF1">
            <w:pPr>
              <w:jc w:val="center"/>
            </w:pPr>
            <w:r w:rsidRPr="0029110D">
              <w:t>6</w:t>
            </w:r>
            <w:r w:rsidR="001451CD" w:rsidRPr="0029110D">
              <w:t>,</w:t>
            </w:r>
            <w:r w:rsidRPr="0029110D">
              <w:t>3</w:t>
            </w:r>
          </w:p>
        </w:tc>
        <w:tc>
          <w:tcPr>
            <w:tcW w:w="1702" w:type="dxa"/>
            <w:vAlign w:val="center"/>
          </w:tcPr>
          <w:p w14:paraId="53CEE99A" w14:textId="1940FE8E" w:rsidR="00C34E4A" w:rsidRPr="0029110D" w:rsidRDefault="00C34E4A" w:rsidP="00AB1FF1">
            <w:pPr>
              <w:jc w:val="center"/>
            </w:pPr>
            <w:r w:rsidRPr="0029110D">
              <w:t>5</w:t>
            </w:r>
            <w:r w:rsidR="001451CD" w:rsidRPr="0029110D">
              <w:t>,</w:t>
            </w:r>
            <w:r w:rsidRPr="0029110D">
              <w:t>3</w:t>
            </w:r>
          </w:p>
        </w:tc>
      </w:tr>
      <w:tr w:rsidR="00C34E4A" w:rsidRPr="00973A5A" w14:paraId="0B6DED2E" w14:textId="77777777" w:rsidTr="00AB1FF1">
        <w:tc>
          <w:tcPr>
            <w:tcW w:w="2400" w:type="dxa"/>
          </w:tcPr>
          <w:p w14:paraId="32D19B57" w14:textId="77777777" w:rsidR="00C34E4A" w:rsidRPr="0029110D" w:rsidRDefault="00C34E4A">
            <w:r w:rsidRPr="0029110D">
              <w:t>Гипертензия</w:t>
            </w:r>
          </w:p>
        </w:tc>
        <w:tc>
          <w:tcPr>
            <w:tcW w:w="1801" w:type="dxa"/>
            <w:vAlign w:val="center"/>
          </w:tcPr>
          <w:p w14:paraId="2E41203D" w14:textId="7A3C0F36" w:rsidR="00C34E4A" w:rsidRPr="0029110D" w:rsidRDefault="00C34E4A" w:rsidP="00AB1FF1">
            <w:pPr>
              <w:jc w:val="center"/>
            </w:pPr>
            <w:r w:rsidRPr="0029110D">
              <w:t>22</w:t>
            </w:r>
            <w:r w:rsidR="001451CD" w:rsidRPr="0029110D">
              <w:t>,</w:t>
            </w:r>
            <w:r w:rsidRPr="0029110D">
              <w:t>3</w:t>
            </w:r>
          </w:p>
        </w:tc>
        <w:tc>
          <w:tcPr>
            <w:tcW w:w="1725" w:type="dxa"/>
            <w:vAlign w:val="center"/>
          </w:tcPr>
          <w:p w14:paraId="137E9084" w14:textId="535EF242" w:rsidR="00C34E4A" w:rsidRPr="0029110D" w:rsidRDefault="00C34E4A" w:rsidP="00AB1FF1">
            <w:pPr>
              <w:jc w:val="center"/>
            </w:pPr>
            <w:r w:rsidRPr="0029110D">
              <w:t>33</w:t>
            </w:r>
            <w:r w:rsidR="001451CD" w:rsidRPr="0029110D">
              <w:t>,</w:t>
            </w:r>
            <w:r w:rsidRPr="0029110D">
              <w:t>2</w:t>
            </w:r>
          </w:p>
        </w:tc>
        <w:tc>
          <w:tcPr>
            <w:tcW w:w="1701" w:type="dxa"/>
            <w:vAlign w:val="center"/>
          </w:tcPr>
          <w:p w14:paraId="797ACEF3" w14:textId="58B4FD28" w:rsidR="00C34E4A" w:rsidRPr="0029110D" w:rsidRDefault="00C34E4A" w:rsidP="00AB1FF1">
            <w:pPr>
              <w:jc w:val="center"/>
            </w:pPr>
            <w:r w:rsidRPr="0029110D">
              <w:t>37</w:t>
            </w:r>
            <w:r w:rsidR="001451CD" w:rsidRPr="0029110D">
              <w:t>,</w:t>
            </w:r>
            <w:r w:rsidRPr="0029110D">
              <w:t>0</w:t>
            </w:r>
          </w:p>
        </w:tc>
        <w:tc>
          <w:tcPr>
            <w:tcW w:w="1702" w:type="dxa"/>
            <w:vAlign w:val="center"/>
          </w:tcPr>
          <w:p w14:paraId="7762268D" w14:textId="2A493A5D" w:rsidR="00C34E4A" w:rsidRPr="0029110D" w:rsidRDefault="00C34E4A" w:rsidP="00AB1FF1">
            <w:pPr>
              <w:jc w:val="center"/>
            </w:pPr>
            <w:r w:rsidRPr="0029110D">
              <w:t>45</w:t>
            </w:r>
            <w:r w:rsidR="001451CD" w:rsidRPr="0029110D">
              <w:t>,</w:t>
            </w:r>
            <w:r w:rsidRPr="0029110D">
              <w:t>2</w:t>
            </w:r>
          </w:p>
        </w:tc>
      </w:tr>
      <w:tr w:rsidR="00C34E4A" w:rsidRPr="00973A5A" w14:paraId="37B677E8" w14:textId="77777777" w:rsidTr="00AB1FF1">
        <w:tc>
          <w:tcPr>
            <w:tcW w:w="2400" w:type="dxa"/>
          </w:tcPr>
          <w:p w14:paraId="1330BE3A" w14:textId="77777777" w:rsidR="00C34E4A" w:rsidRPr="0029110D" w:rsidRDefault="00C34E4A">
            <w:r w:rsidRPr="0029110D">
              <w:t xml:space="preserve">Гиперлипидемия </w:t>
            </w:r>
          </w:p>
        </w:tc>
        <w:tc>
          <w:tcPr>
            <w:tcW w:w="1801" w:type="dxa"/>
            <w:vAlign w:val="center"/>
          </w:tcPr>
          <w:p w14:paraId="4FFE799B" w14:textId="5650C046" w:rsidR="00C34E4A" w:rsidRPr="0029110D" w:rsidRDefault="00C34E4A" w:rsidP="00AB1FF1">
            <w:pPr>
              <w:jc w:val="center"/>
            </w:pPr>
            <w:r w:rsidRPr="0029110D">
              <w:t>12</w:t>
            </w:r>
            <w:r w:rsidR="001451CD" w:rsidRPr="0029110D">
              <w:t>,</w:t>
            </w:r>
            <w:r w:rsidRPr="0029110D">
              <w:t>5</w:t>
            </w:r>
          </w:p>
        </w:tc>
        <w:tc>
          <w:tcPr>
            <w:tcW w:w="1725" w:type="dxa"/>
            <w:vAlign w:val="center"/>
          </w:tcPr>
          <w:p w14:paraId="708C1489" w14:textId="72ED29FF" w:rsidR="00C34E4A" w:rsidRPr="0029110D" w:rsidRDefault="00C34E4A" w:rsidP="00AB1FF1">
            <w:pPr>
              <w:jc w:val="center"/>
            </w:pPr>
            <w:r w:rsidRPr="0029110D">
              <w:t>13</w:t>
            </w:r>
            <w:r w:rsidR="001451CD" w:rsidRPr="0029110D">
              <w:t>,</w:t>
            </w:r>
            <w:r w:rsidRPr="0029110D">
              <w:t>3</w:t>
            </w:r>
          </w:p>
        </w:tc>
        <w:tc>
          <w:tcPr>
            <w:tcW w:w="1701" w:type="dxa"/>
            <w:vAlign w:val="center"/>
          </w:tcPr>
          <w:p w14:paraId="48FCB4D2" w14:textId="0F712369" w:rsidR="00C34E4A" w:rsidRPr="0029110D" w:rsidRDefault="00C34E4A" w:rsidP="00AB1FF1">
            <w:pPr>
              <w:jc w:val="center"/>
            </w:pPr>
            <w:r w:rsidRPr="0029110D">
              <w:t>17</w:t>
            </w:r>
            <w:r w:rsidR="001451CD" w:rsidRPr="0029110D">
              <w:t>,</w:t>
            </w:r>
            <w:r w:rsidRPr="0029110D">
              <w:t>1</w:t>
            </w:r>
          </w:p>
        </w:tc>
        <w:tc>
          <w:tcPr>
            <w:tcW w:w="1702" w:type="dxa"/>
            <w:vAlign w:val="center"/>
          </w:tcPr>
          <w:p w14:paraId="21B1A93E" w14:textId="02682BB8" w:rsidR="00C34E4A" w:rsidRPr="0029110D" w:rsidRDefault="00C34E4A" w:rsidP="00AB1FF1">
            <w:pPr>
              <w:jc w:val="center"/>
            </w:pPr>
            <w:r w:rsidRPr="0029110D">
              <w:t>25</w:t>
            </w:r>
            <w:r w:rsidR="001451CD" w:rsidRPr="0029110D">
              <w:t>,</w:t>
            </w:r>
            <w:r w:rsidRPr="0029110D">
              <w:t>8</w:t>
            </w:r>
          </w:p>
        </w:tc>
      </w:tr>
      <w:tr w:rsidR="00C34E4A" w:rsidRPr="00973A5A" w14:paraId="5FB01E56" w14:textId="77777777" w:rsidTr="00AB1FF1">
        <w:tc>
          <w:tcPr>
            <w:tcW w:w="2400" w:type="dxa"/>
          </w:tcPr>
          <w:p w14:paraId="6E22C496" w14:textId="77777777" w:rsidR="00C34E4A" w:rsidRPr="0029110D" w:rsidRDefault="00C34E4A">
            <w:r w:rsidRPr="0029110D">
              <w:t>Терапия статинами</w:t>
            </w:r>
          </w:p>
        </w:tc>
        <w:tc>
          <w:tcPr>
            <w:tcW w:w="1801" w:type="dxa"/>
            <w:vAlign w:val="center"/>
          </w:tcPr>
          <w:p w14:paraId="46DCAF5E" w14:textId="7161EAA3" w:rsidR="00C34E4A" w:rsidRPr="0029110D" w:rsidRDefault="00C34E4A" w:rsidP="00AB1FF1">
            <w:pPr>
              <w:jc w:val="center"/>
            </w:pPr>
            <w:r w:rsidRPr="0029110D">
              <w:t>7</w:t>
            </w:r>
            <w:r w:rsidR="001451CD" w:rsidRPr="0029110D">
              <w:t>,</w:t>
            </w:r>
            <w:r w:rsidRPr="0029110D">
              <w:t>2</w:t>
            </w:r>
          </w:p>
        </w:tc>
        <w:tc>
          <w:tcPr>
            <w:tcW w:w="1725" w:type="dxa"/>
            <w:vAlign w:val="center"/>
          </w:tcPr>
          <w:p w14:paraId="1B40932D" w14:textId="54736348" w:rsidR="00C34E4A" w:rsidRPr="0029110D" w:rsidRDefault="00C34E4A" w:rsidP="00AB1FF1">
            <w:pPr>
              <w:jc w:val="center"/>
            </w:pPr>
            <w:r w:rsidRPr="0029110D">
              <w:t>8</w:t>
            </w:r>
            <w:r w:rsidR="001451CD" w:rsidRPr="0029110D">
              <w:t>,</w:t>
            </w:r>
            <w:r w:rsidRPr="0029110D">
              <w:t>5</w:t>
            </w:r>
          </w:p>
        </w:tc>
        <w:tc>
          <w:tcPr>
            <w:tcW w:w="1701" w:type="dxa"/>
            <w:vAlign w:val="center"/>
          </w:tcPr>
          <w:p w14:paraId="175AD9A7" w14:textId="69B4997F" w:rsidR="00C34E4A" w:rsidRPr="0029110D" w:rsidRDefault="00C34E4A" w:rsidP="00AB1FF1">
            <w:pPr>
              <w:jc w:val="center"/>
            </w:pPr>
            <w:r w:rsidRPr="0029110D">
              <w:t>9</w:t>
            </w:r>
            <w:r w:rsidR="001451CD" w:rsidRPr="0029110D">
              <w:t>,</w:t>
            </w:r>
            <w:r w:rsidRPr="0029110D">
              <w:t>9</w:t>
            </w:r>
          </w:p>
        </w:tc>
        <w:tc>
          <w:tcPr>
            <w:tcW w:w="1702" w:type="dxa"/>
            <w:vAlign w:val="center"/>
          </w:tcPr>
          <w:p w14:paraId="135C86E8" w14:textId="50717CE5" w:rsidR="00C34E4A" w:rsidRPr="0029110D" w:rsidRDefault="00C34E4A" w:rsidP="00AB1FF1">
            <w:pPr>
              <w:jc w:val="center"/>
            </w:pPr>
            <w:r w:rsidRPr="0029110D">
              <w:t>18</w:t>
            </w:r>
            <w:r w:rsidR="001451CD" w:rsidRPr="0029110D">
              <w:t>,</w:t>
            </w:r>
            <w:r w:rsidRPr="0029110D">
              <w:t>2</w:t>
            </w:r>
          </w:p>
        </w:tc>
      </w:tr>
      <w:tr w:rsidR="00C34E4A" w:rsidRPr="00973A5A" w14:paraId="7DE90554" w14:textId="77777777" w:rsidTr="00AB1FF1">
        <w:tc>
          <w:tcPr>
            <w:tcW w:w="2400" w:type="dxa"/>
          </w:tcPr>
          <w:p w14:paraId="0288C1F5" w14:textId="77777777" w:rsidR="00C34E4A" w:rsidRPr="0029110D" w:rsidRDefault="00C34E4A">
            <w:r w:rsidRPr="0029110D">
              <w:t>Почечная недостаточность</w:t>
            </w:r>
          </w:p>
        </w:tc>
        <w:tc>
          <w:tcPr>
            <w:tcW w:w="1801" w:type="dxa"/>
            <w:vAlign w:val="center"/>
          </w:tcPr>
          <w:p w14:paraId="53857905" w14:textId="77777777" w:rsidR="00C34E4A" w:rsidRPr="0029110D" w:rsidRDefault="00C34E4A" w:rsidP="00AB1FF1">
            <w:pPr>
              <w:jc w:val="center"/>
            </w:pPr>
            <w:r w:rsidRPr="0029110D">
              <w:t>0</w:t>
            </w:r>
          </w:p>
        </w:tc>
        <w:tc>
          <w:tcPr>
            <w:tcW w:w="1725" w:type="dxa"/>
            <w:vAlign w:val="center"/>
          </w:tcPr>
          <w:p w14:paraId="42808451" w14:textId="77777777" w:rsidR="00C34E4A" w:rsidRPr="0029110D" w:rsidRDefault="00C34E4A" w:rsidP="00AB1FF1">
            <w:pPr>
              <w:jc w:val="center"/>
            </w:pPr>
            <w:r w:rsidRPr="0029110D">
              <w:t>0</w:t>
            </w:r>
          </w:p>
        </w:tc>
        <w:tc>
          <w:tcPr>
            <w:tcW w:w="1701" w:type="dxa"/>
            <w:vAlign w:val="center"/>
          </w:tcPr>
          <w:p w14:paraId="5760FD8D" w14:textId="2CD13C47" w:rsidR="00C34E4A" w:rsidRPr="0029110D" w:rsidRDefault="00C34E4A" w:rsidP="00AB1FF1">
            <w:pPr>
              <w:jc w:val="center"/>
            </w:pPr>
            <w:r w:rsidRPr="0029110D">
              <w:t>0</w:t>
            </w:r>
            <w:r w:rsidR="001451CD" w:rsidRPr="0029110D">
              <w:t>,</w:t>
            </w:r>
            <w:r w:rsidRPr="0029110D">
              <w:t>6</w:t>
            </w:r>
          </w:p>
        </w:tc>
        <w:tc>
          <w:tcPr>
            <w:tcW w:w="1702" w:type="dxa"/>
            <w:vAlign w:val="center"/>
          </w:tcPr>
          <w:p w14:paraId="3EEBFA2A" w14:textId="72023686" w:rsidR="00C34E4A" w:rsidRPr="0029110D" w:rsidRDefault="00C34E4A" w:rsidP="00AB1FF1">
            <w:pPr>
              <w:jc w:val="center"/>
            </w:pPr>
            <w:r w:rsidRPr="0029110D">
              <w:t>1</w:t>
            </w:r>
            <w:r w:rsidR="001451CD" w:rsidRPr="0029110D">
              <w:t>,</w:t>
            </w:r>
            <w:r w:rsidRPr="0029110D">
              <w:t>1</w:t>
            </w:r>
          </w:p>
        </w:tc>
      </w:tr>
      <w:tr w:rsidR="00C34E4A" w:rsidRPr="00973A5A" w14:paraId="61159BBA" w14:textId="77777777" w:rsidTr="00AB1FF1">
        <w:tc>
          <w:tcPr>
            <w:tcW w:w="9329" w:type="dxa"/>
            <w:gridSpan w:val="5"/>
          </w:tcPr>
          <w:p w14:paraId="6F7E732E" w14:textId="7C4C84F3" w:rsidR="00C34E4A" w:rsidRPr="0029110D" w:rsidRDefault="003E7F6A">
            <w:pPr>
              <w:rPr>
                <w:sz w:val="20"/>
                <w:szCs w:val="20"/>
              </w:rPr>
            </w:pPr>
            <w:r w:rsidRPr="0029110D">
              <w:rPr>
                <w:b/>
                <w:sz w:val="20"/>
                <w:szCs w:val="20"/>
              </w:rPr>
              <w:t>Примечание:</w:t>
            </w:r>
            <w:r w:rsidRPr="0029110D">
              <w:rPr>
                <w:sz w:val="20"/>
                <w:szCs w:val="20"/>
              </w:rPr>
              <w:br/>
            </w:r>
            <w:r w:rsidR="00C34E4A" w:rsidRPr="0029110D">
              <w:rPr>
                <w:sz w:val="20"/>
                <w:szCs w:val="20"/>
              </w:rPr>
              <w:t>MTX-naïve</w:t>
            </w:r>
            <w:r w:rsidR="00C34E4A" w:rsidRPr="0029110D">
              <w:rPr>
                <w:color w:val="000000"/>
                <w:sz w:val="20"/>
                <w:szCs w:val="20"/>
              </w:rPr>
              <w:t xml:space="preserve"> – пациенты, получившие менее 3 доз метотрексата (МТХ); наивные к другим обычным или биологическим </w:t>
            </w:r>
            <w:r w:rsidR="00C34E4A" w:rsidRPr="0029110D">
              <w:rPr>
                <w:iCs/>
                <w:sz w:val="20"/>
                <w:szCs w:val="20"/>
                <w:lang w:eastAsia="ru-RU"/>
              </w:rPr>
              <w:t>БМАРП</w:t>
            </w:r>
            <w:r w:rsidR="00C34E4A" w:rsidRPr="0029110D">
              <w:rPr>
                <w:color w:val="000000"/>
                <w:sz w:val="20"/>
                <w:szCs w:val="20"/>
              </w:rPr>
              <w:t xml:space="preserve">; </w:t>
            </w:r>
            <w:r w:rsidR="00C34E4A" w:rsidRPr="0029110D">
              <w:rPr>
                <w:iCs/>
                <w:sz w:val="20"/>
                <w:szCs w:val="20"/>
                <w:lang w:eastAsia="ru-RU"/>
              </w:rPr>
              <w:t xml:space="preserve">БМАРП </w:t>
            </w:r>
            <w:r w:rsidR="00C34E4A" w:rsidRPr="0029110D">
              <w:rPr>
                <w:color w:val="000000"/>
                <w:sz w:val="20"/>
                <w:szCs w:val="20"/>
              </w:rPr>
              <w:t xml:space="preserve">– </w:t>
            </w:r>
            <w:r w:rsidR="00C34E4A" w:rsidRPr="0029110D">
              <w:rPr>
                <w:iCs/>
                <w:sz w:val="20"/>
                <w:szCs w:val="20"/>
                <w:lang w:eastAsia="ru-RU"/>
              </w:rPr>
              <w:t>базисные противовоспалительные препараты</w:t>
            </w:r>
            <w:r w:rsidR="00C34E4A" w:rsidRPr="0029110D">
              <w:rPr>
                <w:color w:val="000000"/>
                <w:sz w:val="20"/>
                <w:szCs w:val="20"/>
              </w:rPr>
              <w:t>; IR – неадекватный клинический ответ; TNF – фактор некроза опухоли.</w:t>
            </w:r>
          </w:p>
        </w:tc>
      </w:tr>
    </w:tbl>
    <w:p w14:paraId="59F3D116" w14:textId="77777777" w:rsidR="00C34E4A" w:rsidRDefault="00C34E4A">
      <w:pPr>
        <w:tabs>
          <w:tab w:val="left" w:pos="2730"/>
        </w:tabs>
        <w:spacing w:after="0" w:line="240" w:lineRule="auto"/>
      </w:pPr>
    </w:p>
    <w:p w14:paraId="79A92543" w14:textId="4BA129F1" w:rsidR="00C34E4A" w:rsidRPr="005D2DF4" w:rsidRDefault="005D2DF4">
      <w:pPr>
        <w:tabs>
          <w:tab w:val="left" w:pos="2730"/>
        </w:tabs>
        <w:spacing w:after="0" w:line="240" w:lineRule="auto"/>
        <w:rPr>
          <w:b/>
          <w:iCs/>
        </w:rPr>
      </w:pPr>
      <w:r w:rsidRPr="005D2DF4">
        <w:rPr>
          <w:b/>
        </w:rPr>
        <w:t>4.3.2.</w:t>
      </w:r>
      <w:r>
        <w:rPr>
          <w:b/>
        </w:rPr>
        <w:t>1.1</w:t>
      </w:r>
      <w:r w:rsidRPr="005D2DF4">
        <w:rPr>
          <w:b/>
        </w:rPr>
        <w:t xml:space="preserve">. </w:t>
      </w:r>
      <w:r w:rsidR="00C34E4A" w:rsidRPr="005D2DF4">
        <w:rPr>
          <w:b/>
          <w:iCs/>
        </w:rPr>
        <w:t>Нежелательные явления</w:t>
      </w:r>
    </w:p>
    <w:p w14:paraId="2740A2A2" w14:textId="77777777" w:rsidR="005D2DF4" w:rsidRDefault="005D2DF4">
      <w:pPr>
        <w:tabs>
          <w:tab w:val="left" w:pos="2730"/>
        </w:tabs>
        <w:spacing w:after="0" w:line="240" w:lineRule="auto"/>
        <w:ind w:firstLine="709"/>
      </w:pPr>
    </w:p>
    <w:p w14:paraId="6907673C" w14:textId="02BD8642" w:rsidR="00C34E4A" w:rsidRDefault="00C34E4A">
      <w:pPr>
        <w:tabs>
          <w:tab w:val="left" w:pos="2730"/>
        </w:tabs>
        <w:spacing w:after="0" w:line="240" w:lineRule="auto"/>
        <w:ind w:firstLine="709"/>
      </w:pPr>
      <w:r>
        <w:t xml:space="preserve">Нежелательные явления (НЯ), возникшие при лечении, в рамках системно-органного класса (классификация MedDRA) барицитиниба и плацебо до 24-й недели представлены в </w:t>
      </w:r>
      <w:r w:rsidR="003E7F6A">
        <w:t>Таблице 4-13</w:t>
      </w:r>
      <w:r>
        <w:t xml:space="preserve"> </w:t>
      </w:r>
      <w:r>
        <w:fldChar w:fldCharType="begin"/>
      </w:r>
      <w:r>
        <w:instrText xml:space="preserve"> ADDIN ZOTERO_ITEM CSL_CITATION {"citationID":"M6qhd2nN","properties":{"formattedCitation":"[1]","plainCitation":"[1]","noteIndex":0},"citationItems":[{"id":3826,"uris":["http://zotero.org/groups/4514912/items/UB7ESC4C"],"itemData":{"id":3826,"type":"document","title":"Assessment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5C105837" w14:textId="77777777" w:rsidR="00C34E4A" w:rsidRDefault="00C34E4A">
      <w:pPr>
        <w:tabs>
          <w:tab w:val="left" w:pos="2730"/>
        </w:tabs>
        <w:spacing w:after="0" w:line="240" w:lineRule="auto"/>
        <w:ind w:firstLine="709"/>
      </w:pPr>
    </w:p>
    <w:p w14:paraId="0D3F33BF" w14:textId="77777777" w:rsidR="0029110D" w:rsidRDefault="0029110D">
      <w:pPr>
        <w:tabs>
          <w:tab w:val="left" w:pos="2730"/>
        </w:tabs>
        <w:spacing w:after="0" w:line="240" w:lineRule="auto"/>
        <w:rPr>
          <w:b/>
          <w:bCs/>
        </w:rPr>
        <w:sectPr w:rsidR="0029110D" w:rsidSect="00AB01E2">
          <w:pgSz w:w="11906" w:h="16838"/>
          <w:pgMar w:top="1134" w:right="849" w:bottom="1134" w:left="1701" w:header="708" w:footer="709" w:gutter="0"/>
          <w:cols w:space="708"/>
          <w:docGrid w:linePitch="360"/>
        </w:sectPr>
      </w:pPr>
    </w:p>
    <w:p w14:paraId="7A1513A3" w14:textId="0323BE11" w:rsidR="00C34E4A" w:rsidRPr="00973A5A" w:rsidRDefault="003E7F6A">
      <w:pPr>
        <w:tabs>
          <w:tab w:val="left" w:pos="2730"/>
        </w:tabs>
        <w:spacing w:after="0" w:line="240" w:lineRule="auto"/>
        <w:rPr>
          <w:b/>
          <w:bCs/>
        </w:rPr>
      </w:pPr>
      <w:r>
        <w:rPr>
          <w:b/>
          <w:bCs/>
        </w:rPr>
        <w:lastRenderedPageBreak/>
        <w:t>Таблица 4-13.</w:t>
      </w:r>
      <w:r w:rsidR="00C34E4A" w:rsidRPr="00973A5A">
        <w:rPr>
          <w:b/>
          <w:bCs/>
        </w:rPr>
        <w:t xml:space="preserve"> </w:t>
      </w:r>
      <w:r w:rsidR="00C34E4A" w:rsidRPr="003E7F6A">
        <w:rPr>
          <w:bCs/>
        </w:rPr>
        <w:t>Нежелательные явления, возникающие при лечении барицитинибом в дозе 4 мг и плацебо до 24-й недели (классификация MedDRA)</w:t>
      </w:r>
      <w:r w:rsidRPr="003E7F6A">
        <w:rPr>
          <w:bCs/>
        </w:rPr>
        <w:t>.</w:t>
      </w:r>
    </w:p>
    <w:tbl>
      <w:tblPr>
        <w:tblStyle w:val="a8"/>
        <w:tblW w:w="4873" w:type="pct"/>
        <w:tblInd w:w="136" w:type="dxa"/>
        <w:tblLook w:val="04A0" w:firstRow="1" w:lastRow="0" w:firstColumn="1" w:lastColumn="0" w:noHBand="0" w:noVBand="1"/>
      </w:tblPr>
      <w:tblGrid>
        <w:gridCol w:w="3192"/>
        <w:gridCol w:w="3190"/>
        <w:gridCol w:w="2947"/>
      </w:tblGrid>
      <w:tr w:rsidR="00C34E4A" w:rsidRPr="00AB1FF1" w14:paraId="5CE176D9" w14:textId="77777777" w:rsidTr="0029110D">
        <w:trPr>
          <w:tblHeader/>
        </w:trPr>
        <w:tc>
          <w:tcPr>
            <w:tcW w:w="3191" w:type="dxa"/>
            <w:shd w:val="clear" w:color="auto" w:fill="D9D9D9" w:themeFill="background1" w:themeFillShade="D9"/>
            <w:vAlign w:val="center"/>
          </w:tcPr>
          <w:p w14:paraId="1CC11B42" w14:textId="7A516197" w:rsidR="00C34E4A" w:rsidRPr="003E7F6A" w:rsidRDefault="0029110D" w:rsidP="0029110D">
            <w:pPr>
              <w:tabs>
                <w:tab w:val="left" w:pos="2730"/>
              </w:tabs>
              <w:jc w:val="center"/>
              <w:rPr>
                <w:b/>
                <w:bCs/>
              </w:rPr>
            </w:pPr>
            <w:r>
              <w:rPr>
                <w:b/>
                <w:bCs/>
              </w:rPr>
              <w:t>Параметр</w:t>
            </w:r>
          </w:p>
        </w:tc>
        <w:tc>
          <w:tcPr>
            <w:tcW w:w="3190" w:type="dxa"/>
            <w:shd w:val="clear" w:color="auto" w:fill="D9D9D9" w:themeFill="background1" w:themeFillShade="D9"/>
            <w:vAlign w:val="center"/>
          </w:tcPr>
          <w:p w14:paraId="373F74EA" w14:textId="66CEAFC6" w:rsidR="00C34E4A" w:rsidRPr="003E7F6A" w:rsidRDefault="00C34E4A">
            <w:pPr>
              <w:tabs>
                <w:tab w:val="left" w:pos="2730"/>
              </w:tabs>
              <w:jc w:val="center"/>
              <w:rPr>
                <w:b/>
                <w:bCs/>
                <w:lang w:val="en-US"/>
              </w:rPr>
            </w:pPr>
            <w:r w:rsidRPr="003E7F6A">
              <w:rPr>
                <w:b/>
                <w:bCs/>
                <w:lang w:val="en-US"/>
              </w:rPr>
              <w:t>PBO (n=1070) (PYE</w:t>
            </w:r>
            <w:r w:rsidR="003E7F6A" w:rsidRPr="003E7F6A">
              <w:rPr>
                <w:b/>
                <w:bCs/>
                <w:lang w:val="en-US"/>
              </w:rPr>
              <w:t>=393.8)</w:t>
            </w:r>
            <w:r w:rsidR="003E7F6A" w:rsidRPr="003E7F6A">
              <w:rPr>
                <w:b/>
                <w:bCs/>
                <w:lang w:val="en-US"/>
              </w:rPr>
              <w:br/>
            </w:r>
            <w:r w:rsidRPr="003E7F6A">
              <w:rPr>
                <w:b/>
                <w:bCs/>
                <w:lang w:val="en-US"/>
              </w:rPr>
              <w:t>n (%) [PY]</w:t>
            </w:r>
          </w:p>
        </w:tc>
        <w:tc>
          <w:tcPr>
            <w:tcW w:w="2947" w:type="dxa"/>
            <w:shd w:val="clear" w:color="auto" w:fill="D9D9D9" w:themeFill="background1" w:themeFillShade="D9"/>
            <w:vAlign w:val="center"/>
          </w:tcPr>
          <w:p w14:paraId="187508DB" w14:textId="77777777" w:rsidR="00C34E4A" w:rsidRPr="005B11AD" w:rsidRDefault="00C34E4A">
            <w:pPr>
              <w:tabs>
                <w:tab w:val="left" w:pos="2730"/>
              </w:tabs>
              <w:jc w:val="center"/>
              <w:rPr>
                <w:b/>
                <w:bCs/>
                <w:lang w:val="en-US"/>
              </w:rPr>
            </w:pPr>
            <w:r w:rsidRPr="003E7F6A">
              <w:rPr>
                <w:b/>
                <w:bCs/>
                <w:lang w:val="en-US"/>
              </w:rPr>
              <w:t>BARI</w:t>
            </w:r>
            <w:r w:rsidRPr="005B11AD">
              <w:rPr>
                <w:b/>
                <w:bCs/>
                <w:lang w:val="en-US"/>
              </w:rPr>
              <w:t xml:space="preserve"> 4-</w:t>
            </w:r>
            <w:r w:rsidRPr="003E7F6A">
              <w:rPr>
                <w:b/>
                <w:bCs/>
                <w:lang w:val="en-US"/>
              </w:rPr>
              <w:t>mg</w:t>
            </w:r>
            <w:r w:rsidRPr="005B11AD">
              <w:rPr>
                <w:b/>
                <w:bCs/>
                <w:lang w:val="en-US"/>
              </w:rPr>
              <w:t xml:space="preserve"> (</w:t>
            </w:r>
            <w:r w:rsidRPr="003E7F6A">
              <w:rPr>
                <w:b/>
                <w:bCs/>
                <w:lang w:val="en-US"/>
              </w:rPr>
              <w:t>n</w:t>
            </w:r>
            <w:r w:rsidRPr="005B11AD">
              <w:rPr>
                <w:b/>
                <w:bCs/>
                <w:lang w:val="en-US"/>
              </w:rPr>
              <w:t>=997) (</w:t>
            </w:r>
            <w:r w:rsidRPr="003E7F6A">
              <w:rPr>
                <w:b/>
                <w:bCs/>
                <w:lang w:val="en-US"/>
              </w:rPr>
              <w:t>PYE</w:t>
            </w:r>
            <w:r w:rsidRPr="005B11AD">
              <w:rPr>
                <w:b/>
                <w:bCs/>
                <w:lang w:val="en-US"/>
              </w:rPr>
              <w:t xml:space="preserve">=409.4) </w:t>
            </w:r>
            <w:r w:rsidRPr="003E7F6A">
              <w:rPr>
                <w:b/>
                <w:bCs/>
                <w:lang w:val="en-US"/>
              </w:rPr>
              <w:t>n</w:t>
            </w:r>
            <w:r w:rsidRPr="005B11AD">
              <w:rPr>
                <w:b/>
                <w:bCs/>
                <w:lang w:val="en-US"/>
              </w:rPr>
              <w:t xml:space="preserve"> (%) [</w:t>
            </w:r>
            <w:r w:rsidRPr="003E7F6A">
              <w:rPr>
                <w:b/>
                <w:bCs/>
                <w:lang w:val="en-US"/>
              </w:rPr>
              <w:t>PY</w:t>
            </w:r>
            <w:r w:rsidRPr="005B11AD">
              <w:rPr>
                <w:b/>
                <w:bCs/>
                <w:lang w:val="en-US"/>
              </w:rPr>
              <w:t>]</w:t>
            </w:r>
          </w:p>
        </w:tc>
      </w:tr>
      <w:tr w:rsidR="00C34E4A" w:rsidRPr="002F4447" w14:paraId="092B2763" w14:textId="77777777" w:rsidTr="00AB1FF1">
        <w:tc>
          <w:tcPr>
            <w:tcW w:w="3191" w:type="dxa"/>
          </w:tcPr>
          <w:p w14:paraId="50995300" w14:textId="77777777" w:rsidR="00C34E4A" w:rsidRPr="003E7F6A" w:rsidRDefault="00C34E4A">
            <w:pPr>
              <w:tabs>
                <w:tab w:val="left" w:pos="2730"/>
              </w:tabs>
            </w:pPr>
            <w:r w:rsidRPr="003E7F6A">
              <w:t>Пациенты с ≥ 1 TEAE</w:t>
            </w:r>
          </w:p>
        </w:tc>
        <w:tc>
          <w:tcPr>
            <w:tcW w:w="3190" w:type="dxa"/>
            <w:vAlign w:val="center"/>
          </w:tcPr>
          <w:p w14:paraId="2511FD9E" w14:textId="4BB77D06" w:rsidR="00C34E4A" w:rsidRPr="003E7F6A" w:rsidRDefault="00C34E4A" w:rsidP="00AB1FF1">
            <w:pPr>
              <w:tabs>
                <w:tab w:val="left" w:pos="2730"/>
              </w:tabs>
              <w:jc w:val="center"/>
            </w:pPr>
            <w:r w:rsidRPr="003E7F6A">
              <w:t>659 (61</w:t>
            </w:r>
            <w:r w:rsidR="001451CD">
              <w:t>,</w:t>
            </w:r>
            <w:r w:rsidRPr="003E7F6A">
              <w:t>6) [167</w:t>
            </w:r>
            <w:r w:rsidR="001451CD">
              <w:t>,</w:t>
            </w:r>
            <w:r w:rsidRPr="003E7F6A">
              <w:t>3]</w:t>
            </w:r>
          </w:p>
        </w:tc>
        <w:tc>
          <w:tcPr>
            <w:tcW w:w="2947" w:type="dxa"/>
            <w:vAlign w:val="center"/>
          </w:tcPr>
          <w:p w14:paraId="3E3B6F57" w14:textId="29227CC1" w:rsidR="00C34E4A" w:rsidRPr="003E7F6A" w:rsidRDefault="00C34E4A" w:rsidP="00AB1FF1">
            <w:pPr>
              <w:tabs>
                <w:tab w:val="left" w:pos="2730"/>
              </w:tabs>
              <w:jc w:val="center"/>
              <w:rPr>
                <w:lang w:val="en-US"/>
              </w:rPr>
            </w:pPr>
            <w:r w:rsidRPr="003E7F6A">
              <w:t>695 (69</w:t>
            </w:r>
            <w:r w:rsidR="001451CD">
              <w:t>,</w:t>
            </w:r>
            <w:r w:rsidRPr="003E7F6A">
              <w:t>7) [169</w:t>
            </w:r>
            <w:r w:rsidR="001451CD">
              <w:t>,</w:t>
            </w:r>
            <w:r w:rsidRPr="003E7F6A">
              <w:t>8]</w:t>
            </w:r>
          </w:p>
        </w:tc>
      </w:tr>
      <w:tr w:rsidR="00C34E4A" w:rsidRPr="002F4447" w14:paraId="027A869B" w14:textId="77777777" w:rsidTr="00AB1FF1">
        <w:tc>
          <w:tcPr>
            <w:tcW w:w="3191" w:type="dxa"/>
          </w:tcPr>
          <w:p w14:paraId="5792BF14" w14:textId="77777777" w:rsidR="00C34E4A" w:rsidRPr="003E7F6A" w:rsidRDefault="00C34E4A">
            <w:pPr>
              <w:tabs>
                <w:tab w:val="left" w:pos="2730"/>
              </w:tabs>
            </w:pPr>
            <w:r w:rsidRPr="003E7F6A">
              <w:t>Нарушения со стороны крови и лимфатической системы</w:t>
            </w:r>
          </w:p>
        </w:tc>
        <w:tc>
          <w:tcPr>
            <w:tcW w:w="3190" w:type="dxa"/>
            <w:vAlign w:val="center"/>
          </w:tcPr>
          <w:p w14:paraId="33B9525C" w14:textId="6FFF490C" w:rsidR="00C34E4A" w:rsidRPr="003E7F6A" w:rsidRDefault="00C34E4A" w:rsidP="00AB1FF1">
            <w:pPr>
              <w:tabs>
                <w:tab w:val="left" w:pos="2730"/>
              </w:tabs>
              <w:jc w:val="center"/>
              <w:rPr>
                <w:lang w:val="en-US"/>
              </w:rPr>
            </w:pPr>
            <w:r w:rsidRPr="003E7F6A">
              <w:t>48 (4</w:t>
            </w:r>
            <w:r w:rsidR="001451CD">
              <w:t>,</w:t>
            </w:r>
            <w:r w:rsidRPr="003E7F6A">
              <w:t>5) [12</w:t>
            </w:r>
            <w:r w:rsidR="001451CD">
              <w:t>,</w:t>
            </w:r>
            <w:r w:rsidRPr="003E7F6A">
              <w:t>2]</w:t>
            </w:r>
          </w:p>
        </w:tc>
        <w:tc>
          <w:tcPr>
            <w:tcW w:w="2947" w:type="dxa"/>
            <w:vAlign w:val="center"/>
          </w:tcPr>
          <w:p w14:paraId="67996312" w14:textId="7D799D29" w:rsidR="00C34E4A" w:rsidRPr="003E7F6A" w:rsidRDefault="00C34E4A" w:rsidP="00AB1FF1">
            <w:pPr>
              <w:tabs>
                <w:tab w:val="left" w:pos="2730"/>
              </w:tabs>
              <w:jc w:val="center"/>
              <w:rPr>
                <w:lang w:val="en-US"/>
              </w:rPr>
            </w:pPr>
            <w:r w:rsidRPr="003E7F6A">
              <w:t>54 (5</w:t>
            </w:r>
            <w:r w:rsidR="001451CD">
              <w:t>,</w:t>
            </w:r>
            <w:r w:rsidRPr="003E7F6A">
              <w:t>4) [13</w:t>
            </w:r>
            <w:r w:rsidR="001451CD">
              <w:t>,</w:t>
            </w:r>
            <w:r w:rsidRPr="003E7F6A">
              <w:t>2]</w:t>
            </w:r>
          </w:p>
        </w:tc>
      </w:tr>
      <w:tr w:rsidR="00C34E4A" w:rsidRPr="002F4447" w14:paraId="464C3D0E" w14:textId="77777777" w:rsidTr="00AB1FF1">
        <w:tc>
          <w:tcPr>
            <w:tcW w:w="3191" w:type="dxa"/>
          </w:tcPr>
          <w:p w14:paraId="318A8C5A" w14:textId="77777777" w:rsidR="00C34E4A" w:rsidRPr="003E7F6A" w:rsidRDefault="00C34E4A">
            <w:pPr>
              <w:tabs>
                <w:tab w:val="left" w:pos="2730"/>
              </w:tabs>
            </w:pPr>
            <w:r w:rsidRPr="003E7F6A">
              <w:t>нарушения со стороны сердца</w:t>
            </w:r>
          </w:p>
        </w:tc>
        <w:tc>
          <w:tcPr>
            <w:tcW w:w="3190" w:type="dxa"/>
            <w:vAlign w:val="center"/>
          </w:tcPr>
          <w:p w14:paraId="2B371A56" w14:textId="3A6C5572" w:rsidR="00C34E4A" w:rsidRPr="003E7F6A" w:rsidRDefault="00C34E4A" w:rsidP="00AB1FF1">
            <w:pPr>
              <w:tabs>
                <w:tab w:val="left" w:pos="2730"/>
              </w:tabs>
              <w:jc w:val="center"/>
              <w:rPr>
                <w:lang w:val="en-US"/>
              </w:rPr>
            </w:pPr>
            <w:r w:rsidRPr="003E7F6A">
              <w:t>8 (0</w:t>
            </w:r>
            <w:r w:rsidR="001451CD">
              <w:t>,</w:t>
            </w:r>
            <w:r w:rsidRPr="003E7F6A">
              <w:t>7) [2</w:t>
            </w:r>
            <w:r w:rsidR="001451CD">
              <w:t>,</w:t>
            </w:r>
            <w:r w:rsidRPr="003E7F6A">
              <w:t>0]</w:t>
            </w:r>
          </w:p>
        </w:tc>
        <w:tc>
          <w:tcPr>
            <w:tcW w:w="2947" w:type="dxa"/>
            <w:vAlign w:val="center"/>
          </w:tcPr>
          <w:p w14:paraId="7BFA2437" w14:textId="2A62C93F" w:rsidR="00C34E4A" w:rsidRPr="003E7F6A" w:rsidRDefault="00C34E4A" w:rsidP="00AB1FF1">
            <w:pPr>
              <w:tabs>
                <w:tab w:val="left" w:pos="2730"/>
              </w:tabs>
              <w:jc w:val="center"/>
              <w:rPr>
                <w:lang w:val="en-US"/>
              </w:rPr>
            </w:pPr>
            <w:r w:rsidRPr="003E7F6A">
              <w:t>13 (1</w:t>
            </w:r>
            <w:r w:rsidR="001451CD">
              <w:t>,</w:t>
            </w:r>
            <w:r w:rsidRPr="003E7F6A">
              <w:t>3) [3</w:t>
            </w:r>
            <w:r w:rsidR="001451CD">
              <w:t>,</w:t>
            </w:r>
            <w:r w:rsidRPr="003E7F6A">
              <w:t>2]</w:t>
            </w:r>
          </w:p>
        </w:tc>
      </w:tr>
      <w:tr w:rsidR="00C34E4A" w:rsidRPr="002F4447" w14:paraId="35336237" w14:textId="77777777" w:rsidTr="00AB1FF1">
        <w:tc>
          <w:tcPr>
            <w:tcW w:w="3191" w:type="dxa"/>
          </w:tcPr>
          <w:p w14:paraId="75CF0B4A" w14:textId="77777777" w:rsidR="00C34E4A" w:rsidRPr="003E7F6A" w:rsidRDefault="00C34E4A">
            <w:pPr>
              <w:tabs>
                <w:tab w:val="left" w:pos="2730"/>
              </w:tabs>
            </w:pPr>
            <w:r w:rsidRPr="003E7F6A">
              <w:t>нарушения со стороны сосудов</w:t>
            </w:r>
          </w:p>
        </w:tc>
        <w:tc>
          <w:tcPr>
            <w:tcW w:w="3190" w:type="dxa"/>
            <w:vAlign w:val="center"/>
          </w:tcPr>
          <w:p w14:paraId="22F1017B" w14:textId="69F0F541" w:rsidR="00C34E4A" w:rsidRPr="003E7F6A" w:rsidRDefault="00C34E4A" w:rsidP="00AB1FF1">
            <w:pPr>
              <w:tabs>
                <w:tab w:val="left" w:pos="2730"/>
              </w:tabs>
              <w:jc w:val="center"/>
              <w:rPr>
                <w:lang w:val="en-US"/>
              </w:rPr>
            </w:pPr>
            <w:r w:rsidRPr="003E7F6A">
              <w:t>35 (3</w:t>
            </w:r>
            <w:r w:rsidR="001451CD">
              <w:t>,</w:t>
            </w:r>
            <w:r w:rsidRPr="003E7F6A">
              <w:t>3) [8</w:t>
            </w:r>
            <w:r w:rsidR="001451CD">
              <w:t>,</w:t>
            </w:r>
            <w:r w:rsidRPr="003E7F6A">
              <w:t>9]</w:t>
            </w:r>
          </w:p>
        </w:tc>
        <w:tc>
          <w:tcPr>
            <w:tcW w:w="2947" w:type="dxa"/>
            <w:vAlign w:val="center"/>
          </w:tcPr>
          <w:p w14:paraId="12D29F3B" w14:textId="2ED65D63" w:rsidR="00C34E4A" w:rsidRPr="003E7F6A" w:rsidRDefault="00C34E4A" w:rsidP="00AB1FF1">
            <w:pPr>
              <w:tabs>
                <w:tab w:val="left" w:pos="2730"/>
              </w:tabs>
              <w:jc w:val="center"/>
              <w:rPr>
                <w:lang w:val="en-US"/>
              </w:rPr>
            </w:pPr>
            <w:r w:rsidRPr="003E7F6A">
              <w:t>39 (3</w:t>
            </w:r>
            <w:r w:rsidR="001451CD">
              <w:t>,</w:t>
            </w:r>
            <w:r w:rsidRPr="003E7F6A">
              <w:t>9) [9</w:t>
            </w:r>
            <w:r w:rsidR="001451CD">
              <w:t>,</w:t>
            </w:r>
            <w:r w:rsidRPr="003E7F6A">
              <w:t>5]</w:t>
            </w:r>
          </w:p>
        </w:tc>
      </w:tr>
      <w:tr w:rsidR="00C34E4A" w:rsidRPr="002F4447" w14:paraId="4173A5EB" w14:textId="77777777" w:rsidTr="00AB1FF1">
        <w:tc>
          <w:tcPr>
            <w:tcW w:w="3191" w:type="dxa"/>
          </w:tcPr>
          <w:p w14:paraId="0F4BB246" w14:textId="77777777" w:rsidR="00C34E4A" w:rsidRPr="003E7F6A" w:rsidRDefault="00C34E4A">
            <w:pPr>
              <w:tabs>
                <w:tab w:val="left" w:pos="2730"/>
              </w:tabs>
            </w:pPr>
            <w:r w:rsidRPr="003E7F6A">
              <w:t>Врожденные, семейные и генетические нарушения</w:t>
            </w:r>
          </w:p>
        </w:tc>
        <w:tc>
          <w:tcPr>
            <w:tcW w:w="3190" w:type="dxa"/>
            <w:vAlign w:val="center"/>
          </w:tcPr>
          <w:p w14:paraId="6602D62F" w14:textId="77777777" w:rsidR="00C34E4A" w:rsidRPr="003E7F6A" w:rsidRDefault="00C34E4A" w:rsidP="00AB1FF1">
            <w:pPr>
              <w:tabs>
                <w:tab w:val="left" w:pos="2730"/>
              </w:tabs>
              <w:jc w:val="center"/>
            </w:pPr>
            <w:r w:rsidRPr="003E7F6A">
              <w:t>0</w:t>
            </w:r>
          </w:p>
        </w:tc>
        <w:tc>
          <w:tcPr>
            <w:tcW w:w="2947" w:type="dxa"/>
            <w:vAlign w:val="center"/>
          </w:tcPr>
          <w:p w14:paraId="15DFB01B" w14:textId="78DC4EA8" w:rsidR="00C34E4A" w:rsidRPr="003E7F6A" w:rsidRDefault="00C34E4A" w:rsidP="00AB1FF1">
            <w:pPr>
              <w:tabs>
                <w:tab w:val="left" w:pos="2730"/>
              </w:tabs>
              <w:jc w:val="center"/>
            </w:pPr>
            <w:r w:rsidRPr="003E7F6A">
              <w:t>1* (0</w:t>
            </w:r>
            <w:r w:rsidR="001451CD">
              <w:t>,</w:t>
            </w:r>
            <w:r w:rsidRPr="003E7F6A">
              <w:t>1) [0</w:t>
            </w:r>
            <w:r w:rsidR="001451CD">
              <w:t>,</w:t>
            </w:r>
            <w:r w:rsidRPr="003E7F6A">
              <w:t>2]</w:t>
            </w:r>
          </w:p>
        </w:tc>
      </w:tr>
      <w:tr w:rsidR="00C34E4A" w:rsidRPr="002F4447" w14:paraId="44639F3F" w14:textId="77777777" w:rsidTr="00AB1FF1">
        <w:tc>
          <w:tcPr>
            <w:tcW w:w="3191" w:type="dxa"/>
          </w:tcPr>
          <w:p w14:paraId="0CB1055C" w14:textId="77777777" w:rsidR="00C34E4A" w:rsidRPr="003E7F6A" w:rsidRDefault="00C34E4A">
            <w:pPr>
              <w:tabs>
                <w:tab w:val="left" w:pos="2730"/>
              </w:tabs>
            </w:pPr>
            <w:r w:rsidRPr="003E7F6A">
              <w:t>Нарушения со стороны органа слуха и лабиринта</w:t>
            </w:r>
          </w:p>
        </w:tc>
        <w:tc>
          <w:tcPr>
            <w:tcW w:w="3190" w:type="dxa"/>
            <w:vAlign w:val="center"/>
          </w:tcPr>
          <w:p w14:paraId="7E275DDB" w14:textId="5D59FBC0" w:rsidR="00C34E4A" w:rsidRPr="003E7F6A" w:rsidRDefault="00C34E4A" w:rsidP="00AB1FF1">
            <w:pPr>
              <w:tabs>
                <w:tab w:val="left" w:pos="2730"/>
              </w:tabs>
              <w:jc w:val="center"/>
            </w:pPr>
            <w:r w:rsidRPr="003E7F6A">
              <w:t>15 (1</w:t>
            </w:r>
            <w:r w:rsidR="001451CD">
              <w:t>,</w:t>
            </w:r>
            <w:r w:rsidRPr="003E7F6A">
              <w:t>4) [3</w:t>
            </w:r>
            <w:r w:rsidR="001451CD">
              <w:t>,</w:t>
            </w:r>
            <w:r w:rsidRPr="003E7F6A">
              <w:t>8]</w:t>
            </w:r>
          </w:p>
        </w:tc>
        <w:tc>
          <w:tcPr>
            <w:tcW w:w="2947" w:type="dxa"/>
            <w:vAlign w:val="center"/>
          </w:tcPr>
          <w:p w14:paraId="474886AE" w14:textId="2A57B469" w:rsidR="00C34E4A" w:rsidRPr="003E7F6A" w:rsidRDefault="00C34E4A" w:rsidP="00AB1FF1">
            <w:pPr>
              <w:tabs>
                <w:tab w:val="left" w:pos="2730"/>
              </w:tabs>
              <w:jc w:val="center"/>
            </w:pPr>
            <w:r w:rsidRPr="003E7F6A">
              <w:t>21 (2</w:t>
            </w:r>
            <w:r w:rsidR="001451CD">
              <w:t>,</w:t>
            </w:r>
            <w:r w:rsidRPr="003E7F6A">
              <w:t>1) [5</w:t>
            </w:r>
            <w:r w:rsidR="001451CD">
              <w:t>,</w:t>
            </w:r>
            <w:r w:rsidRPr="003E7F6A">
              <w:t>1]</w:t>
            </w:r>
          </w:p>
        </w:tc>
      </w:tr>
      <w:tr w:rsidR="00C34E4A" w:rsidRPr="002F4447" w14:paraId="1C573BFA" w14:textId="77777777" w:rsidTr="00AB1FF1">
        <w:tc>
          <w:tcPr>
            <w:tcW w:w="3191" w:type="dxa"/>
          </w:tcPr>
          <w:p w14:paraId="3CE10C27" w14:textId="77777777" w:rsidR="00C34E4A" w:rsidRPr="003E7F6A" w:rsidRDefault="00C34E4A">
            <w:pPr>
              <w:tabs>
                <w:tab w:val="left" w:pos="2730"/>
              </w:tabs>
            </w:pPr>
            <w:r w:rsidRPr="003E7F6A">
              <w:t>Эндокринные нарушения</w:t>
            </w:r>
          </w:p>
        </w:tc>
        <w:tc>
          <w:tcPr>
            <w:tcW w:w="3190" w:type="dxa"/>
            <w:vAlign w:val="center"/>
          </w:tcPr>
          <w:p w14:paraId="209C0CF6" w14:textId="7BB57E43" w:rsidR="00C34E4A" w:rsidRPr="003E7F6A" w:rsidRDefault="00C34E4A" w:rsidP="00AB1FF1">
            <w:pPr>
              <w:tabs>
                <w:tab w:val="left" w:pos="2730"/>
              </w:tabs>
              <w:jc w:val="center"/>
            </w:pPr>
            <w:r w:rsidRPr="003E7F6A">
              <w:t>4 (0</w:t>
            </w:r>
            <w:r w:rsidR="001451CD">
              <w:t>,</w:t>
            </w:r>
            <w:r w:rsidRPr="003E7F6A">
              <w:t>4) [ 1</w:t>
            </w:r>
            <w:r w:rsidR="001451CD">
              <w:t>,</w:t>
            </w:r>
            <w:r w:rsidRPr="003E7F6A">
              <w:t>0]</w:t>
            </w:r>
          </w:p>
        </w:tc>
        <w:tc>
          <w:tcPr>
            <w:tcW w:w="2947" w:type="dxa"/>
            <w:vAlign w:val="center"/>
          </w:tcPr>
          <w:p w14:paraId="1DA9F636" w14:textId="7D6E852B" w:rsidR="00C34E4A" w:rsidRPr="003E7F6A" w:rsidRDefault="00C34E4A" w:rsidP="00AB1FF1">
            <w:pPr>
              <w:tabs>
                <w:tab w:val="left" w:pos="2730"/>
              </w:tabs>
              <w:jc w:val="center"/>
            </w:pPr>
            <w:r w:rsidRPr="003E7F6A">
              <w:t>2 (0</w:t>
            </w:r>
            <w:r w:rsidR="001451CD">
              <w:t>,</w:t>
            </w:r>
            <w:r w:rsidRPr="003E7F6A">
              <w:t>2) [0</w:t>
            </w:r>
            <w:r w:rsidR="001451CD">
              <w:t>,</w:t>
            </w:r>
            <w:r w:rsidRPr="003E7F6A">
              <w:t>5]</w:t>
            </w:r>
          </w:p>
        </w:tc>
      </w:tr>
      <w:tr w:rsidR="00C34E4A" w:rsidRPr="002F4447" w14:paraId="4A598447" w14:textId="77777777" w:rsidTr="00AB1FF1">
        <w:tc>
          <w:tcPr>
            <w:tcW w:w="3191" w:type="dxa"/>
          </w:tcPr>
          <w:p w14:paraId="59A4AECD" w14:textId="77777777" w:rsidR="00C34E4A" w:rsidRPr="003E7F6A" w:rsidRDefault="00C34E4A">
            <w:pPr>
              <w:tabs>
                <w:tab w:val="left" w:pos="2730"/>
              </w:tabs>
            </w:pPr>
            <w:r w:rsidRPr="003E7F6A">
              <w:t>Нарушения со стороны органа зрения</w:t>
            </w:r>
          </w:p>
        </w:tc>
        <w:tc>
          <w:tcPr>
            <w:tcW w:w="3190" w:type="dxa"/>
            <w:vAlign w:val="center"/>
          </w:tcPr>
          <w:p w14:paraId="1DD2C52B" w14:textId="21E03713" w:rsidR="00C34E4A" w:rsidRPr="003E7F6A" w:rsidRDefault="00C34E4A" w:rsidP="00AB1FF1">
            <w:pPr>
              <w:tabs>
                <w:tab w:val="left" w:pos="2730"/>
              </w:tabs>
              <w:jc w:val="center"/>
            </w:pPr>
            <w:r w:rsidRPr="003E7F6A">
              <w:t>31 (2</w:t>
            </w:r>
            <w:r w:rsidR="001451CD">
              <w:t>,</w:t>
            </w:r>
            <w:r w:rsidRPr="003E7F6A">
              <w:t>9) [7</w:t>
            </w:r>
            <w:r w:rsidR="001451CD">
              <w:t>,</w:t>
            </w:r>
            <w:r w:rsidRPr="003E7F6A">
              <w:t>9]</w:t>
            </w:r>
          </w:p>
        </w:tc>
        <w:tc>
          <w:tcPr>
            <w:tcW w:w="2947" w:type="dxa"/>
            <w:vAlign w:val="center"/>
          </w:tcPr>
          <w:p w14:paraId="39E2BC2B" w14:textId="6D3197BD" w:rsidR="00C34E4A" w:rsidRPr="003E7F6A" w:rsidRDefault="00C34E4A" w:rsidP="00AB1FF1">
            <w:pPr>
              <w:tabs>
                <w:tab w:val="left" w:pos="2730"/>
              </w:tabs>
              <w:jc w:val="center"/>
            </w:pPr>
            <w:r w:rsidRPr="003E7F6A">
              <w:t>33 (3</w:t>
            </w:r>
            <w:r w:rsidR="001451CD">
              <w:t>,</w:t>
            </w:r>
            <w:r w:rsidRPr="003E7F6A">
              <w:t>3) [8</w:t>
            </w:r>
            <w:r w:rsidR="001451CD">
              <w:t>,</w:t>
            </w:r>
            <w:r w:rsidRPr="003E7F6A">
              <w:t>1]</w:t>
            </w:r>
          </w:p>
        </w:tc>
      </w:tr>
      <w:tr w:rsidR="00C34E4A" w:rsidRPr="002F4447" w14:paraId="78521191" w14:textId="77777777" w:rsidTr="00AB1FF1">
        <w:tc>
          <w:tcPr>
            <w:tcW w:w="3191" w:type="dxa"/>
          </w:tcPr>
          <w:p w14:paraId="67347CA5" w14:textId="77777777" w:rsidR="00C34E4A" w:rsidRPr="003E7F6A" w:rsidRDefault="00C34E4A">
            <w:pPr>
              <w:tabs>
                <w:tab w:val="left" w:pos="2730"/>
              </w:tabs>
            </w:pPr>
            <w:r w:rsidRPr="003E7F6A">
              <w:t>Желудочно-кишечные нарушения</w:t>
            </w:r>
          </w:p>
        </w:tc>
        <w:tc>
          <w:tcPr>
            <w:tcW w:w="3190" w:type="dxa"/>
            <w:vAlign w:val="center"/>
          </w:tcPr>
          <w:p w14:paraId="639EB283" w14:textId="1AB38109" w:rsidR="00C34E4A" w:rsidRPr="003E7F6A" w:rsidRDefault="00C34E4A" w:rsidP="00AB1FF1">
            <w:pPr>
              <w:tabs>
                <w:tab w:val="left" w:pos="2730"/>
              </w:tabs>
              <w:jc w:val="center"/>
            </w:pPr>
            <w:r w:rsidRPr="003E7F6A">
              <w:t>146 (13</w:t>
            </w:r>
            <w:r w:rsidR="001451CD">
              <w:t>,</w:t>
            </w:r>
            <w:r w:rsidRPr="003E7F6A">
              <w:t>6) [37</w:t>
            </w:r>
            <w:r w:rsidR="001451CD">
              <w:t>,</w:t>
            </w:r>
            <w:r w:rsidRPr="003E7F6A">
              <w:t>1]</w:t>
            </w:r>
          </w:p>
        </w:tc>
        <w:tc>
          <w:tcPr>
            <w:tcW w:w="2947" w:type="dxa"/>
            <w:vAlign w:val="center"/>
          </w:tcPr>
          <w:p w14:paraId="5A332CFF" w14:textId="4283A730" w:rsidR="00C34E4A" w:rsidRPr="003E7F6A" w:rsidRDefault="00C34E4A" w:rsidP="00AB1FF1">
            <w:pPr>
              <w:tabs>
                <w:tab w:val="left" w:pos="2730"/>
              </w:tabs>
              <w:jc w:val="center"/>
            </w:pPr>
            <w:r w:rsidRPr="003E7F6A">
              <w:t>165 (16</w:t>
            </w:r>
            <w:r w:rsidR="001451CD">
              <w:t>,</w:t>
            </w:r>
            <w:r w:rsidRPr="003E7F6A">
              <w:t>5) [40</w:t>
            </w:r>
            <w:r w:rsidR="001451CD">
              <w:t>,</w:t>
            </w:r>
            <w:r w:rsidRPr="003E7F6A">
              <w:t>3]</w:t>
            </w:r>
          </w:p>
        </w:tc>
      </w:tr>
      <w:tr w:rsidR="00C34E4A" w:rsidRPr="002F4447" w14:paraId="39DE7D0B" w14:textId="77777777" w:rsidTr="00AB1FF1">
        <w:tc>
          <w:tcPr>
            <w:tcW w:w="3191" w:type="dxa"/>
          </w:tcPr>
          <w:p w14:paraId="7F78ED32" w14:textId="77777777" w:rsidR="00C34E4A" w:rsidRPr="003E7F6A" w:rsidRDefault="00C34E4A">
            <w:pPr>
              <w:tabs>
                <w:tab w:val="left" w:pos="2730"/>
              </w:tabs>
            </w:pPr>
            <w:r w:rsidRPr="003E7F6A">
              <w:t>Общие нарушения и реакции в месте введения</w:t>
            </w:r>
          </w:p>
        </w:tc>
        <w:tc>
          <w:tcPr>
            <w:tcW w:w="3190" w:type="dxa"/>
            <w:vAlign w:val="center"/>
          </w:tcPr>
          <w:p w14:paraId="5D308B60" w14:textId="6D93EB84" w:rsidR="00C34E4A" w:rsidRPr="003E7F6A" w:rsidRDefault="00C34E4A" w:rsidP="00AB1FF1">
            <w:pPr>
              <w:tabs>
                <w:tab w:val="left" w:pos="2730"/>
              </w:tabs>
              <w:jc w:val="center"/>
            </w:pPr>
            <w:r w:rsidRPr="003E7F6A">
              <w:t>71 (6</w:t>
            </w:r>
            <w:r w:rsidR="001451CD">
              <w:t>,</w:t>
            </w:r>
            <w:r w:rsidRPr="003E7F6A">
              <w:t>6) [18</w:t>
            </w:r>
            <w:r w:rsidR="001451CD">
              <w:t>,</w:t>
            </w:r>
            <w:r w:rsidRPr="003E7F6A">
              <w:t>0]</w:t>
            </w:r>
          </w:p>
        </w:tc>
        <w:tc>
          <w:tcPr>
            <w:tcW w:w="2947" w:type="dxa"/>
            <w:vAlign w:val="center"/>
          </w:tcPr>
          <w:p w14:paraId="2A5FD797" w14:textId="661FFD58" w:rsidR="00C34E4A" w:rsidRPr="003E7F6A" w:rsidRDefault="00C34E4A" w:rsidP="00AB1FF1">
            <w:pPr>
              <w:tabs>
                <w:tab w:val="left" w:pos="2730"/>
              </w:tabs>
              <w:jc w:val="center"/>
            </w:pPr>
            <w:r w:rsidRPr="003E7F6A">
              <w:t>51 (5</w:t>
            </w:r>
            <w:r w:rsidR="001451CD">
              <w:t>,</w:t>
            </w:r>
            <w:r w:rsidRPr="003E7F6A">
              <w:t>1) [12</w:t>
            </w:r>
            <w:r w:rsidR="001451CD">
              <w:t>,</w:t>
            </w:r>
            <w:r w:rsidRPr="003E7F6A">
              <w:t>5]</w:t>
            </w:r>
          </w:p>
        </w:tc>
      </w:tr>
      <w:tr w:rsidR="00C34E4A" w:rsidRPr="002F4447" w14:paraId="27D25A9F" w14:textId="77777777" w:rsidTr="00AB1FF1">
        <w:tc>
          <w:tcPr>
            <w:tcW w:w="3191" w:type="dxa"/>
          </w:tcPr>
          <w:p w14:paraId="276FE9E3" w14:textId="77777777" w:rsidR="00C34E4A" w:rsidRPr="003E7F6A" w:rsidRDefault="00C34E4A">
            <w:pPr>
              <w:tabs>
                <w:tab w:val="left" w:pos="2730"/>
              </w:tabs>
            </w:pPr>
            <w:r w:rsidRPr="003E7F6A">
              <w:t>Нарушения со стороны печени и желчевыводящих путей</w:t>
            </w:r>
          </w:p>
        </w:tc>
        <w:tc>
          <w:tcPr>
            <w:tcW w:w="3190" w:type="dxa"/>
            <w:vAlign w:val="center"/>
          </w:tcPr>
          <w:p w14:paraId="0B6C699B" w14:textId="65F9A607" w:rsidR="00C34E4A" w:rsidRPr="003E7F6A" w:rsidRDefault="00C34E4A" w:rsidP="00AB1FF1">
            <w:pPr>
              <w:tabs>
                <w:tab w:val="left" w:pos="2730"/>
              </w:tabs>
              <w:jc w:val="center"/>
            </w:pPr>
            <w:r w:rsidRPr="003E7F6A">
              <w:t>12 (1</w:t>
            </w:r>
            <w:r w:rsidR="001451CD">
              <w:t>,</w:t>
            </w:r>
            <w:r w:rsidRPr="003E7F6A">
              <w:t>1) [3</w:t>
            </w:r>
            <w:r w:rsidR="001451CD">
              <w:t>,</w:t>
            </w:r>
            <w:r w:rsidRPr="003E7F6A">
              <w:t>0]</w:t>
            </w:r>
          </w:p>
        </w:tc>
        <w:tc>
          <w:tcPr>
            <w:tcW w:w="2947" w:type="dxa"/>
            <w:vAlign w:val="center"/>
          </w:tcPr>
          <w:p w14:paraId="591C255E" w14:textId="3A841DC6" w:rsidR="00C34E4A" w:rsidRPr="003E7F6A" w:rsidRDefault="00C34E4A" w:rsidP="00AB1FF1">
            <w:pPr>
              <w:tabs>
                <w:tab w:val="left" w:pos="2730"/>
              </w:tabs>
              <w:jc w:val="center"/>
            </w:pPr>
            <w:r w:rsidRPr="003E7F6A">
              <w:t>18 (1</w:t>
            </w:r>
            <w:r w:rsidR="001451CD">
              <w:t>,</w:t>
            </w:r>
            <w:r w:rsidRPr="003E7F6A">
              <w:t>8) [4</w:t>
            </w:r>
            <w:r w:rsidR="001451CD">
              <w:t>,</w:t>
            </w:r>
            <w:r w:rsidRPr="003E7F6A">
              <w:t>4]</w:t>
            </w:r>
          </w:p>
        </w:tc>
      </w:tr>
      <w:tr w:rsidR="00C34E4A" w:rsidRPr="002F4447" w14:paraId="6AD3C5E2" w14:textId="77777777" w:rsidTr="00AB1FF1">
        <w:tc>
          <w:tcPr>
            <w:tcW w:w="3191" w:type="dxa"/>
          </w:tcPr>
          <w:p w14:paraId="4BEB4693" w14:textId="77777777" w:rsidR="00C34E4A" w:rsidRPr="003E7F6A" w:rsidRDefault="00C34E4A">
            <w:pPr>
              <w:tabs>
                <w:tab w:val="left" w:pos="2730"/>
              </w:tabs>
            </w:pPr>
            <w:r w:rsidRPr="003E7F6A">
              <w:t>Нарушения со стороны иммунной системы</w:t>
            </w:r>
          </w:p>
        </w:tc>
        <w:tc>
          <w:tcPr>
            <w:tcW w:w="3190" w:type="dxa"/>
            <w:vAlign w:val="center"/>
          </w:tcPr>
          <w:p w14:paraId="1BFF53D1" w14:textId="6619FD46" w:rsidR="00C34E4A" w:rsidRPr="003E7F6A" w:rsidRDefault="00C34E4A" w:rsidP="00AB1FF1">
            <w:pPr>
              <w:tabs>
                <w:tab w:val="left" w:pos="2730"/>
              </w:tabs>
              <w:jc w:val="center"/>
            </w:pPr>
            <w:r w:rsidRPr="003E7F6A">
              <w:t>8 (0</w:t>
            </w:r>
            <w:r w:rsidR="001451CD">
              <w:t>,</w:t>
            </w:r>
            <w:r w:rsidRPr="003E7F6A">
              <w:t>7) [2</w:t>
            </w:r>
            <w:r w:rsidR="001451CD">
              <w:t>,</w:t>
            </w:r>
            <w:r w:rsidRPr="003E7F6A">
              <w:t>0]</w:t>
            </w:r>
          </w:p>
        </w:tc>
        <w:tc>
          <w:tcPr>
            <w:tcW w:w="2947" w:type="dxa"/>
            <w:vAlign w:val="center"/>
          </w:tcPr>
          <w:p w14:paraId="2D3F274F" w14:textId="0878540D" w:rsidR="00C34E4A" w:rsidRPr="003E7F6A" w:rsidRDefault="00C34E4A" w:rsidP="00AB1FF1">
            <w:pPr>
              <w:tabs>
                <w:tab w:val="left" w:pos="2730"/>
              </w:tabs>
              <w:jc w:val="center"/>
            </w:pPr>
            <w:r w:rsidRPr="003E7F6A">
              <w:t>9 (0</w:t>
            </w:r>
            <w:r w:rsidR="001451CD">
              <w:t>,</w:t>
            </w:r>
            <w:r w:rsidRPr="003E7F6A">
              <w:t>9) [2</w:t>
            </w:r>
            <w:r w:rsidR="001451CD">
              <w:t>,</w:t>
            </w:r>
            <w:r w:rsidRPr="003E7F6A">
              <w:t>2]</w:t>
            </w:r>
          </w:p>
        </w:tc>
      </w:tr>
      <w:tr w:rsidR="00C34E4A" w:rsidRPr="002F4447" w14:paraId="2D92589D" w14:textId="77777777" w:rsidTr="00AB1FF1">
        <w:tc>
          <w:tcPr>
            <w:tcW w:w="3191" w:type="dxa"/>
          </w:tcPr>
          <w:p w14:paraId="595B542E" w14:textId="77777777" w:rsidR="00C34E4A" w:rsidRPr="003E7F6A" w:rsidRDefault="00C34E4A">
            <w:pPr>
              <w:tabs>
                <w:tab w:val="left" w:pos="2730"/>
              </w:tabs>
            </w:pPr>
            <w:r w:rsidRPr="003E7F6A">
              <w:t>Инфекции и инвазии</w:t>
            </w:r>
          </w:p>
        </w:tc>
        <w:tc>
          <w:tcPr>
            <w:tcW w:w="3190" w:type="dxa"/>
            <w:vAlign w:val="center"/>
          </w:tcPr>
          <w:p w14:paraId="1FB943E7" w14:textId="43638564" w:rsidR="00C34E4A" w:rsidRPr="003E7F6A" w:rsidRDefault="00C34E4A" w:rsidP="00AB1FF1">
            <w:pPr>
              <w:tabs>
                <w:tab w:val="left" w:pos="2730"/>
              </w:tabs>
              <w:jc w:val="center"/>
            </w:pPr>
            <w:r w:rsidRPr="003E7F6A">
              <w:t>299 (27</w:t>
            </w:r>
            <w:r w:rsidR="001451CD">
              <w:t>,</w:t>
            </w:r>
            <w:r w:rsidRPr="003E7F6A">
              <w:t>9) [75</w:t>
            </w:r>
            <w:r w:rsidR="001451CD">
              <w:t>,</w:t>
            </w:r>
            <w:r w:rsidRPr="003E7F6A">
              <w:t>9]</w:t>
            </w:r>
          </w:p>
        </w:tc>
        <w:tc>
          <w:tcPr>
            <w:tcW w:w="2947" w:type="dxa"/>
            <w:vAlign w:val="center"/>
          </w:tcPr>
          <w:p w14:paraId="216EAA92" w14:textId="32F7F1EA" w:rsidR="00C34E4A" w:rsidRPr="003E7F6A" w:rsidRDefault="00C34E4A" w:rsidP="00AB1FF1">
            <w:pPr>
              <w:tabs>
                <w:tab w:val="left" w:pos="2730"/>
              </w:tabs>
              <w:jc w:val="center"/>
            </w:pPr>
            <w:r w:rsidRPr="003E7F6A">
              <w:t>362 (36</w:t>
            </w:r>
            <w:r w:rsidR="001451CD">
              <w:t>,</w:t>
            </w:r>
            <w:r w:rsidRPr="003E7F6A">
              <w:t>3) [88</w:t>
            </w:r>
            <w:r w:rsidR="001451CD">
              <w:t>,</w:t>
            </w:r>
            <w:r w:rsidRPr="003E7F6A">
              <w:t>4]</w:t>
            </w:r>
          </w:p>
        </w:tc>
      </w:tr>
      <w:tr w:rsidR="00C34E4A" w:rsidRPr="002F4447" w14:paraId="61B39ACB" w14:textId="77777777" w:rsidTr="00AB1FF1">
        <w:tc>
          <w:tcPr>
            <w:tcW w:w="3191" w:type="dxa"/>
          </w:tcPr>
          <w:p w14:paraId="625E5401" w14:textId="77777777" w:rsidR="00C34E4A" w:rsidRPr="003E7F6A" w:rsidRDefault="00C34E4A">
            <w:pPr>
              <w:tabs>
                <w:tab w:val="left" w:pos="2730"/>
              </w:tabs>
            </w:pPr>
            <w:r w:rsidRPr="003E7F6A">
              <w:t>Травмы, интоксикации и осложнения процедур</w:t>
            </w:r>
          </w:p>
        </w:tc>
        <w:tc>
          <w:tcPr>
            <w:tcW w:w="3190" w:type="dxa"/>
            <w:vAlign w:val="center"/>
          </w:tcPr>
          <w:p w14:paraId="57C98374" w14:textId="78E4D1C2" w:rsidR="00C34E4A" w:rsidRPr="003E7F6A" w:rsidRDefault="00C34E4A" w:rsidP="00AB1FF1">
            <w:pPr>
              <w:tabs>
                <w:tab w:val="left" w:pos="2730"/>
              </w:tabs>
              <w:jc w:val="center"/>
            </w:pPr>
            <w:r w:rsidRPr="003E7F6A">
              <w:t>50 (4</w:t>
            </w:r>
            <w:r w:rsidR="001451CD">
              <w:t>,</w:t>
            </w:r>
            <w:r w:rsidRPr="003E7F6A">
              <w:t>7) [12</w:t>
            </w:r>
            <w:r w:rsidR="001451CD">
              <w:t>,</w:t>
            </w:r>
            <w:r w:rsidRPr="003E7F6A">
              <w:t>7]</w:t>
            </w:r>
          </w:p>
        </w:tc>
        <w:tc>
          <w:tcPr>
            <w:tcW w:w="2947" w:type="dxa"/>
            <w:vAlign w:val="center"/>
          </w:tcPr>
          <w:p w14:paraId="68C4D1DB" w14:textId="023B7A83" w:rsidR="00C34E4A" w:rsidRPr="003E7F6A" w:rsidRDefault="00C34E4A" w:rsidP="00AB1FF1">
            <w:pPr>
              <w:tabs>
                <w:tab w:val="left" w:pos="2730"/>
              </w:tabs>
              <w:jc w:val="center"/>
            </w:pPr>
            <w:r w:rsidRPr="003E7F6A">
              <w:t>63 (6</w:t>
            </w:r>
            <w:r w:rsidR="001451CD">
              <w:t>,</w:t>
            </w:r>
            <w:r w:rsidRPr="003E7F6A">
              <w:t>3) [15</w:t>
            </w:r>
            <w:r w:rsidR="001451CD">
              <w:t>,</w:t>
            </w:r>
            <w:r w:rsidRPr="003E7F6A">
              <w:t>4]</w:t>
            </w:r>
          </w:p>
        </w:tc>
      </w:tr>
      <w:tr w:rsidR="00C34E4A" w:rsidRPr="002F4447" w14:paraId="4A1FAFC7" w14:textId="77777777" w:rsidTr="00AB1FF1">
        <w:tc>
          <w:tcPr>
            <w:tcW w:w="3191" w:type="dxa"/>
          </w:tcPr>
          <w:p w14:paraId="42464E97" w14:textId="3ED7A711" w:rsidR="00C34E4A" w:rsidRPr="003E7F6A" w:rsidRDefault="00714857">
            <w:pPr>
              <w:tabs>
                <w:tab w:val="left" w:pos="2730"/>
              </w:tabs>
            </w:pPr>
            <w:r>
              <w:t>Лабораторные и инструментальные данные</w:t>
            </w:r>
          </w:p>
        </w:tc>
        <w:tc>
          <w:tcPr>
            <w:tcW w:w="3190" w:type="dxa"/>
            <w:vAlign w:val="center"/>
          </w:tcPr>
          <w:p w14:paraId="1E41BF77" w14:textId="5E2D5D39" w:rsidR="00C34E4A" w:rsidRPr="003E7F6A" w:rsidRDefault="00C34E4A" w:rsidP="00AB1FF1">
            <w:pPr>
              <w:tabs>
                <w:tab w:val="left" w:pos="2730"/>
              </w:tabs>
              <w:jc w:val="center"/>
            </w:pPr>
            <w:r w:rsidRPr="003E7F6A">
              <w:t>81 (7</w:t>
            </w:r>
            <w:r w:rsidR="001451CD">
              <w:t>,</w:t>
            </w:r>
            <w:r w:rsidRPr="003E7F6A">
              <w:t>6) [20</w:t>
            </w:r>
            <w:r w:rsidR="001451CD">
              <w:t>,</w:t>
            </w:r>
            <w:r w:rsidRPr="003E7F6A">
              <w:t>6]</w:t>
            </w:r>
          </w:p>
        </w:tc>
        <w:tc>
          <w:tcPr>
            <w:tcW w:w="2947" w:type="dxa"/>
            <w:vAlign w:val="center"/>
          </w:tcPr>
          <w:p w14:paraId="5B5AEC14" w14:textId="73AC8702" w:rsidR="00C34E4A" w:rsidRPr="003E7F6A" w:rsidRDefault="00C34E4A" w:rsidP="00AB1FF1">
            <w:pPr>
              <w:tabs>
                <w:tab w:val="left" w:pos="2730"/>
              </w:tabs>
              <w:jc w:val="center"/>
            </w:pPr>
            <w:r w:rsidRPr="003E7F6A">
              <w:t>126 (12</w:t>
            </w:r>
            <w:r w:rsidR="001451CD">
              <w:t>,</w:t>
            </w:r>
            <w:r w:rsidRPr="003E7F6A">
              <w:t>6) [30</w:t>
            </w:r>
            <w:r w:rsidR="001451CD">
              <w:t>,</w:t>
            </w:r>
            <w:r w:rsidRPr="003E7F6A">
              <w:t>8]</w:t>
            </w:r>
          </w:p>
        </w:tc>
      </w:tr>
      <w:tr w:rsidR="00C34E4A" w:rsidRPr="002F4447" w14:paraId="49A6661A" w14:textId="77777777" w:rsidTr="00AB1FF1">
        <w:tc>
          <w:tcPr>
            <w:tcW w:w="3191" w:type="dxa"/>
          </w:tcPr>
          <w:p w14:paraId="3CA75071" w14:textId="77777777" w:rsidR="00C34E4A" w:rsidRPr="003E7F6A" w:rsidRDefault="00C34E4A">
            <w:pPr>
              <w:tabs>
                <w:tab w:val="left" w:pos="2730"/>
              </w:tabs>
            </w:pPr>
            <w:r w:rsidRPr="003E7F6A">
              <w:t>Нарушения метаболизма и питания</w:t>
            </w:r>
          </w:p>
        </w:tc>
        <w:tc>
          <w:tcPr>
            <w:tcW w:w="3190" w:type="dxa"/>
            <w:vAlign w:val="center"/>
          </w:tcPr>
          <w:p w14:paraId="79C5CF25" w14:textId="51576F43" w:rsidR="00C34E4A" w:rsidRPr="003E7F6A" w:rsidRDefault="00C34E4A" w:rsidP="00AB1FF1">
            <w:pPr>
              <w:tabs>
                <w:tab w:val="left" w:pos="2730"/>
              </w:tabs>
              <w:jc w:val="center"/>
            </w:pPr>
            <w:r w:rsidRPr="003E7F6A">
              <w:t>65 (6</w:t>
            </w:r>
            <w:r w:rsidR="001451CD">
              <w:t>,</w:t>
            </w:r>
            <w:r w:rsidRPr="003E7F6A">
              <w:t>1) [16</w:t>
            </w:r>
            <w:r w:rsidR="001451CD">
              <w:t>,</w:t>
            </w:r>
            <w:r w:rsidRPr="003E7F6A">
              <w:t>5]</w:t>
            </w:r>
          </w:p>
        </w:tc>
        <w:tc>
          <w:tcPr>
            <w:tcW w:w="2947" w:type="dxa"/>
            <w:vAlign w:val="center"/>
          </w:tcPr>
          <w:p w14:paraId="34A8C550" w14:textId="14B3076D" w:rsidR="00C34E4A" w:rsidRPr="003E7F6A" w:rsidRDefault="00C34E4A" w:rsidP="00AB1FF1">
            <w:pPr>
              <w:tabs>
                <w:tab w:val="left" w:pos="2730"/>
              </w:tabs>
              <w:jc w:val="center"/>
            </w:pPr>
            <w:r w:rsidRPr="003E7F6A">
              <w:t>91 (9</w:t>
            </w:r>
            <w:r w:rsidR="001451CD">
              <w:t>,</w:t>
            </w:r>
            <w:r w:rsidRPr="003E7F6A">
              <w:t>1) [22</w:t>
            </w:r>
            <w:r w:rsidR="001451CD">
              <w:t>,</w:t>
            </w:r>
            <w:r w:rsidRPr="003E7F6A">
              <w:t>2]</w:t>
            </w:r>
          </w:p>
        </w:tc>
      </w:tr>
      <w:tr w:rsidR="00C34E4A" w:rsidRPr="002F4447" w14:paraId="2E48E26F" w14:textId="77777777" w:rsidTr="00AB1FF1">
        <w:tc>
          <w:tcPr>
            <w:tcW w:w="3191" w:type="dxa"/>
          </w:tcPr>
          <w:p w14:paraId="0FA7DDB2" w14:textId="77777777" w:rsidR="00C34E4A" w:rsidRPr="003E7F6A" w:rsidRDefault="00C34E4A">
            <w:pPr>
              <w:tabs>
                <w:tab w:val="left" w:pos="2730"/>
              </w:tabs>
            </w:pPr>
            <w:r w:rsidRPr="003E7F6A">
              <w:t>Нарушения со стороны мышечной, скелетной и соединительной ткани</w:t>
            </w:r>
          </w:p>
        </w:tc>
        <w:tc>
          <w:tcPr>
            <w:tcW w:w="3190" w:type="dxa"/>
            <w:vAlign w:val="center"/>
          </w:tcPr>
          <w:p w14:paraId="35F0BEDF" w14:textId="6DCC5F1C" w:rsidR="00C34E4A" w:rsidRPr="003E7F6A" w:rsidRDefault="00C34E4A" w:rsidP="00AB1FF1">
            <w:pPr>
              <w:tabs>
                <w:tab w:val="left" w:pos="2730"/>
              </w:tabs>
              <w:jc w:val="center"/>
            </w:pPr>
            <w:r w:rsidRPr="003E7F6A">
              <w:t>147 (13</w:t>
            </w:r>
            <w:r w:rsidR="001451CD">
              <w:t>,</w:t>
            </w:r>
            <w:r w:rsidRPr="003E7F6A">
              <w:t>7) [37</w:t>
            </w:r>
            <w:r w:rsidR="001451CD">
              <w:t>,</w:t>
            </w:r>
            <w:r w:rsidRPr="003E7F6A">
              <w:t>3]</w:t>
            </w:r>
          </w:p>
        </w:tc>
        <w:tc>
          <w:tcPr>
            <w:tcW w:w="2947" w:type="dxa"/>
            <w:vAlign w:val="center"/>
          </w:tcPr>
          <w:p w14:paraId="6FD7363E" w14:textId="73DEF262" w:rsidR="00C34E4A" w:rsidRPr="003E7F6A" w:rsidRDefault="00C34E4A" w:rsidP="00AB1FF1">
            <w:pPr>
              <w:tabs>
                <w:tab w:val="left" w:pos="2730"/>
              </w:tabs>
              <w:jc w:val="center"/>
            </w:pPr>
            <w:r w:rsidRPr="003E7F6A">
              <w:t>122 (12</w:t>
            </w:r>
            <w:r w:rsidR="001451CD">
              <w:t>,</w:t>
            </w:r>
            <w:r w:rsidRPr="003E7F6A">
              <w:t>2) [29</w:t>
            </w:r>
            <w:r w:rsidR="001451CD">
              <w:t>,</w:t>
            </w:r>
            <w:r w:rsidRPr="003E7F6A">
              <w:t>8]</w:t>
            </w:r>
          </w:p>
        </w:tc>
      </w:tr>
      <w:tr w:rsidR="00C34E4A" w:rsidRPr="002F4447" w14:paraId="7A42C9C1" w14:textId="77777777" w:rsidTr="00AB1FF1">
        <w:tc>
          <w:tcPr>
            <w:tcW w:w="3191" w:type="dxa"/>
          </w:tcPr>
          <w:p w14:paraId="3D23842E" w14:textId="77777777" w:rsidR="00C34E4A" w:rsidRPr="003E7F6A" w:rsidRDefault="00C34E4A">
            <w:pPr>
              <w:tabs>
                <w:tab w:val="left" w:pos="2730"/>
              </w:tabs>
            </w:pPr>
            <w:r w:rsidRPr="003E7F6A">
              <w:t>Доброкачественные, злокачественные и неуточненные новообразования (включая кисты и полипы)</w:t>
            </w:r>
          </w:p>
        </w:tc>
        <w:tc>
          <w:tcPr>
            <w:tcW w:w="3190" w:type="dxa"/>
            <w:vAlign w:val="center"/>
          </w:tcPr>
          <w:p w14:paraId="1692B9F9" w14:textId="3096E969" w:rsidR="00C34E4A" w:rsidRPr="003E7F6A" w:rsidRDefault="00C34E4A" w:rsidP="00AB1FF1">
            <w:pPr>
              <w:tabs>
                <w:tab w:val="left" w:pos="2730"/>
              </w:tabs>
              <w:jc w:val="center"/>
            </w:pPr>
            <w:r w:rsidRPr="003E7F6A">
              <w:t>7 (0</w:t>
            </w:r>
            <w:r w:rsidR="001451CD">
              <w:t>,</w:t>
            </w:r>
            <w:r w:rsidRPr="003E7F6A">
              <w:t>7) [1</w:t>
            </w:r>
            <w:r w:rsidR="001451CD">
              <w:t>,</w:t>
            </w:r>
            <w:r w:rsidRPr="003E7F6A">
              <w:t>8]</w:t>
            </w:r>
          </w:p>
        </w:tc>
        <w:tc>
          <w:tcPr>
            <w:tcW w:w="2947" w:type="dxa"/>
            <w:vAlign w:val="center"/>
          </w:tcPr>
          <w:p w14:paraId="15F53018" w14:textId="1723EA87" w:rsidR="00C34E4A" w:rsidRPr="003E7F6A" w:rsidRDefault="00C34E4A" w:rsidP="00AB1FF1">
            <w:pPr>
              <w:tabs>
                <w:tab w:val="left" w:pos="2730"/>
              </w:tabs>
              <w:jc w:val="center"/>
            </w:pPr>
            <w:r w:rsidRPr="003E7F6A">
              <w:t>10 (1</w:t>
            </w:r>
            <w:r w:rsidR="001451CD">
              <w:t>,</w:t>
            </w:r>
            <w:r w:rsidRPr="003E7F6A">
              <w:t>0) [2</w:t>
            </w:r>
            <w:r w:rsidR="001451CD">
              <w:t>,</w:t>
            </w:r>
            <w:r w:rsidRPr="003E7F6A">
              <w:t>4]</w:t>
            </w:r>
          </w:p>
        </w:tc>
      </w:tr>
      <w:tr w:rsidR="00C34E4A" w:rsidRPr="002F4447" w14:paraId="37C9A125" w14:textId="77777777" w:rsidTr="00AB1FF1">
        <w:tc>
          <w:tcPr>
            <w:tcW w:w="3191" w:type="dxa"/>
          </w:tcPr>
          <w:p w14:paraId="6F42E46D" w14:textId="77777777" w:rsidR="00C34E4A" w:rsidRPr="003E7F6A" w:rsidRDefault="00C34E4A">
            <w:pPr>
              <w:tabs>
                <w:tab w:val="left" w:pos="2730"/>
              </w:tabs>
            </w:pPr>
            <w:r w:rsidRPr="003E7F6A">
              <w:t>Нарушения со стороны нервной системы</w:t>
            </w:r>
          </w:p>
        </w:tc>
        <w:tc>
          <w:tcPr>
            <w:tcW w:w="3190" w:type="dxa"/>
            <w:vAlign w:val="center"/>
          </w:tcPr>
          <w:p w14:paraId="7442186A" w14:textId="202EBB2B" w:rsidR="00C34E4A" w:rsidRPr="003E7F6A" w:rsidRDefault="00C34E4A" w:rsidP="00AB1FF1">
            <w:pPr>
              <w:tabs>
                <w:tab w:val="left" w:pos="2730"/>
              </w:tabs>
              <w:jc w:val="center"/>
            </w:pPr>
            <w:r w:rsidRPr="003E7F6A">
              <w:t>77 (7</w:t>
            </w:r>
            <w:r w:rsidR="001451CD">
              <w:t>,</w:t>
            </w:r>
            <w:r w:rsidRPr="003E7F6A">
              <w:t>2) [19</w:t>
            </w:r>
            <w:r w:rsidR="001451CD">
              <w:t>,</w:t>
            </w:r>
            <w:r w:rsidRPr="003E7F6A">
              <w:t>6]</w:t>
            </w:r>
          </w:p>
        </w:tc>
        <w:tc>
          <w:tcPr>
            <w:tcW w:w="2947" w:type="dxa"/>
            <w:vAlign w:val="center"/>
          </w:tcPr>
          <w:p w14:paraId="26AF8D3A" w14:textId="163F46D9" w:rsidR="00C34E4A" w:rsidRPr="003E7F6A" w:rsidRDefault="00C34E4A" w:rsidP="00AB1FF1">
            <w:pPr>
              <w:tabs>
                <w:tab w:val="left" w:pos="2730"/>
              </w:tabs>
              <w:jc w:val="center"/>
            </w:pPr>
            <w:r w:rsidRPr="003E7F6A">
              <w:t>92 (9</w:t>
            </w:r>
            <w:r w:rsidR="001451CD">
              <w:t>,</w:t>
            </w:r>
            <w:r w:rsidRPr="003E7F6A">
              <w:t>2) [22</w:t>
            </w:r>
            <w:r w:rsidR="001451CD">
              <w:t>,</w:t>
            </w:r>
            <w:r w:rsidRPr="003E7F6A">
              <w:t>5]</w:t>
            </w:r>
          </w:p>
        </w:tc>
      </w:tr>
      <w:tr w:rsidR="00C34E4A" w:rsidRPr="002F4447" w14:paraId="1FF9A3B5" w14:textId="77777777" w:rsidTr="00AB1FF1">
        <w:tc>
          <w:tcPr>
            <w:tcW w:w="3191" w:type="dxa"/>
          </w:tcPr>
          <w:p w14:paraId="4D37CF53" w14:textId="77777777" w:rsidR="00C34E4A" w:rsidRPr="003E7F6A" w:rsidRDefault="00C34E4A">
            <w:pPr>
              <w:tabs>
                <w:tab w:val="left" w:pos="2730"/>
              </w:tabs>
            </w:pPr>
            <w:r w:rsidRPr="003E7F6A">
              <w:t>Психические нарушения</w:t>
            </w:r>
          </w:p>
        </w:tc>
        <w:tc>
          <w:tcPr>
            <w:tcW w:w="3190" w:type="dxa"/>
            <w:vAlign w:val="center"/>
          </w:tcPr>
          <w:p w14:paraId="7119768B" w14:textId="185A6013" w:rsidR="00C34E4A" w:rsidRPr="003E7F6A" w:rsidRDefault="00C34E4A" w:rsidP="00AB1FF1">
            <w:pPr>
              <w:tabs>
                <w:tab w:val="left" w:pos="2730"/>
              </w:tabs>
              <w:jc w:val="center"/>
            </w:pPr>
            <w:r w:rsidRPr="003E7F6A">
              <w:t>31 (2</w:t>
            </w:r>
            <w:r w:rsidR="001451CD">
              <w:t>,</w:t>
            </w:r>
            <w:r w:rsidRPr="003E7F6A">
              <w:t>9) [7</w:t>
            </w:r>
            <w:r w:rsidR="001451CD">
              <w:t>,</w:t>
            </w:r>
            <w:r w:rsidRPr="003E7F6A">
              <w:t>9]</w:t>
            </w:r>
          </w:p>
        </w:tc>
        <w:tc>
          <w:tcPr>
            <w:tcW w:w="2947" w:type="dxa"/>
            <w:vAlign w:val="center"/>
          </w:tcPr>
          <w:p w14:paraId="78E5B910" w14:textId="36A0B3F0" w:rsidR="00C34E4A" w:rsidRPr="003E7F6A" w:rsidRDefault="00C34E4A" w:rsidP="00AB1FF1">
            <w:pPr>
              <w:tabs>
                <w:tab w:val="left" w:pos="2730"/>
              </w:tabs>
              <w:jc w:val="center"/>
            </w:pPr>
            <w:r w:rsidRPr="003E7F6A">
              <w:t>27 (2</w:t>
            </w:r>
            <w:r w:rsidR="001451CD">
              <w:t>,</w:t>
            </w:r>
            <w:r w:rsidRPr="003E7F6A">
              <w:t xml:space="preserve">7) </w:t>
            </w:r>
            <w:r w:rsidRPr="003E7F6A">
              <w:rPr>
                <w:lang w:val="en-US"/>
              </w:rPr>
              <w:t>[</w:t>
            </w:r>
            <w:r w:rsidRPr="003E7F6A">
              <w:t>6</w:t>
            </w:r>
            <w:r w:rsidR="001451CD">
              <w:t>,</w:t>
            </w:r>
            <w:r w:rsidRPr="003E7F6A">
              <w:t>6]</w:t>
            </w:r>
          </w:p>
        </w:tc>
      </w:tr>
      <w:tr w:rsidR="00C34E4A" w:rsidRPr="002F4447" w14:paraId="6F28600B" w14:textId="77777777" w:rsidTr="00AB1FF1">
        <w:tc>
          <w:tcPr>
            <w:tcW w:w="3191" w:type="dxa"/>
          </w:tcPr>
          <w:p w14:paraId="470A2B33" w14:textId="77777777" w:rsidR="00C34E4A" w:rsidRPr="003E7F6A" w:rsidRDefault="00C34E4A">
            <w:pPr>
              <w:tabs>
                <w:tab w:val="left" w:pos="2730"/>
              </w:tabs>
            </w:pPr>
            <w:r w:rsidRPr="003E7F6A">
              <w:t xml:space="preserve">Нарушения со стороны </w:t>
            </w:r>
            <w:r w:rsidRPr="003E7F6A">
              <w:lastRenderedPageBreak/>
              <w:t>почек и мочевыводящих путей</w:t>
            </w:r>
          </w:p>
        </w:tc>
        <w:tc>
          <w:tcPr>
            <w:tcW w:w="3190" w:type="dxa"/>
            <w:vAlign w:val="center"/>
          </w:tcPr>
          <w:p w14:paraId="6C281233" w14:textId="4D5D5628" w:rsidR="00C34E4A" w:rsidRPr="003E7F6A" w:rsidRDefault="00C34E4A" w:rsidP="00AB1FF1">
            <w:pPr>
              <w:jc w:val="center"/>
            </w:pPr>
            <w:r w:rsidRPr="003E7F6A">
              <w:lastRenderedPageBreak/>
              <w:t>20 (1</w:t>
            </w:r>
            <w:r w:rsidR="001451CD">
              <w:t>,</w:t>
            </w:r>
            <w:r w:rsidRPr="003E7F6A">
              <w:t>9) [5</w:t>
            </w:r>
            <w:r w:rsidR="001451CD">
              <w:t>,</w:t>
            </w:r>
            <w:r w:rsidRPr="003E7F6A">
              <w:t>1]</w:t>
            </w:r>
          </w:p>
        </w:tc>
        <w:tc>
          <w:tcPr>
            <w:tcW w:w="2947" w:type="dxa"/>
            <w:vAlign w:val="center"/>
          </w:tcPr>
          <w:p w14:paraId="584F2417" w14:textId="10C989A8" w:rsidR="00C34E4A" w:rsidRPr="003E7F6A" w:rsidRDefault="00C34E4A" w:rsidP="00AB1FF1">
            <w:pPr>
              <w:tabs>
                <w:tab w:val="left" w:pos="2730"/>
              </w:tabs>
              <w:jc w:val="center"/>
            </w:pPr>
            <w:r w:rsidRPr="003E7F6A">
              <w:t>26 (2</w:t>
            </w:r>
            <w:r w:rsidR="001451CD">
              <w:t>,</w:t>
            </w:r>
            <w:r w:rsidRPr="003E7F6A">
              <w:t>6) [6</w:t>
            </w:r>
            <w:r w:rsidR="001451CD">
              <w:t>,</w:t>
            </w:r>
            <w:r w:rsidRPr="003E7F6A">
              <w:t>4]</w:t>
            </w:r>
          </w:p>
        </w:tc>
      </w:tr>
      <w:tr w:rsidR="00C34E4A" w:rsidRPr="002F4447" w14:paraId="610026A6" w14:textId="77777777" w:rsidTr="00AB1FF1">
        <w:tc>
          <w:tcPr>
            <w:tcW w:w="3191" w:type="dxa"/>
          </w:tcPr>
          <w:p w14:paraId="7AF97017" w14:textId="77777777" w:rsidR="00C34E4A" w:rsidRPr="003E7F6A" w:rsidRDefault="00C34E4A">
            <w:pPr>
              <w:tabs>
                <w:tab w:val="left" w:pos="2730"/>
              </w:tabs>
            </w:pPr>
            <w:r w:rsidRPr="003E7F6A">
              <w:t>Нарушения со стороны репродуктивной системы и молочных желез</w:t>
            </w:r>
          </w:p>
        </w:tc>
        <w:tc>
          <w:tcPr>
            <w:tcW w:w="3190" w:type="dxa"/>
            <w:vAlign w:val="center"/>
          </w:tcPr>
          <w:p w14:paraId="4E4E2A5A" w14:textId="48478998" w:rsidR="00C34E4A" w:rsidRPr="003E7F6A" w:rsidRDefault="00C34E4A" w:rsidP="00AB1FF1">
            <w:pPr>
              <w:tabs>
                <w:tab w:val="left" w:pos="2730"/>
              </w:tabs>
              <w:jc w:val="center"/>
            </w:pPr>
            <w:r w:rsidRPr="003E7F6A">
              <w:t>10 (0</w:t>
            </w:r>
            <w:r w:rsidR="001451CD">
              <w:t>,</w:t>
            </w:r>
            <w:r w:rsidRPr="003E7F6A">
              <w:t>9) [2</w:t>
            </w:r>
            <w:r w:rsidR="001451CD">
              <w:t>,</w:t>
            </w:r>
            <w:r w:rsidRPr="003E7F6A">
              <w:t>5]</w:t>
            </w:r>
          </w:p>
        </w:tc>
        <w:tc>
          <w:tcPr>
            <w:tcW w:w="2947" w:type="dxa"/>
            <w:vAlign w:val="center"/>
          </w:tcPr>
          <w:p w14:paraId="27BB8C3F" w14:textId="08EB36FA" w:rsidR="00C34E4A" w:rsidRPr="003E7F6A" w:rsidRDefault="00C34E4A" w:rsidP="00AB1FF1">
            <w:pPr>
              <w:tabs>
                <w:tab w:val="left" w:pos="2730"/>
              </w:tabs>
              <w:jc w:val="center"/>
            </w:pPr>
            <w:r w:rsidRPr="003E7F6A">
              <w:t>15 (1</w:t>
            </w:r>
            <w:r w:rsidR="001451CD">
              <w:t>,</w:t>
            </w:r>
            <w:r w:rsidRPr="003E7F6A">
              <w:t>5) [3</w:t>
            </w:r>
            <w:r w:rsidR="001451CD">
              <w:t>,</w:t>
            </w:r>
            <w:r w:rsidRPr="003E7F6A">
              <w:t>7]</w:t>
            </w:r>
          </w:p>
        </w:tc>
      </w:tr>
      <w:tr w:rsidR="00C34E4A" w:rsidRPr="002F4447" w14:paraId="7EA7EB2D" w14:textId="77777777" w:rsidTr="00AB1FF1">
        <w:tc>
          <w:tcPr>
            <w:tcW w:w="3191" w:type="dxa"/>
          </w:tcPr>
          <w:p w14:paraId="5DD79F5F" w14:textId="77777777" w:rsidR="00C34E4A" w:rsidRPr="003E7F6A" w:rsidRDefault="00C34E4A">
            <w:pPr>
              <w:tabs>
                <w:tab w:val="left" w:pos="2730"/>
              </w:tabs>
            </w:pPr>
            <w:r w:rsidRPr="003E7F6A">
              <w:t xml:space="preserve">Аменорея </w:t>
            </w:r>
          </w:p>
        </w:tc>
        <w:tc>
          <w:tcPr>
            <w:tcW w:w="3190" w:type="dxa"/>
            <w:vAlign w:val="center"/>
          </w:tcPr>
          <w:p w14:paraId="3409DD06" w14:textId="61608E89" w:rsidR="00C34E4A" w:rsidRPr="003E7F6A" w:rsidRDefault="00C34E4A" w:rsidP="00AB1FF1">
            <w:pPr>
              <w:tabs>
                <w:tab w:val="left" w:pos="2730"/>
              </w:tabs>
              <w:jc w:val="center"/>
            </w:pPr>
            <w:r w:rsidRPr="003E7F6A">
              <w:t>1 (0</w:t>
            </w:r>
            <w:r w:rsidR="001451CD">
              <w:t>,</w:t>
            </w:r>
            <w:r w:rsidRPr="003E7F6A">
              <w:t>1) [0</w:t>
            </w:r>
            <w:r w:rsidR="001451CD">
              <w:t>,</w:t>
            </w:r>
            <w:r w:rsidRPr="003E7F6A">
              <w:t>3]</w:t>
            </w:r>
          </w:p>
        </w:tc>
        <w:tc>
          <w:tcPr>
            <w:tcW w:w="2947" w:type="dxa"/>
            <w:vAlign w:val="center"/>
          </w:tcPr>
          <w:p w14:paraId="7970FD07" w14:textId="1E943C34" w:rsidR="00C34E4A" w:rsidRPr="003E7F6A" w:rsidRDefault="00C34E4A" w:rsidP="00AB1FF1">
            <w:pPr>
              <w:tabs>
                <w:tab w:val="left" w:pos="2730"/>
              </w:tabs>
              <w:jc w:val="center"/>
            </w:pPr>
            <w:r w:rsidRPr="003E7F6A">
              <w:t>5 (0</w:t>
            </w:r>
            <w:r w:rsidR="001451CD">
              <w:t>,</w:t>
            </w:r>
            <w:r w:rsidRPr="003E7F6A">
              <w:t>6) [1</w:t>
            </w:r>
            <w:r w:rsidR="001451CD">
              <w:t>,</w:t>
            </w:r>
            <w:r w:rsidRPr="003E7F6A">
              <w:t>5]</w:t>
            </w:r>
          </w:p>
        </w:tc>
      </w:tr>
      <w:tr w:rsidR="00C34E4A" w:rsidRPr="002F4447" w14:paraId="68FC33E6" w14:textId="77777777" w:rsidTr="00AB1FF1">
        <w:tc>
          <w:tcPr>
            <w:tcW w:w="3191" w:type="dxa"/>
          </w:tcPr>
          <w:p w14:paraId="0AF62472" w14:textId="77777777" w:rsidR="00C34E4A" w:rsidRPr="003E7F6A" w:rsidRDefault="00C34E4A">
            <w:pPr>
              <w:tabs>
                <w:tab w:val="left" w:pos="2730"/>
              </w:tabs>
            </w:pPr>
            <w:r w:rsidRPr="003E7F6A">
              <w:t>Нарушения со стороны дыхательной системы, органов грудной клетки и средостения</w:t>
            </w:r>
          </w:p>
        </w:tc>
        <w:tc>
          <w:tcPr>
            <w:tcW w:w="3190" w:type="dxa"/>
            <w:vAlign w:val="center"/>
          </w:tcPr>
          <w:p w14:paraId="1FE0F013" w14:textId="33E6FEB3" w:rsidR="00C34E4A" w:rsidRPr="003E7F6A" w:rsidRDefault="00C34E4A" w:rsidP="00AB1FF1">
            <w:pPr>
              <w:tabs>
                <w:tab w:val="left" w:pos="2730"/>
              </w:tabs>
              <w:jc w:val="center"/>
            </w:pPr>
            <w:r w:rsidRPr="003E7F6A">
              <w:t>60 (5</w:t>
            </w:r>
            <w:r w:rsidR="001451CD">
              <w:t>,</w:t>
            </w:r>
            <w:r w:rsidRPr="003E7F6A">
              <w:t>6) [15</w:t>
            </w:r>
            <w:r w:rsidR="001451CD">
              <w:t>,</w:t>
            </w:r>
            <w:r w:rsidRPr="003E7F6A">
              <w:t>2]</w:t>
            </w:r>
          </w:p>
        </w:tc>
        <w:tc>
          <w:tcPr>
            <w:tcW w:w="2947" w:type="dxa"/>
            <w:vAlign w:val="center"/>
          </w:tcPr>
          <w:p w14:paraId="1366C765" w14:textId="269310E0" w:rsidR="00C34E4A" w:rsidRPr="003E7F6A" w:rsidRDefault="00C34E4A" w:rsidP="00AB1FF1">
            <w:pPr>
              <w:tabs>
                <w:tab w:val="left" w:pos="2730"/>
              </w:tabs>
              <w:jc w:val="center"/>
            </w:pPr>
            <w:r w:rsidRPr="003E7F6A">
              <w:t>79 (7</w:t>
            </w:r>
            <w:r w:rsidR="001451CD">
              <w:t>,</w:t>
            </w:r>
            <w:r w:rsidRPr="003E7F6A">
              <w:t>9) [19</w:t>
            </w:r>
            <w:r w:rsidR="001451CD">
              <w:t>,</w:t>
            </w:r>
            <w:r w:rsidRPr="003E7F6A">
              <w:t>3]</w:t>
            </w:r>
          </w:p>
        </w:tc>
      </w:tr>
      <w:tr w:rsidR="00C34E4A" w:rsidRPr="002F4447" w14:paraId="0376020E" w14:textId="77777777" w:rsidTr="00AB1FF1">
        <w:tc>
          <w:tcPr>
            <w:tcW w:w="3191" w:type="dxa"/>
          </w:tcPr>
          <w:p w14:paraId="2E5FDFF6" w14:textId="77777777" w:rsidR="00C34E4A" w:rsidRPr="003E7F6A" w:rsidRDefault="00C34E4A">
            <w:pPr>
              <w:tabs>
                <w:tab w:val="left" w:pos="2730"/>
              </w:tabs>
            </w:pPr>
            <w:r w:rsidRPr="003E7F6A">
              <w:t>Нарушения со стороны кожи и подкожных тканей</w:t>
            </w:r>
          </w:p>
        </w:tc>
        <w:tc>
          <w:tcPr>
            <w:tcW w:w="3190" w:type="dxa"/>
            <w:vAlign w:val="center"/>
          </w:tcPr>
          <w:p w14:paraId="2F1FBF4D" w14:textId="299A4FFC" w:rsidR="00C34E4A" w:rsidRPr="003E7F6A" w:rsidRDefault="00C34E4A" w:rsidP="00AB1FF1">
            <w:pPr>
              <w:tabs>
                <w:tab w:val="left" w:pos="2730"/>
              </w:tabs>
              <w:jc w:val="center"/>
            </w:pPr>
            <w:r w:rsidRPr="003E7F6A">
              <w:t>68 (6</w:t>
            </w:r>
            <w:r w:rsidR="001451CD">
              <w:t>,</w:t>
            </w:r>
            <w:r w:rsidRPr="003E7F6A">
              <w:t>4) [17</w:t>
            </w:r>
            <w:r w:rsidR="001451CD">
              <w:t>,</w:t>
            </w:r>
            <w:r w:rsidRPr="003E7F6A">
              <w:t>3]</w:t>
            </w:r>
          </w:p>
        </w:tc>
        <w:tc>
          <w:tcPr>
            <w:tcW w:w="2947" w:type="dxa"/>
            <w:vAlign w:val="center"/>
          </w:tcPr>
          <w:p w14:paraId="6FFACC21" w14:textId="03BB6082" w:rsidR="00C34E4A" w:rsidRPr="003E7F6A" w:rsidRDefault="00C34E4A" w:rsidP="00AB1FF1">
            <w:pPr>
              <w:tabs>
                <w:tab w:val="left" w:pos="2730"/>
              </w:tabs>
              <w:jc w:val="center"/>
            </w:pPr>
            <w:r w:rsidRPr="003E7F6A">
              <w:t>66 (6</w:t>
            </w:r>
            <w:r w:rsidR="001451CD">
              <w:t>,</w:t>
            </w:r>
            <w:r w:rsidRPr="003E7F6A">
              <w:t>6) [16</w:t>
            </w:r>
            <w:r w:rsidR="001451CD">
              <w:t>,</w:t>
            </w:r>
            <w:r w:rsidRPr="003E7F6A">
              <w:t>1]</w:t>
            </w:r>
          </w:p>
        </w:tc>
      </w:tr>
      <w:tr w:rsidR="00C34E4A" w:rsidRPr="002F4447" w14:paraId="7902BBED" w14:textId="77777777" w:rsidTr="00AB1FF1">
        <w:tc>
          <w:tcPr>
            <w:tcW w:w="9328" w:type="dxa"/>
            <w:gridSpan w:val="3"/>
          </w:tcPr>
          <w:p w14:paraId="6139947F" w14:textId="7E9E1025" w:rsidR="00C34E4A" w:rsidRPr="003E7F6A" w:rsidRDefault="003E7F6A">
            <w:pPr>
              <w:tabs>
                <w:tab w:val="left" w:pos="2730"/>
              </w:tabs>
              <w:rPr>
                <w:sz w:val="20"/>
                <w:szCs w:val="20"/>
              </w:rPr>
            </w:pPr>
            <w:r w:rsidRPr="003E7F6A">
              <w:rPr>
                <w:b/>
                <w:sz w:val="20"/>
                <w:szCs w:val="20"/>
              </w:rPr>
              <w:t>Примечание:</w:t>
            </w:r>
            <w:r>
              <w:rPr>
                <w:sz w:val="20"/>
                <w:szCs w:val="20"/>
              </w:rPr>
              <w:br/>
            </w:r>
            <w:r w:rsidR="00C34E4A" w:rsidRPr="003E7F6A">
              <w:rPr>
                <w:sz w:val="20"/>
                <w:szCs w:val="20"/>
              </w:rPr>
              <w:t xml:space="preserve">TEAE – нежелательные явления, возникающие при лечении (нежелательные явления, отсутствовавшие до начала лечения, или уже имеющиеся явления, интенсивность или частота которых ухудшаются после лечения); PBO – плацебо; PYE – воздействие пациенто-лет; </w:t>
            </w:r>
            <w:r w:rsidR="00C34E4A" w:rsidRPr="003E7F6A">
              <w:rPr>
                <w:sz w:val="20"/>
                <w:szCs w:val="20"/>
                <w:lang w:val="en-US"/>
              </w:rPr>
              <w:t>PY</w:t>
            </w:r>
            <w:r w:rsidR="00C34E4A" w:rsidRPr="003E7F6A">
              <w:rPr>
                <w:sz w:val="20"/>
                <w:szCs w:val="20"/>
              </w:rPr>
              <w:t xml:space="preserve"> – пациенто-годы; BARI 4-mg – барицитиниб 4 мг.</w:t>
            </w:r>
          </w:p>
        </w:tc>
      </w:tr>
    </w:tbl>
    <w:p w14:paraId="78F07399" w14:textId="77777777" w:rsidR="00C34E4A" w:rsidRPr="00251911" w:rsidRDefault="00C34E4A">
      <w:pPr>
        <w:tabs>
          <w:tab w:val="left" w:pos="2730"/>
        </w:tabs>
        <w:spacing w:after="0" w:line="240" w:lineRule="auto"/>
      </w:pPr>
    </w:p>
    <w:p w14:paraId="3B8FA234" w14:textId="77777777" w:rsidR="00C34E4A" w:rsidRDefault="00C34E4A">
      <w:pPr>
        <w:tabs>
          <w:tab w:val="left" w:pos="709"/>
        </w:tabs>
        <w:spacing w:after="0" w:line="240" w:lineRule="auto"/>
      </w:pPr>
      <w:r>
        <w:tab/>
        <w:t xml:space="preserve">Нежелательные явления (НЯ) из первичного анализа (16 недель) были проанализированы на возможные </w:t>
      </w:r>
      <w:r w:rsidRPr="00AC5ADB">
        <w:t>НЛР (нежелательные лекарственные реакции) с</w:t>
      </w:r>
      <w:r>
        <w:t xml:space="preserve"> использованием следующих критериев:</w:t>
      </w:r>
    </w:p>
    <w:p w14:paraId="104E74D8" w14:textId="77777777" w:rsidR="00C34E4A" w:rsidRDefault="00C34E4A">
      <w:pPr>
        <w:tabs>
          <w:tab w:val="left" w:pos="2730"/>
        </w:tabs>
        <w:spacing w:after="0" w:line="240" w:lineRule="auto"/>
        <w:ind w:firstLine="709"/>
      </w:pPr>
      <w:r>
        <w:t>1) Частота встречаемости у пациентов из группы барицитиниба 4 мг ≥10%</w:t>
      </w:r>
    </w:p>
    <w:p w14:paraId="2CE52EAE" w14:textId="77777777" w:rsidR="00C34E4A" w:rsidRDefault="00C34E4A">
      <w:pPr>
        <w:tabs>
          <w:tab w:val="left" w:pos="2730"/>
        </w:tabs>
        <w:spacing w:after="0" w:line="240" w:lineRule="auto"/>
        <w:ind w:firstLine="709"/>
      </w:pPr>
      <w:r>
        <w:t>2) Статистически значимая положительная зависимость от дозы в группах лечения барицитинибом.</w:t>
      </w:r>
    </w:p>
    <w:p w14:paraId="6F3C8321" w14:textId="77777777" w:rsidR="00C34E4A" w:rsidRDefault="00C34E4A">
      <w:pPr>
        <w:tabs>
          <w:tab w:val="left" w:pos="2730"/>
        </w:tabs>
        <w:spacing w:after="0" w:line="240" w:lineRule="auto"/>
        <w:ind w:firstLine="709"/>
      </w:pPr>
      <w:r>
        <w:t>3) Барицитиниб 4 мг статистически значимо выше, чем плацебо.</w:t>
      </w:r>
    </w:p>
    <w:p w14:paraId="7F7F727C" w14:textId="77777777" w:rsidR="00C34E4A" w:rsidRDefault="00C34E4A">
      <w:pPr>
        <w:tabs>
          <w:tab w:val="left" w:pos="2730"/>
        </w:tabs>
        <w:spacing w:after="0" w:line="240" w:lineRule="auto"/>
        <w:ind w:firstLine="709"/>
      </w:pPr>
      <w:r>
        <w:t>4) Отношение шансов Mantel-Haenszel составляет ≥2 для барицитиниба 4 мг по сравнению с плацебо, а частота барицитиниба составляет ≥1%</w:t>
      </w:r>
    </w:p>
    <w:p w14:paraId="5757F5A8" w14:textId="51DD7C4B" w:rsidR="00C34E4A" w:rsidRPr="00251911" w:rsidRDefault="00C34E4A">
      <w:pPr>
        <w:tabs>
          <w:tab w:val="left" w:pos="2730"/>
        </w:tabs>
        <w:spacing w:after="0" w:line="240" w:lineRule="auto"/>
        <w:ind w:firstLine="709"/>
      </w:pPr>
      <w:r>
        <w:t xml:space="preserve">С использованием этих критериев и клинической медицинской оценки следующие явления были классифицированы как НЛР: тошнота, инфекции верхних дыхательных путей, простой герпес, опоясывающий герпес, акне, повышение уровня креатинфосфокиназы, повышение уровня холестерина </w:t>
      </w:r>
      <w:r w:rsidRPr="00AC5ADB">
        <w:t>липопротеидов низкой плотности (ЛПНП</w:t>
      </w:r>
      <w:r>
        <w:t>) и триглицеридов, повышение функциональных проб печени (</w:t>
      </w:r>
      <w:r w:rsidRPr="00AC5ADB">
        <w:t>АСТ, АЛТ</w:t>
      </w:r>
      <w:r>
        <w:t>), нейтропения и тромбоцитоз (</w:t>
      </w:r>
      <w:r w:rsidRPr="00AC5ADB">
        <w:t xml:space="preserve">Таблица </w:t>
      </w:r>
      <w:r w:rsidR="003E7F6A">
        <w:t>4-14</w:t>
      </w:r>
      <w:r>
        <w:t xml:space="preserve">) </w:t>
      </w:r>
      <w:r>
        <w:fldChar w:fldCharType="begin"/>
      </w:r>
      <w:r>
        <w:instrText xml:space="preserve"> ADDIN ZOTERO_ITEM CSL_CITATION {"citationID":"jKQZUVCr","properties":{"formattedCitation":"[1]","plainCitation":"[1]","noteIndex":0},"citationItems":[{"id":3826,"uris":["http://zotero.org/groups/4514912/items/UB7ESC4C"],"itemData":{"id":3826,"type":"document","title":"Assessment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64781C8C" w14:textId="77777777" w:rsidR="00C34E4A" w:rsidRDefault="00C34E4A">
      <w:pPr>
        <w:tabs>
          <w:tab w:val="left" w:pos="2730"/>
        </w:tabs>
        <w:spacing w:after="0" w:line="240" w:lineRule="auto"/>
      </w:pPr>
    </w:p>
    <w:p w14:paraId="6EEC23FD" w14:textId="0ECBE0D4" w:rsidR="00C34E4A" w:rsidRPr="00AC5ADB" w:rsidRDefault="003E7F6A">
      <w:pPr>
        <w:tabs>
          <w:tab w:val="left" w:pos="709"/>
        </w:tabs>
        <w:spacing w:after="0" w:line="240" w:lineRule="auto"/>
        <w:rPr>
          <w:b/>
          <w:bCs/>
        </w:rPr>
      </w:pPr>
      <w:r>
        <w:rPr>
          <w:b/>
          <w:bCs/>
        </w:rPr>
        <w:t>Таблица 4-14.</w:t>
      </w:r>
      <w:r w:rsidR="00C34E4A" w:rsidRPr="00AC5ADB">
        <w:rPr>
          <w:b/>
          <w:bCs/>
        </w:rPr>
        <w:t xml:space="preserve"> </w:t>
      </w:r>
      <w:r w:rsidR="00C34E4A" w:rsidRPr="003E7F6A">
        <w:rPr>
          <w:bCs/>
        </w:rPr>
        <w:t>Идентифицированные риски</w:t>
      </w:r>
      <w:r w:rsidRPr="003E7F6A">
        <w:rPr>
          <w:bCs/>
        </w:rPr>
        <w:t>.</w:t>
      </w:r>
    </w:p>
    <w:tbl>
      <w:tblPr>
        <w:tblStyle w:val="a8"/>
        <w:tblW w:w="4873" w:type="pct"/>
        <w:tblInd w:w="136" w:type="dxa"/>
        <w:tblLook w:val="04A0" w:firstRow="1" w:lastRow="0" w:firstColumn="1" w:lastColumn="0" w:noHBand="0" w:noVBand="1"/>
      </w:tblPr>
      <w:tblGrid>
        <w:gridCol w:w="2195"/>
        <w:gridCol w:w="1448"/>
        <w:gridCol w:w="1450"/>
        <w:gridCol w:w="1450"/>
        <w:gridCol w:w="1450"/>
        <w:gridCol w:w="1336"/>
      </w:tblGrid>
      <w:tr w:rsidR="00C34E4A" w:rsidRPr="00C34E4A" w14:paraId="7B5E6E64" w14:textId="77777777" w:rsidTr="00AB1FF1">
        <w:trPr>
          <w:tblHeader/>
        </w:trPr>
        <w:tc>
          <w:tcPr>
            <w:tcW w:w="2204" w:type="dxa"/>
            <w:vMerge w:val="restart"/>
            <w:shd w:val="clear" w:color="auto" w:fill="D9D9D9" w:themeFill="background1" w:themeFillShade="D9"/>
            <w:vAlign w:val="center"/>
          </w:tcPr>
          <w:p w14:paraId="742D87C9" w14:textId="672DE1EA" w:rsidR="00C34E4A" w:rsidRPr="0029110D" w:rsidRDefault="0029110D">
            <w:pPr>
              <w:tabs>
                <w:tab w:val="left" w:pos="2730"/>
              </w:tabs>
              <w:jc w:val="center"/>
              <w:rPr>
                <w:b/>
                <w:bCs/>
              </w:rPr>
            </w:pPr>
            <w:r w:rsidRPr="0029110D">
              <w:rPr>
                <w:b/>
                <w:bCs/>
              </w:rPr>
              <w:t>Параметр</w:t>
            </w:r>
          </w:p>
        </w:tc>
        <w:tc>
          <w:tcPr>
            <w:tcW w:w="2946" w:type="dxa"/>
            <w:gridSpan w:val="2"/>
            <w:shd w:val="clear" w:color="auto" w:fill="D9D9D9" w:themeFill="background1" w:themeFillShade="D9"/>
            <w:vAlign w:val="center"/>
          </w:tcPr>
          <w:p w14:paraId="11BF12FF" w14:textId="77777777" w:rsidR="00C34E4A" w:rsidRPr="0029110D" w:rsidRDefault="00C34E4A">
            <w:pPr>
              <w:tabs>
                <w:tab w:val="left" w:pos="2730"/>
              </w:tabs>
              <w:jc w:val="center"/>
              <w:rPr>
                <w:b/>
                <w:bCs/>
              </w:rPr>
            </w:pPr>
            <w:r w:rsidRPr="0029110D">
              <w:rPr>
                <w:b/>
                <w:bCs/>
              </w:rPr>
              <w:t>Исследования, оценивающие барицитиниб в дозе 4 мг (6 исследований)</w:t>
            </w:r>
          </w:p>
        </w:tc>
        <w:tc>
          <w:tcPr>
            <w:tcW w:w="4178" w:type="dxa"/>
            <w:gridSpan w:val="3"/>
            <w:shd w:val="clear" w:color="auto" w:fill="D9D9D9" w:themeFill="background1" w:themeFillShade="D9"/>
            <w:vAlign w:val="center"/>
          </w:tcPr>
          <w:p w14:paraId="6A48868B" w14:textId="77777777" w:rsidR="00C34E4A" w:rsidRPr="0029110D" w:rsidRDefault="00C34E4A">
            <w:pPr>
              <w:tabs>
                <w:tab w:val="left" w:pos="2730"/>
              </w:tabs>
              <w:jc w:val="center"/>
              <w:rPr>
                <w:b/>
                <w:bCs/>
              </w:rPr>
            </w:pPr>
            <w:r w:rsidRPr="0029110D">
              <w:rPr>
                <w:b/>
                <w:bCs/>
              </w:rPr>
              <w:t>Исследования, оценивающие барицитиниб в дозах 2 и 4 мг (4 исследования)</w:t>
            </w:r>
          </w:p>
        </w:tc>
      </w:tr>
      <w:tr w:rsidR="00C34E4A" w:rsidRPr="00C34E4A" w14:paraId="00F52F35" w14:textId="77777777" w:rsidTr="00AB1FF1">
        <w:trPr>
          <w:tblHeader/>
        </w:trPr>
        <w:tc>
          <w:tcPr>
            <w:tcW w:w="2204" w:type="dxa"/>
            <w:vMerge/>
            <w:shd w:val="clear" w:color="auto" w:fill="D9D9D9" w:themeFill="background1" w:themeFillShade="D9"/>
            <w:vAlign w:val="center"/>
          </w:tcPr>
          <w:p w14:paraId="70BDE1BE" w14:textId="77777777" w:rsidR="00C34E4A" w:rsidRPr="0029110D" w:rsidRDefault="00C34E4A">
            <w:pPr>
              <w:tabs>
                <w:tab w:val="left" w:pos="2730"/>
              </w:tabs>
              <w:jc w:val="center"/>
              <w:rPr>
                <w:b/>
              </w:rPr>
            </w:pPr>
          </w:p>
        </w:tc>
        <w:tc>
          <w:tcPr>
            <w:tcW w:w="1472" w:type="dxa"/>
            <w:shd w:val="clear" w:color="auto" w:fill="D9D9D9" w:themeFill="background1" w:themeFillShade="D9"/>
            <w:vAlign w:val="center"/>
          </w:tcPr>
          <w:p w14:paraId="3F8A3A1F" w14:textId="77777777" w:rsidR="00C34E4A" w:rsidRPr="0029110D" w:rsidRDefault="00C34E4A">
            <w:pPr>
              <w:tabs>
                <w:tab w:val="left" w:pos="2730"/>
              </w:tabs>
              <w:jc w:val="center"/>
              <w:rPr>
                <w:b/>
              </w:rPr>
            </w:pPr>
            <w:r w:rsidRPr="0029110D">
              <w:rPr>
                <w:b/>
              </w:rPr>
              <w:t>P</w:t>
            </w:r>
            <w:r w:rsidRPr="0029110D">
              <w:rPr>
                <w:b/>
                <w:lang w:val="en-US"/>
              </w:rPr>
              <w:t>BO</w:t>
            </w:r>
            <w:r w:rsidRPr="0029110D">
              <w:rPr>
                <w:b/>
              </w:rPr>
              <w:t>+ cDMARDs n=1070 (%)</w:t>
            </w:r>
          </w:p>
        </w:tc>
        <w:tc>
          <w:tcPr>
            <w:tcW w:w="1474" w:type="dxa"/>
            <w:shd w:val="clear" w:color="auto" w:fill="D9D9D9" w:themeFill="background1" w:themeFillShade="D9"/>
            <w:vAlign w:val="center"/>
          </w:tcPr>
          <w:p w14:paraId="34E49A18" w14:textId="77777777" w:rsidR="00C34E4A" w:rsidRPr="0029110D" w:rsidRDefault="00C34E4A">
            <w:pPr>
              <w:tabs>
                <w:tab w:val="left" w:pos="2730"/>
              </w:tabs>
              <w:jc w:val="center"/>
              <w:rPr>
                <w:b/>
              </w:rPr>
            </w:pPr>
            <w:r w:rsidRPr="0029110D">
              <w:rPr>
                <w:b/>
              </w:rPr>
              <w:t>BARI 4 mg+ cDMARDs n=997 (%)</w:t>
            </w:r>
          </w:p>
        </w:tc>
        <w:tc>
          <w:tcPr>
            <w:tcW w:w="1474" w:type="dxa"/>
            <w:shd w:val="clear" w:color="auto" w:fill="D9D9D9" w:themeFill="background1" w:themeFillShade="D9"/>
            <w:vAlign w:val="center"/>
          </w:tcPr>
          <w:p w14:paraId="40F85499" w14:textId="77777777" w:rsidR="00C34E4A" w:rsidRPr="0029110D" w:rsidRDefault="00C34E4A">
            <w:pPr>
              <w:tabs>
                <w:tab w:val="left" w:pos="2730"/>
              </w:tabs>
              <w:jc w:val="center"/>
              <w:rPr>
                <w:b/>
              </w:rPr>
            </w:pPr>
            <w:r w:rsidRPr="0029110D">
              <w:rPr>
                <w:b/>
              </w:rPr>
              <w:t>PB</w:t>
            </w:r>
            <w:r w:rsidRPr="0029110D">
              <w:rPr>
                <w:b/>
                <w:lang w:val="en-US"/>
              </w:rPr>
              <w:t>O</w:t>
            </w:r>
            <w:r w:rsidRPr="0029110D">
              <w:rPr>
                <w:b/>
              </w:rPr>
              <w:t>+ cDMARDs n=551 (%)</w:t>
            </w:r>
          </w:p>
        </w:tc>
        <w:tc>
          <w:tcPr>
            <w:tcW w:w="1474" w:type="dxa"/>
            <w:shd w:val="clear" w:color="auto" w:fill="D9D9D9" w:themeFill="background1" w:themeFillShade="D9"/>
            <w:vAlign w:val="center"/>
          </w:tcPr>
          <w:p w14:paraId="11D24F2C" w14:textId="77777777" w:rsidR="00C34E4A" w:rsidRPr="0029110D" w:rsidRDefault="00C34E4A">
            <w:pPr>
              <w:tabs>
                <w:tab w:val="left" w:pos="2730"/>
              </w:tabs>
              <w:jc w:val="center"/>
              <w:rPr>
                <w:b/>
              </w:rPr>
            </w:pPr>
            <w:r w:rsidRPr="0029110D">
              <w:rPr>
                <w:b/>
              </w:rPr>
              <w:t>BARI 2 mg+ cDMARDs n=479 (%)</w:t>
            </w:r>
          </w:p>
        </w:tc>
        <w:tc>
          <w:tcPr>
            <w:tcW w:w="1230" w:type="dxa"/>
            <w:shd w:val="clear" w:color="auto" w:fill="D9D9D9" w:themeFill="background1" w:themeFillShade="D9"/>
            <w:vAlign w:val="center"/>
          </w:tcPr>
          <w:p w14:paraId="4C33F971" w14:textId="77777777" w:rsidR="00C34E4A" w:rsidRPr="0029110D" w:rsidRDefault="00C34E4A">
            <w:pPr>
              <w:tabs>
                <w:tab w:val="left" w:pos="2730"/>
              </w:tabs>
              <w:jc w:val="center"/>
              <w:rPr>
                <w:b/>
              </w:rPr>
            </w:pPr>
            <w:r w:rsidRPr="0029110D">
              <w:rPr>
                <w:b/>
              </w:rPr>
              <w:t>BARI 4 mg+ cDMARDs n=479 (%)</w:t>
            </w:r>
          </w:p>
        </w:tc>
      </w:tr>
      <w:tr w:rsidR="00C34E4A" w:rsidRPr="00C34E4A" w14:paraId="58466652" w14:textId="77777777" w:rsidTr="00AB1FF1">
        <w:tc>
          <w:tcPr>
            <w:tcW w:w="9328" w:type="dxa"/>
            <w:gridSpan w:val="6"/>
          </w:tcPr>
          <w:p w14:paraId="5920BED9" w14:textId="77777777" w:rsidR="00C34E4A" w:rsidRPr="0029110D" w:rsidRDefault="00C34E4A">
            <w:pPr>
              <w:tabs>
                <w:tab w:val="left" w:pos="2730"/>
              </w:tabs>
              <w:rPr>
                <w:i/>
              </w:rPr>
            </w:pPr>
            <w:r w:rsidRPr="0029110D">
              <w:rPr>
                <w:i/>
              </w:rPr>
              <w:t>Нежелательные явления</w:t>
            </w:r>
          </w:p>
        </w:tc>
      </w:tr>
      <w:tr w:rsidR="00C34E4A" w:rsidRPr="00C34E4A" w14:paraId="35873775" w14:textId="77777777" w:rsidTr="00AB1FF1">
        <w:tc>
          <w:tcPr>
            <w:tcW w:w="2204" w:type="dxa"/>
          </w:tcPr>
          <w:p w14:paraId="1FD034C7" w14:textId="77777777" w:rsidR="00C34E4A" w:rsidRPr="0029110D" w:rsidRDefault="00C34E4A">
            <w:pPr>
              <w:tabs>
                <w:tab w:val="left" w:pos="2730"/>
              </w:tabs>
            </w:pPr>
            <w:r w:rsidRPr="0029110D">
              <w:t>Тошнота</w:t>
            </w:r>
          </w:p>
        </w:tc>
        <w:tc>
          <w:tcPr>
            <w:tcW w:w="1472" w:type="dxa"/>
            <w:vAlign w:val="center"/>
          </w:tcPr>
          <w:p w14:paraId="118579BB" w14:textId="46720C28" w:rsidR="00C34E4A" w:rsidRPr="0029110D" w:rsidRDefault="00C34E4A" w:rsidP="00AB1FF1">
            <w:pPr>
              <w:tabs>
                <w:tab w:val="left" w:pos="2730"/>
              </w:tabs>
              <w:jc w:val="center"/>
            </w:pPr>
            <w:r w:rsidRPr="0029110D">
              <w:t>1</w:t>
            </w:r>
            <w:r w:rsidR="001451CD" w:rsidRPr="0029110D">
              <w:t>,</w:t>
            </w:r>
            <w:r w:rsidRPr="0029110D">
              <w:t>6</w:t>
            </w:r>
          </w:p>
        </w:tc>
        <w:tc>
          <w:tcPr>
            <w:tcW w:w="1474" w:type="dxa"/>
            <w:vAlign w:val="center"/>
          </w:tcPr>
          <w:p w14:paraId="489BC0B1" w14:textId="20492576" w:rsidR="00C34E4A" w:rsidRPr="0029110D" w:rsidRDefault="00C34E4A" w:rsidP="00AB1FF1">
            <w:pPr>
              <w:tabs>
                <w:tab w:val="left" w:pos="2730"/>
              </w:tabs>
              <w:jc w:val="center"/>
            </w:pPr>
            <w:r w:rsidRPr="0029110D">
              <w:t>2</w:t>
            </w:r>
            <w:r w:rsidR="001451CD" w:rsidRPr="0029110D">
              <w:t>,</w:t>
            </w:r>
            <w:r w:rsidRPr="0029110D">
              <w:t>8</w:t>
            </w:r>
          </w:p>
        </w:tc>
        <w:tc>
          <w:tcPr>
            <w:tcW w:w="1474" w:type="dxa"/>
            <w:vAlign w:val="center"/>
          </w:tcPr>
          <w:p w14:paraId="1A3C2443" w14:textId="312EEBEC" w:rsidR="00C34E4A" w:rsidRPr="0029110D" w:rsidRDefault="00C34E4A" w:rsidP="00AB1FF1">
            <w:pPr>
              <w:tabs>
                <w:tab w:val="left" w:pos="2730"/>
              </w:tabs>
              <w:jc w:val="center"/>
            </w:pPr>
            <w:r w:rsidRPr="0029110D">
              <w:t>2</w:t>
            </w:r>
            <w:r w:rsidR="001451CD" w:rsidRPr="0029110D">
              <w:t>,</w:t>
            </w:r>
            <w:r w:rsidRPr="0029110D">
              <w:t>0</w:t>
            </w:r>
          </w:p>
        </w:tc>
        <w:tc>
          <w:tcPr>
            <w:tcW w:w="1474" w:type="dxa"/>
            <w:vAlign w:val="center"/>
          </w:tcPr>
          <w:p w14:paraId="1047EFA4" w14:textId="701D7E38" w:rsidR="00C34E4A" w:rsidRPr="0029110D" w:rsidRDefault="00C34E4A" w:rsidP="00AB1FF1">
            <w:pPr>
              <w:tabs>
                <w:tab w:val="left" w:pos="2730"/>
              </w:tabs>
              <w:jc w:val="center"/>
            </w:pPr>
            <w:r w:rsidRPr="0029110D">
              <w:t>2</w:t>
            </w:r>
            <w:r w:rsidR="001451CD" w:rsidRPr="0029110D">
              <w:t>,</w:t>
            </w:r>
            <w:r w:rsidRPr="0029110D">
              <w:t>7</w:t>
            </w:r>
          </w:p>
        </w:tc>
        <w:tc>
          <w:tcPr>
            <w:tcW w:w="1230" w:type="dxa"/>
            <w:vAlign w:val="center"/>
          </w:tcPr>
          <w:p w14:paraId="32C11D21" w14:textId="3680211B" w:rsidR="00C34E4A" w:rsidRPr="0029110D" w:rsidRDefault="00C34E4A" w:rsidP="00AB1FF1">
            <w:pPr>
              <w:tabs>
                <w:tab w:val="left" w:pos="2730"/>
              </w:tabs>
              <w:jc w:val="center"/>
            </w:pPr>
            <w:r w:rsidRPr="0029110D">
              <w:t>2</w:t>
            </w:r>
            <w:r w:rsidR="001451CD" w:rsidRPr="0029110D">
              <w:t>,</w:t>
            </w:r>
            <w:r w:rsidRPr="0029110D">
              <w:t>9</w:t>
            </w:r>
          </w:p>
        </w:tc>
      </w:tr>
      <w:tr w:rsidR="00C34E4A" w:rsidRPr="00C34E4A" w14:paraId="6F36C503" w14:textId="77777777" w:rsidTr="00AB1FF1">
        <w:tc>
          <w:tcPr>
            <w:tcW w:w="2204" w:type="dxa"/>
          </w:tcPr>
          <w:p w14:paraId="1F674D63" w14:textId="77777777" w:rsidR="00C34E4A" w:rsidRPr="0029110D" w:rsidRDefault="00C34E4A">
            <w:pPr>
              <w:tabs>
                <w:tab w:val="left" w:pos="2730"/>
              </w:tabs>
              <w:rPr>
                <w:vertAlign w:val="superscript"/>
              </w:rPr>
            </w:pPr>
            <w:r w:rsidRPr="0029110D">
              <w:t xml:space="preserve">Инфекции верхних </w:t>
            </w:r>
            <w:r w:rsidRPr="0029110D">
              <w:lastRenderedPageBreak/>
              <w:t>дыхательных путей</w:t>
            </w:r>
            <w:r w:rsidRPr="0029110D">
              <w:rPr>
                <w:vertAlign w:val="superscript"/>
              </w:rPr>
              <w:t>а</w:t>
            </w:r>
          </w:p>
        </w:tc>
        <w:tc>
          <w:tcPr>
            <w:tcW w:w="1472" w:type="dxa"/>
            <w:vAlign w:val="center"/>
          </w:tcPr>
          <w:p w14:paraId="59108630" w14:textId="6C82DEE6" w:rsidR="00C34E4A" w:rsidRPr="0029110D" w:rsidRDefault="00C34E4A" w:rsidP="00AB1FF1">
            <w:pPr>
              <w:tabs>
                <w:tab w:val="left" w:pos="2730"/>
              </w:tabs>
              <w:jc w:val="center"/>
            </w:pPr>
            <w:r w:rsidRPr="0029110D">
              <w:lastRenderedPageBreak/>
              <w:t>11</w:t>
            </w:r>
            <w:r w:rsidR="001451CD" w:rsidRPr="0029110D">
              <w:t>,</w:t>
            </w:r>
            <w:r w:rsidRPr="0029110D">
              <w:t>7</w:t>
            </w:r>
          </w:p>
        </w:tc>
        <w:tc>
          <w:tcPr>
            <w:tcW w:w="1474" w:type="dxa"/>
            <w:vAlign w:val="center"/>
          </w:tcPr>
          <w:p w14:paraId="69F8B441" w14:textId="73AE1271" w:rsidR="00C34E4A" w:rsidRPr="0029110D" w:rsidRDefault="00C34E4A" w:rsidP="00AB1FF1">
            <w:pPr>
              <w:tabs>
                <w:tab w:val="left" w:pos="2730"/>
              </w:tabs>
              <w:jc w:val="center"/>
            </w:pPr>
            <w:r w:rsidRPr="0029110D">
              <w:t>14</w:t>
            </w:r>
            <w:r w:rsidR="001451CD" w:rsidRPr="0029110D">
              <w:t>,</w:t>
            </w:r>
            <w:r w:rsidRPr="0029110D">
              <w:t>7</w:t>
            </w:r>
          </w:p>
        </w:tc>
        <w:tc>
          <w:tcPr>
            <w:tcW w:w="1474" w:type="dxa"/>
            <w:vAlign w:val="center"/>
          </w:tcPr>
          <w:p w14:paraId="05281322" w14:textId="780660AC" w:rsidR="00C34E4A" w:rsidRPr="0029110D" w:rsidRDefault="00C34E4A" w:rsidP="00AB1FF1">
            <w:pPr>
              <w:tabs>
                <w:tab w:val="left" w:pos="2730"/>
              </w:tabs>
              <w:jc w:val="center"/>
            </w:pPr>
            <w:r w:rsidRPr="0029110D">
              <w:t>11</w:t>
            </w:r>
            <w:r w:rsidR="001451CD" w:rsidRPr="0029110D">
              <w:t>,</w:t>
            </w:r>
            <w:r w:rsidRPr="0029110D">
              <w:t>4</w:t>
            </w:r>
          </w:p>
        </w:tc>
        <w:tc>
          <w:tcPr>
            <w:tcW w:w="1474" w:type="dxa"/>
            <w:vAlign w:val="center"/>
          </w:tcPr>
          <w:p w14:paraId="6D72B9F1" w14:textId="27B7AEC8" w:rsidR="00C34E4A" w:rsidRPr="0029110D" w:rsidRDefault="00C34E4A" w:rsidP="00AB1FF1">
            <w:pPr>
              <w:tabs>
                <w:tab w:val="left" w:pos="2730"/>
              </w:tabs>
              <w:jc w:val="center"/>
            </w:pPr>
            <w:r w:rsidRPr="0029110D">
              <w:t>16</w:t>
            </w:r>
            <w:r w:rsidR="001451CD" w:rsidRPr="0029110D">
              <w:t>,</w:t>
            </w:r>
            <w:r w:rsidRPr="0029110D">
              <w:t>3</w:t>
            </w:r>
          </w:p>
        </w:tc>
        <w:tc>
          <w:tcPr>
            <w:tcW w:w="1230" w:type="dxa"/>
            <w:vAlign w:val="center"/>
          </w:tcPr>
          <w:p w14:paraId="65545466" w14:textId="4CB8F1B7" w:rsidR="00C34E4A" w:rsidRPr="0029110D" w:rsidRDefault="00C34E4A" w:rsidP="00AB1FF1">
            <w:pPr>
              <w:tabs>
                <w:tab w:val="left" w:pos="2730"/>
              </w:tabs>
              <w:jc w:val="center"/>
            </w:pPr>
            <w:r w:rsidRPr="0029110D">
              <w:t>17</w:t>
            </w:r>
            <w:r w:rsidR="001451CD" w:rsidRPr="0029110D">
              <w:t>,</w:t>
            </w:r>
            <w:r w:rsidRPr="0029110D">
              <w:t>3</w:t>
            </w:r>
          </w:p>
        </w:tc>
      </w:tr>
      <w:tr w:rsidR="00C34E4A" w:rsidRPr="00C34E4A" w14:paraId="550A1447" w14:textId="77777777" w:rsidTr="00AB1FF1">
        <w:tc>
          <w:tcPr>
            <w:tcW w:w="2204" w:type="dxa"/>
          </w:tcPr>
          <w:p w14:paraId="2330FCE0" w14:textId="77777777" w:rsidR="00C34E4A" w:rsidRPr="0029110D" w:rsidRDefault="00C34E4A">
            <w:pPr>
              <w:tabs>
                <w:tab w:val="left" w:pos="2730"/>
              </w:tabs>
            </w:pPr>
            <w:r w:rsidRPr="0029110D">
              <w:t xml:space="preserve">Простой герпес </w:t>
            </w:r>
            <w:r w:rsidRPr="0029110D">
              <w:rPr>
                <w:vertAlign w:val="superscript"/>
              </w:rPr>
              <w:t>b</w:t>
            </w:r>
          </w:p>
        </w:tc>
        <w:tc>
          <w:tcPr>
            <w:tcW w:w="1472" w:type="dxa"/>
            <w:vAlign w:val="center"/>
          </w:tcPr>
          <w:p w14:paraId="2961EFB9" w14:textId="6E1DE91F" w:rsidR="00C34E4A" w:rsidRPr="0029110D" w:rsidRDefault="00C34E4A" w:rsidP="00AB1FF1">
            <w:pPr>
              <w:tabs>
                <w:tab w:val="left" w:pos="2730"/>
              </w:tabs>
              <w:jc w:val="center"/>
            </w:pPr>
            <w:r w:rsidRPr="0029110D">
              <w:t>0</w:t>
            </w:r>
            <w:r w:rsidR="001451CD" w:rsidRPr="0029110D">
              <w:t>,</w:t>
            </w:r>
            <w:r w:rsidRPr="0029110D">
              <w:t>7</w:t>
            </w:r>
          </w:p>
        </w:tc>
        <w:tc>
          <w:tcPr>
            <w:tcW w:w="1474" w:type="dxa"/>
            <w:vAlign w:val="center"/>
          </w:tcPr>
          <w:p w14:paraId="2D365796" w14:textId="0C853CD5" w:rsidR="00C34E4A" w:rsidRPr="0029110D" w:rsidRDefault="00C34E4A" w:rsidP="00AB1FF1">
            <w:pPr>
              <w:tabs>
                <w:tab w:val="left" w:pos="2730"/>
              </w:tabs>
              <w:jc w:val="center"/>
            </w:pPr>
            <w:r w:rsidRPr="0029110D">
              <w:t>1</w:t>
            </w:r>
            <w:r w:rsidR="001451CD" w:rsidRPr="0029110D">
              <w:t>,</w:t>
            </w:r>
            <w:r w:rsidRPr="0029110D">
              <w:t>8</w:t>
            </w:r>
          </w:p>
        </w:tc>
        <w:tc>
          <w:tcPr>
            <w:tcW w:w="1474" w:type="dxa"/>
            <w:vAlign w:val="center"/>
          </w:tcPr>
          <w:p w14:paraId="18CAE4FE" w14:textId="6E7B6083" w:rsidR="00C34E4A" w:rsidRPr="0029110D" w:rsidRDefault="00C34E4A" w:rsidP="00AB1FF1">
            <w:pPr>
              <w:tabs>
                <w:tab w:val="left" w:pos="2730"/>
              </w:tabs>
              <w:jc w:val="center"/>
            </w:pPr>
            <w:r w:rsidRPr="0029110D">
              <w:t>0</w:t>
            </w:r>
            <w:r w:rsidR="001451CD" w:rsidRPr="0029110D">
              <w:t>,</w:t>
            </w:r>
            <w:r w:rsidRPr="0029110D">
              <w:t>5</w:t>
            </w:r>
          </w:p>
        </w:tc>
        <w:tc>
          <w:tcPr>
            <w:tcW w:w="1474" w:type="dxa"/>
            <w:vAlign w:val="center"/>
          </w:tcPr>
          <w:p w14:paraId="3ABFB366" w14:textId="0E327715" w:rsidR="00C34E4A" w:rsidRPr="0029110D" w:rsidRDefault="00C34E4A" w:rsidP="00AB1FF1">
            <w:pPr>
              <w:tabs>
                <w:tab w:val="left" w:pos="2730"/>
              </w:tabs>
              <w:jc w:val="center"/>
            </w:pPr>
            <w:r w:rsidRPr="0029110D">
              <w:t>0</w:t>
            </w:r>
            <w:r w:rsidR="001451CD" w:rsidRPr="0029110D">
              <w:t>,</w:t>
            </w:r>
            <w:r w:rsidRPr="0029110D">
              <w:t>8</w:t>
            </w:r>
          </w:p>
        </w:tc>
        <w:tc>
          <w:tcPr>
            <w:tcW w:w="1230" w:type="dxa"/>
            <w:vAlign w:val="center"/>
          </w:tcPr>
          <w:p w14:paraId="675222B3" w14:textId="410F0CE9" w:rsidR="00C34E4A" w:rsidRPr="0029110D" w:rsidRDefault="00C34E4A" w:rsidP="00AB1FF1">
            <w:pPr>
              <w:tabs>
                <w:tab w:val="left" w:pos="2730"/>
              </w:tabs>
              <w:jc w:val="center"/>
            </w:pPr>
            <w:r w:rsidRPr="0029110D">
              <w:t>0</w:t>
            </w:r>
            <w:r w:rsidR="001451CD" w:rsidRPr="0029110D">
              <w:t>,</w:t>
            </w:r>
            <w:r w:rsidRPr="0029110D">
              <w:t>8</w:t>
            </w:r>
          </w:p>
        </w:tc>
      </w:tr>
      <w:tr w:rsidR="00C34E4A" w:rsidRPr="00C34E4A" w14:paraId="64D728DA" w14:textId="77777777" w:rsidTr="00AB1FF1">
        <w:tc>
          <w:tcPr>
            <w:tcW w:w="2204" w:type="dxa"/>
          </w:tcPr>
          <w:p w14:paraId="7EB8CD2B" w14:textId="77777777" w:rsidR="00C34E4A" w:rsidRPr="0029110D" w:rsidRDefault="00C34E4A">
            <w:pPr>
              <w:tabs>
                <w:tab w:val="left" w:pos="2730"/>
              </w:tabs>
            </w:pPr>
            <w:r w:rsidRPr="0029110D">
              <w:t>Опоясывающий герпес</w:t>
            </w:r>
          </w:p>
        </w:tc>
        <w:tc>
          <w:tcPr>
            <w:tcW w:w="1472" w:type="dxa"/>
            <w:vAlign w:val="center"/>
          </w:tcPr>
          <w:p w14:paraId="12A3E19C" w14:textId="796F2DE4" w:rsidR="00C34E4A" w:rsidRPr="0029110D" w:rsidRDefault="00C34E4A" w:rsidP="00AB1FF1">
            <w:pPr>
              <w:tabs>
                <w:tab w:val="left" w:pos="2730"/>
              </w:tabs>
              <w:jc w:val="center"/>
            </w:pPr>
            <w:r w:rsidRPr="0029110D">
              <w:t>0</w:t>
            </w:r>
            <w:r w:rsidR="001451CD" w:rsidRPr="0029110D">
              <w:t>,</w:t>
            </w:r>
            <w:r w:rsidRPr="0029110D">
              <w:t>4</w:t>
            </w:r>
          </w:p>
        </w:tc>
        <w:tc>
          <w:tcPr>
            <w:tcW w:w="1474" w:type="dxa"/>
            <w:vAlign w:val="center"/>
          </w:tcPr>
          <w:p w14:paraId="3412E23B" w14:textId="39408F92" w:rsidR="00C34E4A" w:rsidRPr="0029110D" w:rsidRDefault="00C34E4A" w:rsidP="00AB1FF1">
            <w:pPr>
              <w:tabs>
                <w:tab w:val="left" w:pos="2730"/>
              </w:tabs>
              <w:jc w:val="center"/>
            </w:pPr>
            <w:r w:rsidRPr="0029110D">
              <w:t>1</w:t>
            </w:r>
            <w:r w:rsidR="001451CD" w:rsidRPr="0029110D">
              <w:t>,</w:t>
            </w:r>
            <w:r w:rsidRPr="0029110D">
              <w:t>4</w:t>
            </w:r>
          </w:p>
        </w:tc>
        <w:tc>
          <w:tcPr>
            <w:tcW w:w="1474" w:type="dxa"/>
            <w:vAlign w:val="center"/>
          </w:tcPr>
          <w:p w14:paraId="537DD2FD" w14:textId="7CD0A4BC" w:rsidR="00C34E4A" w:rsidRPr="0029110D" w:rsidRDefault="00C34E4A" w:rsidP="00AB1FF1">
            <w:pPr>
              <w:tabs>
                <w:tab w:val="left" w:pos="2730"/>
              </w:tabs>
              <w:jc w:val="center"/>
            </w:pPr>
            <w:r w:rsidRPr="0029110D">
              <w:t>0</w:t>
            </w:r>
            <w:r w:rsidR="001451CD" w:rsidRPr="0029110D">
              <w:t>,</w:t>
            </w:r>
            <w:r w:rsidRPr="0029110D">
              <w:t>4</w:t>
            </w:r>
          </w:p>
        </w:tc>
        <w:tc>
          <w:tcPr>
            <w:tcW w:w="1474" w:type="dxa"/>
            <w:vAlign w:val="center"/>
          </w:tcPr>
          <w:p w14:paraId="1D1420C9" w14:textId="6B4CB230" w:rsidR="00C34E4A" w:rsidRPr="0029110D" w:rsidRDefault="00C34E4A" w:rsidP="00AB1FF1">
            <w:pPr>
              <w:tabs>
                <w:tab w:val="left" w:pos="2730"/>
              </w:tabs>
              <w:jc w:val="center"/>
            </w:pPr>
            <w:r w:rsidRPr="0029110D">
              <w:t>1</w:t>
            </w:r>
            <w:r w:rsidR="001451CD" w:rsidRPr="0029110D">
              <w:t>,</w:t>
            </w:r>
            <w:r w:rsidRPr="0029110D">
              <w:t>0</w:t>
            </w:r>
          </w:p>
        </w:tc>
        <w:tc>
          <w:tcPr>
            <w:tcW w:w="1230" w:type="dxa"/>
            <w:vAlign w:val="center"/>
          </w:tcPr>
          <w:p w14:paraId="283A6F93" w14:textId="785CB8DF" w:rsidR="00C34E4A" w:rsidRPr="0029110D" w:rsidRDefault="00C34E4A" w:rsidP="00AB1FF1">
            <w:pPr>
              <w:tabs>
                <w:tab w:val="left" w:pos="2730"/>
              </w:tabs>
              <w:jc w:val="center"/>
            </w:pPr>
            <w:r w:rsidRPr="0029110D">
              <w:t>1</w:t>
            </w:r>
            <w:r w:rsidR="001451CD" w:rsidRPr="0029110D">
              <w:t>,</w:t>
            </w:r>
            <w:r w:rsidRPr="0029110D">
              <w:t>9</w:t>
            </w:r>
          </w:p>
        </w:tc>
      </w:tr>
      <w:tr w:rsidR="00C34E4A" w:rsidRPr="00C34E4A" w14:paraId="72AE5611" w14:textId="77777777" w:rsidTr="00AB1FF1">
        <w:tc>
          <w:tcPr>
            <w:tcW w:w="2204" w:type="dxa"/>
          </w:tcPr>
          <w:p w14:paraId="2D4713DB" w14:textId="77777777" w:rsidR="00C34E4A" w:rsidRPr="0029110D" w:rsidRDefault="00C34E4A">
            <w:pPr>
              <w:tabs>
                <w:tab w:val="left" w:pos="2730"/>
              </w:tabs>
            </w:pPr>
            <w:r w:rsidRPr="0029110D">
              <w:t xml:space="preserve">Акне </w:t>
            </w:r>
          </w:p>
        </w:tc>
        <w:tc>
          <w:tcPr>
            <w:tcW w:w="1472" w:type="dxa"/>
            <w:vAlign w:val="center"/>
          </w:tcPr>
          <w:p w14:paraId="1AD1782D" w14:textId="77777777" w:rsidR="00C34E4A" w:rsidRPr="0029110D" w:rsidRDefault="00C34E4A" w:rsidP="00AB1FF1">
            <w:pPr>
              <w:tabs>
                <w:tab w:val="left" w:pos="2730"/>
              </w:tabs>
              <w:jc w:val="center"/>
            </w:pPr>
            <w:r w:rsidRPr="0029110D">
              <w:t>0</w:t>
            </w:r>
          </w:p>
        </w:tc>
        <w:tc>
          <w:tcPr>
            <w:tcW w:w="1474" w:type="dxa"/>
            <w:vAlign w:val="center"/>
          </w:tcPr>
          <w:p w14:paraId="70FC11FD" w14:textId="182D3056" w:rsidR="00C34E4A" w:rsidRPr="0029110D" w:rsidRDefault="00C34E4A" w:rsidP="00AB1FF1">
            <w:pPr>
              <w:tabs>
                <w:tab w:val="left" w:pos="2730"/>
              </w:tabs>
              <w:jc w:val="center"/>
            </w:pPr>
            <w:r w:rsidRPr="0029110D">
              <w:t>0</w:t>
            </w:r>
            <w:r w:rsidR="001451CD" w:rsidRPr="0029110D">
              <w:t>,</w:t>
            </w:r>
            <w:r w:rsidRPr="0029110D">
              <w:t>8</w:t>
            </w:r>
          </w:p>
        </w:tc>
        <w:tc>
          <w:tcPr>
            <w:tcW w:w="1474" w:type="dxa"/>
            <w:vAlign w:val="center"/>
          </w:tcPr>
          <w:p w14:paraId="114B073B" w14:textId="77777777" w:rsidR="00C34E4A" w:rsidRPr="0029110D" w:rsidRDefault="00C34E4A" w:rsidP="00AB1FF1">
            <w:pPr>
              <w:tabs>
                <w:tab w:val="left" w:pos="2730"/>
              </w:tabs>
              <w:jc w:val="center"/>
            </w:pPr>
            <w:r w:rsidRPr="0029110D">
              <w:t>0</w:t>
            </w:r>
          </w:p>
        </w:tc>
        <w:tc>
          <w:tcPr>
            <w:tcW w:w="1474" w:type="dxa"/>
            <w:vAlign w:val="center"/>
          </w:tcPr>
          <w:p w14:paraId="066120B4" w14:textId="18A40752" w:rsidR="00C34E4A" w:rsidRPr="0029110D" w:rsidRDefault="00C34E4A" w:rsidP="00AB1FF1">
            <w:pPr>
              <w:tabs>
                <w:tab w:val="left" w:pos="2730"/>
              </w:tabs>
              <w:jc w:val="center"/>
            </w:pPr>
            <w:r w:rsidRPr="0029110D">
              <w:t>0</w:t>
            </w:r>
            <w:r w:rsidR="001451CD" w:rsidRPr="0029110D">
              <w:t>,</w:t>
            </w:r>
            <w:r w:rsidRPr="0029110D">
              <w:t>2</w:t>
            </w:r>
          </w:p>
        </w:tc>
        <w:tc>
          <w:tcPr>
            <w:tcW w:w="1230" w:type="dxa"/>
            <w:vAlign w:val="center"/>
          </w:tcPr>
          <w:p w14:paraId="57304AB1" w14:textId="67B9917B" w:rsidR="00C34E4A" w:rsidRPr="0029110D" w:rsidRDefault="00C34E4A" w:rsidP="00AB1FF1">
            <w:pPr>
              <w:tabs>
                <w:tab w:val="left" w:pos="2730"/>
              </w:tabs>
              <w:jc w:val="center"/>
            </w:pPr>
            <w:r w:rsidRPr="0029110D">
              <w:t>1</w:t>
            </w:r>
            <w:r w:rsidR="001451CD" w:rsidRPr="0029110D">
              <w:t>,</w:t>
            </w:r>
            <w:r w:rsidRPr="0029110D">
              <w:t>0</w:t>
            </w:r>
          </w:p>
        </w:tc>
      </w:tr>
      <w:tr w:rsidR="00C34E4A" w:rsidRPr="00C34E4A" w14:paraId="2981160F" w14:textId="77777777" w:rsidTr="00AB1FF1">
        <w:tc>
          <w:tcPr>
            <w:tcW w:w="9328" w:type="dxa"/>
            <w:gridSpan w:val="6"/>
          </w:tcPr>
          <w:p w14:paraId="2528CE5A" w14:textId="77777777" w:rsidR="00C34E4A" w:rsidRPr="0029110D" w:rsidRDefault="00C34E4A">
            <w:pPr>
              <w:tabs>
                <w:tab w:val="left" w:pos="2730"/>
              </w:tabs>
              <w:rPr>
                <w:i/>
              </w:rPr>
            </w:pPr>
            <w:r w:rsidRPr="0029110D">
              <w:rPr>
                <w:i/>
              </w:rPr>
              <w:t xml:space="preserve">Лабораторные параметры </w:t>
            </w:r>
            <w:r w:rsidRPr="0029110D">
              <w:rPr>
                <w:i/>
                <w:vertAlign w:val="superscript"/>
              </w:rPr>
              <w:t>с</w:t>
            </w:r>
          </w:p>
        </w:tc>
      </w:tr>
      <w:tr w:rsidR="00C34E4A" w:rsidRPr="00C34E4A" w14:paraId="0B9F133D" w14:textId="77777777" w:rsidTr="00AB1FF1">
        <w:tc>
          <w:tcPr>
            <w:tcW w:w="2204" w:type="dxa"/>
          </w:tcPr>
          <w:p w14:paraId="5837FC3D" w14:textId="77777777" w:rsidR="00C34E4A" w:rsidRPr="0029110D" w:rsidRDefault="00C34E4A">
            <w:pPr>
              <w:tabs>
                <w:tab w:val="left" w:pos="2730"/>
              </w:tabs>
              <w:rPr>
                <w:lang w:val="en-US"/>
              </w:rPr>
            </w:pPr>
            <w:r w:rsidRPr="0029110D">
              <w:t>Креатфосфокиназа</w:t>
            </w:r>
            <w:r w:rsidRPr="0029110D">
              <w:rPr>
                <w:lang w:val="en-US"/>
              </w:rPr>
              <w:t xml:space="preserve"> &gt;5 x</w:t>
            </w:r>
          </w:p>
          <w:p w14:paraId="76D4923D" w14:textId="77777777" w:rsidR="00C34E4A" w:rsidRPr="0029110D" w:rsidRDefault="00C34E4A">
            <w:pPr>
              <w:tabs>
                <w:tab w:val="left" w:pos="2730"/>
              </w:tabs>
              <w:rPr>
                <w:lang w:val="en-US"/>
              </w:rPr>
            </w:pPr>
            <w:r w:rsidRPr="0029110D">
              <w:t>ВПН</w:t>
            </w:r>
            <w:r w:rsidRPr="0029110D">
              <w:rPr>
                <w:lang w:val="en-US"/>
              </w:rPr>
              <w:t xml:space="preserve"> </w:t>
            </w:r>
          </w:p>
        </w:tc>
        <w:tc>
          <w:tcPr>
            <w:tcW w:w="1472" w:type="dxa"/>
          </w:tcPr>
          <w:p w14:paraId="53FB2572" w14:textId="77777777" w:rsidR="00C34E4A" w:rsidRPr="0029110D" w:rsidRDefault="00C34E4A" w:rsidP="0029110D">
            <w:pPr>
              <w:tabs>
                <w:tab w:val="left" w:pos="2730"/>
              </w:tabs>
              <w:jc w:val="center"/>
              <w:rPr>
                <w:lang w:val="en-US"/>
              </w:rPr>
            </w:pPr>
            <w:r w:rsidRPr="0029110D">
              <w:t>0.3</w:t>
            </w:r>
          </w:p>
        </w:tc>
        <w:tc>
          <w:tcPr>
            <w:tcW w:w="1474" w:type="dxa"/>
          </w:tcPr>
          <w:p w14:paraId="64D866D8" w14:textId="77777777" w:rsidR="00C34E4A" w:rsidRPr="0029110D" w:rsidRDefault="00C34E4A" w:rsidP="0029110D">
            <w:pPr>
              <w:tabs>
                <w:tab w:val="left" w:pos="2730"/>
              </w:tabs>
              <w:jc w:val="center"/>
              <w:rPr>
                <w:lang w:val="en-US"/>
              </w:rPr>
            </w:pPr>
            <w:r w:rsidRPr="0029110D">
              <w:t>0.8</w:t>
            </w:r>
          </w:p>
        </w:tc>
        <w:tc>
          <w:tcPr>
            <w:tcW w:w="1474" w:type="dxa"/>
          </w:tcPr>
          <w:p w14:paraId="5CEE63E7" w14:textId="59E2B19A" w:rsidR="00C34E4A" w:rsidRPr="0029110D" w:rsidRDefault="00C34E4A" w:rsidP="0029110D">
            <w:pPr>
              <w:tabs>
                <w:tab w:val="left" w:pos="2730"/>
              </w:tabs>
              <w:jc w:val="center"/>
              <w:rPr>
                <w:lang w:val="en-US"/>
              </w:rPr>
            </w:pPr>
            <w:r w:rsidRPr="0029110D">
              <w:t>0.6</w:t>
            </w:r>
          </w:p>
        </w:tc>
        <w:tc>
          <w:tcPr>
            <w:tcW w:w="1474" w:type="dxa"/>
          </w:tcPr>
          <w:p w14:paraId="407B834A" w14:textId="77777777" w:rsidR="00C34E4A" w:rsidRPr="0029110D" w:rsidRDefault="00C34E4A" w:rsidP="0029110D">
            <w:pPr>
              <w:tabs>
                <w:tab w:val="left" w:pos="2730"/>
              </w:tabs>
              <w:jc w:val="center"/>
              <w:rPr>
                <w:lang w:val="en-US"/>
              </w:rPr>
            </w:pPr>
            <w:r w:rsidRPr="0029110D">
              <w:t>0.8</w:t>
            </w:r>
          </w:p>
        </w:tc>
        <w:tc>
          <w:tcPr>
            <w:tcW w:w="1230" w:type="dxa"/>
          </w:tcPr>
          <w:p w14:paraId="5D6876B6" w14:textId="77777777" w:rsidR="00C34E4A" w:rsidRPr="0029110D" w:rsidRDefault="00C34E4A" w:rsidP="0029110D">
            <w:pPr>
              <w:tabs>
                <w:tab w:val="left" w:pos="2730"/>
              </w:tabs>
              <w:jc w:val="center"/>
              <w:rPr>
                <w:lang w:val="en-US"/>
              </w:rPr>
            </w:pPr>
            <w:r w:rsidRPr="0029110D">
              <w:t>1.5</w:t>
            </w:r>
          </w:p>
        </w:tc>
      </w:tr>
      <w:tr w:rsidR="00C34E4A" w:rsidRPr="00C34E4A" w14:paraId="652A9B4F" w14:textId="77777777" w:rsidTr="00AB1FF1">
        <w:tc>
          <w:tcPr>
            <w:tcW w:w="2204" w:type="dxa"/>
          </w:tcPr>
          <w:p w14:paraId="70B1CCF2" w14:textId="77777777" w:rsidR="00C34E4A" w:rsidRPr="0029110D" w:rsidRDefault="00C34E4A">
            <w:pPr>
              <w:tabs>
                <w:tab w:val="left" w:pos="2730"/>
              </w:tabs>
            </w:pPr>
            <w:r w:rsidRPr="0029110D">
              <w:t>Холестерин ЛПНП ≥3.36 ммоль/л</w:t>
            </w:r>
          </w:p>
        </w:tc>
        <w:tc>
          <w:tcPr>
            <w:tcW w:w="1472" w:type="dxa"/>
          </w:tcPr>
          <w:p w14:paraId="70104C2F" w14:textId="77777777" w:rsidR="00C34E4A" w:rsidRPr="0029110D" w:rsidRDefault="00C34E4A" w:rsidP="0029110D">
            <w:pPr>
              <w:tabs>
                <w:tab w:val="left" w:pos="2730"/>
              </w:tabs>
              <w:jc w:val="center"/>
            </w:pPr>
            <w:r w:rsidRPr="0029110D">
              <w:t>10.3</w:t>
            </w:r>
          </w:p>
        </w:tc>
        <w:tc>
          <w:tcPr>
            <w:tcW w:w="1474" w:type="dxa"/>
          </w:tcPr>
          <w:p w14:paraId="3C47930C" w14:textId="77777777" w:rsidR="00C34E4A" w:rsidRPr="0029110D" w:rsidRDefault="00C34E4A" w:rsidP="0029110D">
            <w:pPr>
              <w:tabs>
                <w:tab w:val="left" w:pos="2730"/>
              </w:tabs>
              <w:jc w:val="center"/>
            </w:pPr>
            <w:r w:rsidRPr="0029110D">
              <w:t>33.6</w:t>
            </w:r>
          </w:p>
        </w:tc>
        <w:tc>
          <w:tcPr>
            <w:tcW w:w="1474" w:type="dxa"/>
          </w:tcPr>
          <w:p w14:paraId="20E10376" w14:textId="68C43C6E" w:rsidR="00C34E4A" w:rsidRPr="0029110D" w:rsidRDefault="00C34E4A" w:rsidP="0029110D">
            <w:pPr>
              <w:tabs>
                <w:tab w:val="left" w:pos="2730"/>
              </w:tabs>
              <w:jc w:val="center"/>
            </w:pPr>
            <w:r w:rsidRPr="0029110D">
              <w:t>11.6</w:t>
            </w:r>
          </w:p>
        </w:tc>
        <w:tc>
          <w:tcPr>
            <w:tcW w:w="1474" w:type="dxa"/>
          </w:tcPr>
          <w:p w14:paraId="734E8002" w14:textId="77777777" w:rsidR="00C34E4A" w:rsidRPr="0029110D" w:rsidRDefault="00C34E4A" w:rsidP="0029110D">
            <w:pPr>
              <w:tabs>
                <w:tab w:val="left" w:pos="2730"/>
              </w:tabs>
              <w:jc w:val="center"/>
            </w:pPr>
            <w:r w:rsidRPr="0029110D">
              <w:t>20.2</w:t>
            </w:r>
          </w:p>
        </w:tc>
        <w:tc>
          <w:tcPr>
            <w:tcW w:w="1230" w:type="dxa"/>
          </w:tcPr>
          <w:p w14:paraId="2591CB22" w14:textId="77777777" w:rsidR="00C34E4A" w:rsidRPr="0029110D" w:rsidRDefault="00C34E4A" w:rsidP="0029110D">
            <w:pPr>
              <w:tabs>
                <w:tab w:val="left" w:pos="2730"/>
              </w:tabs>
              <w:jc w:val="center"/>
            </w:pPr>
            <w:r w:rsidRPr="0029110D">
              <w:t>28.5</w:t>
            </w:r>
          </w:p>
        </w:tc>
      </w:tr>
      <w:tr w:rsidR="00C34E4A" w:rsidRPr="00C34E4A" w14:paraId="26BD97E2" w14:textId="77777777" w:rsidTr="00AB1FF1">
        <w:tc>
          <w:tcPr>
            <w:tcW w:w="2204" w:type="dxa"/>
          </w:tcPr>
          <w:p w14:paraId="2E951C3D" w14:textId="77777777" w:rsidR="00C34E4A" w:rsidRPr="0029110D" w:rsidRDefault="00C34E4A">
            <w:pPr>
              <w:tabs>
                <w:tab w:val="left" w:pos="2730"/>
              </w:tabs>
            </w:pPr>
            <w:r w:rsidRPr="0029110D">
              <w:t>Триглицериды ≥5.65 ммоль/л</w:t>
            </w:r>
          </w:p>
        </w:tc>
        <w:tc>
          <w:tcPr>
            <w:tcW w:w="1472" w:type="dxa"/>
            <w:vAlign w:val="center"/>
          </w:tcPr>
          <w:p w14:paraId="29691146" w14:textId="550EFA78" w:rsidR="00C34E4A" w:rsidRPr="0029110D" w:rsidRDefault="00C34E4A" w:rsidP="0029110D">
            <w:pPr>
              <w:tabs>
                <w:tab w:val="left" w:pos="2730"/>
              </w:tabs>
              <w:jc w:val="center"/>
            </w:pPr>
            <w:r w:rsidRPr="0029110D">
              <w:t>0</w:t>
            </w:r>
            <w:r w:rsidR="001451CD" w:rsidRPr="0029110D">
              <w:t>,</w:t>
            </w:r>
            <w:r w:rsidRPr="0029110D">
              <w:t>5</w:t>
            </w:r>
          </w:p>
        </w:tc>
        <w:tc>
          <w:tcPr>
            <w:tcW w:w="1474" w:type="dxa"/>
            <w:vAlign w:val="center"/>
          </w:tcPr>
          <w:p w14:paraId="3EC87E5A" w14:textId="3AAB9ED1" w:rsidR="00C34E4A" w:rsidRPr="0029110D" w:rsidRDefault="00C34E4A" w:rsidP="0029110D">
            <w:pPr>
              <w:tabs>
                <w:tab w:val="left" w:pos="2730"/>
              </w:tabs>
              <w:jc w:val="center"/>
            </w:pPr>
            <w:r w:rsidRPr="0029110D">
              <w:t>0</w:t>
            </w:r>
            <w:r w:rsidR="001451CD" w:rsidRPr="0029110D">
              <w:t>,</w:t>
            </w:r>
            <w:r w:rsidRPr="0029110D">
              <w:t>4</w:t>
            </w:r>
          </w:p>
        </w:tc>
        <w:tc>
          <w:tcPr>
            <w:tcW w:w="1474" w:type="dxa"/>
            <w:vAlign w:val="center"/>
          </w:tcPr>
          <w:p w14:paraId="2CA406F5" w14:textId="64F88DDE" w:rsidR="00C34E4A" w:rsidRPr="0029110D" w:rsidRDefault="00C34E4A" w:rsidP="0029110D">
            <w:pPr>
              <w:tabs>
                <w:tab w:val="left" w:pos="2730"/>
              </w:tabs>
              <w:jc w:val="center"/>
            </w:pPr>
            <w:r w:rsidRPr="0029110D">
              <w:t>0</w:t>
            </w:r>
            <w:r w:rsidR="001451CD" w:rsidRPr="0029110D">
              <w:t>,</w:t>
            </w:r>
            <w:r w:rsidRPr="0029110D">
              <w:t>8</w:t>
            </w:r>
          </w:p>
        </w:tc>
        <w:tc>
          <w:tcPr>
            <w:tcW w:w="1474" w:type="dxa"/>
            <w:vAlign w:val="center"/>
          </w:tcPr>
          <w:p w14:paraId="2BABAAB0" w14:textId="2E67649A" w:rsidR="00C34E4A" w:rsidRPr="0029110D" w:rsidRDefault="00C34E4A" w:rsidP="0029110D">
            <w:pPr>
              <w:tabs>
                <w:tab w:val="left" w:pos="2730"/>
              </w:tabs>
              <w:jc w:val="center"/>
            </w:pPr>
            <w:r w:rsidRPr="0029110D">
              <w:t>0</w:t>
            </w:r>
            <w:r w:rsidR="001451CD" w:rsidRPr="0029110D">
              <w:t>,</w:t>
            </w:r>
            <w:r w:rsidRPr="0029110D">
              <w:t>9</w:t>
            </w:r>
          </w:p>
        </w:tc>
        <w:tc>
          <w:tcPr>
            <w:tcW w:w="1230" w:type="dxa"/>
            <w:vAlign w:val="center"/>
          </w:tcPr>
          <w:p w14:paraId="73BFF8ED" w14:textId="4F8B3173" w:rsidR="00C34E4A" w:rsidRPr="0029110D" w:rsidRDefault="00C34E4A" w:rsidP="0029110D">
            <w:pPr>
              <w:tabs>
                <w:tab w:val="left" w:pos="2730"/>
              </w:tabs>
              <w:jc w:val="center"/>
            </w:pPr>
            <w:r w:rsidRPr="0029110D">
              <w:t>0</w:t>
            </w:r>
            <w:r w:rsidR="001451CD" w:rsidRPr="0029110D">
              <w:t>,</w:t>
            </w:r>
            <w:r w:rsidRPr="0029110D">
              <w:t>2</w:t>
            </w:r>
          </w:p>
        </w:tc>
      </w:tr>
      <w:tr w:rsidR="00C34E4A" w:rsidRPr="00C34E4A" w14:paraId="3CE93876" w14:textId="77777777" w:rsidTr="00AB1FF1">
        <w:tc>
          <w:tcPr>
            <w:tcW w:w="2204" w:type="dxa"/>
          </w:tcPr>
          <w:p w14:paraId="52786F46" w14:textId="77777777" w:rsidR="00C34E4A" w:rsidRPr="0029110D" w:rsidRDefault="00C34E4A">
            <w:pPr>
              <w:tabs>
                <w:tab w:val="left" w:pos="2730"/>
              </w:tabs>
            </w:pPr>
            <w:r w:rsidRPr="0029110D">
              <w:t>АЛТ ≥3 x ВПН</w:t>
            </w:r>
          </w:p>
        </w:tc>
        <w:tc>
          <w:tcPr>
            <w:tcW w:w="1472" w:type="dxa"/>
            <w:vAlign w:val="center"/>
          </w:tcPr>
          <w:p w14:paraId="7151B6C7" w14:textId="29F4E9E3" w:rsidR="00C34E4A" w:rsidRPr="0029110D" w:rsidRDefault="00C34E4A" w:rsidP="0029110D">
            <w:pPr>
              <w:tabs>
                <w:tab w:val="left" w:pos="2730"/>
              </w:tabs>
              <w:jc w:val="center"/>
            </w:pPr>
            <w:r w:rsidRPr="0029110D">
              <w:t>1</w:t>
            </w:r>
            <w:r w:rsidR="001451CD" w:rsidRPr="0029110D">
              <w:t>,</w:t>
            </w:r>
            <w:r w:rsidRPr="0029110D">
              <w:t>0</w:t>
            </w:r>
          </w:p>
        </w:tc>
        <w:tc>
          <w:tcPr>
            <w:tcW w:w="1474" w:type="dxa"/>
            <w:vAlign w:val="center"/>
          </w:tcPr>
          <w:p w14:paraId="66DDF524" w14:textId="33BD6C87" w:rsidR="00C34E4A" w:rsidRPr="0029110D" w:rsidRDefault="00C34E4A" w:rsidP="0029110D">
            <w:pPr>
              <w:tabs>
                <w:tab w:val="left" w:pos="2730"/>
              </w:tabs>
              <w:jc w:val="center"/>
            </w:pPr>
            <w:r w:rsidRPr="0029110D">
              <w:t>1</w:t>
            </w:r>
            <w:r w:rsidR="001451CD" w:rsidRPr="0029110D">
              <w:t>,</w:t>
            </w:r>
            <w:r w:rsidRPr="0029110D">
              <w:t>4</w:t>
            </w:r>
          </w:p>
        </w:tc>
        <w:tc>
          <w:tcPr>
            <w:tcW w:w="1474" w:type="dxa"/>
            <w:vAlign w:val="center"/>
          </w:tcPr>
          <w:p w14:paraId="6C1241DD" w14:textId="04F94054" w:rsidR="00C34E4A" w:rsidRPr="0029110D" w:rsidRDefault="00C34E4A" w:rsidP="0029110D">
            <w:pPr>
              <w:tabs>
                <w:tab w:val="left" w:pos="2730"/>
              </w:tabs>
              <w:jc w:val="center"/>
            </w:pPr>
            <w:r w:rsidRPr="0029110D">
              <w:t>0</w:t>
            </w:r>
            <w:r w:rsidR="001451CD" w:rsidRPr="0029110D">
              <w:t>,</w:t>
            </w:r>
            <w:r w:rsidRPr="0029110D">
              <w:t>4</w:t>
            </w:r>
          </w:p>
        </w:tc>
        <w:tc>
          <w:tcPr>
            <w:tcW w:w="1474" w:type="dxa"/>
            <w:vAlign w:val="center"/>
          </w:tcPr>
          <w:p w14:paraId="1375A8AF" w14:textId="69257C5A" w:rsidR="00C34E4A" w:rsidRPr="0029110D" w:rsidRDefault="00C34E4A" w:rsidP="0029110D">
            <w:pPr>
              <w:tabs>
                <w:tab w:val="left" w:pos="2730"/>
              </w:tabs>
              <w:jc w:val="center"/>
            </w:pPr>
            <w:r w:rsidRPr="0029110D">
              <w:t>1</w:t>
            </w:r>
            <w:r w:rsidR="001451CD" w:rsidRPr="0029110D">
              <w:t>,</w:t>
            </w:r>
            <w:r w:rsidRPr="0029110D">
              <w:t>7</w:t>
            </w:r>
          </w:p>
        </w:tc>
        <w:tc>
          <w:tcPr>
            <w:tcW w:w="1230" w:type="dxa"/>
            <w:vAlign w:val="center"/>
          </w:tcPr>
          <w:p w14:paraId="23D4FC8B" w14:textId="5E207E7B" w:rsidR="00C34E4A" w:rsidRPr="0029110D" w:rsidRDefault="00C34E4A" w:rsidP="0029110D">
            <w:pPr>
              <w:tabs>
                <w:tab w:val="left" w:pos="2730"/>
              </w:tabs>
              <w:jc w:val="center"/>
            </w:pPr>
            <w:r w:rsidRPr="0029110D">
              <w:t>1</w:t>
            </w:r>
            <w:r w:rsidR="001451CD" w:rsidRPr="0029110D">
              <w:t>,</w:t>
            </w:r>
            <w:r w:rsidRPr="0029110D">
              <w:t>3</w:t>
            </w:r>
          </w:p>
        </w:tc>
      </w:tr>
      <w:tr w:rsidR="00C34E4A" w:rsidRPr="00C34E4A" w14:paraId="6E8A9D61" w14:textId="77777777" w:rsidTr="00AB1FF1">
        <w:tc>
          <w:tcPr>
            <w:tcW w:w="2204" w:type="dxa"/>
          </w:tcPr>
          <w:p w14:paraId="5A27EA25" w14:textId="77777777" w:rsidR="00C34E4A" w:rsidRPr="0029110D" w:rsidRDefault="00C34E4A">
            <w:pPr>
              <w:tabs>
                <w:tab w:val="left" w:pos="2730"/>
              </w:tabs>
            </w:pPr>
            <w:r w:rsidRPr="0029110D">
              <w:t>АСТ ≥3 x ВПН</w:t>
            </w:r>
          </w:p>
        </w:tc>
        <w:tc>
          <w:tcPr>
            <w:tcW w:w="1472" w:type="dxa"/>
            <w:vAlign w:val="center"/>
          </w:tcPr>
          <w:p w14:paraId="484E8121" w14:textId="1FA12335" w:rsidR="00C34E4A" w:rsidRPr="0029110D" w:rsidRDefault="00C34E4A" w:rsidP="0029110D">
            <w:pPr>
              <w:tabs>
                <w:tab w:val="left" w:pos="2730"/>
              </w:tabs>
              <w:jc w:val="center"/>
            </w:pPr>
            <w:r w:rsidRPr="0029110D">
              <w:t>0</w:t>
            </w:r>
            <w:r w:rsidR="001451CD" w:rsidRPr="0029110D">
              <w:t>,</w:t>
            </w:r>
            <w:r w:rsidRPr="0029110D">
              <w:t>8</w:t>
            </w:r>
          </w:p>
        </w:tc>
        <w:tc>
          <w:tcPr>
            <w:tcW w:w="1474" w:type="dxa"/>
            <w:vAlign w:val="center"/>
          </w:tcPr>
          <w:p w14:paraId="06BCBA37" w14:textId="03D058A9" w:rsidR="00C34E4A" w:rsidRPr="0029110D" w:rsidRDefault="00C34E4A" w:rsidP="0029110D">
            <w:pPr>
              <w:tabs>
                <w:tab w:val="left" w:pos="2730"/>
              </w:tabs>
              <w:jc w:val="center"/>
            </w:pPr>
            <w:r w:rsidRPr="0029110D">
              <w:t>0</w:t>
            </w:r>
            <w:r w:rsidR="001451CD" w:rsidRPr="0029110D">
              <w:t>,</w:t>
            </w:r>
            <w:r w:rsidRPr="0029110D">
              <w:t>8</w:t>
            </w:r>
          </w:p>
        </w:tc>
        <w:tc>
          <w:tcPr>
            <w:tcW w:w="1474" w:type="dxa"/>
            <w:vAlign w:val="center"/>
          </w:tcPr>
          <w:p w14:paraId="114080B0" w14:textId="6AE60BE8" w:rsidR="00C34E4A" w:rsidRPr="0029110D" w:rsidRDefault="00C34E4A" w:rsidP="0029110D">
            <w:pPr>
              <w:tabs>
                <w:tab w:val="left" w:pos="2730"/>
              </w:tabs>
              <w:jc w:val="center"/>
            </w:pPr>
            <w:r w:rsidRPr="0029110D">
              <w:t>0</w:t>
            </w:r>
            <w:r w:rsidR="001451CD" w:rsidRPr="0029110D">
              <w:t>,</w:t>
            </w:r>
            <w:r w:rsidRPr="0029110D">
              <w:t>4</w:t>
            </w:r>
          </w:p>
        </w:tc>
        <w:tc>
          <w:tcPr>
            <w:tcW w:w="1474" w:type="dxa"/>
            <w:vAlign w:val="center"/>
          </w:tcPr>
          <w:p w14:paraId="729595F5" w14:textId="1663AC2F" w:rsidR="00C34E4A" w:rsidRPr="0029110D" w:rsidRDefault="00C34E4A" w:rsidP="0029110D">
            <w:pPr>
              <w:tabs>
                <w:tab w:val="left" w:pos="2730"/>
              </w:tabs>
              <w:jc w:val="center"/>
            </w:pPr>
            <w:r w:rsidRPr="0029110D">
              <w:t>1</w:t>
            </w:r>
            <w:r w:rsidR="001451CD" w:rsidRPr="0029110D">
              <w:t>,</w:t>
            </w:r>
            <w:r w:rsidRPr="0029110D">
              <w:t>3</w:t>
            </w:r>
          </w:p>
        </w:tc>
        <w:tc>
          <w:tcPr>
            <w:tcW w:w="1230" w:type="dxa"/>
            <w:vAlign w:val="center"/>
          </w:tcPr>
          <w:p w14:paraId="6FA6D6C8" w14:textId="08D145F1" w:rsidR="00C34E4A" w:rsidRPr="0029110D" w:rsidRDefault="00C34E4A" w:rsidP="0029110D">
            <w:pPr>
              <w:tabs>
                <w:tab w:val="left" w:pos="2730"/>
              </w:tabs>
              <w:jc w:val="center"/>
            </w:pPr>
            <w:r w:rsidRPr="0029110D">
              <w:t>1</w:t>
            </w:r>
            <w:r w:rsidR="001451CD" w:rsidRPr="0029110D">
              <w:t>,</w:t>
            </w:r>
            <w:r w:rsidRPr="0029110D">
              <w:t>1</w:t>
            </w:r>
          </w:p>
        </w:tc>
      </w:tr>
      <w:tr w:rsidR="00C34E4A" w:rsidRPr="00C34E4A" w14:paraId="64AED48C" w14:textId="77777777" w:rsidTr="00AB1FF1">
        <w:tc>
          <w:tcPr>
            <w:tcW w:w="2204" w:type="dxa"/>
          </w:tcPr>
          <w:p w14:paraId="56C493A3" w14:textId="77777777" w:rsidR="00C34E4A" w:rsidRPr="0029110D" w:rsidRDefault="00C34E4A">
            <w:pPr>
              <w:tabs>
                <w:tab w:val="left" w:pos="2730"/>
              </w:tabs>
            </w:pPr>
            <w:r w:rsidRPr="0029110D">
              <w:t>Нейтропения &lt;1 x 10</w:t>
            </w:r>
            <w:r w:rsidRPr="0029110D">
              <w:rPr>
                <w:vertAlign w:val="superscript"/>
              </w:rPr>
              <w:t>9</w:t>
            </w:r>
            <w:r w:rsidRPr="0029110D">
              <w:t xml:space="preserve"> /л</w:t>
            </w:r>
          </w:p>
        </w:tc>
        <w:tc>
          <w:tcPr>
            <w:tcW w:w="1472" w:type="dxa"/>
            <w:vAlign w:val="center"/>
          </w:tcPr>
          <w:p w14:paraId="4E60C8BA" w14:textId="77777777" w:rsidR="00C34E4A" w:rsidRPr="0029110D" w:rsidRDefault="00C34E4A" w:rsidP="0029110D">
            <w:pPr>
              <w:tabs>
                <w:tab w:val="left" w:pos="2730"/>
              </w:tabs>
              <w:jc w:val="center"/>
            </w:pPr>
            <w:r w:rsidRPr="0029110D">
              <w:t>0</w:t>
            </w:r>
          </w:p>
        </w:tc>
        <w:tc>
          <w:tcPr>
            <w:tcW w:w="1474" w:type="dxa"/>
            <w:vAlign w:val="center"/>
          </w:tcPr>
          <w:p w14:paraId="720172B7" w14:textId="5F74F13C" w:rsidR="00C34E4A" w:rsidRPr="0029110D" w:rsidRDefault="00C34E4A" w:rsidP="0029110D">
            <w:pPr>
              <w:tabs>
                <w:tab w:val="left" w:pos="2730"/>
              </w:tabs>
              <w:jc w:val="center"/>
            </w:pPr>
            <w:r w:rsidRPr="0029110D">
              <w:t>0</w:t>
            </w:r>
            <w:r w:rsidR="001451CD" w:rsidRPr="0029110D">
              <w:t>,</w:t>
            </w:r>
            <w:r w:rsidRPr="0029110D">
              <w:t>3</w:t>
            </w:r>
          </w:p>
        </w:tc>
        <w:tc>
          <w:tcPr>
            <w:tcW w:w="1474" w:type="dxa"/>
            <w:vAlign w:val="center"/>
          </w:tcPr>
          <w:p w14:paraId="3C9ACCF1" w14:textId="77777777" w:rsidR="00C34E4A" w:rsidRPr="0029110D" w:rsidRDefault="00C34E4A" w:rsidP="0029110D">
            <w:pPr>
              <w:tabs>
                <w:tab w:val="left" w:pos="2730"/>
              </w:tabs>
              <w:jc w:val="center"/>
            </w:pPr>
            <w:r w:rsidRPr="0029110D">
              <w:t>0</w:t>
            </w:r>
          </w:p>
        </w:tc>
        <w:tc>
          <w:tcPr>
            <w:tcW w:w="1474" w:type="dxa"/>
            <w:vAlign w:val="center"/>
          </w:tcPr>
          <w:p w14:paraId="19B51A23" w14:textId="24577DF7" w:rsidR="00C34E4A" w:rsidRPr="0029110D" w:rsidRDefault="00C34E4A" w:rsidP="0029110D">
            <w:pPr>
              <w:tabs>
                <w:tab w:val="left" w:pos="2730"/>
              </w:tabs>
              <w:jc w:val="center"/>
            </w:pPr>
            <w:r w:rsidRPr="0029110D">
              <w:t>0</w:t>
            </w:r>
            <w:r w:rsidR="001451CD" w:rsidRPr="0029110D">
              <w:t>,</w:t>
            </w:r>
            <w:r w:rsidRPr="0029110D">
              <w:t>6</w:t>
            </w:r>
          </w:p>
        </w:tc>
        <w:tc>
          <w:tcPr>
            <w:tcW w:w="1230" w:type="dxa"/>
            <w:vAlign w:val="center"/>
          </w:tcPr>
          <w:p w14:paraId="53B8695C" w14:textId="4B88272D" w:rsidR="00C34E4A" w:rsidRPr="0029110D" w:rsidRDefault="00C34E4A" w:rsidP="0029110D">
            <w:pPr>
              <w:tabs>
                <w:tab w:val="left" w:pos="2730"/>
              </w:tabs>
              <w:jc w:val="center"/>
            </w:pPr>
            <w:r w:rsidRPr="0029110D">
              <w:t>0</w:t>
            </w:r>
            <w:r w:rsidR="001451CD" w:rsidRPr="0029110D">
              <w:t>,</w:t>
            </w:r>
            <w:r w:rsidRPr="0029110D">
              <w:t>2</w:t>
            </w:r>
          </w:p>
        </w:tc>
      </w:tr>
      <w:tr w:rsidR="00C34E4A" w:rsidRPr="00C34E4A" w14:paraId="7E9E0F5D" w14:textId="77777777" w:rsidTr="00AB1FF1">
        <w:tc>
          <w:tcPr>
            <w:tcW w:w="2204" w:type="dxa"/>
          </w:tcPr>
          <w:p w14:paraId="221CEECE" w14:textId="77777777" w:rsidR="00C34E4A" w:rsidRPr="0029110D" w:rsidRDefault="00C34E4A">
            <w:pPr>
              <w:tabs>
                <w:tab w:val="left" w:pos="2730"/>
              </w:tabs>
            </w:pPr>
            <w:r w:rsidRPr="0029110D">
              <w:t>Тромбоцитоз &gt;600 x 10</w:t>
            </w:r>
            <w:r w:rsidRPr="0029110D">
              <w:rPr>
                <w:vertAlign w:val="superscript"/>
              </w:rPr>
              <w:t>9</w:t>
            </w:r>
          </w:p>
        </w:tc>
        <w:tc>
          <w:tcPr>
            <w:tcW w:w="1472" w:type="dxa"/>
            <w:vAlign w:val="center"/>
          </w:tcPr>
          <w:p w14:paraId="4B02168C" w14:textId="4153B6E6" w:rsidR="00C34E4A" w:rsidRPr="0029110D" w:rsidRDefault="00C34E4A" w:rsidP="0029110D">
            <w:pPr>
              <w:tabs>
                <w:tab w:val="left" w:pos="2730"/>
              </w:tabs>
              <w:jc w:val="center"/>
            </w:pPr>
            <w:r w:rsidRPr="0029110D">
              <w:t>1</w:t>
            </w:r>
            <w:r w:rsidR="001451CD" w:rsidRPr="0029110D">
              <w:t>,</w:t>
            </w:r>
            <w:r w:rsidRPr="0029110D">
              <w:t>1</w:t>
            </w:r>
          </w:p>
        </w:tc>
        <w:tc>
          <w:tcPr>
            <w:tcW w:w="1474" w:type="dxa"/>
            <w:vAlign w:val="center"/>
          </w:tcPr>
          <w:p w14:paraId="2A27DE2A" w14:textId="439C6F52" w:rsidR="00C34E4A" w:rsidRPr="0029110D" w:rsidRDefault="00C34E4A" w:rsidP="0029110D">
            <w:pPr>
              <w:tabs>
                <w:tab w:val="left" w:pos="2730"/>
              </w:tabs>
              <w:jc w:val="center"/>
            </w:pPr>
            <w:r w:rsidRPr="0029110D">
              <w:t>2</w:t>
            </w:r>
            <w:r w:rsidR="001451CD" w:rsidRPr="0029110D">
              <w:t>,</w:t>
            </w:r>
            <w:r w:rsidRPr="0029110D">
              <w:t>0</w:t>
            </w:r>
          </w:p>
        </w:tc>
        <w:tc>
          <w:tcPr>
            <w:tcW w:w="1474" w:type="dxa"/>
            <w:vAlign w:val="center"/>
          </w:tcPr>
          <w:p w14:paraId="5682BAE9" w14:textId="6367677E" w:rsidR="00C34E4A" w:rsidRPr="0029110D" w:rsidRDefault="00C34E4A" w:rsidP="0029110D">
            <w:pPr>
              <w:tabs>
                <w:tab w:val="left" w:pos="2730"/>
              </w:tabs>
              <w:jc w:val="center"/>
            </w:pPr>
            <w:r w:rsidRPr="0029110D">
              <w:t>1</w:t>
            </w:r>
            <w:r w:rsidR="001451CD" w:rsidRPr="0029110D">
              <w:t>,</w:t>
            </w:r>
            <w:r w:rsidRPr="0029110D">
              <w:t>3</w:t>
            </w:r>
          </w:p>
        </w:tc>
        <w:tc>
          <w:tcPr>
            <w:tcW w:w="1474" w:type="dxa"/>
            <w:vAlign w:val="center"/>
          </w:tcPr>
          <w:p w14:paraId="70496BB0" w14:textId="10FA2A4A" w:rsidR="00C34E4A" w:rsidRPr="0029110D" w:rsidRDefault="00C34E4A" w:rsidP="0029110D">
            <w:pPr>
              <w:tabs>
                <w:tab w:val="left" w:pos="2730"/>
              </w:tabs>
              <w:jc w:val="center"/>
            </w:pPr>
            <w:r w:rsidRPr="0029110D">
              <w:t>1</w:t>
            </w:r>
            <w:r w:rsidR="001451CD" w:rsidRPr="0029110D">
              <w:t>,</w:t>
            </w:r>
            <w:r w:rsidRPr="0029110D">
              <w:t>1</w:t>
            </w:r>
          </w:p>
        </w:tc>
        <w:tc>
          <w:tcPr>
            <w:tcW w:w="1230" w:type="dxa"/>
            <w:vAlign w:val="center"/>
          </w:tcPr>
          <w:p w14:paraId="4BB5201E" w14:textId="6835005E" w:rsidR="00C34E4A" w:rsidRPr="0029110D" w:rsidRDefault="00C34E4A" w:rsidP="0029110D">
            <w:pPr>
              <w:tabs>
                <w:tab w:val="left" w:pos="2730"/>
              </w:tabs>
              <w:jc w:val="center"/>
            </w:pPr>
            <w:r w:rsidRPr="0029110D">
              <w:t>2</w:t>
            </w:r>
            <w:r w:rsidR="001451CD" w:rsidRPr="0029110D">
              <w:t>,</w:t>
            </w:r>
            <w:r w:rsidRPr="0029110D">
              <w:t>3</w:t>
            </w:r>
          </w:p>
        </w:tc>
      </w:tr>
      <w:tr w:rsidR="00C34E4A" w:rsidRPr="00C34E4A" w14:paraId="3D944D40" w14:textId="77777777" w:rsidTr="00AB1FF1">
        <w:tc>
          <w:tcPr>
            <w:tcW w:w="9328" w:type="dxa"/>
            <w:gridSpan w:val="6"/>
          </w:tcPr>
          <w:p w14:paraId="10C05547" w14:textId="1ECF2903" w:rsidR="00C34E4A" w:rsidRPr="003E7F6A" w:rsidRDefault="003E7F6A">
            <w:pPr>
              <w:tabs>
                <w:tab w:val="left" w:pos="2730"/>
              </w:tabs>
              <w:rPr>
                <w:sz w:val="20"/>
                <w:szCs w:val="20"/>
              </w:rPr>
            </w:pPr>
            <w:r w:rsidRPr="003E7F6A">
              <w:rPr>
                <w:b/>
                <w:sz w:val="20"/>
                <w:szCs w:val="20"/>
              </w:rPr>
              <w:t>Примечание:</w:t>
            </w:r>
            <w:r>
              <w:rPr>
                <w:sz w:val="20"/>
                <w:szCs w:val="20"/>
              </w:rPr>
              <w:br/>
            </w:r>
            <w:r w:rsidR="00C34E4A" w:rsidRPr="003E7F6A">
              <w:rPr>
                <w:sz w:val="20"/>
                <w:szCs w:val="20"/>
                <w:lang w:val="en-US"/>
              </w:rPr>
              <w:t>PBO</w:t>
            </w:r>
            <w:r w:rsidR="00C34E4A" w:rsidRPr="003E7F6A">
              <w:rPr>
                <w:sz w:val="20"/>
                <w:szCs w:val="20"/>
              </w:rPr>
              <w:t xml:space="preserve"> – плацебо; </w:t>
            </w:r>
            <w:r w:rsidR="00C34E4A" w:rsidRPr="003E7F6A">
              <w:rPr>
                <w:sz w:val="20"/>
                <w:szCs w:val="20"/>
                <w:lang w:val="en-US"/>
              </w:rPr>
              <w:t>cDMARDs</w:t>
            </w:r>
            <w:r w:rsidR="00C34E4A" w:rsidRPr="003E7F6A">
              <w:rPr>
                <w:sz w:val="20"/>
                <w:szCs w:val="20"/>
              </w:rPr>
              <w:t xml:space="preserve"> – синтетические базисные противовоспалительные препараты; </w:t>
            </w:r>
            <w:r w:rsidR="00C34E4A" w:rsidRPr="003E7F6A">
              <w:rPr>
                <w:sz w:val="20"/>
                <w:szCs w:val="20"/>
                <w:lang w:val="en-US"/>
              </w:rPr>
              <w:t>BARI</w:t>
            </w:r>
            <w:r w:rsidR="00C34E4A" w:rsidRPr="003E7F6A">
              <w:rPr>
                <w:sz w:val="20"/>
                <w:szCs w:val="20"/>
              </w:rPr>
              <w:t xml:space="preserve"> – барицитиниб; ЛПНП– липопротеины низкой плотности; АЛТ – аланинаминотрансфераза; АСТ – аспартатаминотрансфераза; ВПН – верхний предел нормы; а – включает острый синусит, острый тонзиллит, хронический тонзиллит, эпиглоттит, ларингит, назофарингит, боль в ротоглотке, фарингит, фаринготонзиллит, ринит, синобронхит, синусит, тонзиллит, трахеит, инфекции верхних дыхательных путей; b – включает герпетическую экзему, генитальный герпес, простой герпес, простой офтальмологический герпес, лобиальный герпес; c – по оценке измеренных значений в базе данных клинических испытаний. </w:t>
            </w:r>
          </w:p>
        </w:tc>
      </w:tr>
    </w:tbl>
    <w:p w14:paraId="0E3E7D70" w14:textId="77777777" w:rsidR="00C34E4A" w:rsidRDefault="00C34E4A">
      <w:pPr>
        <w:tabs>
          <w:tab w:val="left" w:pos="2730"/>
        </w:tabs>
        <w:spacing w:after="0" w:line="240" w:lineRule="auto"/>
      </w:pPr>
    </w:p>
    <w:p w14:paraId="0E5EF5CD" w14:textId="77777777" w:rsidR="00C34E4A" w:rsidRDefault="00C34E4A">
      <w:pPr>
        <w:tabs>
          <w:tab w:val="left" w:pos="709"/>
        </w:tabs>
        <w:spacing w:after="0" w:line="240" w:lineRule="auto"/>
        <w:ind w:firstLine="709"/>
      </w:pPr>
      <w:r w:rsidRPr="00463A86">
        <w:t xml:space="preserve">Следующие </w:t>
      </w:r>
      <w:r>
        <w:t>НЯ</w:t>
      </w:r>
      <w:r w:rsidRPr="00463A86">
        <w:t xml:space="preserve">, представляющие интерес, были предварительно определены на основе ранее зарегистрированных событий в исследованиях РА для других </w:t>
      </w:r>
      <w:r>
        <w:rPr>
          <w:rFonts w:eastAsia="Times New Roman"/>
          <w:iCs/>
          <w:lang w:eastAsia="ru-RU"/>
        </w:rPr>
        <w:t>БМАРП</w:t>
      </w:r>
      <w:r w:rsidRPr="00463A86">
        <w:t>, включая ингибиторы JAK</w:t>
      </w:r>
      <w:r>
        <w:t xml:space="preserve"> </w:t>
      </w:r>
      <w:r>
        <w:fldChar w:fldCharType="begin"/>
      </w:r>
      <w:r>
        <w:instrText xml:space="preserve"> ADDIN ZOTERO_ITEM CSL_CITATION {"citationID":"mYh6WUhb","properties":{"formattedCitation":"[1]","plainCitation":"[1]","noteIndex":0},"citationItems":[{"id":3826,"uris":["http://zotero.org/groups/4514912/items/UB7ESC4C"],"itemData":{"id":3826,"type":"document","title":"Assessment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463A86">
        <w:t xml:space="preserve">: </w:t>
      </w:r>
    </w:p>
    <w:p w14:paraId="6C087138" w14:textId="77777777" w:rsidR="00C34E4A" w:rsidRDefault="00C34E4A" w:rsidP="0029110D">
      <w:pPr>
        <w:tabs>
          <w:tab w:val="left" w:pos="2730"/>
        </w:tabs>
        <w:spacing w:after="0" w:line="240" w:lineRule="auto"/>
        <w:ind w:left="709"/>
      </w:pPr>
      <w:r>
        <w:t>- инфекции (тяжелые инфекции и оппортунистические инфекции, включая туберкулез и опоясывающий герпес);</w:t>
      </w:r>
    </w:p>
    <w:p w14:paraId="1AEC5095" w14:textId="77777777" w:rsidR="00C34E4A" w:rsidRDefault="00C34E4A" w:rsidP="0029110D">
      <w:pPr>
        <w:tabs>
          <w:tab w:val="left" w:pos="2730"/>
        </w:tabs>
        <w:spacing w:after="0" w:line="240" w:lineRule="auto"/>
        <w:ind w:left="709"/>
      </w:pPr>
      <w:r>
        <w:t>- злокачественные новообразования;</w:t>
      </w:r>
    </w:p>
    <w:p w14:paraId="76DC1282" w14:textId="77777777" w:rsidR="00C34E4A" w:rsidRDefault="00C34E4A" w:rsidP="0029110D">
      <w:pPr>
        <w:tabs>
          <w:tab w:val="left" w:pos="2730"/>
        </w:tabs>
        <w:spacing w:after="0" w:line="240" w:lineRule="auto"/>
        <w:ind w:left="709"/>
      </w:pPr>
      <w:r>
        <w:t>- изменение уровня липидов;</w:t>
      </w:r>
    </w:p>
    <w:p w14:paraId="73BEEFC6" w14:textId="77777777" w:rsidR="00C34E4A" w:rsidRDefault="00C34E4A" w:rsidP="0029110D">
      <w:pPr>
        <w:tabs>
          <w:tab w:val="left" w:pos="2730"/>
        </w:tabs>
        <w:spacing w:after="0" w:line="240" w:lineRule="auto"/>
        <w:ind w:left="709"/>
      </w:pPr>
      <w:r>
        <w:t xml:space="preserve">- </w:t>
      </w:r>
      <w:r w:rsidRPr="00AC5ADB">
        <w:t>серьезные неблагоприятные сердечно-сосудистые события (MACE, major adverse cardiovascular events)</w:t>
      </w:r>
      <w:r>
        <w:t xml:space="preserve"> и другие сердечно-сосудистые события;</w:t>
      </w:r>
    </w:p>
    <w:p w14:paraId="7F016427" w14:textId="77777777" w:rsidR="00C34E4A" w:rsidRDefault="00C34E4A" w:rsidP="0029110D">
      <w:pPr>
        <w:tabs>
          <w:tab w:val="left" w:pos="2730"/>
        </w:tabs>
        <w:spacing w:after="0" w:line="240" w:lineRule="auto"/>
        <w:ind w:left="709"/>
      </w:pPr>
      <w:r>
        <w:t>- нарушение функции почек;</w:t>
      </w:r>
    </w:p>
    <w:p w14:paraId="736C3BA7" w14:textId="77777777" w:rsidR="00C34E4A" w:rsidRDefault="00C34E4A" w:rsidP="0029110D">
      <w:pPr>
        <w:tabs>
          <w:tab w:val="left" w:pos="2730"/>
        </w:tabs>
        <w:spacing w:after="0" w:line="240" w:lineRule="auto"/>
        <w:ind w:left="709"/>
      </w:pPr>
      <w:r>
        <w:t>- возможность миелосупрессии (включая гематологические нарушения);</w:t>
      </w:r>
    </w:p>
    <w:p w14:paraId="1A396FE1" w14:textId="77777777" w:rsidR="00C34E4A" w:rsidRDefault="00C34E4A" w:rsidP="0029110D">
      <w:pPr>
        <w:tabs>
          <w:tab w:val="left" w:pos="2730"/>
        </w:tabs>
        <w:spacing w:after="0" w:line="240" w:lineRule="auto"/>
        <w:ind w:left="709"/>
      </w:pPr>
      <w:r>
        <w:lastRenderedPageBreak/>
        <w:t>- повышение ферментов печени;</w:t>
      </w:r>
    </w:p>
    <w:p w14:paraId="2885C81B" w14:textId="77777777" w:rsidR="00C34E4A" w:rsidRDefault="00C34E4A" w:rsidP="0029110D">
      <w:pPr>
        <w:tabs>
          <w:tab w:val="left" w:pos="2730"/>
        </w:tabs>
        <w:spacing w:after="0" w:line="240" w:lineRule="auto"/>
        <w:ind w:left="709"/>
      </w:pPr>
      <w:r>
        <w:t xml:space="preserve">- перфорации </w:t>
      </w:r>
      <w:r w:rsidRPr="00AC5ADB">
        <w:t>ЖКТ</w:t>
      </w:r>
      <w:r>
        <w:t>.</w:t>
      </w:r>
    </w:p>
    <w:p w14:paraId="2F5A8495" w14:textId="77777777" w:rsidR="00C34E4A" w:rsidRDefault="00C34E4A">
      <w:pPr>
        <w:tabs>
          <w:tab w:val="left" w:pos="2730"/>
        </w:tabs>
        <w:spacing w:after="0" w:line="240" w:lineRule="auto"/>
      </w:pPr>
    </w:p>
    <w:p w14:paraId="3E9D1AA0" w14:textId="77777777" w:rsidR="00C34E4A" w:rsidRPr="00BE0BE9" w:rsidRDefault="00C34E4A" w:rsidP="00AB1FF1">
      <w:pPr>
        <w:tabs>
          <w:tab w:val="left" w:pos="2730"/>
        </w:tabs>
        <w:spacing w:after="0" w:line="240" w:lineRule="auto"/>
        <w:rPr>
          <w:b/>
          <w:i/>
          <w:iCs/>
        </w:rPr>
      </w:pPr>
      <w:r w:rsidRPr="00BE0BE9">
        <w:rPr>
          <w:b/>
          <w:i/>
          <w:iCs/>
        </w:rPr>
        <w:t>Инфекции</w:t>
      </w:r>
    </w:p>
    <w:p w14:paraId="36D97233" w14:textId="77777777" w:rsidR="0029110D" w:rsidRDefault="0029110D">
      <w:pPr>
        <w:tabs>
          <w:tab w:val="left" w:pos="2730"/>
        </w:tabs>
        <w:spacing w:after="0" w:line="240" w:lineRule="auto"/>
        <w:ind w:firstLine="709"/>
      </w:pPr>
    </w:p>
    <w:p w14:paraId="2C134571" w14:textId="7463E1C7" w:rsidR="00C34E4A" w:rsidRDefault="00C34E4A">
      <w:pPr>
        <w:tabs>
          <w:tab w:val="left" w:pos="2730"/>
        </w:tabs>
        <w:spacing w:after="0" w:line="240" w:lineRule="auto"/>
        <w:ind w:firstLine="709"/>
      </w:pPr>
      <w:r>
        <w:t xml:space="preserve">В течение 24 недель лечения с зарегистрированными случаями развития наблюдалась статистически значимая большая доля пациентов, получавших барицитиниб 4 мг, по сравнению с плацебо (36,3% против 27,9% соответственно, </w:t>
      </w:r>
      <w:r w:rsidRPr="00AC5ADB">
        <w:t>отношение шансов (ОШ)</w:t>
      </w:r>
      <w:r>
        <w:t xml:space="preserve"> 1,4 (95%ДИ 1,2–1,7), р&lt;0,001). Различий между барицитинибом 4 мг и плацебо в доле пациентов с серьезными инфекциями по критериям ICH не было (1,5% против 1,6% соответственно). Частота инфекций умеренно увеличивалась при приеме барицитиниба (32,6% против 38,2% до 24-й недели и 48,5% против 53,4% в долгосрочном исследовании продолжительностью 52 недели для доз 2 мг и 4 мг соответственно). Общая частота инфекций при приеме барицитиниба превышала таковые у активных препаратов сравнения, т.е. метотрексата в исследовании JADZ у пациентов, ранее не получавших БМАРП, и </w:t>
      </w:r>
      <w:r>
        <w:rPr>
          <w:lang w:val="en-US"/>
        </w:rPr>
        <w:t>ADA</w:t>
      </w:r>
      <w:r>
        <w:t xml:space="preserve"> у пациентов с МТХ-IR в исследовании JADV, с небольшой разницей в 3–5%. Частота инфекций была незначительно выше у пациентов, которые предварительно получали более интенсивное лечение БМАРП и другими иммуномодулирующими препаратами, чем пациенты, ранее не получавшие лечения </w:t>
      </w:r>
      <w:r>
        <w:fldChar w:fldCharType="begin"/>
      </w:r>
      <w:r>
        <w:instrText xml:space="preserve"> ADDIN ZOTERO_ITEM CSL_CITATION {"citationID":"DNx386oQ","properties":{"formattedCitation":"[1]","plainCitation":"[1]","noteIndex":0},"citationItems":[{"id":3826,"uris":["http://zotero.org/groups/4514912/items/UB7ESC4C"],"itemData":{"id":3826,"type":"document","title":"Assessment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t>.</w:t>
      </w:r>
    </w:p>
    <w:p w14:paraId="7A5BC74E" w14:textId="77777777" w:rsidR="00C34E4A" w:rsidRDefault="00C34E4A">
      <w:pPr>
        <w:tabs>
          <w:tab w:val="left" w:pos="2730"/>
        </w:tabs>
        <w:spacing w:after="0" w:line="240" w:lineRule="auto"/>
        <w:ind w:firstLine="709"/>
      </w:pPr>
    </w:p>
    <w:p w14:paraId="2DF9F193" w14:textId="77777777" w:rsidR="00C34E4A" w:rsidRPr="00BE0BE9" w:rsidRDefault="00C34E4A" w:rsidP="00AB1FF1">
      <w:pPr>
        <w:tabs>
          <w:tab w:val="left" w:pos="2730"/>
        </w:tabs>
        <w:spacing w:after="0" w:line="240" w:lineRule="auto"/>
        <w:rPr>
          <w:b/>
          <w:i/>
          <w:iCs/>
        </w:rPr>
      </w:pPr>
      <w:r w:rsidRPr="00BE0BE9">
        <w:rPr>
          <w:b/>
          <w:i/>
          <w:iCs/>
        </w:rPr>
        <w:t>Опоясывающий герпес</w:t>
      </w:r>
    </w:p>
    <w:p w14:paraId="7942F1B7" w14:textId="77777777" w:rsidR="0029110D" w:rsidRDefault="0029110D">
      <w:pPr>
        <w:tabs>
          <w:tab w:val="left" w:pos="2730"/>
        </w:tabs>
        <w:spacing w:after="0" w:line="240" w:lineRule="auto"/>
        <w:ind w:firstLine="709"/>
      </w:pPr>
    </w:p>
    <w:p w14:paraId="68B56027" w14:textId="426008EB" w:rsidR="00C34E4A" w:rsidRDefault="00C34E4A">
      <w:pPr>
        <w:tabs>
          <w:tab w:val="left" w:pos="2730"/>
        </w:tabs>
        <w:spacing w:after="0" w:line="240" w:lineRule="auto"/>
        <w:ind w:firstLine="709"/>
      </w:pPr>
      <w:r>
        <w:t>В сводном анализе плацебо-контролируемых исследований частота опоясывающего герпеса при приеме барицитиниба в дозе 4 мг по сравнению с плацебо составила 1,8% против 0,4% до 24-й недели (ОШ 4,59, 95%ДИ 1,5; 13,6).Частота возникновения опоясывающего герпеса оставалась стабильной в течение 72 недель, а затем снижалась. По сравнению с историческим контролем других БМАРП, точечная оценка частоты заболеваемости опоясывающим герпесом 3,4 на 100 PY, наблюдаемая для барицитиниба, оказались ниже, в сравнении с тофацитинибом (4,4–5,4 на 100 ч/л), но выше, чем, например, для тоцилизумаба (2,4 на 100 ч/л)</w:t>
      </w:r>
      <w:r w:rsidRPr="002F4447">
        <w:t xml:space="preserve"> </w:t>
      </w:r>
      <w:r>
        <w:fldChar w:fldCharType="begin"/>
      </w:r>
      <w:r>
        <w:instrText xml:space="preserve"> ADDIN ZOTERO_ITEM CSL_CITATION {"citationID":"m4vwb39G","properties":{"formattedCitation":"[1]","plainCitation":"[1]","noteIndex":0},"citationItems":[{"id":3826,"uris":["http://zotero.org/groups/4514912/items/UB7ESC4C"],"itemData":{"id":3826,"type":"document","title":"Assessment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1136AA83" w14:textId="77777777" w:rsidR="00C34E4A" w:rsidRDefault="00C34E4A">
      <w:pPr>
        <w:tabs>
          <w:tab w:val="left" w:pos="2730"/>
        </w:tabs>
        <w:spacing w:after="0" w:line="240" w:lineRule="auto"/>
        <w:ind w:firstLine="709"/>
      </w:pPr>
      <w:r>
        <w:t>У пациентов, ранее не получавших БМАРП (исследование JADZ), риск опоясывающего герпеса в целом был низким, но примерно в два раза выше для барицитиниба, чем для препарата сравнения (МТХ) на 52-й неделе (МТХ 1,0% [1,17 на 100 ч/л], барицитиниб 4 мг 2,5% 2,78 на 100 ч/л] и барицитиниб + МТХ 2,3% [2,65</w:t>
      </w:r>
      <w:r w:rsidRPr="001C61AE">
        <w:t xml:space="preserve"> </w:t>
      </w:r>
      <w:r>
        <w:t>на 100 ч/л])</w:t>
      </w:r>
      <w:r w:rsidRPr="002F4447">
        <w:t xml:space="preserve"> </w:t>
      </w:r>
      <w:r>
        <w:fldChar w:fldCharType="begin"/>
      </w:r>
      <w:r>
        <w:instrText xml:space="preserve"> ADDIN ZOTERO_ITEM CSL_CITATION {"citationID":"ec5wpd7M","properties":{"formattedCitation":"[1]","plainCitation":"[1]","noteIndex":0},"citationItems":[{"id":3826,"uris":["http://zotero.org/groups/4514912/items/UB7ESC4C"],"itemData":{"id":3826,"type":"document","title":"Assessment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r>
        <w:t xml:space="preserve">  </w:t>
      </w:r>
    </w:p>
    <w:p w14:paraId="79381E1B" w14:textId="77777777" w:rsidR="00C34E4A" w:rsidRDefault="00C34E4A">
      <w:pPr>
        <w:tabs>
          <w:tab w:val="left" w:pos="2730"/>
        </w:tabs>
        <w:spacing w:after="0" w:line="240" w:lineRule="auto"/>
        <w:ind w:firstLine="709"/>
      </w:pPr>
      <w:r>
        <w:t>Пациенты, получавшие более интенсивное предварительное лечение, были более подвержены возникновению опоясывающего герпеса. Самая высокая заболеваемость и фоновый риск наблюдались у пациентов, не отвечающих на биологические БМАРП (исследование JADW), особенно при дозе 4 мг (4,0 % [9,55 на 100 ч/л] при дозе 4 мг барицитиниба и 1,1 % при дозе 2 мг [2,86</w:t>
      </w:r>
      <w:r w:rsidRPr="001C61AE">
        <w:t xml:space="preserve"> </w:t>
      </w:r>
      <w:r>
        <w:t>на 100 ч/л], что было таким же, как у плацебо (1,1% [3,04</w:t>
      </w:r>
      <w:r w:rsidRPr="001C61AE">
        <w:t xml:space="preserve"> </w:t>
      </w:r>
      <w:r>
        <w:t>на 100 ч/л])</w:t>
      </w:r>
      <w:r w:rsidRPr="002F4447">
        <w:t xml:space="preserve"> </w:t>
      </w:r>
      <w:r>
        <w:fldChar w:fldCharType="begin"/>
      </w:r>
      <w:r>
        <w:instrText xml:space="preserve"> ADDIN ZOTERO_ITEM CSL_CITATION {"citationID":"gadtlNXa","properties":{"formattedCitation":"[1]","plainCitation":"[1]","noteIndex":0},"citationItems":[{"id":3826,"uris":["http://zotero.org/groups/4514912/items/UB7ESC4C"],"itemData":{"id":3826,"type":"document","title":"Assessment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78E7ECB0" w14:textId="77777777" w:rsidR="00C34E4A" w:rsidRDefault="00C34E4A">
      <w:pPr>
        <w:tabs>
          <w:tab w:val="left" w:pos="2730"/>
        </w:tabs>
        <w:spacing w:after="0" w:line="240" w:lineRule="auto"/>
        <w:ind w:firstLine="709"/>
      </w:pPr>
      <w:r>
        <w:t xml:space="preserve">Из 141 зарегистрированного случая осложненные или диссеминированные явления были зарегистрированы в 5 случаях: 2 связаны с параличом лицевого нерва и 3 считаются диссеминированными на основании характера поражения дерматома. Около 14% были зарегистрированы как </w:t>
      </w:r>
      <w:r w:rsidRPr="00AC5ADB">
        <w:t>серьёзные нежелательные явления (СНЯ)</w:t>
      </w:r>
      <w:r w:rsidRPr="002F4447">
        <w:t xml:space="preserve"> </w:t>
      </w:r>
      <w:r>
        <w:fldChar w:fldCharType="begin"/>
      </w:r>
      <w:r>
        <w:instrText xml:space="preserve"> ADDIN ZOTERO_ITEM CSL_CITATION {"citationID":"eyWW1QnH","properties":{"formattedCitation":"[1]","plainCitation":"[1]","noteIndex":0},"citationItems":[{"id":3826,"uris":["http://zotero.org/groups/4514912/items/UB7ESC4C"],"itemData":{"id":3826,"type":"document","title":"Assessment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r>
        <w:t xml:space="preserve">  </w:t>
      </w:r>
    </w:p>
    <w:p w14:paraId="747017F1" w14:textId="77777777" w:rsidR="00C34E4A" w:rsidRDefault="00C34E4A">
      <w:pPr>
        <w:tabs>
          <w:tab w:val="left" w:pos="2730"/>
        </w:tabs>
        <w:spacing w:after="0" w:line="240" w:lineRule="auto"/>
        <w:ind w:firstLine="709"/>
      </w:pPr>
    </w:p>
    <w:p w14:paraId="0B536A12" w14:textId="77777777" w:rsidR="00C34E4A" w:rsidRPr="00BE0BE9" w:rsidRDefault="00C34E4A" w:rsidP="00AB1FF1">
      <w:pPr>
        <w:tabs>
          <w:tab w:val="left" w:pos="2730"/>
        </w:tabs>
        <w:spacing w:after="0" w:line="240" w:lineRule="auto"/>
        <w:rPr>
          <w:b/>
          <w:i/>
          <w:iCs/>
        </w:rPr>
      </w:pPr>
      <w:r w:rsidRPr="00BE0BE9">
        <w:rPr>
          <w:b/>
          <w:i/>
          <w:iCs/>
        </w:rPr>
        <w:t>Другие оппортунистические инфекции</w:t>
      </w:r>
    </w:p>
    <w:p w14:paraId="01393974" w14:textId="77777777" w:rsidR="0029110D" w:rsidRDefault="0029110D">
      <w:pPr>
        <w:tabs>
          <w:tab w:val="left" w:pos="2730"/>
        </w:tabs>
        <w:spacing w:after="0" w:line="240" w:lineRule="auto"/>
        <w:ind w:firstLine="709"/>
      </w:pPr>
    </w:p>
    <w:p w14:paraId="1A18EF36" w14:textId="1F68595E" w:rsidR="00C34E4A" w:rsidRDefault="00C34E4A">
      <w:pPr>
        <w:tabs>
          <w:tab w:val="left" w:pos="2730"/>
        </w:tabs>
        <w:spacing w:after="0" w:line="240" w:lineRule="auto"/>
        <w:ind w:firstLine="709"/>
      </w:pPr>
      <w:r>
        <w:lastRenderedPageBreak/>
        <w:t xml:space="preserve">Помимо опоясывающего герпеса и </w:t>
      </w:r>
      <w:r w:rsidRPr="00AC5ADB">
        <w:t>туберкулеза (ТБ),</w:t>
      </w:r>
      <w:r>
        <w:t xml:space="preserve"> было зарегистрировано десять потенциальных оппортунистических инфекций, включая раневую инфекцию видами кокцидиоидов (1 случай), кандидоз пищевода (5 случаев), пневмоцистную пневмонию (3 случая) и повышение уровня β-D-глюкана в крови (1 случай). Ни один из этих случаев не мог быть подтвержден или считался связанным с лечением при рассмотрении. Сообщение об инфицировании раны кокцидиоидами было расценено исследователем как ошибка сообщения </w:t>
      </w:r>
      <w:r>
        <w:fldChar w:fldCharType="begin"/>
      </w:r>
      <w:r>
        <w:instrText xml:space="preserve"> ADDIN ZOTERO_ITEM CSL_CITATION {"citationID":"oVPOVSTC","properties":{"formattedCitation":"[1]","plainCitation":"[1]","noteIndex":0},"citationItems":[{"id":3826,"uris":["http://zotero.org/groups/4514912/items/UB7ESC4C"],"itemData":{"id":3826,"type":"document","title":"Assessment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r>
        <w:t xml:space="preserve">  </w:t>
      </w:r>
    </w:p>
    <w:p w14:paraId="499DA6B6" w14:textId="77777777" w:rsidR="00C34E4A" w:rsidRDefault="00C34E4A">
      <w:pPr>
        <w:tabs>
          <w:tab w:val="left" w:pos="2730"/>
        </w:tabs>
        <w:spacing w:after="0" w:line="240" w:lineRule="auto"/>
        <w:ind w:firstLine="709"/>
      </w:pPr>
      <w:r>
        <w:t xml:space="preserve">В исследованиях </w:t>
      </w:r>
      <w:r>
        <w:rPr>
          <w:lang w:val="en-US"/>
        </w:rPr>
        <w:t>III</w:t>
      </w:r>
      <w:r>
        <w:t xml:space="preserve"> фазы РА примерно у 8% рандомизированных пациентов на исходном уровне был диагностирован латентный ТБ. Сообщалось об одном случае ТБ в фазе, контролируемой плацебо/активным компаратором, в исследовании JADX для барицитиниба в дозе 4 мг на 137-й день </w:t>
      </w:r>
      <w:r>
        <w:fldChar w:fldCharType="begin"/>
      </w:r>
      <w:r>
        <w:instrText xml:space="preserve"> ADDIN ZOTERO_ITEM CSL_CITATION {"citationID":"cxyb7Nan","properties":{"formattedCitation":"[1]","plainCitation":"[1]","noteIndex":0},"citationItems":[{"id":3826,"uris":["http://zotero.org/groups/4514912/items/UB7ESC4C"],"itemData":{"id":3826,"type":"document","title":"Assessment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40116185" w14:textId="4E2A2525" w:rsidR="00C34E4A" w:rsidRDefault="00C34E4A">
      <w:pPr>
        <w:tabs>
          <w:tab w:val="left" w:pos="2730"/>
        </w:tabs>
        <w:spacing w:after="0" w:line="240" w:lineRule="auto"/>
        <w:ind w:firstLine="709"/>
      </w:pPr>
      <w:r>
        <w:t>Все пациенты с подтвержденным ТБ одновременно получали другие БМАРП, а 4 — кортикостероиды. Все случаи произошли в районах, эндемичных по ТБ (Азия, Южная Африка, Россия, Аргентина). Общее количество частоты возникновения ТБ у пациентов с РА, получавших барицитиниб в дозе 4 мг 1 р/сутки, составил 0,20 событий/100 ч/л, что было ниже по сравнению с активным препаратом сравнения (</w:t>
      </w:r>
      <w:r>
        <w:rPr>
          <w:lang w:val="en-US"/>
        </w:rPr>
        <w:t>ADA</w:t>
      </w:r>
      <w:r>
        <w:t xml:space="preserve">) в исследовании JADV (0,36 событий/100 ч/л). Пациенты с антителами к поверхностному антигену гепатита В, антителами к </w:t>
      </w:r>
      <w:r w:rsidR="009365F8">
        <w:t xml:space="preserve">сердцевинному </w:t>
      </w:r>
      <w:r>
        <w:t xml:space="preserve">антигену </w:t>
      </w:r>
      <w:r w:rsidR="00DB46DB">
        <w:t xml:space="preserve">вируса </w:t>
      </w:r>
      <w:r w:rsidR="009365F8">
        <w:t xml:space="preserve">гепатита </w:t>
      </w:r>
      <w:r>
        <w:t xml:space="preserve">В и без </w:t>
      </w:r>
      <w:r w:rsidR="008F28F6">
        <w:t xml:space="preserve">антител к поверхностному антигену </w:t>
      </w:r>
      <w:r>
        <w:t xml:space="preserve">гепатита В, также были допущены к участию в исследованиях. При проверки данных субъектов на наличие </w:t>
      </w:r>
      <w:r w:rsidRPr="0030556A">
        <w:t>ДНК (дезоксирибонуклеиновая кислота)</w:t>
      </w:r>
      <w:r>
        <w:t xml:space="preserve"> вируса гепатита В, для барицитиниба и </w:t>
      </w:r>
      <w:r>
        <w:rPr>
          <w:lang w:val="en-US"/>
        </w:rPr>
        <w:t>ADA</w:t>
      </w:r>
      <w:r>
        <w:t xml:space="preserve"> было зарегистрировано аналогичное количество случаев с обнаруживаемой ДНК (0,6% за 52 недели для обоих активных препаратов), и ни одного случая не было зарегистрировано для плацебо (24 недели). Эти случаи не расценивались как активная инфекция гепатита В, поскольку экспрессия ДНК вируса была низкой </w:t>
      </w:r>
      <w:r>
        <w:fldChar w:fldCharType="begin"/>
      </w:r>
      <w:r>
        <w:instrText xml:space="preserve"> ADDIN ZOTERO_ITEM CSL_CITATION {"citationID":"S6q996cN","properties":{"formattedCitation":"[1]","plainCitation":"[1]","noteIndex":0},"citationItems":[{"id":3826,"uris":["http://zotero.org/groups/4514912/items/UB7ESC4C"],"itemData":{"id":3826,"type":"document","title":"Assessment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75D6F724" w14:textId="41DFE484" w:rsidR="00C34E4A" w:rsidRDefault="00C34E4A">
      <w:pPr>
        <w:tabs>
          <w:tab w:val="left" w:pos="2730"/>
        </w:tabs>
        <w:spacing w:after="0" w:line="240" w:lineRule="auto"/>
        <w:ind w:firstLine="709"/>
      </w:pPr>
      <w:r>
        <w:t xml:space="preserve">Кроме того, сообщалось об одном случае заражения цитомегаловирусом и одном случае заражения вирусом Эпштейна-Барр. Инфекции были легкой-средней степени тяжести </w:t>
      </w:r>
      <w:r>
        <w:fldChar w:fldCharType="begin"/>
      </w:r>
      <w:r>
        <w:instrText xml:space="preserve"> ADDIN ZOTERO_ITEM CSL_CITATION {"citationID":"eVDNUkXp","properties":{"formattedCitation":"[1]","plainCitation":"[1]","noteIndex":0},"citationItems":[{"id":3826,"uris":["http://zotero.org/groups/4514912/items/UB7ESC4C"],"itemData":{"id":3826,"type":"document","title":"Assessment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52D41963" w14:textId="77777777" w:rsidR="00C34E4A" w:rsidRDefault="00C34E4A">
      <w:pPr>
        <w:tabs>
          <w:tab w:val="left" w:pos="2730"/>
        </w:tabs>
        <w:spacing w:after="0" w:line="240" w:lineRule="auto"/>
        <w:ind w:firstLine="709"/>
      </w:pPr>
    </w:p>
    <w:p w14:paraId="2DDEC7CD" w14:textId="77777777" w:rsidR="00C34E4A" w:rsidRPr="0029110D" w:rsidRDefault="00C34E4A" w:rsidP="0029110D">
      <w:pPr>
        <w:tabs>
          <w:tab w:val="left" w:pos="2730"/>
        </w:tabs>
        <w:spacing w:after="0" w:line="240" w:lineRule="auto"/>
        <w:rPr>
          <w:b/>
          <w:i/>
          <w:iCs/>
        </w:rPr>
      </w:pPr>
      <w:r w:rsidRPr="0029110D">
        <w:rPr>
          <w:b/>
          <w:i/>
          <w:iCs/>
        </w:rPr>
        <w:t>Злокачественные новообразования</w:t>
      </w:r>
    </w:p>
    <w:p w14:paraId="02C87F35" w14:textId="77777777" w:rsidR="0029110D" w:rsidRDefault="0029110D">
      <w:pPr>
        <w:tabs>
          <w:tab w:val="left" w:pos="2730"/>
        </w:tabs>
        <w:spacing w:after="0" w:line="240" w:lineRule="auto"/>
        <w:ind w:firstLine="709"/>
      </w:pPr>
    </w:p>
    <w:p w14:paraId="56A3DF55" w14:textId="3DA51FFA" w:rsidR="00C34E4A" w:rsidRDefault="00C34E4A">
      <w:pPr>
        <w:tabs>
          <w:tab w:val="left" w:pos="2730"/>
        </w:tabs>
        <w:spacing w:after="0" w:line="240" w:lineRule="auto"/>
        <w:ind w:firstLine="709"/>
      </w:pPr>
      <w:r>
        <w:t>Для барицитиниба (все дозы, объединенный набор данных) частота злокачественных новообразований (</w:t>
      </w:r>
      <w:r w:rsidRPr="0030556A">
        <w:t>без немеланомного рака кожи [НМРК]) составила</w:t>
      </w:r>
      <w:r>
        <w:t xml:space="preserve"> 38 случаев и 0,73/100 ч/л (95%ДИ 0,5; 1,0) (актуально на 01 января 2016 г.). Для объединенных данных плацебо, МТХ и </w:t>
      </w:r>
      <w:r>
        <w:rPr>
          <w:lang w:val="en-US"/>
        </w:rPr>
        <w:t>ADA</w:t>
      </w:r>
      <w:r>
        <w:t xml:space="preserve"> показатели заболеваемости злокачественными новообразованиями без НМРК составили 0,18, 0,48 и 0 на 100 ч/л соответственно. Поскольку группы сравнения были небольшими, а длительность приема плацебо не продолжительной, частоту злокачественных новообразований в группах сравнения невозможно достоверно оценить </w:t>
      </w:r>
      <w:r>
        <w:fldChar w:fldCharType="begin"/>
      </w:r>
      <w:r>
        <w:instrText xml:space="preserve"> ADDIN ZOTERO_ITEM CSL_CITATION {"citationID":"9IYky00i","properties":{"formattedCitation":"[1]","plainCitation":"[1]","noteIndex":0},"citationItems":[{"id":3826,"uris":["http://zotero.org/groups/4514912/items/UB7ESC4C"],"itemData":{"id":3826,"type":"document","title":"Assessment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67BBB43E" w14:textId="77777777" w:rsidR="00C34E4A" w:rsidRDefault="00C34E4A">
      <w:pPr>
        <w:tabs>
          <w:tab w:val="left" w:pos="2730"/>
        </w:tabs>
        <w:spacing w:after="0" w:line="240" w:lineRule="auto"/>
        <w:ind w:firstLine="709"/>
      </w:pPr>
      <w:r>
        <w:t xml:space="preserve">При более длительном наблюдении частота злокачественных новообразований без НМРК постепенно увеличивался с 0,47 в течение первых 24 нед до 1,17 на 100 ч/л в период наблюдения 48–72 недель, в дальнейшем показатели заболеваемости, по-видимому, стабилизировались </w:t>
      </w:r>
      <w:r>
        <w:fldChar w:fldCharType="begin"/>
      </w:r>
      <w:r>
        <w:instrText xml:space="preserve"> ADDIN ZOTERO_ITEM CSL_CITATION {"citationID":"4rjJFnvL","properties":{"formattedCitation":"[1]","plainCitation":"[1]","noteIndex":0},"citationItems":[{"id":3826,"uris":["http://zotero.org/groups/4514912/items/UB7ESC4C"],"itemData":{"id":3826,"type":"document","title":"Assessment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26FE8BBC" w14:textId="77777777" w:rsidR="00C34E4A" w:rsidRDefault="00C34E4A">
      <w:pPr>
        <w:tabs>
          <w:tab w:val="left" w:pos="2730"/>
        </w:tabs>
        <w:spacing w:after="0" w:line="240" w:lineRule="auto"/>
        <w:ind w:firstLine="709"/>
      </w:pPr>
      <w:r>
        <w:t xml:space="preserve">Наиболее часто сообщалось о раке молочной железы и ЖКТ. Частота возникновения лимфомы составила 0,095 на 100 ч/л воздействия (95%ДИ 0,031; 0,223). Значения не превышают опубликованные фоновые показатели клинических исследований (от 0,02 до 0,21) у пациентов с РА с сопутствующей терапией МТХ или другим </w:t>
      </w:r>
      <w:r w:rsidRPr="00F44C2F">
        <w:rPr>
          <w:rFonts w:eastAsia="Times New Roman"/>
          <w:iCs/>
          <w:lang w:eastAsia="ru-RU"/>
        </w:rPr>
        <w:t>с</w:t>
      </w:r>
      <w:r>
        <w:rPr>
          <w:rFonts w:eastAsia="Times New Roman"/>
          <w:iCs/>
          <w:lang w:eastAsia="ru-RU"/>
        </w:rPr>
        <w:t>БМАРП</w:t>
      </w:r>
      <w:r>
        <w:t xml:space="preserve"> (которую принимал каждый из 5 пациентов с лимфомой) (0,04–0,16) или у пациентов с РА с сопутствующей терапией против </w:t>
      </w:r>
      <w:r>
        <w:rPr>
          <w:lang w:val="en-US"/>
        </w:rPr>
        <w:t>TNF</w:t>
      </w:r>
      <w:r>
        <w:t xml:space="preserve"> (0,04–0,34). Вирус Эпштейна-Барр был </w:t>
      </w:r>
      <w:r>
        <w:lastRenderedPageBreak/>
        <w:t>подтвержден в одном из 5 случаев лимфомы (В-клеточная лимфома в Азии, пациенты предварительно получали МТХ и преднизолон)</w:t>
      </w:r>
      <w:r w:rsidRPr="002F4447">
        <w:t xml:space="preserve"> </w:t>
      </w:r>
      <w:r>
        <w:fldChar w:fldCharType="begin"/>
      </w:r>
      <w:r>
        <w:instrText xml:space="preserve"> ADDIN ZOTERO_ITEM CSL_CITATION {"citationID":"vgPMIwh7","properties":{"formattedCitation":"[1]","plainCitation":"[1]","noteIndex":0},"citationItems":[{"id":3826,"uris":["http://zotero.org/groups/4514912/items/UB7ESC4C"],"itemData":{"id":3826,"type":"document","title":"Assessment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0E4383A4" w14:textId="77777777" w:rsidR="00C34E4A" w:rsidRDefault="00C34E4A">
      <w:pPr>
        <w:tabs>
          <w:tab w:val="left" w:pos="2730"/>
        </w:tabs>
        <w:spacing w:after="0" w:line="240" w:lineRule="auto"/>
        <w:ind w:firstLine="709"/>
      </w:pPr>
      <w:r>
        <w:t xml:space="preserve">Зарегистрирован один случай лимфопролиферативных заболеваний у лиц пожилого возраста. Заболеваемость НМРК составила 0,4 на 100 ч/лет. Показатели заболеваемости оставались стабильными с течением времени (96 недель) </w:t>
      </w:r>
      <w:r>
        <w:fldChar w:fldCharType="begin"/>
      </w:r>
      <w:r>
        <w:instrText xml:space="preserve"> ADDIN ZOTERO_ITEM CSL_CITATION {"citationID":"qkFBhb9K","properties":{"formattedCitation":"[1]","plainCitation":"[1]","noteIndex":0},"citationItems":[{"id":3826,"uris":["http://zotero.org/groups/4514912/items/UB7ESC4C"],"itemData":{"id":3826,"type":"document","title":"Assessment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4F1DE3F9" w14:textId="77777777" w:rsidR="00C34E4A" w:rsidRDefault="00C34E4A">
      <w:pPr>
        <w:tabs>
          <w:tab w:val="left" w:pos="2730"/>
        </w:tabs>
        <w:spacing w:after="0" w:line="240" w:lineRule="auto"/>
        <w:ind w:firstLine="709"/>
      </w:pPr>
      <w:r>
        <w:t xml:space="preserve">Для других </w:t>
      </w:r>
      <w:r>
        <w:rPr>
          <w:rFonts w:eastAsia="Times New Roman"/>
          <w:iCs/>
          <w:lang w:eastAsia="ru-RU"/>
        </w:rPr>
        <w:t>БМАРП</w:t>
      </w:r>
      <w:r>
        <w:t xml:space="preserve"> сообщалось о частоте заболеваемости 0,17–0,69 на 100 ч/л </w:t>
      </w:r>
      <w:r>
        <w:fldChar w:fldCharType="begin"/>
      </w:r>
      <w:r>
        <w:instrText xml:space="preserve"> ADDIN ZOTERO_ITEM CSL_CITATION {"citationID":"ZH64NB9C","properties":{"formattedCitation":"[1]","plainCitation":"[1]","noteIndex":0},"citationItems":[{"id":3826,"uris":["http://zotero.org/groups/4514912/items/UB7ESC4C"],"itemData":{"id":3826,"type":"document","title":"Assessment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48BFA68A" w14:textId="77777777" w:rsidR="00C34E4A" w:rsidRDefault="00C34E4A">
      <w:pPr>
        <w:tabs>
          <w:tab w:val="left" w:pos="2730"/>
        </w:tabs>
        <w:spacing w:after="0" w:line="240" w:lineRule="auto"/>
        <w:ind w:firstLine="709"/>
      </w:pPr>
    </w:p>
    <w:p w14:paraId="7B64E93A" w14:textId="77777777" w:rsidR="00C34E4A" w:rsidRPr="00BE0BE9" w:rsidRDefault="00C34E4A" w:rsidP="00AB1FF1">
      <w:pPr>
        <w:tabs>
          <w:tab w:val="left" w:pos="2730"/>
        </w:tabs>
        <w:spacing w:after="0" w:line="240" w:lineRule="auto"/>
        <w:rPr>
          <w:b/>
          <w:i/>
          <w:iCs/>
        </w:rPr>
      </w:pPr>
      <w:r w:rsidRPr="00BE0BE9">
        <w:rPr>
          <w:b/>
          <w:i/>
          <w:iCs/>
        </w:rPr>
        <w:t>Липиды</w:t>
      </w:r>
    </w:p>
    <w:p w14:paraId="611E9400" w14:textId="77777777" w:rsidR="0029110D" w:rsidRDefault="0029110D">
      <w:pPr>
        <w:tabs>
          <w:tab w:val="left" w:pos="2730"/>
        </w:tabs>
        <w:spacing w:after="0" w:line="240" w:lineRule="auto"/>
        <w:ind w:firstLine="709"/>
      </w:pPr>
    </w:p>
    <w:p w14:paraId="695441E4" w14:textId="6413A7F0" w:rsidR="00C34E4A" w:rsidRPr="00274AD6" w:rsidRDefault="00C34E4A">
      <w:pPr>
        <w:tabs>
          <w:tab w:val="left" w:pos="2730"/>
        </w:tabs>
        <w:spacing w:after="0" w:line="240" w:lineRule="auto"/>
        <w:ind w:firstLine="709"/>
      </w:pPr>
      <w:r>
        <w:t>Высокие</w:t>
      </w:r>
      <w:r w:rsidRPr="00274AD6">
        <w:t xml:space="preserve"> значения </w:t>
      </w:r>
      <w:r>
        <w:t>холестерина ЛПНП</w:t>
      </w:r>
      <w:r w:rsidRPr="00274AD6">
        <w:t xml:space="preserve"> очень часто</w:t>
      </w:r>
      <w:r>
        <w:t xml:space="preserve"> регистрировали </w:t>
      </w:r>
      <w:r w:rsidRPr="00274AD6">
        <w:t>как при</w:t>
      </w:r>
      <w:r>
        <w:t xml:space="preserve"> приеме плацебо </w:t>
      </w:r>
      <w:r w:rsidRPr="00274AD6">
        <w:t>(11,8%), так и при</w:t>
      </w:r>
      <w:r>
        <w:t xml:space="preserve"> приеме барицитиниба </w:t>
      </w:r>
      <w:r w:rsidRPr="00274AD6">
        <w:t>4 мг (10,5%) в начале исследования.</w:t>
      </w:r>
    </w:p>
    <w:p w14:paraId="6070B05A" w14:textId="77777777" w:rsidR="00C34E4A" w:rsidRPr="00274AD6" w:rsidRDefault="00C34E4A">
      <w:pPr>
        <w:tabs>
          <w:tab w:val="left" w:pos="2730"/>
        </w:tabs>
        <w:spacing w:after="0" w:line="240" w:lineRule="auto"/>
        <w:ind w:firstLine="709"/>
      </w:pPr>
      <w:r w:rsidRPr="00274AD6">
        <w:t xml:space="preserve">Барицитиниб индуцировал значительное увеличение </w:t>
      </w:r>
      <w:r>
        <w:t>холестерина ЛПНП</w:t>
      </w:r>
      <w:r w:rsidRPr="00274AD6">
        <w:t xml:space="preserve"> и </w:t>
      </w:r>
      <w:r>
        <w:t>холестерина липопротеидов высокой плотности (</w:t>
      </w:r>
      <w:r w:rsidRPr="00274AD6">
        <w:t>ЛПВП</w:t>
      </w:r>
      <w:r>
        <w:t>)</w:t>
      </w:r>
      <w:r w:rsidRPr="00274AD6">
        <w:t xml:space="preserve"> по сравнению с исходным уровнем в течение первых 12 недель лечения. </w:t>
      </w:r>
      <w:r>
        <w:t xml:space="preserve">При этом </w:t>
      </w:r>
      <w:r w:rsidRPr="00274AD6">
        <w:t xml:space="preserve">соотношение ЛПНП/ЛПВП </w:t>
      </w:r>
      <w:r>
        <w:t>не изменялось</w:t>
      </w:r>
      <w:r w:rsidRPr="00274AD6">
        <w:t xml:space="preserve"> после лечения барицитинибом</w:t>
      </w:r>
      <w:r>
        <w:t xml:space="preserve"> </w:t>
      </w:r>
      <w:r>
        <w:fldChar w:fldCharType="begin"/>
      </w:r>
      <w:r>
        <w:instrText xml:space="preserve"> ADDIN ZOTERO_ITEM CSL_CITATION {"citationID":"Lu17xMkO","properties":{"formattedCitation":"[1]","plainCitation":"[1]","noteIndex":0},"citationItems":[{"id":3826,"uris":["http://zotero.org/groups/4514912/items/UB7ESC4C"],"itemData":{"id":3826,"type":"document","title":"Assessment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5E2A5572" w14:textId="77777777" w:rsidR="00C34E4A" w:rsidRDefault="00C34E4A">
      <w:pPr>
        <w:tabs>
          <w:tab w:val="left" w:pos="2730"/>
        </w:tabs>
        <w:spacing w:after="0" w:line="240" w:lineRule="auto"/>
        <w:ind w:firstLine="709"/>
      </w:pPr>
      <w:r>
        <w:t xml:space="preserve">Изменение липидов было ниже для препарата сравнения МТХ в исследовании JADZ. Монотерапия барицитинибом в дозе 4 мг вызывала сдвиг уровня холестерина ЛПНП от нормального к высокому у 17,4% пациентов, получавших монотерапию барицитинибом, по сравнению с 5,3% пациентов, получавших монотерапию МТХ. В целом уровни липидов значительно повышались для активного препарата сравнения </w:t>
      </w:r>
      <w:r>
        <w:rPr>
          <w:lang w:val="en-US"/>
        </w:rPr>
        <w:t>ADA</w:t>
      </w:r>
      <w:r>
        <w:t xml:space="preserve"> в исследовании JADV по сравнению с плацебо, но в меньшей степени, чем для барицитиниба. Сообщалось о повышении уровня холестерина ЛПНП (4,14 ммоль/л) на 10,0% для </w:t>
      </w:r>
      <w:r>
        <w:rPr>
          <w:lang w:val="en-US"/>
        </w:rPr>
        <w:t>ADA</w:t>
      </w:r>
      <w:r>
        <w:t xml:space="preserve">, 24,4% для барицитиниба 4 мг по сравнению с 5,5% для плацебо через 24 недели. Аналогичные скорости прироста холестерина ЛПНП, наблюдаемые для барицитиниба, были зарегистрированы для ингибитора </w:t>
      </w:r>
      <w:r>
        <w:rPr>
          <w:lang w:val="en-US"/>
        </w:rPr>
        <w:t>IL</w:t>
      </w:r>
      <w:r>
        <w:t xml:space="preserve">-6 тоцилизумаба </w:t>
      </w:r>
      <w:r>
        <w:fldChar w:fldCharType="begin"/>
      </w:r>
      <w:r>
        <w:instrText xml:space="preserve"> ADDIN ZOTERO_ITEM CSL_CITATION {"citationID":"GqQ5tc85","properties":{"formattedCitation":"[1]","plainCitation":"[1]","noteIndex":0},"citationItems":[{"id":3826,"uris":["http://zotero.org/groups/4514912/items/UB7ESC4C"],"itemData":{"id":3826,"type":"document","title":"Assessment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191CCDB5" w14:textId="77777777" w:rsidR="00C34E4A" w:rsidRDefault="00C34E4A">
      <w:pPr>
        <w:tabs>
          <w:tab w:val="left" w:pos="2730"/>
        </w:tabs>
        <w:spacing w:after="0" w:line="240" w:lineRule="auto"/>
        <w:ind w:firstLine="709"/>
      </w:pPr>
      <w:r>
        <w:t xml:space="preserve">Назначение статинов для коррекции гиперлипидемии зарегистрировали у небольшого процента пациентов, получавших барицитиниб в дозе 4 мг (2,5–3,5 % в течение 24 недель), в той же степени, что и плацебо. Эффект терапии статинами был сопоставим между барицитинибом и плацебо </w:t>
      </w:r>
      <w:r>
        <w:fldChar w:fldCharType="begin"/>
      </w:r>
      <w:r>
        <w:instrText xml:space="preserve"> ADDIN ZOTERO_ITEM CSL_CITATION {"citationID":"S8dBcc7s","properties":{"formattedCitation":"[1]","plainCitation":"[1]","noteIndex":0},"citationItems":[{"id":3826,"uris":["http://zotero.org/groups/4514912/items/UB7ESC4C"],"itemData":{"id":3826,"type":"document","title":"Assessment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010C63B0" w14:textId="77777777" w:rsidR="00C34E4A" w:rsidRDefault="00C34E4A">
      <w:pPr>
        <w:tabs>
          <w:tab w:val="left" w:pos="2730"/>
        </w:tabs>
        <w:spacing w:after="0" w:line="240" w:lineRule="auto"/>
        <w:ind w:firstLine="709"/>
      </w:pPr>
    </w:p>
    <w:p w14:paraId="5358FCA0" w14:textId="77777777" w:rsidR="00C34E4A" w:rsidRPr="00BE0BE9" w:rsidRDefault="00C34E4A" w:rsidP="00AB1FF1">
      <w:pPr>
        <w:tabs>
          <w:tab w:val="left" w:pos="2730"/>
        </w:tabs>
        <w:spacing w:after="0" w:line="240" w:lineRule="auto"/>
        <w:rPr>
          <w:b/>
          <w:i/>
          <w:iCs/>
        </w:rPr>
      </w:pPr>
      <w:r w:rsidRPr="00BE0BE9">
        <w:rPr>
          <w:b/>
          <w:i/>
          <w:iCs/>
        </w:rPr>
        <w:t>Риски в отношении сердечно-сосудистой системы</w:t>
      </w:r>
    </w:p>
    <w:p w14:paraId="6E6DCAB0" w14:textId="77777777" w:rsidR="0029110D" w:rsidRDefault="0029110D">
      <w:pPr>
        <w:tabs>
          <w:tab w:val="left" w:pos="2730"/>
        </w:tabs>
        <w:spacing w:after="0" w:line="240" w:lineRule="auto"/>
        <w:ind w:firstLine="709"/>
      </w:pPr>
    </w:p>
    <w:p w14:paraId="17E06DFB" w14:textId="036C57B7" w:rsidR="00C34E4A" w:rsidRDefault="00C34E4A">
      <w:pPr>
        <w:tabs>
          <w:tab w:val="left" w:pos="2730"/>
        </w:tabs>
        <w:spacing w:after="0" w:line="240" w:lineRule="auto"/>
        <w:ind w:firstLine="709"/>
      </w:pPr>
      <w:r>
        <w:t xml:space="preserve">Барицитиниб не вызывал изменения артериального давления. В исследовании с положительным контролем не наблюдалось признаков удлинения интервала QTc для барицитиниба </w:t>
      </w:r>
      <w:r>
        <w:fldChar w:fldCharType="begin"/>
      </w:r>
      <w:r>
        <w:instrText xml:space="preserve"> ADDIN ZOTERO_ITEM CSL_CITATION {"citationID":"ub22NhiO","properties":{"formattedCitation":"[1]","plainCitation":"[1]","noteIndex":0},"citationItems":[{"id":3826,"uris":["http://zotero.org/groups/4514912/items/UB7ESC4C"],"itemData":{"id":3826,"type":"document","title":"Assessment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17E7EBAF" w14:textId="77777777" w:rsidR="00C34E4A" w:rsidRDefault="00C34E4A">
      <w:pPr>
        <w:tabs>
          <w:tab w:val="left" w:pos="2730"/>
        </w:tabs>
        <w:spacing w:after="0" w:line="240" w:lineRule="auto"/>
        <w:ind w:firstLine="709"/>
      </w:pPr>
      <w:r>
        <w:t xml:space="preserve">Для исследований </w:t>
      </w:r>
      <w:r>
        <w:rPr>
          <w:lang w:val="en-US"/>
        </w:rPr>
        <w:t>III</w:t>
      </w:r>
      <w:r>
        <w:t xml:space="preserve"> фазы барицитиниба был создан независимый внешний комитет для вынесения решений о возможных нежелательных явлениях со стороны сердечно-сосудистой системы. MACE определяли как сердечно-сосудистую смерть, инфаркт миокарда или инсульт. Сердечно-сосудистыми событиями считали госпитализацию по поводу нестабильной стенокардии или сердечной недостаточности, серьезную аритмию, реанимацию, внезапную смерть, кардиогенный шок или коронарную реваскуляризацию </w:t>
      </w:r>
      <w:r>
        <w:fldChar w:fldCharType="begin"/>
      </w:r>
      <w:r>
        <w:instrText xml:space="preserve"> ADDIN ZOTERO_ITEM CSL_CITATION {"citationID":"47QgVBmH","properties":{"formattedCitation":"[1]","plainCitation":"[1]","noteIndex":0},"citationItems":[{"id":3826,"uris":["http://zotero.org/groups/4514912/items/UB7ESC4C"],"itemData":{"id":3826,"type":"document","title":"Assessment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37496693" w14:textId="77777777" w:rsidR="00C34E4A" w:rsidRDefault="00C34E4A">
      <w:pPr>
        <w:tabs>
          <w:tab w:val="left" w:pos="709"/>
        </w:tabs>
        <w:spacing w:after="0" w:line="240" w:lineRule="auto"/>
        <w:ind w:firstLine="709"/>
      </w:pPr>
      <w:r>
        <w:t xml:space="preserve">Частота возникновения MACE и сердечно-сосудистых событий при применении барицитиниба в целом была ниже, чем у препаратов сравнения плацебо и МТХ </w:t>
      </w:r>
      <w:r>
        <w:fldChar w:fldCharType="begin"/>
      </w:r>
      <w:r>
        <w:instrText xml:space="preserve"> ADDIN ZOTERO_ITEM CSL_CITATION {"citationID":"g73dA6yT","properties":{"formattedCitation":"[1]","plainCitation":"[1]","noteIndex":0},"citationItems":[{"id":3826,"uris":["http://zotero.org/groups/4514912/items/UB7ESC4C"],"itemData":{"id":3826,"type":"document","title":"Assessment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r>
        <w:t xml:space="preserve"> </w:t>
      </w:r>
    </w:p>
    <w:p w14:paraId="15F0F29E" w14:textId="77777777" w:rsidR="00C34E4A" w:rsidRDefault="00C34E4A">
      <w:pPr>
        <w:tabs>
          <w:tab w:val="left" w:pos="709"/>
        </w:tabs>
        <w:spacing w:after="0" w:line="240" w:lineRule="auto"/>
        <w:ind w:firstLine="709"/>
      </w:pPr>
    </w:p>
    <w:p w14:paraId="57984960" w14:textId="74100B24" w:rsidR="00C34E4A" w:rsidRPr="00BE0BE9" w:rsidRDefault="00C34E4A">
      <w:pPr>
        <w:tabs>
          <w:tab w:val="left" w:pos="709"/>
        </w:tabs>
        <w:spacing w:after="0" w:line="240" w:lineRule="auto"/>
        <w:rPr>
          <w:b/>
          <w:i/>
          <w:iCs/>
        </w:rPr>
      </w:pPr>
      <w:r w:rsidRPr="00BE0BE9">
        <w:rPr>
          <w:b/>
          <w:i/>
          <w:iCs/>
        </w:rPr>
        <w:t>Риски в отношении мочевыделительной системы</w:t>
      </w:r>
    </w:p>
    <w:p w14:paraId="2BF5A17C" w14:textId="77777777" w:rsidR="0029110D" w:rsidRDefault="0029110D">
      <w:pPr>
        <w:tabs>
          <w:tab w:val="left" w:pos="2730"/>
        </w:tabs>
        <w:spacing w:after="0" w:line="240" w:lineRule="auto"/>
        <w:ind w:firstLine="709"/>
      </w:pPr>
    </w:p>
    <w:p w14:paraId="0843C7A3" w14:textId="00ED557F" w:rsidR="00C34E4A" w:rsidRPr="00776C0D" w:rsidRDefault="00C34E4A">
      <w:pPr>
        <w:tabs>
          <w:tab w:val="left" w:pos="2730"/>
        </w:tabs>
        <w:spacing w:after="0" w:line="240" w:lineRule="auto"/>
        <w:ind w:firstLine="709"/>
      </w:pPr>
      <w:r w:rsidRPr="00776C0D">
        <w:lastRenderedPageBreak/>
        <w:t>Барицитиниб вызывал устойчивое повышение уровня креатинина в сыворотке (среднее изменение по сравнению с исходным уровнем: 6,2 мкмоль/л по сравнению с 1,1 для плацебо, 95%ДИ 4,3; 6,0), обратимо после прекращения лечения. По мере повышения уровня креатинина в сыворотке СКФ, рассчитанная на основе креатинина, соответственно снижалась. Барицитиниб в дозе 4 мг также изучался у пациентов с диабетической нефропатией в исследовании JAGQ. Барицитиниб в дозах до 4 мг не оказывал влияния на СКФ при расчете по цистатину С. Кроме того, барицитиниб снижал потерю альбумина с мочой у пациентов с нефропатией. В объединенных анализах число случаев почечных СНЯ было выше для плацебо, чем для барицитиниба в дозе 4 мг</w:t>
      </w:r>
      <w:r>
        <w:t xml:space="preserve"> </w:t>
      </w:r>
      <w:r>
        <w:fldChar w:fldCharType="begin"/>
      </w:r>
      <w:r>
        <w:instrText xml:space="preserve"> ADDIN ZOTERO_ITEM CSL_CITATION {"citationID":"K6bnJVYb","properties":{"formattedCitation":"[1]","plainCitation":"[1]","noteIndex":0},"citationItems":[{"id":3826,"uris":["http://zotero.org/groups/4514912/items/UB7ESC4C"],"itemData":{"id":3826,"type":"document","title":"Assessment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2B4E70F0" w14:textId="77777777" w:rsidR="00C34E4A" w:rsidRPr="00776C0D" w:rsidRDefault="00C34E4A">
      <w:pPr>
        <w:tabs>
          <w:tab w:val="left" w:pos="2730"/>
        </w:tabs>
        <w:spacing w:after="0" w:line="240" w:lineRule="auto"/>
      </w:pPr>
    </w:p>
    <w:p w14:paraId="7B4F6DEB" w14:textId="77777777" w:rsidR="00C34E4A" w:rsidRPr="00BE0BE9" w:rsidRDefault="00C34E4A" w:rsidP="00AB1FF1">
      <w:pPr>
        <w:tabs>
          <w:tab w:val="left" w:pos="2730"/>
        </w:tabs>
        <w:spacing w:after="0" w:line="240" w:lineRule="auto"/>
        <w:rPr>
          <w:b/>
          <w:i/>
          <w:iCs/>
        </w:rPr>
      </w:pPr>
      <w:r w:rsidRPr="00BE0BE9">
        <w:rPr>
          <w:b/>
          <w:i/>
          <w:iCs/>
        </w:rPr>
        <w:t xml:space="preserve">Риски в отношении функции печени </w:t>
      </w:r>
    </w:p>
    <w:p w14:paraId="78DE7715" w14:textId="77777777" w:rsidR="0029110D" w:rsidRDefault="0029110D">
      <w:pPr>
        <w:tabs>
          <w:tab w:val="left" w:pos="2730"/>
        </w:tabs>
        <w:spacing w:after="0" w:line="240" w:lineRule="auto"/>
        <w:ind w:firstLine="709"/>
      </w:pPr>
    </w:p>
    <w:p w14:paraId="3138BC32" w14:textId="7BEE1D14" w:rsidR="00C34E4A" w:rsidRPr="00776C0D" w:rsidRDefault="00C34E4A">
      <w:pPr>
        <w:tabs>
          <w:tab w:val="left" w:pos="2730"/>
        </w:tabs>
        <w:spacing w:after="0" w:line="240" w:lineRule="auto"/>
        <w:ind w:firstLine="709"/>
      </w:pPr>
      <w:r w:rsidRPr="00776C0D">
        <w:t xml:space="preserve">В целом барицитиниб индуцировал устойчивое повышение активности трансфераз АЛТ и АСТ, которое сохранялось во время лечения. Пиковые уровни АЛТ и АСТ, превышающие ВГН более чем в 5 раз, составляли менее 1% и, как правило, были преходящими. При этом активность щелочной фосфатазы неуклонно снижалась по сравнению с исходным уровнем. Билирубин оставался стабильным после лечения барицитинибом, и не регистрировали случаев гепатотоксичности. Частота пиковых приращений АЛТ или АСТ была такой же, как и при монотерапии МТХ или </w:t>
      </w:r>
      <w:r w:rsidRPr="00776C0D">
        <w:rPr>
          <w:lang w:val="en-US"/>
        </w:rPr>
        <w:t>ADA</w:t>
      </w:r>
      <w:r>
        <w:t xml:space="preserve"> </w:t>
      </w:r>
      <w:r>
        <w:fldChar w:fldCharType="begin"/>
      </w:r>
      <w:r>
        <w:instrText xml:space="preserve"> ADDIN ZOTERO_ITEM CSL_CITATION {"citationID":"1xmeP4YA","properties":{"formattedCitation":"[1]","plainCitation":"[1]","noteIndex":0},"citationItems":[{"id":3826,"uris":["http://zotero.org/groups/4514912/items/UB7ESC4C"],"itemData":{"id":3826,"type":"document","title":"Assessment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68988C53" w14:textId="6FC18AA1" w:rsidR="00C34E4A" w:rsidRDefault="00C34E4A">
      <w:pPr>
        <w:tabs>
          <w:tab w:val="left" w:pos="709"/>
        </w:tabs>
        <w:spacing w:after="0" w:line="240" w:lineRule="auto"/>
      </w:pPr>
      <w:r>
        <w:tab/>
      </w:r>
      <w:r w:rsidRPr="00776C0D">
        <w:t xml:space="preserve">Сообщалось о трех случаях с подозрением на ЛПП (лекарственное поражение печени). Формально эти случаи не соответствовали критериям ЛПП. Ни один из них не был связан с лечением. Считалось, что один случай был связан с холециститом, а другой – с употреблением алкоголя. Один случай желтухи, начавшейся через два дня после приема барицитиниба, с умеренным повышением уровня </w:t>
      </w:r>
      <w:r w:rsidR="00963B80" w:rsidRPr="00776C0D">
        <w:t>билиру</w:t>
      </w:r>
      <w:r w:rsidR="00963B80">
        <w:t>б</w:t>
      </w:r>
      <w:r w:rsidR="00963B80" w:rsidRPr="00776C0D">
        <w:t>ина (&lt; 2</w:t>
      </w:r>
      <w:r w:rsidR="00963B80">
        <w:t>×</w:t>
      </w:r>
      <w:r w:rsidR="00963B80" w:rsidRPr="00776C0D">
        <w:t>ВГН), АЛТ</w:t>
      </w:r>
      <w:r w:rsidR="00963B80">
        <w:t xml:space="preserve"> </w:t>
      </w:r>
      <w:r w:rsidR="00963B80" w:rsidRPr="00776C0D">
        <w:t xml:space="preserve">&gt; 3 </w:t>
      </w:r>
      <w:r w:rsidR="00963B80">
        <w:t>×</w:t>
      </w:r>
      <w:r w:rsidR="00963B80" w:rsidRPr="00776C0D">
        <w:t>ВГН, ГГТ</w:t>
      </w:r>
      <w:r w:rsidR="00963B80">
        <w:t xml:space="preserve"> </w:t>
      </w:r>
      <w:r w:rsidR="00963B80" w:rsidRPr="00776C0D">
        <w:t>&gt; 10</w:t>
      </w:r>
      <w:r w:rsidR="00963B80">
        <w:t>×</w:t>
      </w:r>
      <w:r w:rsidR="00963B80" w:rsidRPr="00776C0D">
        <w:t>ВГН</w:t>
      </w:r>
      <w:r w:rsidRPr="00776C0D">
        <w:t>, без дополнительных причин (гепатит или употребление алкоголя) закончился выздоровление</w:t>
      </w:r>
      <w:r>
        <w:t>м</w:t>
      </w:r>
      <w:r w:rsidRPr="00776C0D">
        <w:t xml:space="preserve"> после прекращения приема барицитиниба</w:t>
      </w:r>
      <w:r>
        <w:t xml:space="preserve"> </w:t>
      </w:r>
      <w:r>
        <w:fldChar w:fldCharType="begin"/>
      </w:r>
      <w:r>
        <w:instrText xml:space="preserve"> ADDIN ZOTERO_ITEM CSL_CITATION {"citationID":"WD7HgPQI","properties":{"formattedCitation":"[1]","plainCitation":"[1]","noteIndex":0},"citationItems":[{"id":3826,"uris":["http://zotero.org/groups/4514912/items/UB7ESC4C"],"itemData":{"id":3826,"type":"document","title":"Assessment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3F4C34E7" w14:textId="77777777" w:rsidR="00C34E4A" w:rsidRDefault="00C34E4A">
      <w:pPr>
        <w:tabs>
          <w:tab w:val="left" w:pos="2730"/>
        </w:tabs>
        <w:spacing w:after="0" w:line="240" w:lineRule="auto"/>
      </w:pPr>
    </w:p>
    <w:p w14:paraId="69965935" w14:textId="77777777" w:rsidR="00C34E4A" w:rsidRPr="00BE0BE9" w:rsidRDefault="00C34E4A" w:rsidP="00AB1FF1">
      <w:pPr>
        <w:tabs>
          <w:tab w:val="left" w:pos="2730"/>
        </w:tabs>
        <w:spacing w:after="0" w:line="240" w:lineRule="auto"/>
        <w:rPr>
          <w:b/>
          <w:i/>
          <w:iCs/>
        </w:rPr>
      </w:pPr>
      <w:r w:rsidRPr="00BE0BE9">
        <w:rPr>
          <w:b/>
          <w:i/>
          <w:iCs/>
        </w:rPr>
        <w:t>Перфорации ЖКТ</w:t>
      </w:r>
    </w:p>
    <w:p w14:paraId="4DCA8AAC" w14:textId="77777777" w:rsidR="0029110D" w:rsidRDefault="0029110D">
      <w:pPr>
        <w:tabs>
          <w:tab w:val="left" w:pos="2730"/>
        </w:tabs>
        <w:spacing w:after="0" w:line="240" w:lineRule="auto"/>
        <w:ind w:firstLine="709"/>
      </w:pPr>
    </w:p>
    <w:p w14:paraId="47E9378C" w14:textId="412F472E" w:rsidR="00C34E4A" w:rsidRDefault="00C34E4A">
      <w:pPr>
        <w:tabs>
          <w:tab w:val="left" w:pos="2730"/>
        </w:tabs>
        <w:spacing w:after="0" w:line="240" w:lineRule="auto"/>
        <w:ind w:firstLine="709"/>
      </w:pPr>
      <w:r>
        <w:t xml:space="preserve">В ходе клинических исследований регистрировали 2 случая (один случай перфорации </w:t>
      </w:r>
      <w:r w:rsidR="00963B80">
        <w:t>дивертикула</w:t>
      </w:r>
      <w:r>
        <w:t xml:space="preserve"> после применения барицитиниба в течение 242 дней и один случай разрыва аппендицита после применения барицитиниба в течение 416 дней). Оба пациента использовали кортикостероиды. В целом, частота в исследуемой популяции (0,05 на 100 ч/л) была ниже, чем обычно сообщается для пациентов с РА (0,17</w:t>
      </w:r>
      <w:r w:rsidRPr="00AB60C8">
        <w:t xml:space="preserve"> </w:t>
      </w:r>
      <w:r>
        <w:t>на 100 ч/л) или тоцилизумаба и тофацитиниба (0,13 на 100 ч/л)</w:t>
      </w:r>
      <w:r w:rsidRPr="002F4447">
        <w:t xml:space="preserve"> </w:t>
      </w:r>
      <w:r>
        <w:fldChar w:fldCharType="begin"/>
      </w:r>
      <w:r>
        <w:instrText xml:space="preserve"> ADDIN ZOTERO_ITEM CSL_CITATION {"citationID":"Ix4KBLyW","properties":{"formattedCitation":"[1]","plainCitation":"[1]","noteIndex":0},"citationItems":[{"id":3826,"uris":["http://zotero.org/groups/4514912/items/UB7ESC4C"],"itemData":{"id":3826,"type":"document","title":"Assessment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5904C1E9" w14:textId="77777777" w:rsidR="00C34E4A" w:rsidRDefault="00C34E4A">
      <w:pPr>
        <w:tabs>
          <w:tab w:val="left" w:pos="2730"/>
        </w:tabs>
        <w:spacing w:after="0" w:line="240" w:lineRule="auto"/>
        <w:ind w:firstLine="709"/>
      </w:pPr>
    </w:p>
    <w:p w14:paraId="268FEF7F" w14:textId="0FA90FBE" w:rsidR="00C34E4A" w:rsidRPr="005D2DF4" w:rsidRDefault="005D2DF4">
      <w:pPr>
        <w:tabs>
          <w:tab w:val="left" w:pos="2730"/>
        </w:tabs>
        <w:spacing w:after="0" w:line="240" w:lineRule="auto"/>
        <w:rPr>
          <w:b/>
          <w:iCs/>
        </w:rPr>
      </w:pPr>
      <w:r w:rsidRPr="005D2DF4">
        <w:rPr>
          <w:b/>
        </w:rPr>
        <w:t>4.3.2.1.2.</w:t>
      </w:r>
      <w:r>
        <w:t xml:space="preserve"> </w:t>
      </w:r>
      <w:r>
        <w:rPr>
          <w:b/>
          <w:iCs/>
        </w:rPr>
        <w:t>Серьезные нежелательные явлен</w:t>
      </w:r>
      <w:r w:rsidR="00D96E6D">
        <w:rPr>
          <w:b/>
          <w:iCs/>
        </w:rPr>
        <w:t>и</w:t>
      </w:r>
      <w:r>
        <w:rPr>
          <w:b/>
          <w:iCs/>
        </w:rPr>
        <w:t>я/смерти</w:t>
      </w:r>
      <w:r w:rsidR="00C34E4A" w:rsidRPr="005D2DF4">
        <w:rPr>
          <w:b/>
          <w:iCs/>
        </w:rPr>
        <w:t>/другие значимые события</w:t>
      </w:r>
    </w:p>
    <w:p w14:paraId="5AD91302" w14:textId="77777777" w:rsidR="005D2DF4" w:rsidRDefault="00C34E4A">
      <w:pPr>
        <w:tabs>
          <w:tab w:val="left" w:pos="709"/>
        </w:tabs>
        <w:spacing w:after="0" w:line="240" w:lineRule="auto"/>
      </w:pPr>
      <w:r>
        <w:tab/>
      </w:r>
    </w:p>
    <w:p w14:paraId="7AE3AB88" w14:textId="701F4ECF" w:rsidR="00C34E4A" w:rsidRDefault="00C34E4A">
      <w:pPr>
        <w:tabs>
          <w:tab w:val="left" w:pos="709"/>
        </w:tabs>
        <w:spacing w:after="0" w:line="240" w:lineRule="auto"/>
        <w:ind w:firstLine="709"/>
      </w:pPr>
      <w:r w:rsidRPr="00776C0D">
        <w:t xml:space="preserve">СНЯ при приеме </w:t>
      </w:r>
      <w:r w:rsidR="0029110D" w:rsidRPr="00776C0D">
        <w:t>барицитиниба</w:t>
      </w:r>
      <w:r w:rsidRPr="00776C0D">
        <w:t xml:space="preserve"> по сравнению с пл</w:t>
      </w:r>
      <w:r w:rsidR="005D2DF4">
        <w:t xml:space="preserve">ацебо приведены в Таблице 4-15 </w:t>
      </w:r>
      <w:r w:rsidR="005D2DF4">
        <w:fldChar w:fldCharType="begin"/>
      </w:r>
      <w:r w:rsidR="005D2DF4">
        <w:instrText xml:space="preserve"> ADDIN ZOTERO_ITEM CSL_CITATION {"citationID":"OtYUBeh0","properties":{"formattedCitation":"[1]","plainCitation":"[1]","noteIndex":0},"citationItems":[{"id":3826,"uris":["http://zotero.org/groups/4514912/items/UB7ESC4C"],"itemData":{"id":3826,"type":"document","title":"Assessment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rsidR="005D2DF4">
        <w:fldChar w:fldCharType="separate"/>
      </w:r>
      <w:r w:rsidR="005D2DF4" w:rsidRPr="002F4447">
        <w:t>[1]</w:t>
      </w:r>
      <w:r w:rsidR="005D2DF4">
        <w:fldChar w:fldCharType="end"/>
      </w:r>
      <w:r w:rsidR="005D2DF4" w:rsidRPr="00973A5A">
        <w:t>.</w:t>
      </w:r>
    </w:p>
    <w:p w14:paraId="0B387CCA" w14:textId="77777777" w:rsidR="00C34E4A" w:rsidRDefault="00C34E4A">
      <w:pPr>
        <w:tabs>
          <w:tab w:val="left" w:pos="2730"/>
        </w:tabs>
        <w:spacing w:after="0" w:line="240" w:lineRule="auto"/>
        <w:ind w:firstLine="709"/>
      </w:pPr>
    </w:p>
    <w:p w14:paraId="4AB0729C" w14:textId="77777777" w:rsidR="0029110D" w:rsidRDefault="0029110D">
      <w:pPr>
        <w:tabs>
          <w:tab w:val="left" w:pos="2730"/>
        </w:tabs>
        <w:spacing w:after="0" w:line="240" w:lineRule="auto"/>
        <w:rPr>
          <w:b/>
          <w:bCs/>
        </w:rPr>
        <w:sectPr w:rsidR="0029110D" w:rsidSect="00AB01E2">
          <w:pgSz w:w="11906" w:h="16838"/>
          <w:pgMar w:top="1134" w:right="849" w:bottom="1134" w:left="1701" w:header="708" w:footer="709" w:gutter="0"/>
          <w:cols w:space="708"/>
          <w:docGrid w:linePitch="360"/>
        </w:sectPr>
      </w:pPr>
    </w:p>
    <w:p w14:paraId="111818F1" w14:textId="4DBC4503" w:rsidR="00C34E4A" w:rsidRPr="00776C0D" w:rsidRDefault="005D2DF4">
      <w:pPr>
        <w:tabs>
          <w:tab w:val="left" w:pos="2730"/>
        </w:tabs>
        <w:spacing w:after="0" w:line="240" w:lineRule="auto"/>
        <w:rPr>
          <w:b/>
          <w:bCs/>
        </w:rPr>
      </w:pPr>
      <w:r>
        <w:rPr>
          <w:b/>
          <w:bCs/>
        </w:rPr>
        <w:lastRenderedPageBreak/>
        <w:t>Таблица 4-15.</w:t>
      </w:r>
      <w:r w:rsidR="00C34E4A" w:rsidRPr="00776C0D">
        <w:rPr>
          <w:b/>
          <w:bCs/>
        </w:rPr>
        <w:t xml:space="preserve"> </w:t>
      </w:r>
      <w:r w:rsidR="00C34E4A" w:rsidRPr="005D2DF4">
        <w:rPr>
          <w:bCs/>
        </w:rPr>
        <w:t>Серьезные нежелательные явления при приеме барицитиниба 4 мг по сравнению с плацебо (до 24 недели)</w:t>
      </w:r>
      <w:r w:rsidRPr="005D2DF4">
        <w:rPr>
          <w:bCs/>
        </w:rPr>
        <w:t>.</w:t>
      </w:r>
    </w:p>
    <w:tbl>
      <w:tblPr>
        <w:tblStyle w:val="a8"/>
        <w:tblW w:w="4873" w:type="pct"/>
        <w:tblInd w:w="136" w:type="dxa"/>
        <w:tblLook w:val="04A0" w:firstRow="1" w:lastRow="0" w:firstColumn="1" w:lastColumn="0" w:noHBand="0" w:noVBand="1"/>
      </w:tblPr>
      <w:tblGrid>
        <w:gridCol w:w="3192"/>
        <w:gridCol w:w="1884"/>
        <w:gridCol w:w="4253"/>
      </w:tblGrid>
      <w:tr w:rsidR="00C34E4A" w:rsidRPr="0029110D" w14:paraId="58C64132" w14:textId="77777777" w:rsidTr="00AB1FF1">
        <w:trPr>
          <w:tblHeader/>
        </w:trPr>
        <w:tc>
          <w:tcPr>
            <w:tcW w:w="3191" w:type="dxa"/>
            <w:shd w:val="clear" w:color="auto" w:fill="D9D9D9" w:themeFill="background1" w:themeFillShade="D9"/>
            <w:vAlign w:val="center"/>
          </w:tcPr>
          <w:p w14:paraId="64819AEF" w14:textId="43431137" w:rsidR="00C34E4A" w:rsidRPr="0029110D" w:rsidRDefault="0029110D">
            <w:pPr>
              <w:tabs>
                <w:tab w:val="left" w:pos="2730"/>
              </w:tabs>
              <w:jc w:val="center"/>
              <w:rPr>
                <w:b/>
                <w:bCs/>
                <w:sz w:val="20"/>
                <w:szCs w:val="20"/>
              </w:rPr>
            </w:pPr>
            <w:r w:rsidRPr="0029110D">
              <w:rPr>
                <w:b/>
                <w:bCs/>
                <w:sz w:val="20"/>
                <w:szCs w:val="20"/>
              </w:rPr>
              <w:t>Параметр</w:t>
            </w:r>
          </w:p>
        </w:tc>
        <w:tc>
          <w:tcPr>
            <w:tcW w:w="1884" w:type="dxa"/>
            <w:shd w:val="clear" w:color="auto" w:fill="D9D9D9" w:themeFill="background1" w:themeFillShade="D9"/>
            <w:vAlign w:val="center"/>
          </w:tcPr>
          <w:p w14:paraId="5B21A44E" w14:textId="0C48EDBC" w:rsidR="00C34E4A" w:rsidRPr="0029110D" w:rsidRDefault="00C34E4A">
            <w:pPr>
              <w:tabs>
                <w:tab w:val="left" w:pos="2730"/>
              </w:tabs>
              <w:jc w:val="center"/>
              <w:rPr>
                <w:b/>
                <w:bCs/>
                <w:sz w:val="20"/>
                <w:szCs w:val="20"/>
                <w:lang w:val="en-US"/>
              </w:rPr>
            </w:pPr>
            <w:r w:rsidRPr="0029110D">
              <w:rPr>
                <w:b/>
                <w:bCs/>
                <w:sz w:val="20"/>
                <w:szCs w:val="20"/>
                <w:lang w:val="en-US"/>
              </w:rPr>
              <w:t>PBO (N=1070) (PYE</w:t>
            </w:r>
            <w:r w:rsidR="005D2DF4" w:rsidRPr="0029110D">
              <w:rPr>
                <w:b/>
                <w:bCs/>
                <w:sz w:val="20"/>
                <w:szCs w:val="20"/>
                <w:lang w:val="en-US"/>
              </w:rPr>
              <w:t xml:space="preserve">=393.8) </w:t>
            </w:r>
            <w:r w:rsidRPr="0029110D">
              <w:rPr>
                <w:b/>
                <w:bCs/>
                <w:sz w:val="20"/>
                <w:szCs w:val="20"/>
                <w:lang w:val="en-US"/>
              </w:rPr>
              <w:t>n (%) [PY]</w:t>
            </w:r>
          </w:p>
        </w:tc>
        <w:tc>
          <w:tcPr>
            <w:tcW w:w="4253" w:type="dxa"/>
            <w:shd w:val="clear" w:color="auto" w:fill="D9D9D9" w:themeFill="background1" w:themeFillShade="D9"/>
            <w:vAlign w:val="center"/>
          </w:tcPr>
          <w:p w14:paraId="34A92A3D" w14:textId="77777777" w:rsidR="00C34E4A" w:rsidRPr="0029110D" w:rsidRDefault="00C34E4A">
            <w:pPr>
              <w:tabs>
                <w:tab w:val="left" w:pos="2730"/>
              </w:tabs>
              <w:jc w:val="center"/>
              <w:rPr>
                <w:b/>
                <w:bCs/>
                <w:sz w:val="20"/>
                <w:szCs w:val="20"/>
                <w:lang w:val="en-US"/>
              </w:rPr>
            </w:pPr>
            <w:r w:rsidRPr="0029110D">
              <w:rPr>
                <w:b/>
                <w:bCs/>
                <w:sz w:val="20"/>
                <w:szCs w:val="20"/>
                <w:lang w:val="en-US"/>
              </w:rPr>
              <w:t>BARI 4-mg (N=997) (PYE=409.4) n (%) [PY]</w:t>
            </w:r>
          </w:p>
        </w:tc>
      </w:tr>
      <w:tr w:rsidR="00C34E4A" w:rsidRPr="0029110D" w14:paraId="47FC049A" w14:textId="77777777" w:rsidTr="00AB1FF1">
        <w:tc>
          <w:tcPr>
            <w:tcW w:w="3191" w:type="dxa"/>
          </w:tcPr>
          <w:p w14:paraId="48C00F9A" w14:textId="77777777" w:rsidR="00C34E4A" w:rsidRPr="0029110D" w:rsidRDefault="00C34E4A">
            <w:pPr>
              <w:tabs>
                <w:tab w:val="left" w:pos="2730"/>
              </w:tabs>
              <w:rPr>
                <w:sz w:val="20"/>
                <w:szCs w:val="20"/>
              </w:rPr>
            </w:pPr>
            <w:r w:rsidRPr="0029110D">
              <w:rPr>
                <w:sz w:val="20"/>
                <w:szCs w:val="20"/>
              </w:rPr>
              <w:t>Пациенты с ≥ 1 СНЯ</w:t>
            </w:r>
          </w:p>
        </w:tc>
        <w:tc>
          <w:tcPr>
            <w:tcW w:w="1884" w:type="dxa"/>
          </w:tcPr>
          <w:p w14:paraId="0B236B21" w14:textId="6227C646" w:rsidR="00C34E4A" w:rsidRPr="0029110D" w:rsidRDefault="00C34E4A">
            <w:pPr>
              <w:tabs>
                <w:tab w:val="left" w:pos="2730"/>
              </w:tabs>
              <w:rPr>
                <w:sz w:val="20"/>
                <w:szCs w:val="20"/>
              </w:rPr>
            </w:pPr>
            <w:r w:rsidRPr="0029110D">
              <w:rPr>
                <w:sz w:val="20"/>
                <w:szCs w:val="20"/>
              </w:rPr>
              <w:t>50 (4</w:t>
            </w:r>
            <w:r w:rsidR="009C2F63" w:rsidRPr="0029110D">
              <w:rPr>
                <w:sz w:val="20"/>
                <w:szCs w:val="20"/>
              </w:rPr>
              <w:t>,</w:t>
            </w:r>
            <w:r w:rsidRPr="0029110D">
              <w:rPr>
                <w:sz w:val="20"/>
                <w:szCs w:val="20"/>
              </w:rPr>
              <w:t>7) [12</w:t>
            </w:r>
            <w:r w:rsidR="009C2F63" w:rsidRPr="0029110D">
              <w:rPr>
                <w:sz w:val="20"/>
                <w:szCs w:val="20"/>
              </w:rPr>
              <w:t>,</w:t>
            </w:r>
            <w:r w:rsidRPr="0029110D">
              <w:rPr>
                <w:sz w:val="20"/>
                <w:szCs w:val="20"/>
              </w:rPr>
              <w:t>7]</w:t>
            </w:r>
          </w:p>
        </w:tc>
        <w:tc>
          <w:tcPr>
            <w:tcW w:w="4253" w:type="dxa"/>
          </w:tcPr>
          <w:p w14:paraId="68D17ED8" w14:textId="1525D43D" w:rsidR="00C34E4A" w:rsidRPr="0029110D" w:rsidRDefault="00C34E4A">
            <w:pPr>
              <w:tabs>
                <w:tab w:val="left" w:pos="2730"/>
              </w:tabs>
              <w:rPr>
                <w:sz w:val="20"/>
                <w:szCs w:val="20"/>
                <w:lang w:val="en-US"/>
              </w:rPr>
            </w:pPr>
            <w:r w:rsidRPr="0029110D">
              <w:rPr>
                <w:sz w:val="20"/>
                <w:szCs w:val="20"/>
              </w:rPr>
              <w:t>53 (5</w:t>
            </w:r>
            <w:r w:rsidR="009C2F63" w:rsidRPr="0029110D">
              <w:rPr>
                <w:sz w:val="20"/>
                <w:szCs w:val="20"/>
              </w:rPr>
              <w:t>,</w:t>
            </w:r>
            <w:r w:rsidRPr="0029110D">
              <w:rPr>
                <w:sz w:val="20"/>
                <w:szCs w:val="20"/>
              </w:rPr>
              <w:t>3) [12</w:t>
            </w:r>
            <w:r w:rsidR="009C2F63" w:rsidRPr="0029110D">
              <w:rPr>
                <w:sz w:val="20"/>
                <w:szCs w:val="20"/>
              </w:rPr>
              <w:t>,</w:t>
            </w:r>
            <w:r w:rsidRPr="0029110D">
              <w:rPr>
                <w:sz w:val="20"/>
                <w:szCs w:val="20"/>
              </w:rPr>
              <w:t>9]</w:t>
            </w:r>
          </w:p>
        </w:tc>
      </w:tr>
      <w:tr w:rsidR="00C34E4A" w:rsidRPr="0029110D" w14:paraId="4E876130" w14:textId="77777777" w:rsidTr="00AB1FF1">
        <w:tc>
          <w:tcPr>
            <w:tcW w:w="3191" w:type="dxa"/>
          </w:tcPr>
          <w:p w14:paraId="2A496382" w14:textId="77777777" w:rsidR="00C34E4A" w:rsidRPr="0029110D" w:rsidRDefault="00C34E4A">
            <w:pPr>
              <w:tabs>
                <w:tab w:val="left" w:pos="2730"/>
              </w:tabs>
              <w:rPr>
                <w:sz w:val="20"/>
                <w:szCs w:val="20"/>
              </w:rPr>
            </w:pPr>
            <w:r w:rsidRPr="0029110D">
              <w:rPr>
                <w:sz w:val="20"/>
                <w:szCs w:val="20"/>
              </w:rPr>
              <w:t>Нарушения со стороны крови и лимфатической системы</w:t>
            </w:r>
          </w:p>
        </w:tc>
        <w:tc>
          <w:tcPr>
            <w:tcW w:w="1884" w:type="dxa"/>
          </w:tcPr>
          <w:p w14:paraId="5C7B4AB7" w14:textId="634458C0" w:rsidR="00C34E4A" w:rsidRPr="0029110D" w:rsidRDefault="00C34E4A">
            <w:pPr>
              <w:tabs>
                <w:tab w:val="left" w:pos="2730"/>
              </w:tabs>
              <w:rPr>
                <w:sz w:val="20"/>
                <w:szCs w:val="20"/>
              </w:rPr>
            </w:pPr>
            <w:r w:rsidRPr="0029110D">
              <w:rPr>
                <w:sz w:val="20"/>
                <w:szCs w:val="20"/>
              </w:rPr>
              <w:t>2 (0</w:t>
            </w:r>
            <w:r w:rsidR="009C2F63" w:rsidRPr="0029110D">
              <w:rPr>
                <w:sz w:val="20"/>
                <w:szCs w:val="20"/>
              </w:rPr>
              <w:t>,</w:t>
            </w:r>
            <w:r w:rsidRPr="0029110D">
              <w:rPr>
                <w:sz w:val="20"/>
                <w:szCs w:val="20"/>
              </w:rPr>
              <w:t>2) [0</w:t>
            </w:r>
            <w:r w:rsidR="009C2F63" w:rsidRPr="0029110D">
              <w:rPr>
                <w:sz w:val="20"/>
                <w:szCs w:val="20"/>
              </w:rPr>
              <w:t>,</w:t>
            </w:r>
            <w:r w:rsidRPr="0029110D">
              <w:rPr>
                <w:sz w:val="20"/>
                <w:szCs w:val="20"/>
              </w:rPr>
              <w:t>5]</w:t>
            </w:r>
          </w:p>
        </w:tc>
        <w:tc>
          <w:tcPr>
            <w:tcW w:w="4253" w:type="dxa"/>
          </w:tcPr>
          <w:p w14:paraId="00EE3C2E" w14:textId="348E8CC1" w:rsidR="00C34E4A" w:rsidRPr="0029110D" w:rsidRDefault="00C34E4A">
            <w:pPr>
              <w:tabs>
                <w:tab w:val="left" w:pos="2730"/>
              </w:tabs>
              <w:rPr>
                <w:sz w:val="20"/>
                <w:szCs w:val="20"/>
              </w:rPr>
            </w:pPr>
            <w:r w:rsidRPr="0029110D">
              <w:rPr>
                <w:sz w:val="20"/>
                <w:szCs w:val="20"/>
              </w:rPr>
              <w:t>4 (0</w:t>
            </w:r>
            <w:r w:rsidR="009C2F63" w:rsidRPr="0029110D">
              <w:rPr>
                <w:sz w:val="20"/>
                <w:szCs w:val="20"/>
              </w:rPr>
              <w:t>,</w:t>
            </w:r>
            <w:r w:rsidRPr="0029110D">
              <w:rPr>
                <w:sz w:val="20"/>
                <w:szCs w:val="20"/>
              </w:rPr>
              <w:t>4) [1</w:t>
            </w:r>
            <w:r w:rsidR="009C2F63" w:rsidRPr="0029110D">
              <w:rPr>
                <w:sz w:val="20"/>
                <w:szCs w:val="20"/>
              </w:rPr>
              <w:t>,</w:t>
            </w:r>
            <w:r w:rsidRPr="0029110D">
              <w:rPr>
                <w:sz w:val="20"/>
                <w:szCs w:val="20"/>
              </w:rPr>
              <w:t>0] (Анемия (3), Лимфоцитоз (1))</w:t>
            </w:r>
          </w:p>
        </w:tc>
      </w:tr>
      <w:tr w:rsidR="00C34E4A" w:rsidRPr="0029110D" w14:paraId="6F887035" w14:textId="77777777" w:rsidTr="00AB1FF1">
        <w:tc>
          <w:tcPr>
            <w:tcW w:w="3191" w:type="dxa"/>
          </w:tcPr>
          <w:p w14:paraId="3AA85C49" w14:textId="77777777" w:rsidR="00C34E4A" w:rsidRPr="0029110D" w:rsidRDefault="00C34E4A">
            <w:pPr>
              <w:tabs>
                <w:tab w:val="left" w:pos="2730"/>
              </w:tabs>
              <w:rPr>
                <w:sz w:val="20"/>
                <w:szCs w:val="20"/>
                <w:lang w:val="en-US"/>
              </w:rPr>
            </w:pPr>
            <w:r w:rsidRPr="0029110D">
              <w:rPr>
                <w:sz w:val="20"/>
                <w:szCs w:val="20"/>
              </w:rPr>
              <w:t>Нарушения со стороны сердца</w:t>
            </w:r>
          </w:p>
        </w:tc>
        <w:tc>
          <w:tcPr>
            <w:tcW w:w="1884" w:type="dxa"/>
          </w:tcPr>
          <w:p w14:paraId="67E92666" w14:textId="1E1E0AC5" w:rsidR="00C34E4A" w:rsidRPr="0029110D" w:rsidRDefault="00C34E4A">
            <w:pPr>
              <w:tabs>
                <w:tab w:val="left" w:pos="2730"/>
              </w:tabs>
              <w:rPr>
                <w:sz w:val="20"/>
                <w:szCs w:val="20"/>
                <w:lang w:val="en-US"/>
              </w:rPr>
            </w:pPr>
            <w:r w:rsidRPr="0029110D">
              <w:rPr>
                <w:sz w:val="20"/>
                <w:szCs w:val="20"/>
              </w:rPr>
              <w:t>5 (0</w:t>
            </w:r>
            <w:r w:rsidR="009C2F63" w:rsidRPr="0029110D">
              <w:rPr>
                <w:sz w:val="20"/>
                <w:szCs w:val="20"/>
              </w:rPr>
              <w:t>,</w:t>
            </w:r>
            <w:r w:rsidRPr="0029110D">
              <w:rPr>
                <w:sz w:val="20"/>
                <w:szCs w:val="20"/>
              </w:rPr>
              <w:t>5) [1</w:t>
            </w:r>
            <w:r w:rsidR="009C2F63" w:rsidRPr="0029110D">
              <w:rPr>
                <w:sz w:val="20"/>
                <w:szCs w:val="20"/>
              </w:rPr>
              <w:t>,</w:t>
            </w:r>
            <w:r w:rsidRPr="0029110D">
              <w:rPr>
                <w:sz w:val="20"/>
                <w:szCs w:val="20"/>
              </w:rPr>
              <w:t>3]</w:t>
            </w:r>
          </w:p>
        </w:tc>
        <w:tc>
          <w:tcPr>
            <w:tcW w:w="4253" w:type="dxa"/>
          </w:tcPr>
          <w:p w14:paraId="33200C66" w14:textId="14A58BF8" w:rsidR="00C34E4A" w:rsidRPr="0029110D" w:rsidRDefault="00C34E4A">
            <w:pPr>
              <w:tabs>
                <w:tab w:val="left" w:pos="2730"/>
              </w:tabs>
              <w:rPr>
                <w:sz w:val="20"/>
                <w:szCs w:val="20"/>
              </w:rPr>
            </w:pPr>
            <w:r w:rsidRPr="0029110D">
              <w:rPr>
                <w:sz w:val="20"/>
                <w:szCs w:val="20"/>
              </w:rPr>
              <w:t>6 (0,6) [1,5] (</w:t>
            </w:r>
            <w:r w:rsidR="005D2DF4" w:rsidRPr="0029110D">
              <w:rPr>
                <w:sz w:val="20"/>
                <w:szCs w:val="20"/>
              </w:rPr>
              <w:t xml:space="preserve">Ишемическая болезнь сердца (2), </w:t>
            </w:r>
            <w:r w:rsidRPr="0029110D">
              <w:rPr>
                <w:sz w:val="20"/>
                <w:szCs w:val="20"/>
              </w:rPr>
              <w:t>инфаркт миокарда (2), стенокардия (1), сердечная недостаточность (1), синусовая брадикардия (1))</w:t>
            </w:r>
          </w:p>
        </w:tc>
      </w:tr>
      <w:tr w:rsidR="00C34E4A" w:rsidRPr="0029110D" w14:paraId="2A59FA1D" w14:textId="77777777" w:rsidTr="00AB1FF1">
        <w:tc>
          <w:tcPr>
            <w:tcW w:w="3191" w:type="dxa"/>
          </w:tcPr>
          <w:p w14:paraId="60458236" w14:textId="77777777" w:rsidR="00C34E4A" w:rsidRPr="0029110D" w:rsidRDefault="00C34E4A">
            <w:pPr>
              <w:tabs>
                <w:tab w:val="left" w:pos="2730"/>
              </w:tabs>
              <w:rPr>
                <w:sz w:val="20"/>
                <w:szCs w:val="20"/>
                <w:lang w:val="en-US"/>
              </w:rPr>
            </w:pPr>
            <w:r w:rsidRPr="0029110D">
              <w:rPr>
                <w:sz w:val="20"/>
                <w:szCs w:val="20"/>
              </w:rPr>
              <w:t>Нарушения со стороны сосудов</w:t>
            </w:r>
          </w:p>
        </w:tc>
        <w:tc>
          <w:tcPr>
            <w:tcW w:w="1884" w:type="dxa"/>
          </w:tcPr>
          <w:p w14:paraId="65A12D41" w14:textId="074BC13D" w:rsidR="00C34E4A" w:rsidRPr="0029110D" w:rsidRDefault="00C34E4A">
            <w:pPr>
              <w:tabs>
                <w:tab w:val="left" w:pos="2730"/>
              </w:tabs>
              <w:rPr>
                <w:sz w:val="20"/>
                <w:szCs w:val="20"/>
                <w:lang w:val="en-US"/>
              </w:rPr>
            </w:pPr>
            <w:r w:rsidRPr="0029110D">
              <w:rPr>
                <w:sz w:val="20"/>
                <w:szCs w:val="20"/>
              </w:rPr>
              <w:t>3 (0</w:t>
            </w:r>
            <w:r w:rsidR="009C2F63" w:rsidRPr="0029110D">
              <w:rPr>
                <w:sz w:val="20"/>
                <w:szCs w:val="20"/>
              </w:rPr>
              <w:t>,</w:t>
            </w:r>
            <w:r w:rsidRPr="0029110D">
              <w:rPr>
                <w:sz w:val="20"/>
                <w:szCs w:val="20"/>
              </w:rPr>
              <w:t>3) [0</w:t>
            </w:r>
            <w:r w:rsidR="009C2F63" w:rsidRPr="0029110D">
              <w:rPr>
                <w:sz w:val="20"/>
                <w:szCs w:val="20"/>
              </w:rPr>
              <w:t>,</w:t>
            </w:r>
            <w:r w:rsidRPr="0029110D">
              <w:rPr>
                <w:sz w:val="20"/>
                <w:szCs w:val="20"/>
              </w:rPr>
              <w:t>8]</w:t>
            </w:r>
          </w:p>
        </w:tc>
        <w:tc>
          <w:tcPr>
            <w:tcW w:w="4253" w:type="dxa"/>
          </w:tcPr>
          <w:p w14:paraId="7351F612" w14:textId="59B34ED5" w:rsidR="00C34E4A" w:rsidRPr="0029110D" w:rsidRDefault="00C34E4A">
            <w:pPr>
              <w:tabs>
                <w:tab w:val="left" w:pos="2730"/>
              </w:tabs>
              <w:rPr>
                <w:sz w:val="20"/>
                <w:szCs w:val="20"/>
                <w:lang w:val="en-US"/>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2] тромбофлебит (1)</w:t>
            </w:r>
          </w:p>
        </w:tc>
      </w:tr>
      <w:tr w:rsidR="00C34E4A" w:rsidRPr="0029110D" w14:paraId="68E6AA94" w14:textId="77777777" w:rsidTr="00AB1FF1">
        <w:tc>
          <w:tcPr>
            <w:tcW w:w="3191" w:type="dxa"/>
          </w:tcPr>
          <w:p w14:paraId="58DD01D3" w14:textId="77777777" w:rsidR="00C34E4A" w:rsidRPr="0029110D" w:rsidRDefault="00C34E4A">
            <w:pPr>
              <w:tabs>
                <w:tab w:val="left" w:pos="2730"/>
              </w:tabs>
              <w:rPr>
                <w:sz w:val="20"/>
                <w:szCs w:val="20"/>
              </w:rPr>
            </w:pPr>
            <w:r w:rsidRPr="0029110D">
              <w:rPr>
                <w:sz w:val="20"/>
                <w:szCs w:val="20"/>
              </w:rPr>
              <w:t>Нарушения со стороны органа слуха и лабиринта</w:t>
            </w:r>
          </w:p>
        </w:tc>
        <w:tc>
          <w:tcPr>
            <w:tcW w:w="1884" w:type="dxa"/>
          </w:tcPr>
          <w:p w14:paraId="319BECF2" w14:textId="77777777" w:rsidR="00C34E4A" w:rsidRPr="0029110D" w:rsidRDefault="00C34E4A">
            <w:pPr>
              <w:tabs>
                <w:tab w:val="left" w:pos="2730"/>
              </w:tabs>
              <w:rPr>
                <w:sz w:val="20"/>
                <w:szCs w:val="20"/>
              </w:rPr>
            </w:pPr>
            <w:r w:rsidRPr="0029110D">
              <w:rPr>
                <w:sz w:val="20"/>
                <w:szCs w:val="20"/>
              </w:rPr>
              <w:t>0</w:t>
            </w:r>
          </w:p>
        </w:tc>
        <w:tc>
          <w:tcPr>
            <w:tcW w:w="4253" w:type="dxa"/>
          </w:tcPr>
          <w:p w14:paraId="45DDCBF7" w14:textId="77777777" w:rsidR="00C34E4A" w:rsidRPr="0029110D" w:rsidRDefault="00C34E4A">
            <w:pPr>
              <w:tabs>
                <w:tab w:val="left" w:pos="2730"/>
              </w:tabs>
              <w:rPr>
                <w:sz w:val="20"/>
                <w:szCs w:val="20"/>
              </w:rPr>
            </w:pPr>
            <w:r w:rsidRPr="0029110D">
              <w:rPr>
                <w:sz w:val="20"/>
                <w:szCs w:val="20"/>
              </w:rPr>
              <w:t>2 (0,2) [0,5] (Укачивание (1), позиционное головокружение (1))</w:t>
            </w:r>
          </w:p>
        </w:tc>
      </w:tr>
      <w:tr w:rsidR="00C34E4A" w:rsidRPr="0029110D" w14:paraId="705631E5" w14:textId="77777777" w:rsidTr="00AB1FF1">
        <w:tc>
          <w:tcPr>
            <w:tcW w:w="3191" w:type="dxa"/>
          </w:tcPr>
          <w:p w14:paraId="742AE686" w14:textId="77777777" w:rsidR="00C34E4A" w:rsidRPr="0029110D" w:rsidRDefault="00C34E4A">
            <w:pPr>
              <w:tabs>
                <w:tab w:val="left" w:pos="2730"/>
              </w:tabs>
              <w:rPr>
                <w:sz w:val="20"/>
                <w:szCs w:val="20"/>
              </w:rPr>
            </w:pPr>
            <w:r w:rsidRPr="0029110D">
              <w:rPr>
                <w:sz w:val="20"/>
                <w:szCs w:val="20"/>
              </w:rPr>
              <w:t>Нарушения со стороны органа зрения</w:t>
            </w:r>
          </w:p>
        </w:tc>
        <w:tc>
          <w:tcPr>
            <w:tcW w:w="1884" w:type="dxa"/>
          </w:tcPr>
          <w:p w14:paraId="2CDA9F10" w14:textId="77777777" w:rsidR="00C34E4A" w:rsidRPr="0029110D" w:rsidRDefault="00C34E4A">
            <w:pPr>
              <w:tabs>
                <w:tab w:val="left" w:pos="2730"/>
              </w:tabs>
              <w:rPr>
                <w:sz w:val="20"/>
                <w:szCs w:val="20"/>
              </w:rPr>
            </w:pPr>
            <w:r w:rsidRPr="0029110D">
              <w:rPr>
                <w:sz w:val="20"/>
                <w:szCs w:val="20"/>
              </w:rPr>
              <w:t>0</w:t>
            </w:r>
          </w:p>
        </w:tc>
        <w:tc>
          <w:tcPr>
            <w:tcW w:w="4253" w:type="dxa"/>
          </w:tcPr>
          <w:p w14:paraId="5A14F05E" w14:textId="20DF58D4" w:rsidR="00C34E4A" w:rsidRPr="0029110D" w:rsidRDefault="00C34E4A">
            <w:pPr>
              <w:tabs>
                <w:tab w:val="left" w:pos="2730"/>
              </w:tabs>
              <w:rPr>
                <w:sz w:val="20"/>
                <w:szCs w:val="20"/>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2] (катаракта (1))</w:t>
            </w:r>
          </w:p>
        </w:tc>
      </w:tr>
      <w:tr w:rsidR="00C34E4A" w:rsidRPr="0029110D" w14:paraId="5212B254" w14:textId="77777777" w:rsidTr="00AB1FF1">
        <w:tc>
          <w:tcPr>
            <w:tcW w:w="3191" w:type="dxa"/>
          </w:tcPr>
          <w:p w14:paraId="35C4FFAD" w14:textId="77777777" w:rsidR="00C34E4A" w:rsidRPr="0029110D" w:rsidRDefault="00C34E4A">
            <w:pPr>
              <w:tabs>
                <w:tab w:val="left" w:pos="2730"/>
              </w:tabs>
              <w:rPr>
                <w:sz w:val="20"/>
                <w:szCs w:val="20"/>
              </w:rPr>
            </w:pPr>
            <w:r w:rsidRPr="0029110D">
              <w:rPr>
                <w:sz w:val="20"/>
                <w:szCs w:val="20"/>
              </w:rPr>
              <w:t>Желудочно-кишечные нарушения</w:t>
            </w:r>
          </w:p>
        </w:tc>
        <w:tc>
          <w:tcPr>
            <w:tcW w:w="1884" w:type="dxa"/>
          </w:tcPr>
          <w:p w14:paraId="61914F76" w14:textId="6F854247" w:rsidR="00C34E4A" w:rsidRPr="0029110D" w:rsidRDefault="00C34E4A">
            <w:pPr>
              <w:tabs>
                <w:tab w:val="left" w:pos="2730"/>
              </w:tabs>
              <w:rPr>
                <w:sz w:val="20"/>
                <w:szCs w:val="20"/>
                <w:lang w:val="en-US"/>
              </w:rPr>
            </w:pPr>
            <w:r w:rsidRPr="0029110D">
              <w:rPr>
                <w:sz w:val="20"/>
                <w:szCs w:val="20"/>
              </w:rPr>
              <w:t>4 (0</w:t>
            </w:r>
            <w:r w:rsidR="009C2F63" w:rsidRPr="0029110D">
              <w:rPr>
                <w:sz w:val="20"/>
                <w:szCs w:val="20"/>
              </w:rPr>
              <w:t>,</w:t>
            </w:r>
            <w:r w:rsidRPr="0029110D">
              <w:rPr>
                <w:sz w:val="20"/>
                <w:szCs w:val="20"/>
              </w:rPr>
              <w:t>4) [1</w:t>
            </w:r>
            <w:r w:rsidR="009C2F63" w:rsidRPr="0029110D">
              <w:rPr>
                <w:sz w:val="20"/>
                <w:szCs w:val="20"/>
              </w:rPr>
              <w:t>,</w:t>
            </w:r>
            <w:r w:rsidRPr="0029110D">
              <w:rPr>
                <w:sz w:val="20"/>
                <w:szCs w:val="20"/>
              </w:rPr>
              <w:t>0]</w:t>
            </w:r>
          </w:p>
        </w:tc>
        <w:tc>
          <w:tcPr>
            <w:tcW w:w="4253" w:type="dxa"/>
          </w:tcPr>
          <w:p w14:paraId="1EA243E0" w14:textId="77777777" w:rsidR="00C34E4A" w:rsidRPr="0029110D" w:rsidRDefault="00C34E4A">
            <w:pPr>
              <w:tabs>
                <w:tab w:val="left" w:pos="2730"/>
              </w:tabs>
              <w:rPr>
                <w:sz w:val="20"/>
                <w:szCs w:val="20"/>
                <w:lang w:val="en-US"/>
              </w:rPr>
            </w:pPr>
            <w:r w:rsidRPr="0029110D">
              <w:rPr>
                <w:sz w:val="20"/>
                <w:szCs w:val="20"/>
                <w:lang w:val="en-US"/>
              </w:rPr>
              <w:t>2 (0,2) [0,5] Язва желудка (1), Паховая грыжа (1)</w:t>
            </w:r>
          </w:p>
        </w:tc>
      </w:tr>
      <w:tr w:rsidR="00C34E4A" w:rsidRPr="0029110D" w14:paraId="60E603DF" w14:textId="77777777" w:rsidTr="00AB1FF1">
        <w:tc>
          <w:tcPr>
            <w:tcW w:w="3191" w:type="dxa"/>
          </w:tcPr>
          <w:p w14:paraId="230CBDC2" w14:textId="77777777" w:rsidR="00C34E4A" w:rsidRPr="0029110D" w:rsidRDefault="00C34E4A">
            <w:pPr>
              <w:tabs>
                <w:tab w:val="left" w:pos="2730"/>
              </w:tabs>
              <w:rPr>
                <w:sz w:val="20"/>
                <w:szCs w:val="20"/>
              </w:rPr>
            </w:pPr>
            <w:r w:rsidRPr="0029110D">
              <w:rPr>
                <w:sz w:val="20"/>
                <w:szCs w:val="20"/>
              </w:rPr>
              <w:t>Нарушения со стороны печени и желчевыводящих путей</w:t>
            </w:r>
          </w:p>
        </w:tc>
        <w:tc>
          <w:tcPr>
            <w:tcW w:w="1884" w:type="dxa"/>
          </w:tcPr>
          <w:p w14:paraId="3AD88EDF" w14:textId="2475B00A" w:rsidR="00C34E4A" w:rsidRPr="0029110D" w:rsidRDefault="00C34E4A">
            <w:pPr>
              <w:tabs>
                <w:tab w:val="left" w:pos="2730"/>
              </w:tabs>
              <w:rPr>
                <w:sz w:val="20"/>
                <w:szCs w:val="20"/>
              </w:rPr>
            </w:pPr>
            <w:r w:rsidRPr="0029110D">
              <w:rPr>
                <w:sz w:val="20"/>
                <w:szCs w:val="20"/>
              </w:rPr>
              <w:t>2 (0</w:t>
            </w:r>
            <w:r w:rsidR="009C2F63" w:rsidRPr="0029110D">
              <w:rPr>
                <w:sz w:val="20"/>
                <w:szCs w:val="20"/>
              </w:rPr>
              <w:t>,</w:t>
            </w:r>
            <w:r w:rsidRPr="0029110D">
              <w:rPr>
                <w:sz w:val="20"/>
                <w:szCs w:val="20"/>
              </w:rPr>
              <w:t>2) [0</w:t>
            </w:r>
            <w:r w:rsidR="009C2F63" w:rsidRPr="0029110D">
              <w:rPr>
                <w:sz w:val="20"/>
                <w:szCs w:val="20"/>
              </w:rPr>
              <w:t>,</w:t>
            </w:r>
            <w:r w:rsidRPr="0029110D">
              <w:rPr>
                <w:sz w:val="20"/>
                <w:szCs w:val="20"/>
              </w:rPr>
              <w:t>5]</w:t>
            </w:r>
          </w:p>
        </w:tc>
        <w:tc>
          <w:tcPr>
            <w:tcW w:w="4253" w:type="dxa"/>
          </w:tcPr>
          <w:p w14:paraId="20EDE139" w14:textId="5F1CCF97" w:rsidR="00C34E4A" w:rsidRPr="0029110D" w:rsidRDefault="00C34E4A">
            <w:pPr>
              <w:tabs>
                <w:tab w:val="left" w:pos="2730"/>
              </w:tabs>
              <w:rPr>
                <w:sz w:val="20"/>
                <w:szCs w:val="20"/>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2] Лекарственное индуцированное поражение печени (1)</w:t>
            </w:r>
          </w:p>
        </w:tc>
      </w:tr>
      <w:tr w:rsidR="00C34E4A" w:rsidRPr="0029110D" w14:paraId="28C38BD9" w14:textId="77777777" w:rsidTr="00AB1FF1">
        <w:tc>
          <w:tcPr>
            <w:tcW w:w="3191" w:type="dxa"/>
          </w:tcPr>
          <w:p w14:paraId="732F7CBE" w14:textId="77777777" w:rsidR="00C34E4A" w:rsidRPr="0029110D" w:rsidRDefault="00C34E4A">
            <w:pPr>
              <w:tabs>
                <w:tab w:val="left" w:pos="2730"/>
              </w:tabs>
              <w:rPr>
                <w:sz w:val="20"/>
                <w:szCs w:val="20"/>
              </w:rPr>
            </w:pPr>
            <w:r w:rsidRPr="0029110D">
              <w:rPr>
                <w:sz w:val="20"/>
                <w:szCs w:val="20"/>
              </w:rPr>
              <w:t>Инфекции и инвазии</w:t>
            </w:r>
          </w:p>
        </w:tc>
        <w:tc>
          <w:tcPr>
            <w:tcW w:w="1884" w:type="dxa"/>
          </w:tcPr>
          <w:p w14:paraId="7FD17317" w14:textId="224A0CCA" w:rsidR="00C34E4A" w:rsidRPr="0029110D" w:rsidRDefault="00C34E4A">
            <w:pPr>
              <w:tabs>
                <w:tab w:val="left" w:pos="2730"/>
              </w:tabs>
              <w:rPr>
                <w:sz w:val="20"/>
                <w:szCs w:val="20"/>
                <w:lang w:val="en-US"/>
              </w:rPr>
            </w:pPr>
            <w:r w:rsidRPr="0029110D">
              <w:rPr>
                <w:sz w:val="20"/>
                <w:szCs w:val="20"/>
              </w:rPr>
              <w:t>16 (1</w:t>
            </w:r>
            <w:r w:rsidR="009C2F63" w:rsidRPr="0029110D">
              <w:rPr>
                <w:sz w:val="20"/>
                <w:szCs w:val="20"/>
              </w:rPr>
              <w:t>,</w:t>
            </w:r>
            <w:r w:rsidRPr="0029110D">
              <w:rPr>
                <w:sz w:val="20"/>
                <w:szCs w:val="20"/>
              </w:rPr>
              <w:t>5) [4</w:t>
            </w:r>
            <w:r w:rsidR="009C2F63" w:rsidRPr="0029110D">
              <w:rPr>
                <w:sz w:val="20"/>
                <w:szCs w:val="20"/>
              </w:rPr>
              <w:t>,</w:t>
            </w:r>
            <w:r w:rsidRPr="0029110D">
              <w:rPr>
                <w:sz w:val="20"/>
                <w:szCs w:val="20"/>
              </w:rPr>
              <w:t>1]</w:t>
            </w:r>
          </w:p>
        </w:tc>
        <w:tc>
          <w:tcPr>
            <w:tcW w:w="4253" w:type="dxa"/>
          </w:tcPr>
          <w:p w14:paraId="2A6ABFD2" w14:textId="7CE79497" w:rsidR="00C34E4A" w:rsidRPr="0029110D" w:rsidRDefault="00C34E4A">
            <w:pPr>
              <w:tabs>
                <w:tab w:val="left" w:pos="2730"/>
              </w:tabs>
              <w:rPr>
                <w:sz w:val="20"/>
                <w:szCs w:val="20"/>
              </w:rPr>
            </w:pPr>
            <w:r w:rsidRPr="0029110D">
              <w:rPr>
                <w:sz w:val="20"/>
                <w:szCs w:val="20"/>
              </w:rPr>
              <w:t>14 (1,4) [3,4] опоясывающий герпес (3), целлюлит (2), инфекция мочевыводящих путей (2), бактериальные инфекции (1),</w:t>
            </w:r>
            <w:r w:rsidR="005D2DF4" w:rsidRPr="0029110D">
              <w:rPr>
                <w:sz w:val="20"/>
                <w:szCs w:val="20"/>
              </w:rPr>
              <w:t xml:space="preserve"> </w:t>
            </w:r>
            <w:r w:rsidRPr="0029110D">
              <w:rPr>
                <w:sz w:val="20"/>
                <w:szCs w:val="20"/>
              </w:rPr>
              <w:t>диссеминированный туберкулез (1), эпиглоттит (1), гастроэнтерит (</w:t>
            </w:r>
            <w:r w:rsidR="005D2DF4" w:rsidRPr="0029110D">
              <w:rPr>
                <w:sz w:val="20"/>
                <w:szCs w:val="20"/>
              </w:rPr>
              <w:t xml:space="preserve">1), вирусный гастроэнтерит (1), инфицирование </w:t>
            </w:r>
            <w:r w:rsidRPr="0029110D">
              <w:rPr>
                <w:i/>
                <w:iCs/>
                <w:sz w:val="20"/>
                <w:szCs w:val="20"/>
              </w:rPr>
              <w:t>Helicobacter</w:t>
            </w:r>
            <w:r w:rsidRPr="0029110D">
              <w:rPr>
                <w:sz w:val="20"/>
                <w:szCs w:val="20"/>
              </w:rPr>
              <w:t xml:space="preserve"> (1), инфекции нижних дыхательных путей (1), пневмония (1), инфекции верхних дыхательных путей (1),</w:t>
            </w:r>
          </w:p>
          <w:p w14:paraId="5C4D9E6C" w14:textId="77777777" w:rsidR="00C34E4A" w:rsidRPr="0029110D" w:rsidRDefault="00C34E4A">
            <w:pPr>
              <w:tabs>
                <w:tab w:val="left" w:pos="2730"/>
              </w:tabs>
              <w:rPr>
                <w:sz w:val="20"/>
                <w:szCs w:val="20"/>
              </w:rPr>
            </w:pPr>
            <w:r w:rsidRPr="0029110D">
              <w:rPr>
                <w:sz w:val="20"/>
                <w:szCs w:val="20"/>
              </w:rPr>
              <w:t>абсцесс вульвы (1)</w:t>
            </w:r>
          </w:p>
        </w:tc>
      </w:tr>
      <w:tr w:rsidR="00C34E4A" w:rsidRPr="0029110D" w14:paraId="2EB88FC7" w14:textId="77777777" w:rsidTr="00AB1FF1">
        <w:tc>
          <w:tcPr>
            <w:tcW w:w="3191" w:type="dxa"/>
          </w:tcPr>
          <w:p w14:paraId="70D8CBE9" w14:textId="77777777" w:rsidR="00C34E4A" w:rsidRPr="0029110D" w:rsidRDefault="00C34E4A">
            <w:pPr>
              <w:tabs>
                <w:tab w:val="left" w:pos="2730"/>
              </w:tabs>
              <w:rPr>
                <w:sz w:val="20"/>
                <w:szCs w:val="20"/>
              </w:rPr>
            </w:pPr>
            <w:r w:rsidRPr="0029110D">
              <w:rPr>
                <w:sz w:val="20"/>
                <w:szCs w:val="20"/>
              </w:rPr>
              <w:t>Травмы, интоксикации и осложнения процедур</w:t>
            </w:r>
          </w:p>
        </w:tc>
        <w:tc>
          <w:tcPr>
            <w:tcW w:w="1884" w:type="dxa"/>
          </w:tcPr>
          <w:p w14:paraId="48139FCE" w14:textId="6953A2A8" w:rsidR="00C34E4A" w:rsidRPr="0029110D" w:rsidRDefault="00C34E4A">
            <w:pPr>
              <w:tabs>
                <w:tab w:val="left" w:pos="2730"/>
              </w:tabs>
              <w:rPr>
                <w:sz w:val="20"/>
                <w:szCs w:val="20"/>
              </w:rPr>
            </w:pPr>
            <w:r w:rsidRPr="0029110D">
              <w:rPr>
                <w:sz w:val="20"/>
                <w:szCs w:val="20"/>
              </w:rPr>
              <w:t>3 (0</w:t>
            </w:r>
            <w:r w:rsidR="009C2F63" w:rsidRPr="0029110D">
              <w:rPr>
                <w:sz w:val="20"/>
                <w:szCs w:val="20"/>
              </w:rPr>
              <w:t>,</w:t>
            </w:r>
            <w:r w:rsidRPr="0029110D">
              <w:rPr>
                <w:sz w:val="20"/>
                <w:szCs w:val="20"/>
              </w:rPr>
              <w:t>3) [0</w:t>
            </w:r>
            <w:r w:rsidR="009C2F63" w:rsidRPr="0029110D">
              <w:rPr>
                <w:sz w:val="20"/>
                <w:szCs w:val="20"/>
              </w:rPr>
              <w:t>,</w:t>
            </w:r>
            <w:r w:rsidRPr="0029110D">
              <w:rPr>
                <w:sz w:val="20"/>
                <w:szCs w:val="20"/>
              </w:rPr>
              <w:t>8]</w:t>
            </w:r>
          </w:p>
        </w:tc>
        <w:tc>
          <w:tcPr>
            <w:tcW w:w="4253" w:type="dxa"/>
          </w:tcPr>
          <w:p w14:paraId="33E68CE9" w14:textId="6E03C737" w:rsidR="00C34E4A" w:rsidRPr="0029110D" w:rsidRDefault="00C34E4A">
            <w:pPr>
              <w:tabs>
                <w:tab w:val="left" w:pos="2730"/>
              </w:tabs>
              <w:rPr>
                <w:sz w:val="20"/>
                <w:szCs w:val="20"/>
              </w:rPr>
            </w:pPr>
            <w:r w:rsidRPr="0029110D">
              <w:rPr>
                <w:sz w:val="20"/>
                <w:szCs w:val="20"/>
              </w:rPr>
              <w:t>7 (0</w:t>
            </w:r>
            <w:r w:rsidR="009C2F63" w:rsidRPr="0029110D">
              <w:rPr>
                <w:sz w:val="20"/>
                <w:szCs w:val="20"/>
              </w:rPr>
              <w:t>,</w:t>
            </w:r>
            <w:r w:rsidRPr="0029110D">
              <w:rPr>
                <w:sz w:val="20"/>
                <w:szCs w:val="20"/>
              </w:rPr>
              <w:t>7) [1</w:t>
            </w:r>
            <w:r w:rsidR="009C2F63" w:rsidRPr="0029110D">
              <w:rPr>
                <w:sz w:val="20"/>
                <w:szCs w:val="20"/>
              </w:rPr>
              <w:t>,</w:t>
            </w:r>
            <w:r w:rsidRPr="0029110D">
              <w:rPr>
                <w:sz w:val="20"/>
                <w:szCs w:val="20"/>
              </w:rPr>
              <w:t>7]</w:t>
            </w:r>
          </w:p>
        </w:tc>
      </w:tr>
      <w:tr w:rsidR="00C34E4A" w:rsidRPr="0029110D" w14:paraId="350B5C77" w14:textId="77777777" w:rsidTr="00AB1FF1">
        <w:tc>
          <w:tcPr>
            <w:tcW w:w="3191" w:type="dxa"/>
          </w:tcPr>
          <w:p w14:paraId="7970838E" w14:textId="21FE68D1" w:rsidR="00C34E4A" w:rsidRPr="0029110D" w:rsidRDefault="00714857">
            <w:pPr>
              <w:tabs>
                <w:tab w:val="left" w:pos="2730"/>
              </w:tabs>
              <w:rPr>
                <w:sz w:val="20"/>
                <w:szCs w:val="20"/>
              </w:rPr>
            </w:pPr>
            <w:r w:rsidRPr="0029110D">
              <w:rPr>
                <w:sz w:val="20"/>
                <w:szCs w:val="20"/>
              </w:rPr>
              <w:t>Лабораторные и инструментальные данные</w:t>
            </w:r>
          </w:p>
        </w:tc>
        <w:tc>
          <w:tcPr>
            <w:tcW w:w="1884" w:type="dxa"/>
          </w:tcPr>
          <w:p w14:paraId="6C73DC9D" w14:textId="203724E2" w:rsidR="00C34E4A" w:rsidRPr="0029110D" w:rsidRDefault="00C34E4A">
            <w:pPr>
              <w:tabs>
                <w:tab w:val="left" w:pos="2730"/>
              </w:tabs>
              <w:rPr>
                <w:sz w:val="20"/>
                <w:szCs w:val="20"/>
                <w:lang w:val="en-US"/>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3]</w:t>
            </w:r>
          </w:p>
        </w:tc>
        <w:tc>
          <w:tcPr>
            <w:tcW w:w="4253" w:type="dxa"/>
          </w:tcPr>
          <w:p w14:paraId="33E360F5" w14:textId="77777777" w:rsidR="00C34E4A" w:rsidRPr="0029110D" w:rsidRDefault="00C34E4A">
            <w:pPr>
              <w:tabs>
                <w:tab w:val="left" w:pos="2730"/>
              </w:tabs>
              <w:rPr>
                <w:sz w:val="20"/>
                <w:szCs w:val="20"/>
              </w:rPr>
            </w:pPr>
            <w:r w:rsidRPr="0029110D">
              <w:rPr>
                <w:sz w:val="20"/>
                <w:szCs w:val="20"/>
              </w:rPr>
              <w:t>4 (0,4) [1,0] Повышение АЛТ (1), повышение АСТ (1), повышение щелочной фосфатазы (1), снижение СКФ (1)</w:t>
            </w:r>
          </w:p>
        </w:tc>
      </w:tr>
      <w:tr w:rsidR="00C34E4A" w:rsidRPr="0029110D" w14:paraId="452D82AD" w14:textId="77777777" w:rsidTr="00AB1FF1">
        <w:tc>
          <w:tcPr>
            <w:tcW w:w="3191" w:type="dxa"/>
          </w:tcPr>
          <w:p w14:paraId="0FE70352" w14:textId="77777777" w:rsidR="00C34E4A" w:rsidRPr="0029110D" w:rsidRDefault="00C34E4A">
            <w:pPr>
              <w:tabs>
                <w:tab w:val="left" w:pos="2730"/>
              </w:tabs>
              <w:rPr>
                <w:sz w:val="20"/>
                <w:szCs w:val="20"/>
              </w:rPr>
            </w:pPr>
            <w:r w:rsidRPr="0029110D">
              <w:rPr>
                <w:sz w:val="20"/>
                <w:szCs w:val="20"/>
              </w:rPr>
              <w:t>Нарушения метаболизма и питания</w:t>
            </w:r>
          </w:p>
        </w:tc>
        <w:tc>
          <w:tcPr>
            <w:tcW w:w="1884" w:type="dxa"/>
          </w:tcPr>
          <w:p w14:paraId="2C771C35" w14:textId="439517DE" w:rsidR="00C34E4A" w:rsidRPr="0029110D" w:rsidRDefault="00C34E4A">
            <w:pPr>
              <w:tabs>
                <w:tab w:val="left" w:pos="2730"/>
              </w:tabs>
              <w:rPr>
                <w:sz w:val="20"/>
                <w:szCs w:val="20"/>
                <w:lang w:val="en-US"/>
              </w:rPr>
            </w:pPr>
            <w:r w:rsidRPr="0029110D">
              <w:rPr>
                <w:sz w:val="20"/>
                <w:szCs w:val="20"/>
              </w:rPr>
              <w:t>5 (0</w:t>
            </w:r>
            <w:r w:rsidR="009C2F63" w:rsidRPr="0029110D">
              <w:rPr>
                <w:sz w:val="20"/>
                <w:szCs w:val="20"/>
              </w:rPr>
              <w:t>,</w:t>
            </w:r>
            <w:r w:rsidRPr="0029110D">
              <w:rPr>
                <w:sz w:val="20"/>
                <w:szCs w:val="20"/>
              </w:rPr>
              <w:t>5) [1</w:t>
            </w:r>
            <w:r w:rsidR="009C2F63" w:rsidRPr="0029110D">
              <w:rPr>
                <w:sz w:val="20"/>
                <w:szCs w:val="20"/>
              </w:rPr>
              <w:t>,</w:t>
            </w:r>
            <w:r w:rsidRPr="0029110D">
              <w:rPr>
                <w:sz w:val="20"/>
                <w:szCs w:val="20"/>
              </w:rPr>
              <w:t>3]</w:t>
            </w:r>
          </w:p>
        </w:tc>
        <w:tc>
          <w:tcPr>
            <w:tcW w:w="4253" w:type="dxa"/>
          </w:tcPr>
          <w:p w14:paraId="7081F8AA" w14:textId="1BF19E05" w:rsidR="00C34E4A" w:rsidRPr="0029110D" w:rsidRDefault="00C34E4A">
            <w:pPr>
              <w:tabs>
                <w:tab w:val="left" w:pos="2730"/>
              </w:tabs>
              <w:rPr>
                <w:sz w:val="20"/>
                <w:szCs w:val="20"/>
                <w:lang w:val="en-US"/>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2] сахарный диабет</w:t>
            </w:r>
          </w:p>
        </w:tc>
      </w:tr>
      <w:tr w:rsidR="00C34E4A" w:rsidRPr="0029110D" w14:paraId="7528E333" w14:textId="77777777" w:rsidTr="00AB1FF1">
        <w:tc>
          <w:tcPr>
            <w:tcW w:w="3191" w:type="dxa"/>
          </w:tcPr>
          <w:p w14:paraId="7DFAF67E" w14:textId="77777777" w:rsidR="00C34E4A" w:rsidRPr="0029110D" w:rsidRDefault="00C34E4A">
            <w:pPr>
              <w:tabs>
                <w:tab w:val="left" w:pos="2730"/>
              </w:tabs>
              <w:rPr>
                <w:sz w:val="20"/>
                <w:szCs w:val="20"/>
              </w:rPr>
            </w:pPr>
            <w:r w:rsidRPr="0029110D">
              <w:rPr>
                <w:sz w:val="20"/>
                <w:szCs w:val="20"/>
              </w:rPr>
              <w:t>Нарушения со стороны мышечной, скелетной и соединительной ткани</w:t>
            </w:r>
          </w:p>
        </w:tc>
        <w:tc>
          <w:tcPr>
            <w:tcW w:w="1884" w:type="dxa"/>
          </w:tcPr>
          <w:p w14:paraId="1FCF4333" w14:textId="2381973F" w:rsidR="00C34E4A" w:rsidRPr="0029110D" w:rsidRDefault="00C34E4A">
            <w:pPr>
              <w:tabs>
                <w:tab w:val="left" w:pos="2730"/>
              </w:tabs>
              <w:rPr>
                <w:sz w:val="20"/>
                <w:szCs w:val="20"/>
              </w:rPr>
            </w:pPr>
            <w:r w:rsidRPr="0029110D">
              <w:rPr>
                <w:sz w:val="20"/>
                <w:szCs w:val="20"/>
              </w:rPr>
              <w:t>10 (0</w:t>
            </w:r>
            <w:r w:rsidR="009C2F63" w:rsidRPr="0029110D">
              <w:rPr>
                <w:sz w:val="20"/>
                <w:szCs w:val="20"/>
              </w:rPr>
              <w:t>,</w:t>
            </w:r>
            <w:r w:rsidRPr="0029110D">
              <w:rPr>
                <w:sz w:val="20"/>
                <w:szCs w:val="20"/>
              </w:rPr>
              <w:t>9) [2</w:t>
            </w:r>
            <w:r w:rsidR="009C2F63" w:rsidRPr="0029110D">
              <w:rPr>
                <w:sz w:val="20"/>
                <w:szCs w:val="20"/>
              </w:rPr>
              <w:t>,</w:t>
            </w:r>
            <w:r w:rsidRPr="0029110D">
              <w:rPr>
                <w:sz w:val="20"/>
                <w:szCs w:val="20"/>
              </w:rPr>
              <w:t>5]</w:t>
            </w:r>
          </w:p>
        </w:tc>
        <w:tc>
          <w:tcPr>
            <w:tcW w:w="4253" w:type="dxa"/>
          </w:tcPr>
          <w:p w14:paraId="6D51C614" w14:textId="745EC5EF" w:rsidR="00C34E4A" w:rsidRPr="0029110D" w:rsidRDefault="00C34E4A">
            <w:pPr>
              <w:tabs>
                <w:tab w:val="left" w:pos="2730"/>
              </w:tabs>
              <w:rPr>
                <w:sz w:val="20"/>
                <w:szCs w:val="20"/>
              </w:rPr>
            </w:pPr>
            <w:r w:rsidRPr="0029110D">
              <w:rPr>
                <w:sz w:val="20"/>
                <w:szCs w:val="20"/>
              </w:rPr>
              <w:t>4 (0</w:t>
            </w:r>
            <w:r w:rsidR="009C2F63" w:rsidRPr="0029110D">
              <w:rPr>
                <w:sz w:val="20"/>
                <w:szCs w:val="20"/>
              </w:rPr>
              <w:t>,</w:t>
            </w:r>
            <w:r w:rsidRPr="0029110D">
              <w:rPr>
                <w:sz w:val="20"/>
                <w:szCs w:val="20"/>
              </w:rPr>
              <w:t>4) [1</w:t>
            </w:r>
            <w:r w:rsidR="009C2F63" w:rsidRPr="0029110D">
              <w:rPr>
                <w:sz w:val="20"/>
                <w:szCs w:val="20"/>
              </w:rPr>
              <w:t>,</w:t>
            </w:r>
            <w:r w:rsidRPr="0029110D">
              <w:rPr>
                <w:sz w:val="20"/>
                <w:szCs w:val="20"/>
              </w:rPr>
              <w:t>0]</w:t>
            </w:r>
          </w:p>
        </w:tc>
      </w:tr>
      <w:tr w:rsidR="00C34E4A" w:rsidRPr="0029110D" w14:paraId="52153E69" w14:textId="77777777" w:rsidTr="00AB1FF1">
        <w:tc>
          <w:tcPr>
            <w:tcW w:w="3191" w:type="dxa"/>
          </w:tcPr>
          <w:p w14:paraId="3CA11822" w14:textId="77777777" w:rsidR="00C34E4A" w:rsidRPr="0029110D" w:rsidRDefault="00C34E4A">
            <w:pPr>
              <w:tabs>
                <w:tab w:val="left" w:pos="2730"/>
              </w:tabs>
              <w:rPr>
                <w:sz w:val="20"/>
                <w:szCs w:val="20"/>
              </w:rPr>
            </w:pPr>
            <w:r w:rsidRPr="0029110D">
              <w:rPr>
                <w:sz w:val="20"/>
                <w:szCs w:val="20"/>
              </w:rPr>
              <w:t>Доброкачественные, злокачественные и неуточненные новообразования (включая кисты и полипы)</w:t>
            </w:r>
          </w:p>
        </w:tc>
        <w:tc>
          <w:tcPr>
            <w:tcW w:w="1884" w:type="dxa"/>
          </w:tcPr>
          <w:p w14:paraId="0B27ACE4" w14:textId="0992D059" w:rsidR="00C34E4A" w:rsidRPr="0029110D" w:rsidRDefault="00C34E4A">
            <w:pPr>
              <w:tabs>
                <w:tab w:val="left" w:pos="2730"/>
              </w:tabs>
              <w:rPr>
                <w:sz w:val="20"/>
                <w:szCs w:val="20"/>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3]</w:t>
            </w:r>
          </w:p>
        </w:tc>
        <w:tc>
          <w:tcPr>
            <w:tcW w:w="4253" w:type="dxa"/>
          </w:tcPr>
          <w:p w14:paraId="0C2066D2" w14:textId="69ACA1C8" w:rsidR="00C34E4A" w:rsidRPr="0029110D" w:rsidRDefault="00C34E4A">
            <w:pPr>
              <w:tabs>
                <w:tab w:val="left" w:pos="2730"/>
              </w:tabs>
              <w:rPr>
                <w:sz w:val="20"/>
                <w:szCs w:val="20"/>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2] рак груди (1)</w:t>
            </w:r>
          </w:p>
        </w:tc>
      </w:tr>
      <w:tr w:rsidR="00C34E4A" w:rsidRPr="0029110D" w14:paraId="435A7C97" w14:textId="77777777" w:rsidTr="00AB1FF1">
        <w:tc>
          <w:tcPr>
            <w:tcW w:w="3191" w:type="dxa"/>
          </w:tcPr>
          <w:p w14:paraId="14081DDC" w14:textId="77777777" w:rsidR="00C34E4A" w:rsidRPr="0029110D" w:rsidRDefault="00C34E4A">
            <w:pPr>
              <w:tabs>
                <w:tab w:val="left" w:pos="2730"/>
              </w:tabs>
              <w:rPr>
                <w:sz w:val="20"/>
                <w:szCs w:val="20"/>
              </w:rPr>
            </w:pPr>
            <w:r w:rsidRPr="0029110D">
              <w:rPr>
                <w:sz w:val="20"/>
                <w:szCs w:val="20"/>
              </w:rPr>
              <w:t>Нарушения со стороны нервной системы</w:t>
            </w:r>
          </w:p>
        </w:tc>
        <w:tc>
          <w:tcPr>
            <w:tcW w:w="1884" w:type="dxa"/>
          </w:tcPr>
          <w:p w14:paraId="166E40FD" w14:textId="62C26475" w:rsidR="00C34E4A" w:rsidRPr="0029110D" w:rsidRDefault="00C34E4A">
            <w:pPr>
              <w:tabs>
                <w:tab w:val="left" w:pos="2730"/>
              </w:tabs>
              <w:rPr>
                <w:sz w:val="20"/>
                <w:szCs w:val="20"/>
              </w:rPr>
            </w:pPr>
            <w:r w:rsidRPr="0029110D">
              <w:rPr>
                <w:sz w:val="20"/>
                <w:szCs w:val="20"/>
              </w:rPr>
              <w:t>3 (0</w:t>
            </w:r>
            <w:r w:rsidR="009C2F63" w:rsidRPr="0029110D">
              <w:rPr>
                <w:sz w:val="20"/>
                <w:szCs w:val="20"/>
              </w:rPr>
              <w:t>,</w:t>
            </w:r>
            <w:r w:rsidRPr="0029110D">
              <w:rPr>
                <w:sz w:val="20"/>
                <w:szCs w:val="20"/>
              </w:rPr>
              <w:t>3) [0</w:t>
            </w:r>
            <w:r w:rsidR="009C2F63" w:rsidRPr="0029110D">
              <w:rPr>
                <w:sz w:val="20"/>
                <w:szCs w:val="20"/>
              </w:rPr>
              <w:t>,</w:t>
            </w:r>
            <w:r w:rsidRPr="0029110D">
              <w:rPr>
                <w:sz w:val="20"/>
                <w:szCs w:val="20"/>
              </w:rPr>
              <w:t>8]</w:t>
            </w:r>
          </w:p>
        </w:tc>
        <w:tc>
          <w:tcPr>
            <w:tcW w:w="4253" w:type="dxa"/>
          </w:tcPr>
          <w:p w14:paraId="1EBFE901" w14:textId="77777777" w:rsidR="00C34E4A" w:rsidRPr="0029110D" w:rsidRDefault="00C34E4A">
            <w:pPr>
              <w:tabs>
                <w:tab w:val="left" w:pos="2730"/>
              </w:tabs>
              <w:rPr>
                <w:sz w:val="20"/>
                <w:szCs w:val="20"/>
              </w:rPr>
            </w:pPr>
            <w:r w:rsidRPr="0029110D">
              <w:rPr>
                <w:sz w:val="20"/>
                <w:szCs w:val="20"/>
              </w:rPr>
              <w:t>3 (0,3) [0,7] тромбоз базилярной артерии (1), головная боль (1), транзиторная амнезия (1), тромбоз позвоночной артерии (1)</w:t>
            </w:r>
          </w:p>
        </w:tc>
      </w:tr>
      <w:tr w:rsidR="00C34E4A" w:rsidRPr="0029110D" w14:paraId="2DC52BB2" w14:textId="77777777" w:rsidTr="00AB1FF1">
        <w:tc>
          <w:tcPr>
            <w:tcW w:w="3191" w:type="dxa"/>
          </w:tcPr>
          <w:p w14:paraId="016A93A9" w14:textId="77777777" w:rsidR="00C34E4A" w:rsidRPr="0029110D" w:rsidRDefault="00C34E4A">
            <w:pPr>
              <w:tabs>
                <w:tab w:val="left" w:pos="2730"/>
              </w:tabs>
              <w:rPr>
                <w:sz w:val="20"/>
                <w:szCs w:val="20"/>
              </w:rPr>
            </w:pPr>
            <w:r w:rsidRPr="0029110D">
              <w:rPr>
                <w:sz w:val="20"/>
                <w:szCs w:val="20"/>
              </w:rPr>
              <w:t>Психические нарушения</w:t>
            </w:r>
          </w:p>
        </w:tc>
        <w:tc>
          <w:tcPr>
            <w:tcW w:w="1884" w:type="dxa"/>
          </w:tcPr>
          <w:p w14:paraId="70AF75F6" w14:textId="24DBC059" w:rsidR="00C34E4A" w:rsidRPr="0029110D" w:rsidRDefault="00C34E4A">
            <w:pPr>
              <w:tabs>
                <w:tab w:val="left" w:pos="2730"/>
              </w:tabs>
              <w:rPr>
                <w:sz w:val="20"/>
                <w:szCs w:val="20"/>
                <w:lang w:val="en-US"/>
              </w:rPr>
            </w:pPr>
            <w:r w:rsidRPr="0029110D">
              <w:rPr>
                <w:sz w:val="20"/>
                <w:szCs w:val="20"/>
              </w:rPr>
              <w:t>4 (0</w:t>
            </w:r>
            <w:r w:rsidR="009C2F63" w:rsidRPr="0029110D">
              <w:rPr>
                <w:sz w:val="20"/>
                <w:szCs w:val="20"/>
              </w:rPr>
              <w:t>,</w:t>
            </w:r>
            <w:r w:rsidRPr="0029110D">
              <w:rPr>
                <w:sz w:val="20"/>
                <w:szCs w:val="20"/>
              </w:rPr>
              <w:t>4) [1</w:t>
            </w:r>
            <w:r w:rsidR="009C2F63" w:rsidRPr="0029110D">
              <w:rPr>
                <w:sz w:val="20"/>
                <w:szCs w:val="20"/>
              </w:rPr>
              <w:t>,</w:t>
            </w:r>
            <w:r w:rsidRPr="0029110D">
              <w:rPr>
                <w:sz w:val="20"/>
                <w:szCs w:val="20"/>
              </w:rPr>
              <w:t>0]</w:t>
            </w:r>
          </w:p>
        </w:tc>
        <w:tc>
          <w:tcPr>
            <w:tcW w:w="4253" w:type="dxa"/>
          </w:tcPr>
          <w:p w14:paraId="164D47B8" w14:textId="77777777" w:rsidR="00C34E4A" w:rsidRPr="0029110D" w:rsidRDefault="00C34E4A">
            <w:pPr>
              <w:tabs>
                <w:tab w:val="left" w:pos="2730"/>
              </w:tabs>
              <w:rPr>
                <w:sz w:val="20"/>
                <w:szCs w:val="20"/>
              </w:rPr>
            </w:pPr>
            <w:r w:rsidRPr="0029110D">
              <w:rPr>
                <w:sz w:val="20"/>
                <w:szCs w:val="20"/>
              </w:rPr>
              <w:t>0</w:t>
            </w:r>
          </w:p>
        </w:tc>
      </w:tr>
      <w:tr w:rsidR="00C34E4A" w:rsidRPr="0029110D" w14:paraId="6897A0EA" w14:textId="77777777" w:rsidTr="00AB1FF1">
        <w:tc>
          <w:tcPr>
            <w:tcW w:w="3191" w:type="dxa"/>
          </w:tcPr>
          <w:p w14:paraId="002A1AF1" w14:textId="77777777" w:rsidR="00C34E4A" w:rsidRPr="0029110D" w:rsidRDefault="00C34E4A">
            <w:pPr>
              <w:tabs>
                <w:tab w:val="left" w:pos="2730"/>
              </w:tabs>
              <w:rPr>
                <w:sz w:val="20"/>
                <w:szCs w:val="20"/>
              </w:rPr>
            </w:pPr>
            <w:r w:rsidRPr="0029110D">
              <w:rPr>
                <w:sz w:val="20"/>
                <w:szCs w:val="20"/>
              </w:rPr>
              <w:t>Нарушения со стороны почек и мочевыводящих путей</w:t>
            </w:r>
          </w:p>
        </w:tc>
        <w:tc>
          <w:tcPr>
            <w:tcW w:w="1884" w:type="dxa"/>
          </w:tcPr>
          <w:p w14:paraId="6A5849C5" w14:textId="3E355C64" w:rsidR="00C34E4A" w:rsidRPr="0029110D" w:rsidRDefault="00C34E4A">
            <w:pPr>
              <w:tabs>
                <w:tab w:val="left" w:pos="2730"/>
              </w:tabs>
              <w:rPr>
                <w:sz w:val="20"/>
                <w:szCs w:val="20"/>
              </w:rPr>
            </w:pPr>
            <w:r w:rsidRPr="0029110D">
              <w:rPr>
                <w:sz w:val="20"/>
                <w:szCs w:val="20"/>
              </w:rPr>
              <w:t>6 (0</w:t>
            </w:r>
            <w:r w:rsidR="009C2F63" w:rsidRPr="0029110D">
              <w:rPr>
                <w:sz w:val="20"/>
                <w:szCs w:val="20"/>
              </w:rPr>
              <w:t>,</w:t>
            </w:r>
            <w:r w:rsidRPr="0029110D">
              <w:rPr>
                <w:sz w:val="20"/>
                <w:szCs w:val="20"/>
              </w:rPr>
              <w:t>6) [1</w:t>
            </w:r>
            <w:r w:rsidR="009C2F63" w:rsidRPr="0029110D">
              <w:rPr>
                <w:sz w:val="20"/>
                <w:szCs w:val="20"/>
              </w:rPr>
              <w:t>,</w:t>
            </w:r>
            <w:r w:rsidRPr="0029110D">
              <w:rPr>
                <w:sz w:val="20"/>
                <w:szCs w:val="20"/>
              </w:rPr>
              <w:t>5]</w:t>
            </w:r>
          </w:p>
        </w:tc>
        <w:tc>
          <w:tcPr>
            <w:tcW w:w="4253" w:type="dxa"/>
          </w:tcPr>
          <w:p w14:paraId="5812E993" w14:textId="77777777" w:rsidR="00C34E4A" w:rsidRPr="0029110D" w:rsidRDefault="00C34E4A">
            <w:pPr>
              <w:tabs>
                <w:tab w:val="left" w:pos="2730"/>
              </w:tabs>
              <w:rPr>
                <w:sz w:val="20"/>
                <w:szCs w:val="20"/>
              </w:rPr>
            </w:pPr>
            <w:r w:rsidRPr="0029110D">
              <w:rPr>
                <w:sz w:val="20"/>
                <w:szCs w:val="20"/>
              </w:rPr>
              <w:t>0</w:t>
            </w:r>
          </w:p>
        </w:tc>
      </w:tr>
      <w:tr w:rsidR="00C34E4A" w:rsidRPr="0029110D" w14:paraId="697758AD" w14:textId="77777777" w:rsidTr="00AB1FF1">
        <w:tc>
          <w:tcPr>
            <w:tcW w:w="3191" w:type="dxa"/>
          </w:tcPr>
          <w:p w14:paraId="1C051C28" w14:textId="77777777" w:rsidR="00C34E4A" w:rsidRPr="0029110D" w:rsidRDefault="00C34E4A">
            <w:pPr>
              <w:tabs>
                <w:tab w:val="left" w:pos="2730"/>
              </w:tabs>
              <w:rPr>
                <w:sz w:val="20"/>
                <w:szCs w:val="20"/>
              </w:rPr>
            </w:pPr>
            <w:r w:rsidRPr="0029110D">
              <w:rPr>
                <w:sz w:val="20"/>
                <w:szCs w:val="20"/>
              </w:rPr>
              <w:t>Нарушения со стороны репродуктивной системы и молочных желез</w:t>
            </w:r>
          </w:p>
        </w:tc>
        <w:tc>
          <w:tcPr>
            <w:tcW w:w="1884" w:type="dxa"/>
          </w:tcPr>
          <w:p w14:paraId="0B15FAA2" w14:textId="77777777" w:rsidR="00C34E4A" w:rsidRPr="0029110D" w:rsidRDefault="00C34E4A">
            <w:pPr>
              <w:tabs>
                <w:tab w:val="left" w:pos="2730"/>
              </w:tabs>
              <w:rPr>
                <w:sz w:val="20"/>
                <w:szCs w:val="20"/>
              </w:rPr>
            </w:pPr>
            <w:r w:rsidRPr="0029110D">
              <w:rPr>
                <w:sz w:val="20"/>
                <w:szCs w:val="20"/>
              </w:rPr>
              <w:t>0</w:t>
            </w:r>
          </w:p>
        </w:tc>
        <w:tc>
          <w:tcPr>
            <w:tcW w:w="4253" w:type="dxa"/>
          </w:tcPr>
          <w:p w14:paraId="653CD2FE" w14:textId="77777777" w:rsidR="00C34E4A" w:rsidRPr="0029110D" w:rsidRDefault="00C34E4A">
            <w:pPr>
              <w:tabs>
                <w:tab w:val="left" w:pos="2730"/>
              </w:tabs>
              <w:rPr>
                <w:sz w:val="20"/>
                <w:szCs w:val="20"/>
              </w:rPr>
            </w:pPr>
            <w:r w:rsidRPr="0029110D">
              <w:rPr>
                <w:sz w:val="20"/>
                <w:szCs w:val="20"/>
              </w:rPr>
              <w:t>1 (0,1) [0,2] Метроррагия (1)</w:t>
            </w:r>
          </w:p>
        </w:tc>
      </w:tr>
      <w:tr w:rsidR="00C34E4A" w:rsidRPr="0029110D" w14:paraId="1D581172" w14:textId="77777777" w:rsidTr="00AB1FF1">
        <w:tc>
          <w:tcPr>
            <w:tcW w:w="3191" w:type="dxa"/>
          </w:tcPr>
          <w:p w14:paraId="2291CF19" w14:textId="77777777" w:rsidR="00C34E4A" w:rsidRPr="0029110D" w:rsidRDefault="00C34E4A">
            <w:pPr>
              <w:tabs>
                <w:tab w:val="left" w:pos="2730"/>
              </w:tabs>
              <w:rPr>
                <w:sz w:val="20"/>
                <w:szCs w:val="20"/>
              </w:rPr>
            </w:pPr>
            <w:r w:rsidRPr="0029110D">
              <w:rPr>
                <w:sz w:val="20"/>
                <w:szCs w:val="20"/>
              </w:rPr>
              <w:t xml:space="preserve">Нарушения со стороны дыхательной системы, органов </w:t>
            </w:r>
            <w:r w:rsidRPr="0029110D">
              <w:rPr>
                <w:sz w:val="20"/>
                <w:szCs w:val="20"/>
              </w:rPr>
              <w:lastRenderedPageBreak/>
              <w:t>грудной клетки и средостения</w:t>
            </w:r>
          </w:p>
        </w:tc>
        <w:tc>
          <w:tcPr>
            <w:tcW w:w="1884" w:type="dxa"/>
          </w:tcPr>
          <w:p w14:paraId="4EC2BB49" w14:textId="736CA3D4" w:rsidR="00C34E4A" w:rsidRPr="0029110D" w:rsidRDefault="00C34E4A">
            <w:pPr>
              <w:tabs>
                <w:tab w:val="left" w:pos="2730"/>
              </w:tabs>
              <w:rPr>
                <w:sz w:val="20"/>
                <w:szCs w:val="20"/>
              </w:rPr>
            </w:pPr>
            <w:r w:rsidRPr="0029110D">
              <w:rPr>
                <w:sz w:val="20"/>
                <w:szCs w:val="20"/>
              </w:rPr>
              <w:lastRenderedPageBreak/>
              <w:t>2 (0</w:t>
            </w:r>
            <w:r w:rsidR="009C2F63" w:rsidRPr="0029110D">
              <w:rPr>
                <w:sz w:val="20"/>
                <w:szCs w:val="20"/>
              </w:rPr>
              <w:t>,</w:t>
            </w:r>
            <w:r w:rsidRPr="0029110D">
              <w:rPr>
                <w:sz w:val="20"/>
                <w:szCs w:val="20"/>
              </w:rPr>
              <w:t>2) [0</w:t>
            </w:r>
            <w:r w:rsidR="009C2F63" w:rsidRPr="0029110D">
              <w:rPr>
                <w:sz w:val="20"/>
                <w:szCs w:val="20"/>
              </w:rPr>
              <w:t>,</w:t>
            </w:r>
            <w:r w:rsidRPr="0029110D">
              <w:rPr>
                <w:sz w:val="20"/>
                <w:szCs w:val="20"/>
              </w:rPr>
              <w:t>5]</w:t>
            </w:r>
          </w:p>
        </w:tc>
        <w:tc>
          <w:tcPr>
            <w:tcW w:w="4253" w:type="dxa"/>
          </w:tcPr>
          <w:p w14:paraId="1F97CB1E" w14:textId="77777777" w:rsidR="00C34E4A" w:rsidRPr="0029110D" w:rsidRDefault="00C34E4A">
            <w:pPr>
              <w:tabs>
                <w:tab w:val="left" w:pos="2730"/>
              </w:tabs>
              <w:rPr>
                <w:sz w:val="20"/>
                <w:szCs w:val="20"/>
              </w:rPr>
            </w:pPr>
            <w:r w:rsidRPr="0029110D">
              <w:rPr>
                <w:sz w:val="20"/>
                <w:szCs w:val="20"/>
              </w:rPr>
              <w:t xml:space="preserve">5 (0,5) [1,2] аллергический бронхит (1), ХОБЛ (1), плеврит (1), плевритная боль (1), легочная </w:t>
            </w:r>
            <w:r w:rsidRPr="0029110D">
              <w:rPr>
                <w:sz w:val="20"/>
                <w:szCs w:val="20"/>
              </w:rPr>
              <w:lastRenderedPageBreak/>
              <w:t>эмболия (1)</w:t>
            </w:r>
          </w:p>
        </w:tc>
      </w:tr>
      <w:tr w:rsidR="00C34E4A" w:rsidRPr="0029110D" w14:paraId="68261000" w14:textId="77777777" w:rsidTr="00AB1FF1">
        <w:tc>
          <w:tcPr>
            <w:tcW w:w="3191" w:type="dxa"/>
          </w:tcPr>
          <w:p w14:paraId="56A20A32" w14:textId="77777777" w:rsidR="00C34E4A" w:rsidRPr="0029110D" w:rsidRDefault="00C34E4A">
            <w:pPr>
              <w:tabs>
                <w:tab w:val="left" w:pos="2730"/>
              </w:tabs>
              <w:rPr>
                <w:sz w:val="20"/>
                <w:szCs w:val="20"/>
              </w:rPr>
            </w:pPr>
            <w:r w:rsidRPr="0029110D">
              <w:rPr>
                <w:sz w:val="20"/>
                <w:szCs w:val="20"/>
              </w:rPr>
              <w:lastRenderedPageBreak/>
              <w:t>Нарушения со стороны кожи и подкожных тканей</w:t>
            </w:r>
          </w:p>
        </w:tc>
        <w:tc>
          <w:tcPr>
            <w:tcW w:w="1884" w:type="dxa"/>
          </w:tcPr>
          <w:p w14:paraId="216DFA74" w14:textId="1139C218" w:rsidR="00C34E4A" w:rsidRPr="0029110D" w:rsidRDefault="00C34E4A">
            <w:pPr>
              <w:tabs>
                <w:tab w:val="left" w:pos="2730"/>
              </w:tabs>
              <w:rPr>
                <w:sz w:val="20"/>
                <w:szCs w:val="20"/>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3]</w:t>
            </w:r>
          </w:p>
        </w:tc>
        <w:tc>
          <w:tcPr>
            <w:tcW w:w="4253" w:type="dxa"/>
          </w:tcPr>
          <w:p w14:paraId="132E0943" w14:textId="77777777" w:rsidR="00C34E4A" w:rsidRPr="0029110D" w:rsidRDefault="00C34E4A">
            <w:pPr>
              <w:tabs>
                <w:tab w:val="left" w:pos="2730"/>
              </w:tabs>
              <w:rPr>
                <w:sz w:val="20"/>
                <w:szCs w:val="20"/>
              </w:rPr>
            </w:pPr>
            <w:r w:rsidRPr="0029110D">
              <w:rPr>
                <w:sz w:val="20"/>
                <w:szCs w:val="20"/>
              </w:rPr>
              <w:t>2 (0,2) [0,5] Аллергический дерматит (1), зудящая сыпь (1)</w:t>
            </w:r>
          </w:p>
        </w:tc>
      </w:tr>
      <w:tr w:rsidR="00C34E4A" w:rsidRPr="0029110D" w14:paraId="5BB2C345" w14:textId="77777777" w:rsidTr="00AB1FF1">
        <w:tc>
          <w:tcPr>
            <w:tcW w:w="3191" w:type="dxa"/>
          </w:tcPr>
          <w:p w14:paraId="1740C6D7" w14:textId="77777777" w:rsidR="00C34E4A" w:rsidRPr="0029110D" w:rsidRDefault="00C34E4A">
            <w:pPr>
              <w:tabs>
                <w:tab w:val="left" w:pos="2730"/>
              </w:tabs>
              <w:rPr>
                <w:sz w:val="20"/>
                <w:szCs w:val="20"/>
              </w:rPr>
            </w:pPr>
            <w:r w:rsidRPr="0029110D">
              <w:rPr>
                <w:sz w:val="20"/>
                <w:szCs w:val="20"/>
              </w:rPr>
              <w:t>Хирургические и медицинские процедуры</w:t>
            </w:r>
          </w:p>
        </w:tc>
        <w:tc>
          <w:tcPr>
            <w:tcW w:w="1884" w:type="dxa"/>
          </w:tcPr>
          <w:p w14:paraId="2B18DCBB" w14:textId="44D55296" w:rsidR="00C34E4A" w:rsidRPr="0029110D" w:rsidRDefault="00C34E4A">
            <w:pPr>
              <w:tabs>
                <w:tab w:val="left" w:pos="2730"/>
              </w:tabs>
              <w:rPr>
                <w:sz w:val="20"/>
                <w:szCs w:val="20"/>
              </w:rPr>
            </w:pPr>
            <w:r w:rsidRPr="0029110D">
              <w:rPr>
                <w:sz w:val="20"/>
                <w:szCs w:val="20"/>
              </w:rPr>
              <w:t>1 (0</w:t>
            </w:r>
            <w:r w:rsidR="009C2F63" w:rsidRPr="0029110D">
              <w:rPr>
                <w:sz w:val="20"/>
                <w:szCs w:val="20"/>
              </w:rPr>
              <w:t>,</w:t>
            </w:r>
            <w:r w:rsidRPr="0029110D">
              <w:rPr>
                <w:sz w:val="20"/>
                <w:szCs w:val="20"/>
              </w:rPr>
              <w:t>1) [0</w:t>
            </w:r>
            <w:r w:rsidR="009C2F63" w:rsidRPr="0029110D">
              <w:rPr>
                <w:sz w:val="20"/>
                <w:szCs w:val="20"/>
              </w:rPr>
              <w:t>,</w:t>
            </w:r>
            <w:r w:rsidRPr="0029110D">
              <w:rPr>
                <w:sz w:val="20"/>
                <w:szCs w:val="20"/>
              </w:rPr>
              <w:t>3]</w:t>
            </w:r>
          </w:p>
        </w:tc>
        <w:tc>
          <w:tcPr>
            <w:tcW w:w="4253" w:type="dxa"/>
          </w:tcPr>
          <w:p w14:paraId="73D8B55E" w14:textId="77777777" w:rsidR="00C34E4A" w:rsidRPr="0029110D" w:rsidRDefault="00C34E4A">
            <w:pPr>
              <w:tabs>
                <w:tab w:val="left" w:pos="2730"/>
              </w:tabs>
              <w:rPr>
                <w:sz w:val="20"/>
                <w:szCs w:val="20"/>
              </w:rPr>
            </w:pPr>
            <w:r w:rsidRPr="0029110D">
              <w:rPr>
                <w:sz w:val="20"/>
                <w:szCs w:val="20"/>
              </w:rPr>
              <w:t>0</w:t>
            </w:r>
          </w:p>
        </w:tc>
      </w:tr>
      <w:tr w:rsidR="00C34E4A" w:rsidRPr="0029110D" w14:paraId="5AAF19B6" w14:textId="77777777" w:rsidTr="00AB1FF1">
        <w:tc>
          <w:tcPr>
            <w:tcW w:w="9328" w:type="dxa"/>
            <w:gridSpan w:val="3"/>
          </w:tcPr>
          <w:p w14:paraId="73FA0C19" w14:textId="5CAFFF5B" w:rsidR="00C34E4A" w:rsidRPr="0029110D" w:rsidRDefault="005D2DF4">
            <w:pPr>
              <w:rPr>
                <w:sz w:val="20"/>
                <w:szCs w:val="20"/>
              </w:rPr>
            </w:pPr>
            <w:r w:rsidRPr="0029110D">
              <w:rPr>
                <w:b/>
                <w:sz w:val="20"/>
                <w:szCs w:val="20"/>
              </w:rPr>
              <w:t>Примечание:</w:t>
            </w:r>
            <w:r w:rsidRPr="0029110D">
              <w:rPr>
                <w:sz w:val="20"/>
                <w:szCs w:val="20"/>
              </w:rPr>
              <w:br/>
            </w:r>
            <w:r w:rsidR="00C34E4A" w:rsidRPr="0029110D">
              <w:rPr>
                <w:sz w:val="20"/>
                <w:szCs w:val="20"/>
              </w:rPr>
              <w:t xml:space="preserve">PBO – плацебо; PYE – воздействие пациенто-лет; </w:t>
            </w:r>
            <w:r w:rsidR="00C34E4A" w:rsidRPr="0029110D">
              <w:rPr>
                <w:sz w:val="20"/>
                <w:szCs w:val="20"/>
                <w:lang w:val="en-US"/>
              </w:rPr>
              <w:t>PY</w:t>
            </w:r>
            <w:r w:rsidR="00C34E4A" w:rsidRPr="0029110D">
              <w:rPr>
                <w:sz w:val="20"/>
                <w:szCs w:val="20"/>
              </w:rPr>
              <w:t xml:space="preserve"> – пациенто-годы; BARI 4-mg – барицитиниб 4 мг; АЛТ – аланинаминотрансфераза; АСТ – аспартатаминотрансфераза; ХОБЛ – хроническая обструктивная болезнь легких.</w:t>
            </w:r>
          </w:p>
        </w:tc>
      </w:tr>
    </w:tbl>
    <w:p w14:paraId="0D2BEE3B" w14:textId="77777777" w:rsidR="00C34E4A" w:rsidRPr="00DE7CAB" w:rsidRDefault="00C34E4A">
      <w:pPr>
        <w:tabs>
          <w:tab w:val="left" w:pos="2730"/>
        </w:tabs>
        <w:spacing w:after="0" w:line="240" w:lineRule="auto"/>
      </w:pPr>
    </w:p>
    <w:p w14:paraId="695F0B8C" w14:textId="4E54E255" w:rsidR="00C34E4A" w:rsidRPr="005D2DF4" w:rsidRDefault="005D2DF4">
      <w:pPr>
        <w:tabs>
          <w:tab w:val="left" w:pos="2730"/>
        </w:tabs>
        <w:spacing w:after="0" w:line="240" w:lineRule="auto"/>
        <w:rPr>
          <w:b/>
          <w:i/>
          <w:iCs/>
        </w:rPr>
      </w:pPr>
      <w:r w:rsidRPr="005D2DF4">
        <w:rPr>
          <w:b/>
        </w:rPr>
        <w:t>4.3.2.1.</w:t>
      </w:r>
      <w:r>
        <w:rPr>
          <w:b/>
        </w:rPr>
        <w:t>3</w:t>
      </w:r>
      <w:r w:rsidRPr="005D2DF4">
        <w:rPr>
          <w:b/>
        </w:rPr>
        <w:t>.</w:t>
      </w:r>
      <w:r>
        <w:t xml:space="preserve"> </w:t>
      </w:r>
      <w:r w:rsidR="00C34E4A" w:rsidRPr="005D2DF4">
        <w:rPr>
          <w:b/>
          <w:iCs/>
        </w:rPr>
        <w:t>Лабораторные</w:t>
      </w:r>
      <w:r w:rsidR="00C34E4A" w:rsidRPr="005D2DF4">
        <w:rPr>
          <w:b/>
          <w:i/>
          <w:iCs/>
        </w:rPr>
        <w:t xml:space="preserve"> </w:t>
      </w:r>
      <w:r w:rsidR="00C34E4A" w:rsidRPr="006E1535">
        <w:rPr>
          <w:b/>
          <w:iCs/>
        </w:rPr>
        <w:t>данные</w:t>
      </w:r>
    </w:p>
    <w:p w14:paraId="66E42E82" w14:textId="77777777" w:rsidR="005D2DF4" w:rsidRPr="00D8760B" w:rsidRDefault="005D2DF4">
      <w:pPr>
        <w:tabs>
          <w:tab w:val="left" w:pos="2730"/>
        </w:tabs>
        <w:spacing w:after="0" w:line="240" w:lineRule="auto"/>
        <w:ind w:firstLine="709"/>
        <w:rPr>
          <w:i/>
          <w:iCs/>
        </w:rPr>
      </w:pPr>
    </w:p>
    <w:p w14:paraId="7E4AE9F3" w14:textId="77777777" w:rsidR="00C34E4A" w:rsidRPr="00BE0BE9" w:rsidRDefault="00C34E4A" w:rsidP="00AB1FF1">
      <w:pPr>
        <w:tabs>
          <w:tab w:val="left" w:pos="2730"/>
        </w:tabs>
        <w:spacing w:after="0" w:line="240" w:lineRule="auto"/>
        <w:rPr>
          <w:b/>
          <w:i/>
        </w:rPr>
      </w:pPr>
      <w:r w:rsidRPr="00BE0BE9">
        <w:rPr>
          <w:b/>
          <w:i/>
        </w:rPr>
        <w:t>Биохимический анализ крови</w:t>
      </w:r>
    </w:p>
    <w:p w14:paraId="1BA35C15" w14:textId="77777777" w:rsidR="0029110D" w:rsidRDefault="0029110D">
      <w:pPr>
        <w:tabs>
          <w:tab w:val="left" w:pos="2730"/>
        </w:tabs>
        <w:spacing w:after="0" w:line="240" w:lineRule="auto"/>
        <w:ind w:firstLine="709"/>
      </w:pPr>
    </w:p>
    <w:p w14:paraId="1AFE054B" w14:textId="0E9F9853" w:rsidR="00C34E4A" w:rsidRDefault="00C34E4A">
      <w:pPr>
        <w:tabs>
          <w:tab w:val="left" w:pos="2730"/>
        </w:tabs>
        <w:spacing w:after="0" w:line="240" w:lineRule="auto"/>
        <w:ind w:firstLine="709"/>
      </w:pPr>
      <w:r>
        <w:t xml:space="preserve">Не было значимых изменений в содержании глюкозы, натрия, калия или общего белка. Лечение барицитинибом сопровождалось быстрым повышением уровня креатинфосфокиназы на 80% по сравнению с исходными значениями, которое стабилизировалось примерно через 12 недель лечения. Менее 15 случаев (0,8%) представляли собой значимое увеличение (&gt; 5 x ВГН) по сравнению с 0,2% для плацебо. Риск увеличения активности креатинфосфокиназы увеличивался у пациентов с почечной недостаточностью. Появляющиеся после лечения боль в мышцах чаще отмечались при приеме барицитиниба в дозе 4 мг, чем при приеме плацебо (1,6 [5,5 на 100 ч/л] против 1,1% [4,0 на 100 ч/л] соответственно). Сообщалось об одном случае возможного рабдомиолиза (оценено как несерьезное). Причинно-следственная связь неясна, поскольку у пациента исходно был повышен уровень креатинфосфокиназы (778 ЕД/л), при этом лечение барицитинибом было продолжено </w:t>
      </w:r>
      <w:r>
        <w:fldChar w:fldCharType="begin"/>
      </w:r>
      <w:r>
        <w:instrText xml:space="preserve"> ADDIN ZOTERO_ITEM CSL_CITATION {"citationID":"mX7Zq3tr","properties":{"formattedCitation":"[1]","plainCitation":"[1]","noteIndex":0},"citationItems":[{"id":3826,"uris":["http://zotero.org/groups/4514912/items/UB7ESC4C"],"itemData":{"id":3826,"type":"document","title":"Assessment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0805B405" w14:textId="77777777" w:rsidR="005D2DF4" w:rsidRDefault="005D2DF4">
      <w:pPr>
        <w:tabs>
          <w:tab w:val="left" w:pos="2730"/>
        </w:tabs>
        <w:spacing w:after="0" w:line="240" w:lineRule="auto"/>
        <w:ind w:firstLine="709"/>
      </w:pPr>
    </w:p>
    <w:p w14:paraId="1E1DC505" w14:textId="77777777" w:rsidR="00C34E4A" w:rsidRPr="00BE0BE9" w:rsidRDefault="00C34E4A" w:rsidP="00AB1FF1">
      <w:pPr>
        <w:tabs>
          <w:tab w:val="left" w:pos="2730"/>
        </w:tabs>
        <w:spacing w:after="0" w:line="240" w:lineRule="auto"/>
        <w:rPr>
          <w:b/>
          <w:i/>
        </w:rPr>
      </w:pPr>
      <w:r w:rsidRPr="00BE0BE9">
        <w:rPr>
          <w:b/>
          <w:i/>
        </w:rPr>
        <w:t>Клинический анализ крови</w:t>
      </w:r>
    </w:p>
    <w:p w14:paraId="53805E6A" w14:textId="77777777" w:rsidR="0029110D" w:rsidRDefault="0029110D">
      <w:pPr>
        <w:tabs>
          <w:tab w:val="left" w:pos="2730"/>
        </w:tabs>
        <w:spacing w:after="0" w:line="240" w:lineRule="auto"/>
        <w:ind w:firstLine="709"/>
      </w:pPr>
    </w:p>
    <w:p w14:paraId="771C222F" w14:textId="169B00F4" w:rsidR="00C34E4A" w:rsidRDefault="00C34E4A">
      <w:pPr>
        <w:tabs>
          <w:tab w:val="left" w:pos="2730"/>
        </w:tabs>
        <w:spacing w:after="0" w:line="240" w:lineRule="auto"/>
        <w:ind w:firstLine="709"/>
      </w:pPr>
      <w:r>
        <w:t xml:space="preserve">Ввиду фармакодинамического действия барицитиниба (ингибирование JAK, ингибирование сигнального пути для цитокинов и эритропоэтических факторов) гематологические параметры и маркеры миелосупрессии отслеживались на протяжении всех исследований </w:t>
      </w:r>
      <w:r>
        <w:fldChar w:fldCharType="begin"/>
      </w:r>
      <w:r>
        <w:instrText xml:space="preserve"> ADDIN ZOTERO_ITEM CSL_CITATION {"citationID":"tc2YkbbN","properties":{"formattedCitation":"[1]","plainCitation":"[1]","noteIndex":0},"citationItems":[{"id":3826,"uris":["http://zotero.org/groups/4514912/items/UB7ESC4C"],"itemData":{"id":3826,"type":"document","title":"Assessment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0D586F52" w14:textId="77777777" w:rsidR="00C34E4A" w:rsidRDefault="00C34E4A">
      <w:pPr>
        <w:tabs>
          <w:tab w:val="left" w:pos="2730"/>
        </w:tabs>
        <w:spacing w:after="0" w:line="240" w:lineRule="auto"/>
        <w:ind w:firstLine="709"/>
      </w:pPr>
      <w:r>
        <w:t xml:space="preserve">Барицитиниб в дозе 4 мг вызывал небольшое снижение </w:t>
      </w:r>
      <w:r w:rsidRPr="00764FBE">
        <w:t>гемоглобина (Hb), гематокрита (Ht)</w:t>
      </w:r>
      <w:r>
        <w:t xml:space="preserve"> и количества эритроцитов по сравнению с исходным уровнем. Средняя разница изменения Hb от исходного уровня для дозы 4 мг составила 0,05 ммоль/мл (95%ДИ -0,01; -0,1, что эквивалентно 0,016–0,16 г/дл) по сравнению с плацебо. Эффекты барицитиниба в дозе 2 и 4 мг были сходными. По сравнению с плацебо частота встречаемости снижения </w:t>
      </w:r>
      <w:r w:rsidRPr="0086532C">
        <w:t>Hb</w:t>
      </w:r>
      <w:r>
        <w:t xml:space="preserve"> (определяемого как &lt;12 г/дл для женщин и 13,5 г/дл для мужчин) составила 27,5% для барицитиниба 4 мг по сравнению с 24,5% для плацебо (объединенные данные первичного анализа безопасности, 16 недель). Снижение Hb &lt;8 г/дл регистрировали редко (&lt;0,5%), частота отклонения была сопоставима с группами при монотерапии плацебо или МТХ</w:t>
      </w:r>
      <w:r>
        <w:fldChar w:fldCharType="begin"/>
      </w:r>
      <w:r>
        <w:instrText xml:space="preserve"> ADDIN ZOTERO_ITEM CSL_CITATION {"citationID":"IH2BTV1M","properties":{"formattedCitation":"[1]","plainCitation":"[1]","noteIndex":0},"citationItems":[{"id":3826,"uris":["http://zotero.org/groups/4514912/items/UB7ESC4C"],"itemData":{"id":3826,"type":"document","title":"Assessment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14B35537" w14:textId="77777777" w:rsidR="00C34E4A" w:rsidRDefault="00C34E4A">
      <w:pPr>
        <w:tabs>
          <w:tab w:val="left" w:pos="2730"/>
        </w:tabs>
        <w:spacing w:after="0" w:line="240" w:lineRule="auto"/>
        <w:ind w:firstLine="709"/>
      </w:pPr>
      <w:r>
        <w:t xml:space="preserve">Первоначальное снижение уровня Hb и эритроцитов было связано с увеличением числа ретикулоцитов, что указывает на компенсаторный механизм, Hb возвращался к исходному уровню через 24 недели. В общей сложности 4 пациента прекратили прием барицитиниба из-за анемии (из 3822 пациентов, получавших барицитиниб). У пациентов, </w:t>
      </w:r>
      <w:r>
        <w:lastRenderedPageBreak/>
        <w:t xml:space="preserve">прервавших лечение из-за анемии, Hb возвращался к исходному уровню в течение 28 дней </w:t>
      </w:r>
      <w:r>
        <w:fldChar w:fldCharType="begin"/>
      </w:r>
      <w:r>
        <w:instrText xml:space="preserve"> ADDIN ZOTERO_ITEM CSL_CITATION {"citationID":"5PrltYHT","properties":{"formattedCitation":"[1]","plainCitation":"[1]","noteIndex":0},"citationItems":[{"id":3826,"uris":["http://zotero.org/groups/4514912/items/UB7ESC4C"],"itemData":{"id":3826,"type":"document","title":"Assessment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3ED8C9D7" w14:textId="77777777" w:rsidR="00C34E4A" w:rsidRDefault="00C34E4A">
      <w:pPr>
        <w:tabs>
          <w:tab w:val="left" w:pos="2730"/>
        </w:tabs>
        <w:spacing w:after="0" w:line="240" w:lineRule="auto"/>
        <w:ind w:firstLine="709"/>
      </w:pPr>
      <w:r>
        <w:t xml:space="preserve">Барицитиниб вызывал кратковременный прирост тромбоцитов, что не было ассоциировано с явлениями венозного тромбоза </w:t>
      </w:r>
      <w:r>
        <w:fldChar w:fldCharType="begin"/>
      </w:r>
      <w:r>
        <w:instrText xml:space="preserve"> ADDIN ZOTERO_ITEM CSL_CITATION {"citationID":"M7PBPmKE","properties":{"formattedCitation":"[1]","plainCitation":"[1]","noteIndex":0},"citationItems":[{"id":3826,"uris":["http://zotero.org/groups/4514912/items/UB7ESC4C"],"itemData":{"id":3826,"type":"document","title":"Assessment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1DC4130D" w14:textId="77777777" w:rsidR="00C34E4A" w:rsidRDefault="00C34E4A">
      <w:pPr>
        <w:tabs>
          <w:tab w:val="left" w:pos="2730"/>
        </w:tabs>
        <w:spacing w:after="0" w:line="240" w:lineRule="auto"/>
        <w:ind w:firstLine="709"/>
      </w:pPr>
      <w:r>
        <w:t>Среднее количество лейкоцитов и, в частности, количество нейтрофилов снижалось по сравнению с исходным вскоре после начала лечения барицитинибом дозозависимым образом. Нейтропения 3 степени (&lt;1,0*10</w:t>
      </w:r>
      <w:r>
        <w:rPr>
          <w:vertAlign w:val="superscript"/>
        </w:rPr>
        <w:t>9</w:t>
      </w:r>
      <w:r>
        <w:t xml:space="preserve"> кл/л) регистрировалась редко (0,3% при дозе барицитиниба 4 мг)</w:t>
      </w:r>
      <w:r w:rsidRPr="002F4447">
        <w:t xml:space="preserve"> </w:t>
      </w:r>
      <w:r>
        <w:fldChar w:fldCharType="begin"/>
      </w:r>
      <w:r>
        <w:instrText xml:space="preserve"> ADDIN ZOTERO_ITEM CSL_CITATION {"citationID":"UtzWqDyS","properties":{"formattedCitation":"[1]","plainCitation":"[1]","noteIndex":0},"citationItems":[{"id":3826,"uris":["http://zotero.org/groups/4514912/items/UB7ESC4C"],"itemData":{"id":3826,"type":"document","title":"Assessment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061B9A51" w14:textId="77777777" w:rsidR="00C34E4A" w:rsidRDefault="00C34E4A">
      <w:pPr>
        <w:tabs>
          <w:tab w:val="left" w:pos="2730"/>
        </w:tabs>
        <w:spacing w:after="0" w:line="240" w:lineRule="auto"/>
        <w:ind w:firstLine="709"/>
      </w:pPr>
      <w:r>
        <w:t xml:space="preserve">NK-клетки увеличились в первые две недели, но затем снизились на 20% по сравнению с исходным уровнем и медленно восстановились до исходного уровня на 52-й неделе. Аналогичные эффекты были зарегистрированы для МТХ </w:t>
      </w:r>
      <w:r>
        <w:fldChar w:fldCharType="begin"/>
      </w:r>
      <w:r>
        <w:instrText xml:space="preserve"> ADDIN ZOTERO_ITEM CSL_CITATION {"citationID":"1QoJUDYO","properties":{"formattedCitation":"[1]","plainCitation":"[1]","noteIndex":0},"citationItems":[{"id":3826,"uris":["http://zotero.org/groups/4514912/items/UB7ESC4C"],"itemData":{"id":3826,"type":"document","title":"Assessment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6BFBB891" w14:textId="77777777" w:rsidR="00C34E4A" w:rsidRDefault="00C34E4A">
      <w:pPr>
        <w:tabs>
          <w:tab w:val="left" w:pos="2730"/>
        </w:tabs>
        <w:spacing w:after="0" w:line="240" w:lineRule="auto"/>
        <w:ind w:firstLine="709"/>
      </w:pPr>
      <w:r>
        <w:t>В целом введение барицитиниба ассоциировалось с увеличением среднего количества лимфоцитов в течение 1 недели после начала лечения; значения снизились до исходного уровня в интервале от 12 до 24 недель и оставались стабильными. Лимфоцитопения 3-й степени (&lt;0,5*10</w:t>
      </w:r>
      <w:r>
        <w:rPr>
          <w:vertAlign w:val="superscript"/>
        </w:rPr>
        <w:t>9</w:t>
      </w:r>
      <w:r>
        <w:t xml:space="preserve"> кл/л) была зарегистрирована у 1,9% всех пациентов с РА, принимавших барицитиниб в дозе 4 мг, что соответствует диапазонам, для групп, получавших плацебо или МТХ. Отмечена слабая связь между лимфоцитопенией и инфекциями </w:t>
      </w:r>
      <w:r>
        <w:fldChar w:fldCharType="begin"/>
      </w:r>
      <w:r>
        <w:instrText xml:space="preserve"> ADDIN ZOTERO_ITEM CSL_CITATION {"citationID":"AsoWsYcQ","properties":{"formattedCitation":"[1]","plainCitation":"[1]","noteIndex":0},"citationItems":[{"id":3826,"uris":["http://zotero.org/groups/4514912/items/UB7ESC4C"],"itemData":{"id":3826,"type":"document","title":"Assessment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32E473C9" w14:textId="77777777" w:rsidR="00C34E4A" w:rsidRDefault="00C34E4A">
      <w:pPr>
        <w:tabs>
          <w:tab w:val="left" w:pos="2730"/>
        </w:tabs>
        <w:spacing w:after="0" w:line="240" w:lineRule="auto"/>
        <w:ind w:firstLine="709"/>
      </w:pPr>
      <w:r>
        <w:t xml:space="preserve">При анализе субпопуляций лимфоцитов установили увеличение субпопуляций В-клеток (CD19+/CD20+) на 70–100%. При этом уровень γ-глобулинов немного снизился при приеме барицитиниба, что можно рассматривать как ответ на лечение воспаления. В соответствии с приростом общего количества лимфоцитов, количество CD3+, CD4+ и, в меньшей степени, CD8+, увеличилось от исходного уровня до 24 недели. После этого уровни CD3/4/8 постепенно вернулись к исходному уровню. Отмечалось незначительное снижение Т-хелперных клеток </w:t>
      </w:r>
      <w:r>
        <w:fldChar w:fldCharType="begin"/>
      </w:r>
      <w:r>
        <w:instrText xml:space="preserve"> ADDIN ZOTERO_ITEM CSL_CITATION {"citationID":"7f5jMgZx","properties":{"formattedCitation":"[1]","plainCitation":"[1]","noteIndex":0},"citationItems":[{"id":3826,"uris":["http://zotero.org/groups/4514912/items/UB7ESC4C"],"itemData":{"id":3826,"type":"document","title":"Assessment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013AA916" w14:textId="77777777" w:rsidR="00C34E4A" w:rsidRPr="005D2DF4" w:rsidRDefault="00C34E4A">
      <w:pPr>
        <w:tabs>
          <w:tab w:val="left" w:pos="2730"/>
        </w:tabs>
        <w:spacing w:after="0" w:line="240" w:lineRule="auto"/>
        <w:ind w:firstLine="709"/>
        <w:rPr>
          <w:b/>
        </w:rPr>
      </w:pPr>
      <w:r w:rsidRPr="005D2DF4">
        <w:rPr>
          <w:b/>
        </w:rPr>
        <w:t xml:space="preserve"> </w:t>
      </w:r>
    </w:p>
    <w:p w14:paraId="427553E9" w14:textId="082A649A" w:rsidR="00C34E4A" w:rsidRPr="005D2DF4" w:rsidRDefault="005D2DF4">
      <w:pPr>
        <w:tabs>
          <w:tab w:val="left" w:pos="2730"/>
        </w:tabs>
        <w:spacing w:after="0" w:line="240" w:lineRule="auto"/>
        <w:rPr>
          <w:b/>
          <w:iCs/>
        </w:rPr>
      </w:pPr>
      <w:r w:rsidRPr="005D2DF4">
        <w:rPr>
          <w:b/>
        </w:rPr>
        <w:t>4.3.2.1.</w:t>
      </w:r>
      <w:r>
        <w:rPr>
          <w:b/>
        </w:rPr>
        <w:t>4</w:t>
      </w:r>
      <w:r w:rsidRPr="005D2DF4">
        <w:rPr>
          <w:b/>
        </w:rPr>
        <w:t>.</w:t>
      </w:r>
      <w:r>
        <w:t xml:space="preserve">  </w:t>
      </w:r>
      <w:r w:rsidR="00C34E4A" w:rsidRPr="005D2DF4">
        <w:rPr>
          <w:b/>
          <w:iCs/>
        </w:rPr>
        <w:t>Безопасность в особых группах населения</w:t>
      </w:r>
    </w:p>
    <w:p w14:paraId="5D621A5F" w14:textId="77777777" w:rsidR="005D2DF4" w:rsidRDefault="005D2DF4">
      <w:pPr>
        <w:tabs>
          <w:tab w:val="left" w:pos="2730"/>
        </w:tabs>
        <w:spacing w:after="0" w:line="240" w:lineRule="auto"/>
        <w:ind w:firstLine="709"/>
        <w:rPr>
          <w:i/>
          <w:iCs/>
        </w:rPr>
      </w:pPr>
    </w:p>
    <w:p w14:paraId="2A20DDD9" w14:textId="77777777" w:rsidR="00C34E4A" w:rsidRPr="00BE0BE9" w:rsidRDefault="00C34E4A" w:rsidP="00AB1FF1">
      <w:pPr>
        <w:tabs>
          <w:tab w:val="left" w:pos="2730"/>
        </w:tabs>
        <w:spacing w:after="0" w:line="240" w:lineRule="auto"/>
        <w:rPr>
          <w:b/>
          <w:i/>
          <w:iCs/>
        </w:rPr>
      </w:pPr>
      <w:r w:rsidRPr="00BE0BE9">
        <w:rPr>
          <w:b/>
          <w:i/>
          <w:iCs/>
        </w:rPr>
        <w:t>Женщины</w:t>
      </w:r>
    </w:p>
    <w:p w14:paraId="20675420" w14:textId="77777777" w:rsidR="0029110D" w:rsidRDefault="0029110D">
      <w:pPr>
        <w:tabs>
          <w:tab w:val="left" w:pos="2730"/>
        </w:tabs>
        <w:spacing w:after="0" w:line="240" w:lineRule="auto"/>
        <w:ind w:firstLine="709"/>
      </w:pPr>
    </w:p>
    <w:p w14:paraId="49EBA8B8" w14:textId="6EC89775" w:rsidR="00C34E4A" w:rsidRDefault="00C34E4A">
      <w:pPr>
        <w:tabs>
          <w:tab w:val="left" w:pos="2730"/>
        </w:tabs>
        <w:spacing w:after="0" w:line="240" w:lineRule="auto"/>
        <w:ind w:firstLine="709"/>
      </w:pPr>
      <w:r>
        <w:t xml:space="preserve">В группах, получавших комбинацию барицитниб+МТХ, сообщалось о более частой аменорее в сравнении с плацебо, до 24 недель (1,5 на 100 ч/л по сравнению с 0,3 на 100 ч/л) </w:t>
      </w:r>
      <w:r>
        <w:fldChar w:fldCharType="begin"/>
      </w:r>
      <w:r>
        <w:instrText xml:space="preserve"> ADDIN ZOTERO_ITEM CSL_CITATION {"citationID":"7RhEa81q","properties":{"formattedCitation":"[1]","plainCitation":"[1]","noteIndex":0},"citationItems":[{"id":3826,"uris":["http://zotero.org/groups/4514912/items/UB7ESC4C"],"itemData":{"id":3826,"type":"document","title":"Assessment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68329BFE" w14:textId="77777777" w:rsidR="00BE0BE9" w:rsidRDefault="00BE0BE9" w:rsidP="00BE0BE9">
      <w:pPr>
        <w:tabs>
          <w:tab w:val="left" w:pos="2730"/>
        </w:tabs>
        <w:spacing w:after="0" w:line="240" w:lineRule="auto"/>
        <w:ind w:firstLine="709"/>
      </w:pPr>
    </w:p>
    <w:p w14:paraId="70B48158" w14:textId="77777777" w:rsidR="00C34E4A" w:rsidRPr="00BE0BE9" w:rsidRDefault="00C34E4A" w:rsidP="00AB1FF1">
      <w:pPr>
        <w:tabs>
          <w:tab w:val="left" w:pos="2730"/>
        </w:tabs>
        <w:spacing w:after="0" w:line="240" w:lineRule="auto"/>
        <w:rPr>
          <w:b/>
          <w:i/>
          <w:iCs/>
        </w:rPr>
      </w:pPr>
      <w:r w:rsidRPr="00BE0BE9">
        <w:rPr>
          <w:b/>
          <w:i/>
          <w:iCs/>
        </w:rPr>
        <w:t>Пожилые</w:t>
      </w:r>
    </w:p>
    <w:p w14:paraId="1D364CDB" w14:textId="77777777" w:rsidR="0029110D" w:rsidRDefault="0029110D">
      <w:pPr>
        <w:tabs>
          <w:tab w:val="left" w:pos="2730"/>
        </w:tabs>
        <w:spacing w:after="0" w:line="240" w:lineRule="auto"/>
        <w:ind w:firstLine="709"/>
      </w:pPr>
    </w:p>
    <w:p w14:paraId="57D2F964" w14:textId="40E7F1DC" w:rsidR="00C34E4A" w:rsidRDefault="00C34E4A">
      <w:pPr>
        <w:tabs>
          <w:tab w:val="left" w:pos="2730"/>
        </w:tabs>
        <w:spacing w:after="0" w:line="240" w:lineRule="auto"/>
        <w:ind w:firstLine="709"/>
      </w:pPr>
      <w:r>
        <w:t xml:space="preserve">Программа лечения барицитинибом при РА включала 605 пациентов в возрасте 65 лет и старше, 77 пациентов в возрасте 75 лет и старше и 1 пациента в возрасте старше 85 лет </w:t>
      </w:r>
      <w:r>
        <w:fldChar w:fldCharType="begin"/>
      </w:r>
      <w:r>
        <w:instrText xml:space="preserve"> ADDIN ZOTERO_ITEM CSL_CITATION {"citationID":"0aluE6NM","properties":{"formattedCitation":"[1]","plainCitation":"[1]","noteIndex":0},"citationItems":[{"id":3826,"uris":["http://zotero.org/groups/4514912/items/UB7ESC4C"],"itemData":{"id":3826,"type":"document","title":"Assessment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53B644DF" w14:textId="77777777" w:rsidR="00C34E4A" w:rsidRDefault="00C34E4A">
      <w:pPr>
        <w:tabs>
          <w:tab w:val="left" w:pos="2730"/>
        </w:tabs>
        <w:spacing w:after="0" w:line="240" w:lineRule="auto"/>
        <w:ind w:firstLine="709"/>
      </w:pPr>
      <w:r>
        <w:t xml:space="preserve">Инфекции чаще регистрировались у пожилых людей по сравнению с более молодыми субъектами, но аналогичная тенденция была отмечена и для группы плацебо. У пожилых людей старше 65 лет, ранее получавших интенсивное лечение </w:t>
      </w:r>
      <w:r>
        <w:rPr>
          <w:rFonts w:eastAsia="Times New Roman"/>
          <w:iCs/>
          <w:lang w:eastAsia="ru-RU"/>
        </w:rPr>
        <w:t>БМАРП</w:t>
      </w:r>
      <w:r>
        <w:t>, существовал дозозависимый риск развития опоясывающего герпеса. Однако дозозависимая тенденция не была подтверждена у пожилых людей, получавших только синтетические с</w:t>
      </w:r>
      <w:r>
        <w:rPr>
          <w:rFonts w:eastAsia="Times New Roman"/>
          <w:iCs/>
          <w:lang w:eastAsia="ru-RU"/>
        </w:rPr>
        <w:t xml:space="preserve">БМАРП </w:t>
      </w:r>
      <w:r>
        <w:fldChar w:fldCharType="begin"/>
      </w:r>
      <w:r>
        <w:instrText xml:space="preserve"> ADDIN ZOTERO_ITEM CSL_CITATION {"citationID":"Tn5u91ZL","properties":{"formattedCitation":"[1]","plainCitation":"[1]","noteIndex":0},"citationItems":[{"id":3826,"uris":["http://zotero.org/groups/4514912/items/UB7ESC4C"],"itemData":{"id":3826,"type":"document","title":"Assessment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127D0D29" w14:textId="77777777" w:rsidR="00C34E4A" w:rsidRDefault="00C34E4A">
      <w:pPr>
        <w:tabs>
          <w:tab w:val="left" w:pos="2730"/>
        </w:tabs>
        <w:spacing w:after="0" w:line="240" w:lineRule="auto"/>
        <w:ind w:firstLine="709"/>
      </w:pPr>
    </w:p>
    <w:p w14:paraId="626E91D1" w14:textId="77777777" w:rsidR="00C34E4A" w:rsidRPr="00BE0BE9" w:rsidRDefault="00C34E4A" w:rsidP="00AB1FF1">
      <w:pPr>
        <w:tabs>
          <w:tab w:val="left" w:pos="2730"/>
        </w:tabs>
        <w:spacing w:after="0" w:line="240" w:lineRule="auto"/>
        <w:rPr>
          <w:b/>
          <w:i/>
          <w:iCs/>
        </w:rPr>
      </w:pPr>
      <w:r w:rsidRPr="00BE0BE9">
        <w:rPr>
          <w:b/>
          <w:i/>
          <w:iCs/>
        </w:rPr>
        <w:t>Почечная недостаточность</w:t>
      </w:r>
    </w:p>
    <w:p w14:paraId="485F580B" w14:textId="77777777" w:rsidR="0029110D" w:rsidRDefault="0029110D">
      <w:pPr>
        <w:tabs>
          <w:tab w:val="left" w:pos="2730"/>
        </w:tabs>
        <w:spacing w:after="0" w:line="240" w:lineRule="auto"/>
        <w:ind w:firstLine="709"/>
      </w:pPr>
    </w:p>
    <w:p w14:paraId="46DCFA68" w14:textId="3462ABA3" w:rsidR="00C34E4A" w:rsidRDefault="00C34E4A">
      <w:pPr>
        <w:tabs>
          <w:tab w:val="left" w:pos="2730"/>
        </w:tabs>
        <w:spacing w:after="0" w:line="240" w:lineRule="auto"/>
        <w:ind w:firstLine="709"/>
      </w:pPr>
      <w:r>
        <w:lastRenderedPageBreak/>
        <w:t xml:space="preserve">Поскольку барицитиниб преимущественно выводится почками, для пациентов с почечной недостаточностью рекомендуется более низкая доза – 2 мг. Отмечено, что пациенты с нарушением функции почек легкой и средней степени тяжести исходно имели более высокий риск развития анемии (29,6% для барицитиниба 4 мг и 21,8% для плацебо) </w:t>
      </w:r>
      <w:r>
        <w:fldChar w:fldCharType="begin"/>
      </w:r>
      <w:r>
        <w:instrText xml:space="preserve"> ADDIN ZOTERO_ITEM CSL_CITATION {"citationID":"VxMutOYo","properties":{"formattedCitation":"[1]","plainCitation":"[1]","noteIndex":0},"citationItems":[{"id":3826,"uris":["http://zotero.org/groups/4514912/items/UB7ESC4C"],"itemData":{"id":3826,"type":"document","title":"Assessment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r>
        <w:t xml:space="preserve"> </w:t>
      </w:r>
    </w:p>
    <w:p w14:paraId="267F4ECF" w14:textId="77777777" w:rsidR="00C34E4A" w:rsidRDefault="00C34E4A">
      <w:pPr>
        <w:tabs>
          <w:tab w:val="left" w:pos="2730"/>
        </w:tabs>
        <w:spacing w:after="0" w:line="240" w:lineRule="auto"/>
        <w:ind w:firstLine="709"/>
      </w:pPr>
    </w:p>
    <w:p w14:paraId="7CFF2BAB" w14:textId="77777777" w:rsidR="00C34E4A" w:rsidRPr="00BE0BE9" w:rsidRDefault="00C34E4A" w:rsidP="00AB1FF1">
      <w:pPr>
        <w:tabs>
          <w:tab w:val="left" w:pos="3150"/>
        </w:tabs>
        <w:spacing w:after="0" w:line="240" w:lineRule="auto"/>
        <w:rPr>
          <w:b/>
          <w:i/>
          <w:iCs/>
        </w:rPr>
      </w:pPr>
      <w:r w:rsidRPr="00BE0BE9">
        <w:rPr>
          <w:b/>
          <w:i/>
          <w:iCs/>
        </w:rPr>
        <w:t>Иммунологические реакции</w:t>
      </w:r>
    </w:p>
    <w:p w14:paraId="1A8E0F1B" w14:textId="77777777" w:rsidR="0029110D" w:rsidRDefault="0029110D">
      <w:pPr>
        <w:tabs>
          <w:tab w:val="left" w:pos="2730"/>
        </w:tabs>
        <w:spacing w:after="0" w:line="240" w:lineRule="auto"/>
        <w:ind w:firstLine="709"/>
      </w:pPr>
    </w:p>
    <w:p w14:paraId="643B4278" w14:textId="4B551832" w:rsidR="00C34E4A" w:rsidRDefault="00C34E4A">
      <w:pPr>
        <w:tabs>
          <w:tab w:val="left" w:pos="2730"/>
        </w:tabs>
        <w:spacing w:after="0" w:line="240" w:lineRule="auto"/>
        <w:ind w:firstLine="709"/>
      </w:pPr>
      <w:r>
        <w:t xml:space="preserve">Не было четких признаков реакции гиперчувствительности или реакции фоточувствительности на барицитиниб </w:t>
      </w:r>
      <w:r>
        <w:fldChar w:fldCharType="begin"/>
      </w:r>
      <w:r>
        <w:instrText xml:space="preserve"> ADDIN ZOTERO_ITEM CSL_CITATION {"citationID":"QrSecLZu","properties":{"formattedCitation":"[1]","plainCitation":"[1]","noteIndex":0},"citationItems":[{"id":3826,"uris":["http://zotero.org/groups/4514912/items/UB7ESC4C"],"itemData":{"id":3826,"type":"document","title":"Assessment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5071DF77" w14:textId="77777777" w:rsidR="00C34E4A" w:rsidRDefault="00C34E4A">
      <w:pPr>
        <w:tabs>
          <w:tab w:val="left" w:pos="2730"/>
        </w:tabs>
        <w:spacing w:after="0" w:line="240" w:lineRule="auto"/>
        <w:ind w:firstLine="709"/>
      </w:pPr>
      <w:r>
        <w:t xml:space="preserve"> </w:t>
      </w:r>
    </w:p>
    <w:p w14:paraId="3B96CB52" w14:textId="77777777" w:rsidR="00C34E4A" w:rsidRPr="00BE0BE9" w:rsidRDefault="00C34E4A" w:rsidP="00AB1FF1">
      <w:pPr>
        <w:tabs>
          <w:tab w:val="left" w:pos="2730"/>
        </w:tabs>
        <w:spacing w:after="0" w:line="240" w:lineRule="auto"/>
        <w:rPr>
          <w:b/>
          <w:i/>
          <w:iCs/>
        </w:rPr>
      </w:pPr>
      <w:r w:rsidRPr="00BE0BE9">
        <w:rPr>
          <w:b/>
          <w:i/>
          <w:iCs/>
        </w:rPr>
        <w:t>Безопасность, связанная с лекарственными взаимодействиями и другими взаимодействиями</w:t>
      </w:r>
    </w:p>
    <w:p w14:paraId="05BA15B9" w14:textId="77777777" w:rsidR="0029110D" w:rsidRDefault="0029110D">
      <w:pPr>
        <w:tabs>
          <w:tab w:val="left" w:pos="2730"/>
        </w:tabs>
        <w:spacing w:after="0" w:line="240" w:lineRule="auto"/>
        <w:ind w:firstLine="709"/>
      </w:pPr>
    </w:p>
    <w:p w14:paraId="40BD0C29" w14:textId="432BE341" w:rsidR="00C34E4A" w:rsidRDefault="00C34E4A">
      <w:pPr>
        <w:tabs>
          <w:tab w:val="left" w:pos="2730"/>
        </w:tabs>
        <w:spacing w:after="0" w:line="240" w:lineRule="auto"/>
        <w:ind w:firstLine="709"/>
      </w:pPr>
      <w:r>
        <w:t xml:space="preserve">Одновременное введение пробенецида удваивало экспозицию барицитиниба в плазме крови. Другие ингибиторы ОАТ3, такие как ибупрофен и диклофенак, обладали меньшим ингибирующим потенциалом, чем пробенецид </w:t>
      </w:r>
      <w:r>
        <w:fldChar w:fldCharType="begin"/>
      </w:r>
      <w:r>
        <w:instrText xml:space="preserve"> ADDIN ZOTERO_ITEM CSL_CITATION {"citationID":"qcEv9c7x","properties":{"formattedCitation":"[1]","plainCitation":"[1]","noteIndex":0},"citationItems":[{"id":3826,"uris":["http://zotero.org/groups/4514912/items/UB7ESC4C"],"itemData":{"id":3826,"type":"document","title":"Assessment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2F4447">
        <w:t>[1]</w:t>
      </w:r>
      <w:r>
        <w:fldChar w:fldCharType="end"/>
      </w:r>
      <w:r w:rsidRPr="00973A5A">
        <w:t>.</w:t>
      </w:r>
    </w:p>
    <w:p w14:paraId="2F885A49" w14:textId="77777777" w:rsidR="00C34E4A" w:rsidRPr="009832F2" w:rsidRDefault="00C34E4A">
      <w:pPr>
        <w:spacing w:after="0" w:line="240" w:lineRule="auto"/>
        <w:rPr>
          <w:highlight w:val="yellow"/>
        </w:rPr>
      </w:pPr>
    </w:p>
    <w:p w14:paraId="1CFC70BF" w14:textId="77777777" w:rsidR="00C34E4A" w:rsidRPr="00A52ED4" w:rsidRDefault="00C34E4A">
      <w:pPr>
        <w:pStyle w:val="4"/>
        <w:spacing w:before="0"/>
        <w:rPr>
          <w:szCs w:val="24"/>
        </w:rPr>
      </w:pPr>
      <w:bookmarkStart w:id="186" w:name="_Toc120288178"/>
      <w:r w:rsidRPr="00A52ED4">
        <w:rPr>
          <w:szCs w:val="24"/>
        </w:rPr>
        <w:t>4.3.2.2. Безопасность пациентов с очаговой алопецией</w:t>
      </w:r>
      <w:bookmarkEnd w:id="186"/>
      <w:r w:rsidRPr="00A52ED4">
        <w:rPr>
          <w:szCs w:val="24"/>
        </w:rPr>
        <w:t xml:space="preserve"> </w:t>
      </w:r>
    </w:p>
    <w:p w14:paraId="5DD7E4C7" w14:textId="77777777" w:rsidR="005D2DF4" w:rsidRDefault="005D2DF4">
      <w:pPr>
        <w:tabs>
          <w:tab w:val="left" w:pos="2730"/>
        </w:tabs>
        <w:spacing w:after="0" w:line="240" w:lineRule="auto"/>
        <w:ind w:firstLine="709"/>
      </w:pPr>
    </w:p>
    <w:p w14:paraId="1B7E1B24" w14:textId="77777777" w:rsidR="00C34E4A" w:rsidRDefault="00C34E4A">
      <w:pPr>
        <w:tabs>
          <w:tab w:val="left" w:pos="2730"/>
        </w:tabs>
        <w:spacing w:after="0" w:line="240" w:lineRule="auto"/>
        <w:ind w:firstLine="709"/>
      </w:pPr>
      <w:r>
        <w:t>В ходе анализа безопасности применения барицитиниба у пациентов с тяжелой ОА объединены данные 2 исследований:</w:t>
      </w:r>
      <w:r w:rsidRPr="00743F39">
        <w:t xml:space="preserve"> JAHO</w:t>
      </w:r>
      <w:r>
        <w:t xml:space="preserve"> (</w:t>
      </w:r>
      <w:r w:rsidRPr="00743F39">
        <w:t>исследование</w:t>
      </w:r>
      <w:r>
        <w:t xml:space="preserve"> с</w:t>
      </w:r>
      <w:r w:rsidRPr="00743F39">
        <w:t xml:space="preserve"> адаптивн</w:t>
      </w:r>
      <w:r>
        <w:t xml:space="preserve">ым дизайном </w:t>
      </w:r>
      <w:r>
        <w:rPr>
          <w:lang w:val="en-US"/>
        </w:rPr>
        <w:t>II</w:t>
      </w:r>
      <w:r>
        <w:t xml:space="preserve"> и </w:t>
      </w:r>
      <w:r>
        <w:rPr>
          <w:lang w:val="en-US"/>
        </w:rPr>
        <w:t>III</w:t>
      </w:r>
      <w:r w:rsidRPr="00743F39">
        <w:t xml:space="preserve"> фазы</w:t>
      </w:r>
      <w:r>
        <w:t xml:space="preserve">) и </w:t>
      </w:r>
      <w:r w:rsidRPr="00743F39">
        <w:t xml:space="preserve">JAIR </w:t>
      </w:r>
      <w:r>
        <w:t>(</w:t>
      </w:r>
      <w:r w:rsidRPr="00743F39">
        <w:t xml:space="preserve">исследование </w:t>
      </w:r>
      <w:r>
        <w:rPr>
          <w:lang w:val="en-US"/>
        </w:rPr>
        <w:t>III</w:t>
      </w:r>
      <w:r>
        <w:t xml:space="preserve"> </w:t>
      </w:r>
      <w:r w:rsidRPr="00743F39">
        <w:t>фазы</w:t>
      </w:r>
      <w:r>
        <w:t>).</w:t>
      </w:r>
      <w:r w:rsidRPr="00743F39">
        <w:t xml:space="preserve"> Популяция безопасности определя</w:t>
      </w:r>
      <w:r>
        <w:t>лась</w:t>
      </w:r>
      <w:r w:rsidRPr="00743F39">
        <w:t xml:space="preserve"> как все пациенты, получившие хотя бы 1 дозу исследуемого препарата. Данные по безопасности включены за 36- </w:t>
      </w:r>
      <w:r>
        <w:t>и</w:t>
      </w:r>
      <w:r w:rsidRPr="00743F39">
        <w:t xml:space="preserve"> 52-недельный. Побочные эффекты классифицировали на основе версии 23.1 MedDRA. TEAE определяли как событие, которое впервые произошло или </w:t>
      </w:r>
      <w:r>
        <w:t xml:space="preserve">регистрировали </w:t>
      </w:r>
      <w:r w:rsidRPr="00743F39">
        <w:t>ухудш</w:t>
      </w:r>
      <w:r>
        <w:t xml:space="preserve">ение состояния </w:t>
      </w:r>
      <w:r w:rsidRPr="00743F39">
        <w:t xml:space="preserve">в течение периода анализа. Период анализа определяется как период лечения </w:t>
      </w:r>
      <w:r>
        <w:t>+</w:t>
      </w:r>
      <w:r w:rsidRPr="00743F39">
        <w:t xml:space="preserve"> до 30 дней после даты последней дозы исследуемого препарата</w:t>
      </w:r>
      <w:r>
        <w:t xml:space="preserve"> </w:t>
      </w:r>
      <w:r>
        <w:fldChar w:fldCharType="begin"/>
      </w:r>
      <w:r>
        <w:instrText xml:space="preserve"> ADDIN ZOTERO_ITEM CSL_CITATION {"citationID":"YvSelD0e","properties":{"formattedCitation":"[2]","plainCitation":"[2]","noteIndex":0},"citationItems":[{"id":3827,"uris":["http://zotero.org/groups/4514912/items/LB74K8KI"],"itemData":{"id":3827,"type":"document","title":"Assessment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743F39">
        <w:t>.</w:t>
      </w:r>
    </w:p>
    <w:p w14:paraId="179A91B8" w14:textId="77777777" w:rsidR="005D2DF4" w:rsidRDefault="00C34E4A">
      <w:pPr>
        <w:tabs>
          <w:tab w:val="left" w:pos="709"/>
        </w:tabs>
        <w:spacing w:after="0" w:line="240" w:lineRule="auto"/>
        <w:rPr>
          <w:i/>
          <w:iCs/>
        </w:rPr>
      </w:pPr>
      <w:r w:rsidRPr="004F5F4B">
        <w:rPr>
          <w:i/>
          <w:iCs/>
        </w:rPr>
        <w:tab/>
      </w:r>
    </w:p>
    <w:p w14:paraId="4FE4000E" w14:textId="0393CDED" w:rsidR="00C34E4A" w:rsidRPr="005D2DF4" w:rsidRDefault="005D2DF4">
      <w:pPr>
        <w:tabs>
          <w:tab w:val="left" w:pos="709"/>
        </w:tabs>
        <w:spacing w:after="0" w:line="240" w:lineRule="auto"/>
        <w:rPr>
          <w:b/>
          <w:iCs/>
        </w:rPr>
      </w:pPr>
      <w:r w:rsidRPr="005D2DF4">
        <w:rPr>
          <w:b/>
        </w:rPr>
        <w:t>4.3.2.2.1.</w:t>
      </w:r>
      <w:r>
        <w:t xml:space="preserve"> </w:t>
      </w:r>
      <w:r w:rsidRPr="005D2DF4">
        <w:rPr>
          <w:b/>
          <w:iCs/>
        </w:rPr>
        <w:t>Нежелательные явления</w:t>
      </w:r>
    </w:p>
    <w:p w14:paraId="4A5BC1DF" w14:textId="77777777" w:rsidR="005D2DF4" w:rsidRDefault="005D2DF4">
      <w:pPr>
        <w:tabs>
          <w:tab w:val="left" w:pos="2730"/>
        </w:tabs>
        <w:spacing w:after="0" w:line="240" w:lineRule="auto"/>
        <w:ind w:firstLine="709"/>
      </w:pPr>
    </w:p>
    <w:p w14:paraId="78E2F9F7" w14:textId="3FF71C30" w:rsidR="00C34E4A" w:rsidRDefault="00C34E4A">
      <w:pPr>
        <w:tabs>
          <w:tab w:val="left" w:pos="2730"/>
        </w:tabs>
        <w:spacing w:after="0" w:line="240" w:lineRule="auto"/>
        <w:ind w:firstLine="709"/>
      </w:pPr>
      <w:r>
        <w:t>В течение 36-недельного плацебо-контролируемого периода частота TEAE, СНЯ и НЯ, приводящих к окончательному прекращению приема исследуемого препарата, была численно выше в группах барицитиниба по с</w:t>
      </w:r>
      <w:r w:rsidR="006E1535">
        <w:t>равнению с плацебо (Таблица 4-16</w:t>
      </w:r>
      <w:r>
        <w:t xml:space="preserve">). Большинство TEAE были легкой или средней степени тяжести. Частота TEAE, СНЯ и тяжелых TEAE была самой высокой в группе барицитиниба 4 мг </w:t>
      </w:r>
      <w:r>
        <w:fldChar w:fldCharType="begin"/>
      </w:r>
      <w:r>
        <w:instrText xml:space="preserve"> ADDIN ZOTERO_ITEM CSL_CITATION {"citationID":"SqxBml7D","properties":{"formattedCitation":"[2]","plainCitation":"[2]","noteIndex":0},"citationItems":[{"id":3827,"uris":["http://zotero.org/groups/4514912/items/LB74K8KI"],"itemData":{"id":3827,"type":"document","title":"Assessment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 xml:space="preserve">. </w:t>
      </w:r>
    </w:p>
    <w:p w14:paraId="05994A36" w14:textId="15592594" w:rsidR="005D2DF4" w:rsidRDefault="00C34E4A">
      <w:pPr>
        <w:tabs>
          <w:tab w:val="left" w:pos="2730"/>
        </w:tabs>
        <w:spacing w:after="0" w:line="240" w:lineRule="auto"/>
        <w:ind w:firstLine="709"/>
      </w:pPr>
      <w:r w:rsidRPr="00DD1452">
        <w:t>TEAE</w:t>
      </w:r>
      <w:r>
        <w:t>, зарегистрированные в ходе изучения безопасности, а также по данным различных анали</w:t>
      </w:r>
      <w:r w:rsidR="006E1535">
        <w:t>зов, представлены в Таблице 4-17</w:t>
      </w:r>
      <w:r w:rsidR="005D2DF4">
        <w:t>.</w:t>
      </w:r>
    </w:p>
    <w:p w14:paraId="4E5E67A8" w14:textId="6AF6FBFC" w:rsidR="005D2DF4" w:rsidRDefault="005D2DF4">
      <w:pPr>
        <w:tabs>
          <w:tab w:val="left" w:pos="2730"/>
        </w:tabs>
        <w:spacing w:after="0" w:line="240" w:lineRule="auto"/>
        <w:ind w:firstLine="709"/>
      </w:pPr>
    </w:p>
    <w:p w14:paraId="369C739D" w14:textId="54672229" w:rsidR="00C34E4A" w:rsidRDefault="00C34E4A">
      <w:pPr>
        <w:tabs>
          <w:tab w:val="left" w:pos="2730"/>
        </w:tabs>
        <w:spacing w:after="0" w:line="240" w:lineRule="auto"/>
        <w:sectPr w:rsidR="00C34E4A" w:rsidSect="00AB01E2">
          <w:pgSz w:w="11906" w:h="16838"/>
          <w:pgMar w:top="1134" w:right="849" w:bottom="1134" w:left="1701" w:header="708" w:footer="709" w:gutter="0"/>
          <w:cols w:space="708"/>
          <w:docGrid w:linePitch="360"/>
        </w:sectPr>
      </w:pPr>
    </w:p>
    <w:p w14:paraId="2B0C23AE" w14:textId="1396689F" w:rsidR="00C34E4A" w:rsidRPr="006740E4" w:rsidRDefault="006E1535">
      <w:pPr>
        <w:tabs>
          <w:tab w:val="left" w:pos="2730"/>
        </w:tabs>
        <w:spacing w:after="0" w:line="240" w:lineRule="auto"/>
        <w:rPr>
          <w:b/>
          <w:bCs/>
        </w:rPr>
      </w:pPr>
      <w:r>
        <w:rPr>
          <w:b/>
          <w:bCs/>
        </w:rPr>
        <w:lastRenderedPageBreak/>
        <w:t>Таблица 4-16.</w:t>
      </w:r>
      <w:r w:rsidRPr="006740E4">
        <w:rPr>
          <w:b/>
          <w:bCs/>
        </w:rPr>
        <w:t xml:space="preserve"> </w:t>
      </w:r>
      <w:r w:rsidRPr="005D2DF4">
        <w:rPr>
          <w:bCs/>
        </w:rPr>
        <w:t>Нежелательные явления, зарегистрированные в клинических исследованиях эффективности и безопасности барицитиниба у пациентов с очаговой алопецией.</w:t>
      </w:r>
    </w:p>
    <w:tbl>
      <w:tblPr>
        <w:tblStyle w:val="a8"/>
        <w:tblW w:w="5000" w:type="pct"/>
        <w:tblInd w:w="136" w:type="dxa"/>
        <w:tblLook w:val="04A0" w:firstRow="1" w:lastRow="0" w:firstColumn="1" w:lastColumn="0" w:noHBand="0" w:noVBand="1"/>
      </w:tblPr>
      <w:tblGrid>
        <w:gridCol w:w="1731"/>
        <w:gridCol w:w="1592"/>
        <w:gridCol w:w="1591"/>
        <w:gridCol w:w="1591"/>
        <w:gridCol w:w="1736"/>
        <w:gridCol w:w="1818"/>
        <w:gridCol w:w="1509"/>
        <w:gridCol w:w="1592"/>
        <w:gridCol w:w="1626"/>
      </w:tblGrid>
      <w:tr w:rsidR="00C34E4A" w:rsidRPr="00C34E4A" w14:paraId="06CFBF17" w14:textId="77777777" w:rsidTr="006E1535">
        <w:trPr>
          <w:trHeight w:val="20"/>
          <w:tblHeader/>
        </w:trPr>
        <w:tc>
          <w:tcPr>
            <w:tcW w:w="1696" w:type="dxa"/>
            <w:vMerge w:val="restart"/>
            <w:shd w:val="clear" w:color="auto" w:fill="D9D9D9" w:themeFill="background1" w:themeFillShade="D9"/>
            <w:vAlign w:val="center"/>
          </w:tcPr>
          <w:p w14:paraId="0BC1954B" w14:textId="0309B73D" w:rsidR="00C34E4A" w:rsidRPr="0029110D" w:rsidRDefault="0029110D">
            <w:pPr>
              <w:tabs>
                <w:tab w:val="left" w:pos="2730"/>
              </w:tabs>
              <w:jc w:val="center"/>
              <w:rPr>
                <w:b/>
                <w:bCs/>
                <w:sz w:val="20"/>
                <w:szCs w:val="20"/>
              </w:rPr>
            </w:pPr>
            <w:r w:rsidRPr="0029110D">
              <w:rPr>
                <w:b/>
                <w:bCs/>
                <w:sz w:val="20"/>
                <w:szCs w:val="20"/>
              </w:rPr>
              <w:t>Параметр</w:t>
            </w:r>
          </w:p>
        </w:tc>
        <w:tc>
          <w:tcPr>
            <w:tcW w:w="4678" w:type="dxa"/>
            <w:gridSpan w:val="3"/>
            <w:shd w:val="clear" w:color="auto" w:fill="D9D9D9" w:themeFill="background1" w:themeFillShade="D9"/>
            <w:vAlign w:val="center"/>
          </w:tcPr>
          <w:p w14:paraId="1C8911E0" w14:textId="64C17FCC" w:rsidR="00C34E4A" w:rsidRPr="0029110D" w:rsidRDefault="00C34E4A">
            <w:pPr>
              <w:tabs>
                <w:tab w:val="left" w:pos="2730"/>
              </w:tabs>
              <w:jc w:val="center"/>
              <w:rPr>
                <w:b/>
                <w:bCs/>
                <w:sz w:val="20"/>
                <w:szCs w:val="20"/>
              </w:rPr>
            </w:pPr>
            <w:r w:rsidRPr="0029110D">
              <w:rPr>
                <w:b/>
                <w:bCs/>
                <w:sz w:val="20"/>
                <w:szCs w:val="20"/>
              </w:rPr>
              <w:t>36-недельные плацебо контролируемые исследования</w:t>
            </w:r>
          </w:p>
        </w:tc>
        <w:tc>
          <w:tcPr>
            <w:tcW w:w="3482" w:type="dxa"/>
            <w:gridSpan w:val="2"/>
            <w:shd w:val="clear" w:color="auto" w:fill="D9D9D9" w:themeFill="background1" w:themeFillShade="D9"/>
            <w:vAlign w:val="center"/>
          </w:tcPr>
          <w:p w14:paraId="517F779F" w14:textId="6E509D55" w:rsidR="00C34E4A" w:rsidRPr="0029110D" w:rsidRDefault="00C34E4A">
            <w:pPr>
              <w:tabs>
                <w:tab w:val="left" w:pos="2730"/>
              </w:tabs>
              <w:jc w:val="center"/>
              <w:rPr>
                <w:b/>
                <w:bCs/>
                <w:sz w:val="20"/>
                <w:szCs w:val="20"/>
              </w:rPr>
            </w:pPr>
            <w:r w:rsidRPr="0029110D">
              <w:rPr>
                <w:b/>
                <w:bCs/>
                <w:sz w:val="20"/>
                <w:szCs w:val="20"/>
              </w:rPr>
              <w:t>Расширенный анализ данных*</w:t>
            </w:r>
          </w:p>
        </w:tc>
        <w:tc>
          <w:tcPr>
            <w:tcW w:w="1479" w:type="dxa"/>
            <w:shd w:val="clear" w:color="auto" w:fill="D9D9D9" w:themeFill="background1" w:themeFillShade="D9"/>
            <w:vAlign w:val="center"/>
          </w:tcPr>
          <w:p w14:paraId="221CDFE9" w14:textId="25B0B91F" w:rsidR="00C34E4A" w:rsidRPr="0029110D" w:rsidRDefault="00C34E4A">
            <w:pPr>
              <w:tabs>
                <w:tab w:val="left" w:pos="2730"/>
              </w:tabs>
              <w:jc w:val="center"/>
              <w:rPr>
                <w:b/>
                <w:bCs/>
                <w:sz w:val="20"/>
                <w:szCs w:val="20"/>
              </w:rPr>
            </w:pPr>
            <w:r w:rsidRPr="0029110D">
              <w:rPr>
                <w:b/>
                <w:bCs/>
                <w:sz w:val="20"/>
                <w:szCs w:val="20"/>
                <w:lang w:val="en-US"/>
              </w:rPr>
              <w:t>All</w:t>
            </w:r>
            <w:r w:rsidRPr="0029110D">
              <w:rPr>
                <w:b/>
                <w:bCs/>
                <w:sz w:val="20"/>
                <w:szCs w:val="20"/>
              </w:rPr>
              <w:t xml:space="preserve"> </w:t>
            </w:r>
            <w:r w:rsidRPr="0029110D">
              <w:rPr>
                <w:b/>
                <w:bCs/>
                <w:sz w:val="20"/>
                <w:szCs w:val="20"/>
                <w:lang w:val="en-US"/>
              </w:rPr>
              <w:t>BARI</w:t>
            </w:r>
            <w:r w:rsidRPr="0029110D">
              <w:rPr>
                <w:b/>
                <w:bCs/>
                <w:sz w:val="20"/>
                <w:szCs w:val="20"/>
              </w:rPr>
              <w:t xml:space="preserve"> </w:t>
            </w:r>
            <w:r w:rsidRPr="0029110D">
              <w:rPr>
                <w:b/>
                <w:bCs/>
                <w:sz w:val="20"/>
                <w:szCs w:val="20"/>
                <w:lang w:val="en-US"/>
              </w:rPr>
              <w:t>AA</w:t>
            </w:r>
            <w:r w:rsidRPr="0029110D">
              <w:rPr>
                <w:b/>
                <w:bCs/>
                <w:sz w:val="20"/>
                <w:szCs w:val="20"/>
                <w:vertAlign w:val="superscript"/>
              </w:rPr>
              <w:t>#</w:t>
            </w:r>
          </w:p>
        </w:tc>
        <w:tc>
          <w:tcPr>
            <w:tcW w:w="1560" w:type="dxa"/>
            <w:shd w:val="clear" w:color="auto" w:fill="D9D9D9" w:themeFill="background1" w:themeFillShade="D9"/>
            <w:vAlign w:val="center"/>
          </w:tcPr>
          <w:p w14:paraId="48C6BC9E" w14:textId="77777777" w:rsidR="00C34E4A" w:rsidRPr="0029110D" w:rsidRDefault="00C34E4A">
            <w:pPr>
              <w:tabs>
                <w:tab w:val="left" w:pos="2730"/>
              </w:tabs>
              <w:jc w:val="center"/>
              <w:rPr>
                <w:b/>
                <w:bCs/>
                <w:sz w:val="20"/>
                <w:szCs w:val="20"/>
              </w:rPr>
            </w:pPr>
            <w:r w:rsidRPr="0029110D">
              <w:rPr>
                <w:b/>
                <w:bCs/>
                <w:sz w:val="20"/>
                <w:szCs w:val="20"/>
                <w:lang w:val="en-US"/>
              </w:rPr>
              <w:t>All</w:t>
            </w:r>
            <w:r w:rsidRPr="0029110D">
              <w:rPr>
                <w:b/>
                <w:bCs/>
                <w:sz w:val="20"/>
                <w:szCs w:val="20"/>
              </w:rPr>
              <w:t xml:space="preserve"> </w:t>
            </w:r>
            <w:r w:rsidRPr="0029110D">
              <w:rPr>
                <w:b/>
                <w:bCs/>
                <w:sz w:val="20"/>
                <w:szCs w:val="20"/>
                <w:lang w:val="en-US"/>
              </w:rPr>
              <w:t>BARI</w:t>
            </w:r>
            <w:r w:rsidRPr="0029110D">
              <w:rPr>
                <w:b/>
                <w:bCs/>
                <w:sz w:val="20"/>
                <w:szCs w:val="20"/>
              </w:rPr>
              <w:t xml:space="preserve"> 2-</w:t>
            </w:r>
            <w:r w:rsidRPr="0029110D">
              <w:rPr>
                <w:b/>
                <w:bCs/>
                <w:sz w:val="20"/>
                <w:szCs w:val="20"/>
                <w:lang w:val="en-US"/>
              </w:rPr>
              <w:t>mg</w:t>
            </w:r>
            <w:r w:rsidRPr="0029110D">
              <w:rPr>
                <w:b/>
                <w:bCs/>
                <w:sz w:val="20"/>
                <w:szCs w:val="20"/>
              </w:rPr>
              <w:t xml:space="preserve"> </w:t>
            </w:r>
            <w:r w:rsidRPr="0029110D">
              <w:rPr>
                <w:b/>
                <w:bCs/>
                <w:sz w:val="20"/>
                <w:szCs w:val="20"/>
                <w:lang w:val="en-US"/>
              </w:rPr>
              <w:t>AA</w:t>
            </w:r>
            <w:r w:rsidRPr="0029110D">
              <w:rPr>
                <w:b/>
                <w:bCs/>
                <w:sz w:val="20"/>
                <w:szCs w:val="20"/>
                <w:vertAlign w:val="superscript"/>
              </w:rPr>
              <w:t>&amp;</w:t>
            </w:r>
          </w:p>
        </w:tc>
        <w:tc>
          <w:tcPr>
            <w:tcW w:w="1593" w:type="dxa"/>
            <w:shd w:val="clear" w:color="auto" w:fill="D9D9D9" w:themeFill="background1" w:themeFillShade="D9"/>
            <w:vAlign w:val="center"/>
          </w:tcPr>
          <w:p w14:paraId="0B3EE479" w14:textId="77777777" w:rsidR="00C34E4A" w:rsidRPr="0029110D" w:rsidRDefault="00C34E4A">
            <w:pPr>
              <w:tabs>
                <w:tab w:val="left" w:pos="2730"/>
              </w:tabs>
              <w:jc w:val="center"/>
              <w:rPr>
                <w:b/>
                <w:bCs/>
                <w:sz w:val="20"/>
                <w:szCs w:val="20"/>
              </w:rPr>
            </w:pPr>
            <w:r w:rsidRPr="0029110D">
              <w:rPr>
                <w:b/>
                <w:bCs/>
                <w:sz w:val="20"/>
                <w:szCs w:val="20"/>
                <w:lang w:val="en-US"/>
              </w:rPr>
              <w:t>All</w:t>
            </w:r>
            <w:r w:rsidRPr="0029110D">
              <w:rPr>
                <w:b/>
                <w:bCs/>
                <w:sz w:val="20"/>
                <w:szCs w:val="20"/>
              </w:rPr>
              <w:t xml:space="preserve"> </w:t>
            </w:r>
            <w:r w:rsidRPr="0029110D">
              <w:rPr>
                <w:b/>
                <w:bCs/>
                <w:sz w:val="20"/>
                <w:szCs w:val="20"/>
                <w:lang w:val="en-US"/>
              </w:rPr>
              <w:t>BARI</w:t>
            </w:r>
            <w:r w:rsidRPr="0029110D">
              <w:rPr>
                <w:b/>
                <w:bCs/>
                <w:sz w:val="20"/>
                <w:szCs w:val="20"/>
              </w:rPr>
              <w:t xml:space="preserve"> 4- </w:t>
            </w:r>
            <w:r w:rsidRPr="0029110D">
              <w:rPr>
                <w:b/>
                <w:bCs/>
                <w:sz w:val="20"/>
                <w:szCs w:val="20"/>
                <w:lang w:val="en-US"/>
              </w:rPr>
              <w:t>mg</w:t>
            </w:r>
            <w:r w:rsidRPr="0029110D">
              <w:rPr>
                <w:b/>
                <w:bCs/>
                <w:sz w:val="20"/>
                <w:szCs w:val="20"/>
              </w:rPr>
              <w:t xml:space="preserve"> </w:t>
            </w:r>
            <w:r w:rsidRPr="0029110D">
              <w:rPr>
                <w:b/>
                <w:bCs/>
                <w:sz w:val="20"/>
                <w:szCs w:val="20"/>
                <w:lang w:val="en-US"/>
              </w:rPr>
              <w:t>AA^</w:t>
            </w:r>
          </w:p>
        </w:tc>
      </w:tr>
      <w:tr w:rsidR="00C34E4A" w:rsidRPr="00AB1FF1" w14:paraId="0FA2FAFD" w14:textId="77777777" w:rsidTr="006E1535">
        <w:trPr>
          <w:trHeight w:val="20"/>
          <w:tblHeader/>
        </w:trPr>
        <w:tc>
          <w:tcPr>
            <w:tcW w:w="1696" w:type="dxa"/>
            <w:vMerge/>
            <w:shd w:val="clear" w:color="auto" w:fill="D9D9D9" w:themeFill="background1" w:themeFillShade="D9"/>
            <w:vAlign w:val="center"/>
          </w:tcPr>
          <w:p w14:paraId="6AE2939E" w14:textId="77777777" w:rsidR="00C34E4A" w:rsidRPr="0029110D" w:rsidRDefault="00C34E4A">
            <w:pPr>
              <w:tabs>
                <w:tab w:val="left" w:pos="2730"/>
              </w:tabs>
              <w:jc w:val="center"/>
              <w:rPr>
                <w:b/>
                <w:sz w:val="20"/>
                <w:szCs w:val="20"/>
                <w:lang w:val="en-US"/>
              </w:rPr>
            </w:pPr>
          </w:p>
        </w:tc>
        <w:tc>
          <w:tcPr>
            <w:tcW w:w="1560" w:type="dxa"/>
            <w:shd w:val="clear" w:color="auto" w:fill="D9D9D9" w:themeFill="background1" w:themeFillShade="D9"/>
            <w:vAlign w:val="center"/>
          </w:tcPr>
          <w:p w14:paraId="1146126E" w14:textId="77777777" w:rsidR="00C34E4A" w:rsidRPr="0029110D" w:rsidRDefault="00C34E4A">
            <w:pPr>
              <w:tabs>
                <w:tab w:val="left" w:pos="2730"/>
              </w:tabs>
              <w:jc w:val="center"/>
              <w:rPr>
                <w:b/>
                <w:sz w:val="20"/>
                <w:szCs w:val="20"/>
                <w:lang w:val="en-US"/>
              </w:rPr>
            </w:pPr>
            <w:r w:rsidRPr="0029110D">
              <w:rPr>
                <w:b/>
                <w:sz w:val="20"/>
                <w:szCs w:val="20"/>
                <w:lang w:val="en-US"/>
              </w:rPr>
              <w:t>PBO n=371 PYE – 243.2, n’ (%) [IR]</w:t>
            </w:r>
          </w:p>
        </w:tc>
        <w:tc>
          <w:tcPr>
            <w:tcW w:w="1559" w:type="dxa"/>
            <w:shd w:val="clear" w:color="auto" w:fill="D9D9D9" w:themeFill="background1" w:themeFillShade="D9"/>
            <w:vAlign w:val="center"/>
          </w:tcPr>
          <w:p w14:paraId="483DCD84" w14:textId="77777777" w:rsidR="00C34E4A" w:rsidRPr="0029110D" w:rsidRDefault="00C34E4A">
            <w:pPr>
              <w:tabs>
                <w:tab w:val="left" w:pos="2730"/>
              </w:tabs>
              <w:jc w:val="center"/>
              <w:rPr>
                <w:b/>
                <w:sz w:val="20"/>
                <w:szCs w:val="20"/>
                <w:lang w:val="en-US"/>
              </w:rPr>
            </w:pPr>
            <w:r w:rsidRPr="0029110D">
              <w:rPr>
                <w:b/>
                <w:sz w:val="20"/>
                <w:szCs w:val="20"/>
                <w:lang w:val="en-US"/>
              </w:rPr>
              <w:t>BARI 2 mg n=365 PYE – 240.6, n’ (%) [IR]</w:t>
            </w:r>
          </w:p>
        </w:tc>
        <w:tc>
          <w:tcPr>
            <w:tcW w:w="1559" w:type="dxa"/>
            <w:shd w:val="clear" w:color="auto" w:fill="D9D9D9" w:themeFill="background1" w:themeFillShade="D9"/>
            <w:vAlign w:val="center"/>
          </w:tcPr>
          <w:p w14:paraId="06022CB4" w14:textId="77777777" w:rsidR="00C34E4A" w:rsidRPr="0029110D" w:rsidRDefault="00C34E4A">
            <w:pPr>
              <w:tabs>
                <w:tab w:val="left" w:pos="2730"/>
              </w:tabs>
              <w:jc w:val="center"/>
              <w:rPr>
                <w:b/>
                <w:sz w:val="20"/>
                <w:szCs w:val="20"/>
                <w:lang w:val="en-US"/>
              </w:rPr>
            </w:pPr>
            <w:r w:rsidRPr="0029110D">
              <w:rPr>
                <w:b/>
                <w:sz w:val="20"/>
                <w:szCs w:val="20"/>
                <w:lang w:val="en-US"/>
              </w:rPr>
              <w:t>BARI 4 mg n=540 PYE – 363.4, n’ (%) [IR]</w:t>
            </w:r>
          </w:p>
        </w:tc>
        <w:tc>
          <w:tcPr>
            <w:tcW w:w="1701" w:type="dxa"/>
            <w:shd w:val="clear" w:color="auto" w:fill="D9D9D9" w:themeFill="background1" w:themeFillShade="D9"/>
            <w:vAlign w:val="center"/>
          </w:tcPr>
          <w:p w14:paraId="1C79B083" w14:textId="77777777" w:rsidR="00C34E4A" w:rsidRPr="0029110D" w:rsidRDefault="00C34E4A">
            <w:pPr>
              <w:tabs>
                <w:tab w:val="left" w:pos="2730"/>
              </w:tabs>
              <w:jc w:val="center"/>
              <w:rPr>
                <w:b/>
                <w:sz w:val="20"/>
                <w:szCs w:val="20"/>
                <w:lang w:val="en-US"/>
              </w:rPr>
            </w:pPr>
            <w:r w:rsidRPr="0029110D">
              <w:rPr>
                <w:b/>
                <w:sz w:val="20"/>
                <w:szCs w:val="20"/>
                <w:lang w:val="en-US"/>
              </w:rPr>
              <w:t>BARI 2 mg n=365 PYE – 402.1, n’ (%) [IR]</w:t>
            </w:r>
          </w:p>
        </w:tc>
        <w:tc>
          <w:tcPr>
            <w:tcW w:w="1781" w:type="dxa"/>
            <w:shd w:val="clear" w:color="auto" w:fill="D9D9D9" w:themeFill="background1" w:themeFillShade="D9"/>
            <w:vAlign w:val="center"/>
          </w:tcPr>
          <w:p w14:paraId="03755122" w14:textId="77777777" w:rsidR="00C34E4A" w:rsidRPr="0029110D" w:rsidRDefault="00C34E4A">
            <w:pPr>
              <w:tabs>
                <w:tab w:val="left" w:pos="2730"/>
              </w:tabs>
              <w:jc w:val="center"/>
              <w:rPr>
                <w:b/>
                <w:sz w:val="20"/>
                <w:szCs w:val="20"/>
                <w:lang w:val="en-US"/>
              </w:rPr>
            </w:pPr>
            <w:r w:rsidRPr="0029110D">
              <w:rPr>
                <w:b/>
                <w:sz w:val="20"/>
                <w:szCs w:val="20"/>
                <w:lang w:val="en-US"/>
              </w:rPr>
              <w:t>BARI 4 mg n=540 PYE – 720.7, n’ (%) [IR]</w:t>
            </w:r>
          </w:p>
        </w:tc>
        <w:tc>
          <w:tcPr>
            <w:tcW w:w="1479" w:type="dxa"/>
            <w:shd w:val="clear" w:color="auto" w:fill="D9D9D9" w:themeFill="background1" w:themeFillShade="D9"/>
            <w:vAlign w:val="center"/>
          </w:tcPr>
          <w:p w14:paraId="46B63A07" w14:textId="77777777" w:rsidR="00C34E4A" w:rsidRPr="0029110D" w:rsidRDefault="00C34E4A">
            <w:pPr>
              <w:tabs>
                <w:tab w:val="left" w:pos="2730"/>
              </w:tabs>
              <w:jc w:val="center"/>
              <w:rPr>
                <w:b/>
                <w:sz w:val="20"/>
                <w:szCs w:val="20"/>
                <w:lang w:val="en-US"/>
              </w:rPr>
            </w:pPr>
            <w:r w:rsidRPr="0029110D">
              <w:rPr>
                <w:b/>
                <w:sz w:val="20"/>
                <w:szCs w:val="20"/>
                <w:lang w:val="en-US"/>
              </w:rPr>
              <w:t>All Doses n=1244 PYE – 1668.4, n’ (%) [IR]</w:t>
            </w:r>
          </w:p>
        </w:tc>
        <w:tc>
          <w:tcPr>
            <w:tcW w:w="1560" w:type="dxa"/>
            <w:shd w:val="clear" w:color="auto" w:fill="D9D9D9" w:themeFill="background1" w:themeFillShade="D9"/>
            <w:vAlign w:val="center"/>
          </w:tcPr>
          <w:p w14:paraId="57DCEC9E" w14:textId="77777777" w:rsidR="00C34E4A" w:rsidRPr="0029110D" w:rsidRDefault="00C34E4A">
            <w:pPr>
              <w:tabs>
                <w:tab w:val="left" w:pos="2730"/>
              </w:tabs>
              <w:jc w:val="center"/>
              <w:rPr>
                <w:b/>
                <w:sz w:val="20"/>
                <w:szCs w:val="20"/>
                <w:lang w:val="en-US"/>
              </w:rPr>
            </w:pPr>
            <w:r w:rsidRPr="0029110D">
              <w:rPr>
                <w:b/>
                <w:sz w:val="20"/>
                <w:szCs w:val="20"/>
                <w:lang w:val="en-US"/>
              </w:rPr>
              <w:t>BARI 2 mg n=564 PYE – 576.7, n’ (%) [IR]</w:t>
            </w:r>
          </w:p>
        </w:tc>
        <w:tc>
          <w:tcPr>
            <w:tcW w:w="1593" w:type="dxa"/>
            <w:shd w:val="clear" w:color="auto" w:fill="D9D9D9" w:themeFill="background1" w:themeFillShade="D9"/>
            <w:vAlign w:val="center"/>
          </w:tcPr>
          <w:p w14:paraId="516E4D94" w14:textId="77777777" w:rsidR="00C34E4A" w:rsidRPr="0029110D" w:rsidRDefault="00C34E4A">
            <w:pPr>
              <w:tabs>
                <w:tab w:val="left" w:pos="2730"/>
              </w:tabs>
              <w:jc w:val="center"/>
              <w:rPr>
                <w:b/>
                <w:sz w:val="20"/>
                <w:szCs w:val="20"/>
                <w:lang w:val="en-US"/>
              </w:rPr>
            </w:pPr>
            <w:r w:rsidRPr="0029110D">
              <w:rPr>
                <w:b/>
                <w:sz w:val="20"/>
                <w:szCs w:val="20"/>
                <w:lang w:val="en-US"/>
              </w:rPr>
              <w:t>BARI 4 mg n=951 PYE –1079.2, n’ (%) [IR]</w:t>
            </w:r>
          </w:p>
        </w:tc>
      </w:tr>
      <w:tr w:rsidR="00C34E4A" w:rsidRPr="00C34E4A" w14:paraId="3B618342" w14:textId="77777777" w:rsidTr="00BE0BE9">
        <w:trPr>
          <w:trHeight w:val="20"/>
        </w:trPr>
        <w:tc>
          <w:tcPr>
            <w:tcW w:w="1696" w:type="dxa"/>
          </w:tcPr>
          <w:p w14:paraId="7A8375AD" w14:textId="77777777" w:rsidR="00C34E4A" w:rsidRPr="0029110D" w:rsidRDefault="00C34E4A">
            <w:pPr>
              <w:tabs>
                <w:tab w:val="left" w:pos="2730"/>
              </w:tabs>
              <w:rPr>
                <w:sz w:val="20"/>
                <w:szCs w:val="20"/>
              </w:rPr>
            </w:pPr>
            <w:r w:rsidRPr="0029110D">
              <w:rPr>
                <w:sz w:val="20"/>
                <w:szCs w:val="20"/>
              </w:rPr>
              <w:t xml:space="preserve">Смерть </w:t>
            </w:r>
          </w:p>
        </w:tc>
        <w:tc>
          <w:tcPr>
            <w:tcW w:w="1560" w:type="dxa"/>
            <w:vAlign w:val="center"/>
          </w:tcPr>
          <w:p w14:paraId="20466FC7" w14:textId="77777777" w:rsidR="00C34E4A" w:rsidRPr="0029110D" w:rsidRDefault="00C34E4A" w:rsidP="00AB1FF1">
            <w:pPr>
              <w:tabs>
                <w:tab w:val="left" w:pos="2730"/>
              </w:tabs>
              <w:jc w:val="center"/>
              <w:rPr>
                <w:sz w:val="20"/>
                <w:szCs w:val="20"/>
              </w:rPr>
            </w:pPr>
            <w:r w:rsidRPr="0029110D">
              <w:rPr>
                <w:sz w:val="20"/>
                <w:szCs w:val="20"/>
              </w:rPr>
              <w:t>0</w:t>
            </w:r>
          </w:p>
        </w:tc>
        <w:tc>
          <w:tcPr>
            <w:tcW w:w="1559" w:type="dxa"/>
            <w:vAlign w:val="center"/>
          </w:tcPr>
          <w:p w14:paraId="493AD792" w14:textId="77777777" w:rsidR="00C34E4A" w:rsidRPr="0029110D" w:rsidRDefault="00C34E4A" w:rsidP="00AB1FF1">
            <w:pPr>
              <w:tabs>
                <w:tab w:val="left" w:pos="2730"/>
              </w:tabs>
              <w:jc w:val="center"/>
              <w:rPr>
                <w:sz w:val="20"/>
                <w:szCs w:val="20"/>
              </w:rPr>
            </w:pPr>
            <w:r w:rsidRPr="0029110D">
              <w:rPr>
                <w:sz w:val="20"/>
                <w:szCs w:val="20"/>
              </w:rPr>
              <w:t>0</w:t>
            </w:r>
          </w:p>
        </w:tc>
        <w:tc>
          <w:tcPr>
            <w:tcW w:w="1559" w:type="dxa"/>
            <w:vAlign w:val="center"/>
          </w:tcPr>
          <w:p w14:paraId="716CD14E" w14:textId="77777777" w:rsidR="00C34E4A" w:rsidRPr="0029110D" w:rsidRDefault="00C34E4A" w:rsidP="00AB1FF1">
            <w:pPr>
              <w:tabs>
                <w:tab w:val="left" w:pos="2730"/>
              </w:tabs>
              <w:jc w:val="center"/>
              <w:rPr>
                <w:sz w:val="20"/>
                <w:szCs w:val="20"/>
              </w:rPr>
            </w:pPr>
            <w:r w:rsidRPr="0029110D">
              <w:rPr>
                <w:sz w:val="20"/>
                <w:szCs w:val="20"/>
              </w:rPr>
              <w:t>0</w:t>
            </w:r>
          </w:p>
        </w:tc>
        <w:tc>
          <w:tcPr>
            <w:tcW w:w="1701" w:type="dxa"/>
            <w:vAlign w:val="center"/>
          </w:tcPr>
          <w:p w14:paraId="76A6924C" w14:textId="77777777" w:rsidR="00C34E4A" w:rsidRPr="0029110D" w:rsidRDefault="00C34E4A" w:rsidP="00AB1FF1">
            <w:pPr>
              <w:tabs>
                <w:tab w:val="left" w:pos="2730"/>
              </w:tabs>
              <w:jc w:val="center"/>
              <w:rPr>
                <w:sz w:val="20"/>
                <w:szCs w:val="20"/>
              </w:rPr>
            </w:pPr>
            <w:r w:rsidRPr="0029110D">
              <w:rPr>
                <w:sz w:val="20"/>
                <w:szCs w:val="20"/>
              </w:rPr>
              <w:t>0</w:t>
            </w:r>
          </w:p>
        </w:tc>
        <w:tc>
          <w:tcPr>
            <w:tcW w:w="1781" w:type="dxa"/>
            <w:vAlign w:val="center"/>
          </w:tcPr>
          <w:p w14:paraId="6F475C47" w14:textId="77777777" w:rsidR="00C34E4A" w:rsidRPr="0029110D" w:rsidRDefault="00C34E4A" w:rsidP="00AB1FF1">
            <w:pPr>
              <w:tabs>
                <w:tab w:val="left" w:pos="2730"/>
              </w:tabs>
              <w:jc w:val="center"/>
              <w:rPr>
                <w:sz w:val="20"/>
                <w:szCs w:val="20"/>
              </w:rPr>
            </w:pPr>
            <w:r w:rsidRPr="0029110D">
              <w:rPr>
                <w:sz w:val="20"/>
                <w:szCs w:val="20"/>
              </w:rPr>
              <w:t>0</w:t>
            </w:r>
          </w:p>
        </w:tc>
        <w:tc>
          <w:tcPr>
            <w:tcW w:w="1479" w:type="dxa"/>
            <w:vAlign w:val="center"/>
          </w:tcPr>
          <w:p w14:paraId="1FABF493" w14:textId="77777777" w:rsidR="00C34E4A" w:rsidRPr="0029110D" w:rsidRDefault="00C34E4A" w:rsidP="00AB1FF1">
            <w:pPr>
              <w:tabs>
                <w:tab w:val="left" w:pos="2730"/>
              </w:tabs>
              <w:jc w:val="center"/>
              <w:rPr>
                <w:sz w:val="20"/>
                <w:szCs w:val="20"/>
              </w:rPr>
            </w:pPr>
            <w:r w:rsidRPr="0029110D">
              <w:rPr>
                <w:sz w:val="20"/>
                <w:szCs w:val="20"/>
              </w:rPr>
              <w:t>0</w:t>
            </w:r>
          </w:p>
        </w:tc>
        <w:tc>
          <w:tcPr>
            <w:tcW w:w="1560" w:type="dxa"/>
            <w:vAlign w:val="center"/>
          </w:tcPr>
          <w:p w14:paraId="22D26AB8" w14:textId="77777777" w:rsidR="00C34E4A" w:rsidRPr="0029110D" w:rsidRDefault="00C34E4A" w:rsidP="00AB1FF1">
            <w:pPr>
              <w:tabs>
                <w:tab w:val="left" w:pos="2730"/>
              </w:tabs>
              <w:jc w:val="center"/>
              <w:rPr>
                <w:sz w:val="20"/>
                <w:szCs w:val="20"/>
              </w:rPr>
            </w:pPr>
            <w:r w:rsidRPr="0029110D">
              <w:rPr>
                <w:sz w:val="20"/>
                <w:szCs w:val="20"/>
              </w:rPr>
              <w:t>0</w:t>
            </w:r>
          </w:p>
        </w:tc>
        <w:tc>
          <w:tcPr>
            <w:tcW w:w="1593" w:type="dxa"/>
            <w:vAlign w:val="center"/>
          </w:tcPr>
          <w:p w14:paraId="7D54DAF9" w14:textId="77777777" w:rsidR="00C34E4A" w:rsidRPr="0029110D" w:rsidRDefault="00C34E4A" w:rsidP="00AB1FF1">
            <w:pPr>
              <w:tabs>
                <w:tab w:val="left" w:pos="2730"/>
              </w:tabs>
              <w:jc w:val="center"/>
              <w:rPr>
                <w:sz w:val="20"/>
                <w:szCs w:val="20"/>
              </w:rPr>
            </w:pPr>
            <w:r w:rsidRPr="0029110D">
              <w:rPr>
                <w:sz w:val="20"/>
                <w:szCs w:val="20"/>
              </w:rPr>
              <w:t>0</w:t>
            </w:r>
          </w:p>
        </w:tc>
      </w:tr>
      <w:tr w:rsidR="00C34E4A" w:rsidRPr="00C34E4A" w14:paraId="0E0F8229" w14:textId="77777777" w:rsidTr="00BE0BE9">
        <w:trPr>
          <w:trHeight w:val="20"/>
        </w:trPr>
        <w:tc>
          <w:tcPr>
            <w:tcW w:w="1696" w:type="dxa"/>
          </w:tcPr>
          <w:p w14:paraId="26F55E1C" w14:textId="77777777" w:rsidR="00C34E4A" w:rsidRPr="0029110D" w:rsidRDefault="00C34E4A">
            <w:pPr>
              <w:tabs>
                <w:tab w:val="left" w:pos="2730"/>
              </w:tabs>
              <w:rPr>
                <w:sz w:val="20"/>
                <w:szCs w:val="20"/>
                <w:lang w:val="en-US"/>
              </w:rPr>
            </w:pPr>
            <w:r w:rsidRPr="0029110D">
              <w:rPr>
                <w:sz w:val="20"/>
                <w:szCs w:val="20"/>
              </w:rPr>
              <w:t>СНЯ</w:t>
            </w:r>
          </w:p>
        </w:tc>
        <w:tc>
          <w:tcPr>
            <w:tcW w:w="1560" w:type="dxa"/>
            <w:vAlign w:val="center"/>
          </w:tcPr>
          <w:p w14:paraId="2E281790" w14:textId="5CB4DDEE" w:rsidR="00C34E4A" w:rsidRPr="0029110D" w:rsidRDefault="00C34E4A" w:rsidP="00AB1FF1">
            <w:pPr>
              <w:tabs>
                <w:tab w:val="left" w:pos="2730"/>
              </w:tabs>
              <w:jc w:val="center"/>
              <w:rPr>
                <w:sz w:val="20"/>
                <w:szCs w:val="20"/>
                <w:lang w:val="en-US"/>
              </w:rPr>
            </w:pPr>
            <w:r w:rsidRPr="0029110D">
              <w:rPr>
                <w:sz w:val="20"/>
                <w:szCs w:val="20"/>
              </w:rPr>
              <w:t>6 (1</w:t>
            </w:r>
            <w:r w:rsidR="00BE0BE9" w:rsidRPr="0029110D">
              <w:rPr>
                <w:sz w:val="20"/>
                <w:szCs w:val="20"/>
              </w:rPr>
              <w:t>,</w:t>
            </w:r>
            <w:r w:rsidRPr="0029110D">
              <w:rPr>
                <w:sz w:val="20"/>
                <w:szCs w:val="20"/>
              </w:rPr>
              <w:t>6) [2</w:t>
            </w:r>
            <w:r w:rsidR="00BE0BE9" w:rsidRPr="0029110D">
              <w:rPr>
                <w:sz w:val="20"/>
                <w:szCs w:val="20"/>
              </w:rPr>
              <w:t>,</w:t>
            </w:r>
            <w:r w:rsidRPr="0029110D">
              <w:rPr>
                <w:sz w:val="20"/>
                <w:szCs w:val="20"/>
              </w:rPr>
              <w:t>5]</w:t>
            </w:r>
          </w:p>
        </w:tc>
        <w:tc>
          <w:tcPr>
            <w:tcW w:w="1559" w:type="dxa"/>
            <w:vAlign w:val="center"/>
          </w:tcPr>
          <w:p w14:paraId="531CBC6A" w14:textId="301EB373" w:rsidR="00C34E4A" w:rsidRPr="0029110D" w:rsidRDefault="00C34E4A" w:rsidP="00AB1FF1">
            <w:pPr>
              <w:tabs>
                <w:tab w:val="left" w:pos="2730"/>
              </w:tabs>
              <w:jc w:val="center"/>
              <w:rPr>
                <w:sz w:val="20"/>
                <w:szCs w:val="20"/>
                <w:lang w:val="en-US"/>
              </w:rPr>
            </w:pPr>
            <w:r w:rsidRPr="0029110D">
              <w:rPr>
                <w:sz w:val="20"/>
                <w:szCs w:val="20"/>
              </w:rPr>
              <w:t>8 (2</w:t>
            </w:r>
            <w:r w:rsidR="00BE0BE9" w:rsidRPr="0029110D">
              <w:rPr>
                <w:sz w:val="20"/>
                <w:szCs w:val="20"/>
              </w:rPr>
              <w:t>,</w:t>
            </w:r>
            <w:r w:rsidRPr="0029110D">
              <w:rPr>
                <w:sz w:val="20"/>
                <w:szCs w:val="20"/>
              </w:rPr>
              <w:t>2) [3</w:t>
            </w:r>
            <w:r w:rsidR="00BE0BE9" w:rsidRPr="0029110D">
              <w:rPr>
                <w:sz w:val="20"/>
                <w:szCs w:val="20"/>
              </w:rPr>
              <w:t>,</w:t>
            </w:r>
            <w:r w:rsidRPr="0029110D">
              <w:rPr>
                <w:sz w:val="20"/>
                <w:szCs w:val="20"/>
              </w:rPr>
              <w:t>3]</w:t>
            </w:r>
          </w:p>
        </w:tc>
        <w:tc>
          <w:tcPr>
            <w:tcW w:w="1559" w:type="dxa"/>
            <w:vAlign w:val="center"/>
          </w:tcPr>
          <w:p w14:paraId="107504D4" w14:textId="5CEC7ED1" w:rsidR="00C34E4A" w:rsidRPr="0029110D" w:rsidRDefault="00C34E4A" w:rsidP="00AB1FF1">
            <w:pPr>
              <w:tabs>
                <w:tab w:val="left" w:pos="2730"/>
              </w:tabs>
              <w:jc w:val="center"/>
              <w:rPr>
                <w:sz w:val="20"/>
                <w:szCs w:val="20"/>
                <w:lang w:val="en-US"/>
              </w:rPr>
            </w:pPr>
            <w:r w:rsidRPr="0029110D">
              <w:rPr>
                <w:sz w:val="20"/>
                <w:szCs w:val="20"/>
              </w:rPr>
              <w:t>14 (2</w:t>
            </w:r>
            <w:r w:rsidR="00BE0BE9" w:rsidRPr="0029110D">
              <w:rPr>
                <w:sz w:val="20"/>
                <w:szCs w:val="20"/>
              </w:rPr>
              <w:t>,</w:t>
            </w:r>
            <w:r w:rsidRPr="0029110D">
              <w:rPr>
                <w:sz w:val="20"/>
                <w:szCs w:val="20"/>
              </w:rPr>
              <w:t>6) [3</w:t>
            </w:r>
            <w:r w:rsidR="00BE0BE9" w:rsidRPr="0029110D">
              <w:rPr>
                <w:sz w:val="20"/>
                <w:szCs w:val="20"/>
              </w:rPr>
              <w:t>,</w:t>
            </w:r>
            <w:r w:rsidRPr="0029110D">
              <w:rPr>
                <w:sz w:val="20"/>
                <w:szCs w:val="20"/>
              </w:rPr>
              <w:t>9]</w:t>
            </w:r>
          </w:p>
        </w:tc>
        <w:tc>
          <w:tcPr>
            <w:tcW w:w="1701" w:type="dxa"/>
            <w:vAlign w:val="center"/>
          </w:tcPr>
          <w:p w14:paraId="7446F614" w14:textId="42478212" w:rsidR="00C34E4A" w:rsidRPr="0029110D" w:rsidRDefault="00C34E4A" w:rsidP="00AB1FF1">
            <w:pPr>
              <w:tabs>
                <w:tab w:val="left" w:pos="2730"/>
              </w:tabs>
              <w:jc w:val="center"/>
              <w:rPr>
                <w:sz w:val="20"/>
                <w:szCs w:val="20"/>
                <w:lang w:val="en-US"/>
              </w:rPr>
            </w:pPr>
            <w:r w:rsidRPr="0029110D">
              <w:rPr>
                <w:sz w:val="20"/>
                <w:szCs w:val="20"/>
              </w:rPr>
              <w:t>9 (2</w:t>
            </w:r>
            <w:r w:rsidR="00BE0BE9" w:rsidRPr="0029110D">
              <w:rPr>
                <w:sz w:val="20"/>
                <w:szCs w:val="20"/>
              </w:rPr>
              <w:t>,</w:t>
            </w:r>
            <w:r w:rsidRPr="0029110D">
              <w:rPr>
                <w:sz w:val="20"/>
                <w:szCs w:val="20"/>
              </w:rPr>
              <w:t>5) [2</w:t>
            </w:r>
            <w:r w:rsidR="00BE0BE9" w:rsidRPr="0029110D">
              <w:rPr>
                <w:sz w:val="20"/>
                <w:szCs w:val="20"/>
              </w:rPr>
              <w:t>,</w:t>
            </w:r>
            <w:r w:rsidRPr="0029110D">
              <w:rPr>
                <w:sz w:val="20"/>
                <w:szCs w:val="20"/>
              </w:rPr>
              <w:t>1]</w:t>
            </w:r>
          </w:p>
        </w:tc>
        <w:tc>
          <w:tcPr>
            <w:tcW w:w="1781" w:type="dxa"/>
            <w:vAlign w:val="center"/>
          </w:tcPr>
          <w:p w14:paraId="615B5EE4" w14:textId="5A6EF3A4" w:rsidR="00C34E4A" w:rsidRPr="0029110D" w:rsidRDefault="00C34E4A" w:rsidP="00AB1FF1">
            <w:pPr>
              <w:tabs>
                <w:tab w:val="left" w:pos="2730"/>
              </w:tabs>
              <w:jc w:val="center"/>
              <w:rPr>
                <w:sz w:val="20"/>
                <w:szCs w:val="20"/>
                <w:lang w:val="en-US"/>
              </w:rPr>
            </w:pPr>
            <w:r w:rsidRPr="0029110D">
              <w:rPr>
                <w:sz w:val="20"/>
                <w:szCs w:val="20"/>
              </w:rPr>
              <w:t>25 (4</w:t>
            </w:r>
            <w:r w:rsidR="00BE0BE9" w:rsidRPr="0029110D">
              <w:rPr>
                <w:sz w:val="20"/>
                <w:szCs w:val="20"/>
              </w:rPr>
              <w:t>,</w:t>
            </w:r>
            <w:r w:rsidRPr="0029110D">
              <w:rPr>
                <w:sz w:val="20"/>
                <w:szCs w:val="20"/>
              </w:rPr>
              <w:t>6) [3</w:t>
            </w:r>
            <w:r w:rsidR="00BE0BE9" w:rsidRPr="0029110D">
              <w:rPr>
                <w:sz w:val="20"/>
                <w:szCs w:val="20"/>
              </w:rPr>
              <w:t>,</w:t>
            </w:r>
            <w:r w:rsidRPr="0029110D">
              <w:rPr>
                <w:sz w:val="20"/>
                <w:szCs w:val="20"/>
              </w:rPr>
              <w:t>4]</w:t>
            </w:r>
          </w:p>
        </w:tc>
        <w:tc>
          <w:tcPr>
            <w:tcW w:w="1479" w:type="dxa"/>
            <w:vAlign w:val="center"/>
          </w:tcPr>
          <w:p w14:paraId="095433F6" w14:textId="1C43B841" w:rsidR="00C34E4A" w:rsidRPr="0029110D" w:rsidRDefault="00C34E4A" w:rsidP="00AB1FF1">
            <w:pPr>
              <w:tabs>
                <w:tab w:val="left" w:pos="2730"/>
              </w:tabs>
              <w:jc w:val="center"/>
              <w:rPr>
                <w:sz w:val="20"/>
                <w:szCs w:val="20"/>
                <w:lang w:val="en-US"/>
              </w:rPr>
            </w:pPr>
            <w:r w:rsidRPr="0029110D">
              <w:rPr>
                <w:sz w:val="20"/>
                <w:szCs w:val="20"/>
              </w:rPr>
              <w:t>54 (4</w:t>
            </w:r>
            <w:r w:rsidR="00BE0BE9" w:rsidRPr="0029110D">
              <w:rPr>
                <w:sz w:val="20"/>
                <w:szCs w:val="20"/>
              </w:rPr>
              <w:t>,</w:t>
            </w:r>
            <w:r w:rsidRPr="0029110D">
              <w:rPr>
                <w:sz w:val="20"/>
                <w:szCs w:val="20"/>
              </w:rPr>
              <w:t>3) [3</w:t>
            </w:r>
            <w:r w:rsidR="00BE0BE9" w:rsidRPr="0029110D">
              <w:rPr>
                <w:sz w:val="20"/>
                <w:szCs w:val="20"/>
              </w:rPr>
              <w:t>,</w:t>
            </w:r>
            <w:r w:rsidRPr="0029110D">
              <w:rPr>
                <w:sz w:val="20"/>
                <w:szCs w:val="20"/>
              </w:rPr>
              <w:t>2]</w:t>
            </w:r>
          </w:p>
        </w:tc>
        <w:tc>
          <w:tcPr>
            <w:tcW w:w="1560" w:type="dxa"/>
            <w:vAlign w:val="center"/>
          </w:tcPr>
          <w:p w14:paraId="7E5A23C1" w14:textId="13303150" w:rsidR="00C34E4A" w:rsidRPr="0029110D" w:rsidRDefault="00C34E4A" w:rsidP="00AB1FF1">
            <w:pPr>
              <w:tabs>
                <w:tab w:val="left" w:pos="2730"/>
              </w:tabs>
              <w:jc w:val="center"/>
              <w:rPr>
                <w:sz w:val="20"/>
                <w:szCs w:val="20"/>
                <w:lang w:val="en-US"/>
              </w:rPr>
            </w:pPr>
            <w:r w:rsidRPr="0029110D">
              <w:rPr>
                <w:sz w:val="20"/>
                <w:szCs w:val="20"/>
              </w:rPr>
              <w:t>18 (3</w:t>
            </w:r>
            <w:r w:rsidR="00BE0BE9" w:rsidRPr="0029110D">
              <w:rPr>
                <w:sz w:val="20"/>
                <w:szCs w:val="20"/>
              </w:rPr>
              <w:t>,</w:t>
            </w:r>
            <w:r w:rsidRPr="0029110D">
              <w:rPr>
                <w:sz w:val="20"/>
                <w:szCs w:val="20"/>
              </w:rPr>
              <w:t>2) [3</w:t>
            </w:r>
            <w:r w:rsidR="00BE0BE9" w:rsidRPr="0029110D">
              <w:rPr>
                <w:sz w:val="20"/>
                <w:szCs w:val="20"/>
              </w:rPr>
              <w:t>,</w:t>
            </w:r>
            <w:r w:rsidRPr="0029110D">
              <w:rPr>
                <w:sz w:val="20"/>
                <w:szCs w:val="20"/>
              </w:rPr>
              <w:t>0]</w:t>
            </w:r>
          </w:p>
        </w:tc>
        <w:tc>
          <w:tcPr>
            <w:tcW w:w="1593" w:type="dxa"/>
            <w:vAlign w:val="center"/>
          </w:tcPr>
          <w:p w14:paraId="631A9693" w14:textId="649708FD" w:rsidR="00C34E4A" w:rsidRPr="0029110D" w:rsidRDefault="00C34E4A" w:rsidP="00AB1FF1">
            <w:pPr>
              <w:tabs>
                <w:tab w:val="left" w:pos="2730"/>
              </w:tabs>
              <w:jc w:val="center"/>
              <w:rPr>
                <w:sz w:val="20"/>
                <w:szCs w:val="20"/>
                <w:lang w:val="en-US"/>
              </w:rPr>
            </w:pPr>
            <w:r w:rsidRPr="0029110D">
              <w:rPr>
                <w:sz w:val="20"/>
                <w:szCs w:val="20"/>
              </w:rPr>
              <w:t>36 (3</w:t>
            </w:r>
            <w:r w:rsidR="00BE0BE9" w:rsidRPr="0029110D">
              <w:rPr>
                <w:sz w:val="20"/>
                <w:szCs w:val="20"/>
              </w:rPr>
              <w:t>,</w:t>
            </w:r>
            <w:r w:rsidRPr="0029110D">
              <w:rPr>
                <w:sz w:val="20"/>
                <w:szCs w:val="20"/>
              </w:rPr>
              <w:t>8) [3</w:t>
            </w:r>
            <w:r w:rsidR="00BE0BE9" w:rsidRPr="0029110D">
              <w:rPr>
                <w:sz w:val="20"/>
                <w:szCs w:val="20"/>
              </w:rPr>
              <w:t>,</w:t>
            </w:r>
            <w:r w:rsidRPr="0029110D">
              <w:rPr>
                <w:sz w:val="20"/>
                <w:szCs w:val="20"/>
              </w:rPr>
              <w:t>3]</w:t>
            </w:r>
          </w:p>
        </w:tc>
      </w:tr>
      <w:tr w:rsidR="00C34E4A" w:rsidRPr="00C34E4A" w14:paraId="6436D417" w14:textId="77777777" w:rsidTr="00BE0BE9">
        <w:trPr>
          <w:trHeight w:val="20"/>
        </w:trPr>
        <w:tc>
          <w:tcPr>
            <w:tcW w:w="1696" w:type="dxa"/>
          </w:tcPr>
          <w:p w14:paraId="040122EF" w14:textId="77777777" w:rsidR="00C34E4A" w:rsidRPr="0029110D" w:rsidRDefault="00C34E4A">
            <w:pPr>
              <w:tabs>
                <w:tab w:val="left" w:pos="2730"/>
              </w:tabs>
              <w:rPr>
                <w:sz w:val="20"/>
                <w:szCs w:val="20"/>
                <w:lang w:val="en-US"/>
              </w:rPr>
            </w:pPr>
            <w:r w:rsidRPr="0029110D">
              <w:rPr>
                <w:sz w:val="20"/>
                <w:szCs w:val="20"/>
              </w:rPr>
              <w:t xml:space="preserve">TEAE </w:t>
            </w:r>
            <w:r w:rsidRPr="0029110D">
              <w:rPr>
                <w:sz w:val="20"/>
                <w:szCs w:val="20"/>
                <w:vertAlign w:val="superscript"/>
              </w:rPr>
              <w:t>a</w:t>
            </w:r>
          </w:p>
        </w:tc>
        <w:tc>
          <w:tcPr>
            <w:tcW w:w="1560" w:type="dxa"/>
            <w:vAlign w:val="center"/>
          </w:tcPr>
          <w:p w14:paraId="3AA5DB9A" w14:textId="135BC243" w:rsidR="00C34E4A" w:rsidRPr="0029110D" w:rsidRDefault="00C34E4A" w:rsidP="00AB1FF1">
            <w:pPr>
              <w:tabs>
                <w:tab w:val="left" w:pos="2730"/>
              </w:tabs>
              <w:jc w:val="center"/>
              <w:rPr>
                <w:sz w:val="20"/>
                <w:szCs w:val="20"/>
                <w:lang w:val="en-US"/>
              </w:rPr>
            </w:pPr>
            <w:r w:rsidRPr="0029110D">
              <w:rPr>
                <w:sz w:val="20"/>
                <w:szCs w:val="20"/>
              </w:rPr>
              <w:t>211 (56</w:t>
            </w:r>
            <w:r w:rsidR="00BE0BE9" w:rsidRPr="0029110D">
              <w:rPr>
                <w:sz w:val="20"/>
                <w:szCs w:val="20"/>
              </w:rPr>
              <w:t>,</w:t>
            </w:r>
            <w:r w:rsidRPr="0029110D">
              <w:rPr>
                <w:sz w:val="20"/>
                <w:szCs w:val="20"/>
              </w:rPr>
              <w:t>9) [153</w:t>
            </w:r>
            <w:r w:rsidR="00BE0BE9" w:rsidRPr="0029110D">
              <w:rPr>
                <w:sz w:val="20"/>
                <w:szCs w:val="20"/>
              </w:rPr>
              <w:t>,</w:t>
            </w:r>
            <w:r w:rsidRPr="0029110D">
              <w:rPr>
                <w:sz w:val="20"/>
                <w:szCs w:val="20"/>
              </w:rPr>
              <w:t>1]</w:t>
            </w:r>
          </w:p>
        </w:tc>
        <w:tc>
          <w:tcPr>
            <w:tcW w:w="1559" w:type="dxa"/>
            <w:vAlign w:val="center"/>
          </w:tcPr>
          <w:p w14:paraId="07E6864E" w14:textId="08C5FCC5" w:rsidR="00C34E4A" w:rsidRPr="0029110D" w:rsidRDefault="00C34E4A" w:rsidP="00AB1FF1">
            <w:pPr>
              <w:tabs>
                <w:tab w:val="left" w:pos="2730"/>
              </w:tabs>
              <w:jc w:val="center"/>
              <w:rPr>
                <w:sz w:val="20"/>
                <w:szCs w:val="20"/>
                <w:lang w:val="en-US"/>
              </w:rPr>
            </w:pPr>
            <w:r w:rsidRPr="0029110D">
              <w:rPr>
                <w:sz w:val="20"/>
                <w:szCs w:val="20"/>
              </w:rPr>
              <w:t>221 (60</w:t>
            </w:r>
            <w:r w:rsidR="00BE0BE9" w:rsidRPr="0029110D">
              <w:rPr>
                <w:sz w:val="20"/>
                <w:szCs w:val="20"/>
              </w:rPr>
              <w:t>,</w:t>
            </w:r>
            <w:r w:rsidRPr="0029110D">
              <w:rPr>
                <w:sz w:val="20"/>
                <w:szCs w:val="20"/>
              </w:rPr>
              <w:t>5) [160</w:t>
            </w:r>
            <w:r w:rsidR="00BE0BE9" w:rsidRPr="0029110D">
              <w:rPr>
                <w:sz w:val="20"/>
                <w:szCs w:val="20"/>
              </w:rPr>
              <w:t>,</w:t>
            </w:r>
            <w:r w:rsidRPr="0029110D">
              <w:rPr>
                <w:sz w:val="20"/>
                <w:szCs w:val="20"/>
              </w:rPr>
              <w:t>9]</w:t>
            </w:r>
          </w:p>
        </w:tc>
        <w:tc>
          <w:tcPr>
            <w:tcW w:w="1559" w:type="dxa"/>
            <w:vAlign w:val="center"/>
          </w:tcPr>
          <w:p w14:paraId="31BB0C45" w14:textId="72B268C2" w:rsidR="00C34E4A" w:rsidRPr="0029110D" w:rsidRDefault="00C34E4A" w:rsidP="00AB1FF1">
            <w:pPr>
              <w:tabs>
                <w:tab w:val="left" w:pos="2730"/>
              </w:tabs>
              <w:jc w:val="center"/>
              <w:rPr>
                <w:sz w:val="20"/>
                <w:szCs w:val="20"/>
                <w:lang w:val="en-US"/>
              </w:rPr>
            </w:pPr>
            <w:r w:rsidRPr="0029110D">
              <w:rPr>
                <w:sz w:val="20"/>
                <w:szCs w:val="20"/>
              </w:rPr>
              <w:t>341 (63</w:t>
            </w:r>
            <w:r w:rsidR="00BE0BE9" w:rsidRPr="0029110D">
              <w:rPr>
                <w:sz w:val="20"/>
                <w:szCs w:val="20"/>
              </w:rPr>
              <w:t>,</w:t>
            </w:r>
            <w:r w:rsidRPr="0029110D">
              <w:rPr>
                <w:sz w:val="20"/>
                <w:szCs w:val="20"/>
              </w:rPr>
              <w:t>1) [172</w:t>
            </w:r>
            <w:r w:rsidR="00BE0BE9" w:rsidRPr="0029110D">
              <w:rPr>
                <w:sz w:val="20"/>
                <w:szCs w:val="20"/>
              </w:rPr>
              <w:t>,</w:t>
            </w:r>
            <w:r w:rsidRPr="0029110D">
              <w:rPr>
                <w:sz w:val="20"/>
                <w:szCs w:val="20"/>
              </w:rPr>
              <w:t>1]</w:t>
            </w:r>
          </w:p>
        </w:tc>
        <w:tc>
          <w:tcPr>
            <w:tcW w:w="1701" w:type="dxa"/>
            <w:vAlign w:val="center"/>
          </w:tcPr>
          <w:p w14:paraId="6FD273CD" w14:textId="22B1A3BD" w:rsidR="00C34E4A" w:rsidRPr="0029110D" w:rsidRDefault="00C34E4A" w:rsidP="00AB1FF1">
            <w:pPr>
              <w:tabs>
                <w:tab w:val="left" w:pos="2730"/>
              </w:tabs>
              <w:jc w:val="center"/>
              <w:rPr>
                <w:sz w:val="20"/>
                <w:szCs w:val="20"/>
                <w:lang w:val="en-US"/>
              </w:rPr>
            </w:pPr>
            <w:r w:rsidRPr="0029110D">
              <w:rPr>
                <w:sz w:val="20"/>
                <w:szCs w:val="20"/>
              </w:rPr>
              <w:t>246 (67</w:t>
            </w:r>
            <w:r w:rsidR="00BE0BE9" w:rsidRPr="0029110D">
              <w:rPr>
                <w:sz w:val="20"/>
                <w:szCs w:val="20"/>
              </w:rPr>
              <w:t>,</w:t>
            </w:r>
            <w:r w:rsidRPr="0029110D">
              <w:rPr>
                <w:sz w:val="20"/>
                <w:szCs w:val="20"/>
              </w:rPr>
              <w:t>4) [129</w:t>
            </w:r>
            <w:r w:rsidR="00BE0BE9" w:rsidRPr="0029110D">
              <w:rPr>
                <w:sz w:val="20"/>
                <w:szCs w:val="20"/>
              </w:rPr>
              <w:t>,</w:t>
            </w:r>
            <w:r w:rsidRPr="0029110D">
              <w:rPr>
                <w:sz w:val="20"/>
                <w:szCs w:val="20"/>
              </w:rPr>
              <w:t>5]</w:t>
            </w:r>
          </w:p>
        </w:tc>
        <w:tc>
          <w:tcPr>
            <w:tcW w:w="1781" w:type="dxa"/>
            <w:vAlign w:val="center"/>
          </w:tcPr>
          <w:p w14:paraId="77B17D46" w14:textId="5187D4C0" w:rsidR="00C34E4A" w:rsidRPr="0029110D" w:rsidRDefault="00C34E4A" w:rsidP="00AB1FF1">
            <w:pPr>
              <w:tabs>
                <w:tab w:val="left" w:pos="2730"/>
              </w:tabs>
              <w:jc w:val="center"/>
              <w:rPr>
                <w:sz w:val="20"/>
                <w:szCs w:val="20"/>
                <w:lang w:val="en-US"/>
              </w:rPr>
            </w:pPr>
            <w:r w:rsidRPr="0029110D">
              <w:rPr>
                <w:sz w:val="20"/>
                <w:szCs w:val="20"/>
              </w:rPr>
              <w:t>399 (73</w:t>
            </w:r>
            <w:r w:rsidR="00BE0BE9" w:rsidRPr="0029110D">
              <w:rPr>
                <w:sz w:val="20"/>
                <w:szCs w:val="20"/>
              </w:rPr>
              <w:t>,</w:t>
            </w:r>
            <w:r w:rsidRPr="0029110D">
              <w:rPr>
                <w:sz w:val="20"/>
                <w:szCs w:val="20"/>
              </w:rPr>
              <w:t>9) [132</w:t>
            </w:r>
            <w:r w:rsidR="00BE0BE9" w:rsidRPr="0029110D">
              <w:rPr>
                <w:sz w:val="20"/>
                <w:szCs w:val="20"/>
              </w:rPr>
              <w:t>,</w:t>
            </w:r>
            <w:r w:rsidRPr="0029110D">
              <w:rPr>
                <w:sz w:val="20"/>
                <w:szCs w:val="20"/>
              </w:rPr>
              <w:t>7]</w:t>
            </w:r>
          </w:p>
        </w:tc>
        <w:tc>
          <w:tcPr>
            <w:tcW w:w="1479" w:type="dxa"/>
            <w:vAlign w:val="center"/>
          </w:tcPr>
          <w:p w14:paraId="6F1FE5BB" w14:textId="0E1C6B36" w:rsidR="00C34E4A" w:rsidRPr="0029110D" w:rsidRDefault="00C34E4A" w:rsidP="00AB1FF1">
            <w:pPr>
              <w:tabs>
                <w:tab w:val="left" w:pos="2730"/>
              </w:tabs>
              <w:jc w:val="center"/>
              <w:rPr>
                <w:sz w:val="20"/>
                <w:szCs w:val="20"/>
                <w:lang w:val="en-US"/>
              </w:rPr>
            </w:pPr>
            <w:r w:rsidRPr="0029110D">
              <w:rPr>
                <w:sz w:val="20"/>
                <w:szCs w:val="20"/>
              </w:rPr>
              <w:t>872 (70</w:t>
            </w:r>
            <w:r w:rsidR="00BE0BE9" w:rsidRPr="0029110D">
              <w:rPr>
                <w:sz w:val="20"/>
                <w:szCs w:val="20"/>
              </w:rPr>
              <w:t>,</w:t>
            </w:r>
            <w:r w:rsidRPr="0029110D">
              <w:rPr>
                <w:sz w:val="20"/>
                <w:szCs w:val="20"/>
              </w:rPr>
              <w:t>1) [118</w:t>
            </w:r>
            <w:r w:rsidR="00BE0BE9" w:rsidRPr="0029110D">
              <w:rPr>
                <w:sz w:val="20"/>
                <w:szCs w:val="20"/>
              </w:rPr>
              <w:t>,</w:t>
            </w:r>
            <w:r w:rsidRPr="0029110D">
              <w:rPr>
                <w:sz w:val="20"/>
                <w:szCs w:val="20"/>
              </w:rPr>
              <w:t>5]</w:t>
            </w:r>
          </w:p>
        </w:tc>
        <w:tc>
          <w:tcPr>
            <w:tcW w:w="1560" w:type="dxa"/>
            <w:vAlign w:val="center"/>
          </w:tcPr>
          <w:p w14:paraId="35BD2827" w14:textId="08499EAA" w:rsidR="00C34E4A" w:rsidRPr="0029110D" w:rsidRDefault="00C34E4A" w:rsidP="00AB1FF1">
            <w:pPr>
              <w:tabs>
                <w:tab w:val="left" w:pos="2730"/>
              </w:tabs>
              <w:jc w:val="center"/>
              <w:rPr>
                <w:sz w:val="20"/>
                <w:szCs w:val="20"/>
                <w:lang w:val="en-US"/>
              </w:rPr>
            </w:pPr>
            <w:r w:rsidRPr="0029110D">
              <w:rPr>
                <w:sz w:val="20"/>
                <w:szCs w:val="20"/>
              </w:rPr>
              <w:t>351 (62</w:t>
            </w:r>
            <w:r w:rsidR="00BE0BE9" w:rsidRPr="0029110D">
              <w:rPr>
                <w:sz w:val="20"/>
                <w:szCs w:val="20"/>
              </w:rPr>
              <w:t>,</w:t>
            </w:r>
            <w:r w:rsidRPr="0029110D">
              <w:rPr>
                <w:sz w:val="20"/>
                <w:szCs w:val="20"/>
              </w:rPr>
              <w:t>2) [119</w:t>
            </w:r>
            <w:r w:rsidR="00BE0BE9" w:rsidRPr="0029110D">
              <w:rPr>
                <w:sz w:val="20"/>
                <w:szCs w:val="20"/>
              </w:rPr>
              <w:t>,</w:t>
            </w:r>
            <w:r w:rsidRPr="0029110D">
              <w:rPr>
                <w:sz w:val="20"/>
                <w:szCs w:val="20"/>
              </w:rPr>
              <w:t>0]</w:t>
            </w:r>
          </w:p>
        </w:tc>
        <w:tc>
          <w:tcPr>
            <w:tcW w:w="1593" w:type="dxa"/>
            <w:vAlign w:val="center"/>
          </w:tcPr>
          <w:p w14:paraId="34BA2554" w14:textId="75A7B478" w:rsidR="00C34E4A" w:rsidRPr="0029110D" w:rsidRDefault="00C34E4A" w:rsidP="00AB1FF1">
            <w:pPr>
              <w:tabs>
                <w:tab w:val="left" w:pos="2730"/>
              </w:tabs>
              <w:jc w:val="center"/>
              <w:rPr>
                <w:sz w:val="20"/>
                <w:szCs w:val="20"/>
                <w:lang w:val="en-US"/>
              </w:rPr>
            </w:pPr>
            <w:r w:rsidRPr="0029110D">
              <w:rPr>
                <w:sz w:val="20"/>
                <w:szCs w:val="20"/>
              </w:rPr>
              <w:t>604 (63</w:t>
            </w:r>
            <w:r w:rsidR="00BE0BE9" w:rsidRPr="0029110D">
              <w:rPr>
                <w:sz w:val="20"/>
                <w:szCs w:val="20"/>
              </w:rPr>
              <w:t>,</w:t>
            </w:r>
            <w:r w:rsidRPr="0029110D">
              <w:rPr>
                <w:sz w:val="20"/>
                <w:szCs w:val="20"/>
              </w:rPr>
              <w:t>5) [115</w:t>
            </w:r>
            <w:r w:rsidR="00BE0BE9" w:rsidRPr="0029110D">
              <w:rPr>
                <w:sz w:val="20"/>
                <w:szCs w:val="20"/>
              </w:rPr>
              <w:t>,</w:t>
            </w:r>
            <w:r w:rsidRPr="0029110D">
              <w:rPr>
                <w:sz w:val="20"/>
                <w:szCs w:val="20"/>
              </w:rPr>
              <w:t>9]</w:t>
            </w:r>
          </w:p>
        </w:tc>
      </w:tr>
      <w:tr w:rsidR="00C34E4A" w:rsidRPr="00C34E4A" w14:paraId="4F969013" w14:textId="77777777" w:rsidTr="00BE0BE9">
        <w:trPr>
          <w:trHeight w:val="20"/>
        </w:trPr>
        <w:tc>
          <w:tcPr>
            <w:tcW w:w="1696" w:type="dxa"/>
          </w:tcPr>
          <w:p w14:paraId="2673689F" w14:textId="79A7E437" w:rsidR="00C34E4A" w:rsidRPr="0029110D" w:rsidRDefault="00963B80">
            <w:pPr>
              <w:tabs>
                <w:tab w:val="left" w:pos="2730"/>
              </w:tabs>
              <w:rPr>
                <w:sz w:val="20"/>
                <w:szCs w:val="20"/>
              </w:rPr>
            </w:pPr>
            <w:r w:rsidRPr="0029110D">
              <w:rPr>
                <w:sz w:val="20"/>
                <w:szCs w:val="20"/>
              </w:rPr>
              <w:t xml:space="preserve">Легкая </w:t>
            </w:r>
            <w:r w:rsidR="00C34E4A" w:rsidRPr="0029110D">
              <w:rPr>
                <w:sz w:val="20"/>
                <w:szCs w:val="20"/>
              </w:rPr>
              <w:t>степень</w:t>
            </w:r>
          </w:p>
        </w:tc>
        <w:tc>
          <w:tcPr>
            <w:tcW w:w="1560" w:type="dxa"/>
            <w:vAlign w:val="center"/>
          </w:tcPr>
          <w:p w14:paraId="348175AD" w14:textId="37B5DDFD" w:rsidR="00C34E4A" w:rsidRPr="0029110D" w:rsidRDefault="00C34E4A" w:rsidP="00AB1FF1">
            <w:pPr>
              <w:tabs>
                <w:tab w:val="left" w:pos="2730"/>
              </w:tabs>
              <w:jc w:val="center"/>
              <w:rPr>
                <w:sz w:val="20"/>
                <w:szCs w:val="20"/>
                <w:lang w:val="en-US"/>
              </w:rPr>
            </w:pPr>
            <w:r w:rsidRPr="0029110D">
              <w:rPr>
                <w:sz w:val="20"/>
                <w:szCs w:val="20"/>
              </w:rPr>
              <w:t>122 (32</w:t>
            </w:r>
            <w:r w:rsidR="00BE0BE9" w:rsidRPr="0029110D">
              <w:rPr>
                <w:sz w:val="20"/>
                <w:szCs w:val="20"/>
              </w:rPr>
              <w:t>,</w:t>
            </w:r>
            <w:r w:rsidRPr="0029110D">
              <w:rPr>
                <w:sz w:val="20"/>
                <w:szCs w:val="20"/>
              </w:rPr>
              <w:t>9) [66</w:t>
            </w:r>
            <w:r w:rsidR="00BE0BE9" w:rsidRPr="0029110D">
              <w:rPr>
                <w:sz w:val="20"/>
                <w:szCs w:val="20"/>
              </w:rPr>
              <w:t>,</w:t>
            </w:r>
            <w:r w:rsidRPr="0029110D">
              <w:rPr>
                <w:sz w:val="20"/>
                <w:szCs w:val="20"/>
              </w:rPr>
              <w:t>2]</w:t>
            </w:r>
          </w:p>
        </w:tc>
        <w:tc>
          <w:tcPr>
            <w:tcW w:w="1559" w:type="dxa"/>
            <w:vAlign w:val="center"/>
          </w:tcPr>
          <w:p w14:paraId="658C467C" w14:textId="60A61FC1" w:rsidR="00C34E4A" w:rsidRPr="0029110D" w:rsidRDefault="00C34E4A" w:rsidP="00AB1FF1">
            <w:pPr>
              <w:tabs>
                <w:tab w:val="left" w:pos="2730"/>
              </w:tabs>
              <w:jc w:val="center"/>
              <w:rPr>
                <w:sz w:val="20"/>
                <w:szCs w:val="20"/>
                <w:lang w:val="en-US"/>
              </w:rPr>
            </w:pPr>
            <w:r w:rsidRPr="0029110D">
              <w:rPr>
                <w:sz w:val="20"/>
                <w:szCs w:val="20"/>
              </w:rPr>
              <w:t>136 (37</w:t>
            </w:r>
            <w:r w:rsidR="00BE0BE9" w:rsidRPr="0029110D">
              <w:rPr>
                <w:sz w:val="20"/>
                <w:szCs w:val="20"/>
              </w:rPr>
              <w:t>,</w:t>
            </w:r>
            <w:r w:rsidRPr="0029110D">
              <w:rPr>
                <w:sz w:val="20"/>
                <w:szCs w:val="20"/>
              </w:rPr>
              <w:t>3) [76</w:t>
            </w:r>
            <w:r w:rsidR="00BE0BE9" w:rsidRPr="0029110D">
              <w:rPr>
                <w:sz w:val="20"/>
                <w:szCs w:val="20"/>
              </w:rPr>
              <w:t>,</w:t>
            </w:r>
            <w:r w:rsidRPr="0029110D">
              <w:rPr>
                <w:sz w:val="20"/>
                <w:szCs w:val="20"/>
              </w:rPr>
              <w:t>2]</w:t>
            </w:r>
          </w:p>
        </w:tc>
        <w:tc>
          <w:tcPr>
            <w:tcW w:w="1559" w:type="dxa"/>
            <w:vAlign w:val="center"/>
          </w:tcPr>
          <w:p w14:paraId="5178FEAE" w14:textId="26303EB1" w:rsidR="00C34E4A" w:rsidRPr="0029110D" w:rsidRDefault="00C34E4A" w:rsidP="00AB1FF1">
            <w:pPr>
              <w:tabs>
                <w:tab w:val="left" w:pos="2730"/>
              </w:tabs>
              <w:jc w:val="center"/>
              <w:rPr>
                <w:sz w:val="20"/>
                <w:szCs w:val="20"/>
                <w:lang w:val="en-US"/>
              </w:rPr>
            </w:pPr>
            <w:r w:rsidRPr="0029110D">
              <w:rPr>
                <w:sz w:val="20"/>
                <w:szCs w:val="20"/>
              </w:rPr>
              <w:t>200 (37</w:t>
            </w:r>
            <w:r w:rsidR="00BE0BE9" w:rsidRPr="0029110D">
              <w:rPr>
                <w:sz w:val="20"/>
                <w:szCs w:val="20"/>
              </w:rPr>
              <w:t>,</w:t>
            </w:r>
            <w:r w:rsidRPr="0029110D">
              <w:rPr>
                <w:sz w:val="20"/>
                <w:szCs w:val="20"/>
              </w:rPr>
              <w:t>0) [75</w:t>
            </w:r>
            <w:r w:rsidR="00BE0BE9" w:rsidRPr="0029110D">
              <w:rPr>
                <w:sz w:val="20"/>
                <w:szCs w:val="20"/>
              </w:rPr>
              <w:t>,</w:t>
            </w:r>
            <w:r w:rsidRPr="0029110D">
              <w:rPr>
                <w:sz w:val="20"/>
                <w:szCs w:val="20"/>
              </w:rPr>
              <w:t>1]</w:t>
            </w:r>
          </w:p>
        </w:tc>
        <w:tc>
          <w:tcPr>
            <w:tcW w:w="1701" w:type="dxa"/>
            <w:vAlign w:val="center"/>
          </w:tcPr>
          <w:p w14:paraId="29CF27D0" w14:textId="2AA7DFE4" w:rsidR="00C34E4A" w:rsidRPr="0029110D" w:rsidRDefault="00C34E4A" w:rsidP="00AB1FF1">
            <w:pPr>
              <w:tabs>
                <w:tab w:val="left" w:pos="2730"/>
              </w:tabs>
              <w:jc w:val="center"/>
              <w:rPr>
                <w:sz w:val="20"/>
                <w:szCs w:val="20"/>
                <w:lang w:val="en-US"/>
              </w:rPr>
            </w:pPr>
            <w:r w:rsidRPr="0029110D">
              <w:rPr>
                <w:sz w:val="20"/>
                <w:szCs w:val="20"/>
              </w:rPr>
              <w:t>132 (36</w:t>
            </w:r>
            <w:r w:rsidR="00BE0BE9" w:rsidRPr="0029110D">
              <w:rPr>
                <w:sz w:val="20"/>
                <w:szCs w:val="20"/>
              </w:rPr>
              <w:t>,</w:t>
            </w:r>
            <w:r w:rsidRPr="0029110D">
              <w:rPr>
                <w:sz w:val="20"/>
                <w:szCs w:val="20"/>
              </w:rPr>
              <w:t>2) [43</w:t>
            </w:r>
            <w:r w:rsidR="00BE0BE9" w:rsidRPr="0029110D">
              <w:rPr>
                <w:sz w:val="20"/>
                <w:szCs w:val="20"/>
              </w:rPr>
              <w:t>,</w:t>
            </w:r>
            <w:r w:rsidRPr="0029110D">
              <w:rPr>
                <w:sz w:val="20"/>
                <w:szCs w:val="20"/>
              </w:rPr>
              <w:t>4]</w:t>
            </w:r>
          </w:p>
        </w:tc>
        <w:tc>
          <w:tcPr>
            <w:tcW w:w="1781" w:type="dxa"/>
            <w:vAlign w:val="center"/>
          </w:tcPr>
          <w:p w14:paraId="0B371ECC" w14:textId="3C044395" w:rsidR="00C34E4A" w:rsidRPr="0029110D" w:rsidRDefault="00C34E4A" w:rsidP="00AB1FF1">
            <w:pPr>
              <w:tabs>
                <w:tab w:val="left" w:pos="2730"/>
              </w:tabs>
              <w:jc w:val="center"/>
              <w:rPr>
                <w:sz w:val="20"/>
                <w:szCs w:val="20"/>
                <w:lang w:val="en-US"/>
              </w:rPr>
            </w:pPr>
            <w:r w:rsidRPr="0029110D">
              <w:rPr>
                <w:sz w:val="20"/>
                <w:szCs w:val="20"/>
              </w:rPr>
              <w:t>205 (38</w:t>
            </w:r>
            <w:r w:rsidR="00BE0BE9" w:rsidRPr="0029110D">
              <w:rPr>
                <w:sz w:val="20"/>
                <w:szCs w:val="20"/>
              </w:rPr>
              <w:t>,</w:t>
            </w:r>
            <w:r w:rsidRPr="0029110D">
              <w:rPr>
                <w:sz w:val="20"/>
                <w:szCs w:val="20"/>
              </w:rPr>
              <w:t>0) [38</w:t>
            </w:r>
            <w:r w:rsidR="00BE0BE9" w:rsidRPr="0029110D">
              <w:rPr>
                <w:sz w:val="20"/>
                <w:szCs w:val="20"/>
              </w:rPr>
              <w:t>,</w:t>
            </w:r>
            <w:r w:rsidRPr="0029110D">
              <w:rPr>
                <w:sz w:val="20"/>
                <w:szCs w:val="20"/>
              </w:rPr>
              <w:t>9]</w:t>
            </w:r>
          </w:p>
        </w:tc>
        <w:tc>
          <w:tcPr>
            <w:tcW w:w="1479" w:type="dxa"/>
            <w:vAlign w:val="center"/>
          </w:tcPr>
          <w:p w14:paraId="5CA52F7B" w14:textId="10382F45" w:rsidR="00C34E4A" w:rsidRPr="0029110D" w:rsidRDefault="00C34E4A" w:rsidP="00AB1FF1">
            <w:pPr>
              <w:tabs>
                <w:tab w:val="left" w:pos="2730"/>
              </w:tabs>
              <w:jc w:val="center"/>
              <w:rPr>
                <w:sz w:val="20"/>
                <w:szCs w:val="20"/>
                <w:lang w:val="en-US"/>
              </w:rPr>
            </w:pPr>
            <w:r w:rsidRPr="0029110D">
              <w:rPr>
                <w:sz w:val="20"/>
                <w:szCs w:val="20"/>
              </w:rPr>
              <w:t>466 (37</w:t>
            </w:r>
            <w:r w:rsidR="00BE0BE9" w:rsidRPr="0029110D">
              <w:rPr>
                <w:sz w:val="20"/>
                <w:szCs w:val="20"/>
              </w:rPr>
              <w:t>,</w:t>
            </w:r>
            <w:r w:rsidRPr="0029110D">
              <w:rPr>
                <w:sz w:val="20"/>
                <w:szCs w:val="20"/>
              </w:rPr>
              <w:t>5) [38</w:t>
            </w:r>
            <w:r w:rsidR="00BE0BE9" w:rsidRPr="0029110D">
              <w:rPr>
                <w:sz w:val="20"/>
                <w:szCs w:val="20"/>
              </w:rPr>
              <w:t>,</w:t>
            </w:r>
            <w:r w:rsidRPr="0029110D">
              <w:rPr>
                <w:sz w:val="20"/>
                <w:szCs w:val="20"/>
              </w:rPr>
              <w:t>3]</w:t>
            </w:r>
          </w:p>
        </w:tc>
        <w:tc>
          <w:tcPr>
            <w:tcW w:w="1560" w:type="dxa"/>
            <w:vAlign w:val="center"/>
          </w:tcPr>
          <w:p w14:paraId="481B6470" w14:textId="355FA5B6" w:rsidR="00C34E4A" w:rsidRPr="0029110D" w:rsidRDefault="00C34E4A" w:rsidP="00AB1FF1">
            <w:pPr>
              <w:tabs>
                <w:tab w:val="left" w:pos="2730"/>
              </w:tabs>
              <w:jc w:val="center"/>
              <w:rPr>
                <w:sz w:val="20"/>
                <w:szCs w:val="20"/>
                <w:lang w:val="en-US"/>
              </w:rPr>
            </w:pPr>
            <w:r w:rsidRPr="0029110D">
              <w:rPr>
                <w:sz w:val="20"/>
                <w:szCs w:val="20"/>
              </w:rPr>
              <w:t>198 (35</w:t>
            </w:r>
            <w:r w:rsidR="00BE0BE9" w:rsidRPr="0029110D">
              <w:rPr>
                <w:sz w:val="20"/>
                <w:szCs w:val="20"/>
              </w:rPr>
              <w:t>,</w:t>
            </w:r>
            <w:r w:rsidRPr="0029110D">
              <w:rPr>
                <w:sz w:val="20"/>
                <w:szCs w:val="20"/>
              </w:rPr>
              <w:t>1) [45</w:t>
            </w:r>
            <w:r w:rsidR="00BE0BE9" w:rsidRPr="0029110D">
              <w:rPr>
                <w:sz w:val="20"/>
                <w:szCs w:val="20"/>
              </w:rPr>
              <w:t>,</w:t>
            </w:r>
            <w:r w:rsidRPr="0029110D">
              <w:rPr>
                <w:sz w:val="20"/>
                <w:szCs w:val="20"/>
              </w:rPr>
              <w:t>2]</w:t>
            </w:r>
          </w:p>
        </w:tc>
        <w:tc>
          <w:tcPr>
            <w:tcW w:w="1593" w:type="dxa"/>
            <w:vAlign w:val="center"/>
          </w:tcPr>
          <w:p w14:paraId="5DE905F6" w14:textId="7AEB7458" w:rsidR="00C34E4A" w:rsidRPr="0029110D" w:rsidRDefault="00C34E4A" w:rsidP="00AB1FF1">
            <w:pPr>
              <w:tabs>
                <w:tab w:val="left" w:pos="2730"/>
              </w:tabs>
              <w:jc w:val="center"/>
              <w:rPr>
                <w:sz w:val="20"/>
                <w:szCs w:val="20"/>
                <w:lang w:val="en-US"/>
              </w:rPr>
            </w:pPr>
            <w:r w:rsidRPr="0029110D">
              <w:rPr>
                <w:sz w:val="20"/>
                <w:szCs w:val="20"/>
              </w:rPr>
              <w:t>329 (34</w:t>
            </w:r>
            <w:r w:rsidR="00BE0BE9" w:rsidRPr="0029110D">
              <w:rPr>
                <w:sz w:val="20"/>
                <w:szCs w:val="20"/>
              </w:rPr>
              <w:t>,</w:t>
            </w:r>
            <w:r w:rsidRPr="0029110D">
              <w:rPr>
                <w:sz w:val="20"/>
                <w:szCs w:val="20"/>
              </w:rPr>
              <w:t>6) [40</w:t>
            </w:r>
            <w:r w:rsidR="00BE0BE9" w:rsidRPr="0029110D">
              <w:rPr>
                <w:sz w:val="20"/>
                <w:szCs w:val="20"/>
              </w:rPr>
              <w:t>,</w:t>
            </w:r>
            <w:r w:rsidRPr="0029110D">
              <w:rPr>
                <w:sz w:val="20"/>
                <w:szCs w:val="20"/>
              </w:rPr>
              <w:t>6]</w:t>
            </w:r>
          </w:p>
        </w:tc>
      </w:tr>
      <w:tr w:rsidR="00C34E4A" w:rsidRPr="00C34E4A" w14:paraId="41D3D097" w14:textId="77777777" w:rsidTr="00BE0BE9">
        <w:trPr>
          <w:trHeight w:val="20"/>
        </w:trPr>
        <w:tc>
          <w:tcPr>
            <w:tcW w:w="1696" w:type="dxa"/>
          </w:tcPr>
          <w:p w14:paraId="5E21FD58" w14:textId="77777777" w:rsidR="00C34E4A" w:rsidRPr="0029110D" w:rsidRDefault="00C34E4A">
            <w:pPr>
              <w:tabs>
                <w:tab w:val="left" w:pos="2730"/>
              </w:tabs>
              <w:rPr>
                <w:sz w:val="20"/>
                <w:szCs w:val="20"/>
              </w:rPr>
            </w:pPr>
            <w:r w:rsidRPr="0029110D">
              <w:rPr>
                <w:sz w:val="20"/>
                <w:szCs w:val="20"/>
              </w:rPr>
              <w:t>Средняя степень</w:t>
            </w:r>
          </w:p>
        </w:tc>
        <w:tc>
          <w:tcPr>
            <w:tcW w:w="1560" w:type="dxa"/>
            <w:vAlign w:val="center"/>
          </w:tcPr>
          <w:p w14:paraId="59010E01" w14:textId="781FDABF" w:rsidR="00C34E4A" w:rsidRPr="0029110D" w:rsidRDefault="00C34E4A" w:rsidP="00AB1FF1">
            <w:pPr>
              <w:tabs>
                <w:tab w:val="left" w:pos="2730"/>
              </w:tabs>
              <w:jc w:val="center"/>
              <w:rPr>
                <w:sz w:val="20"/>
                <w:szCs w:val="20"/>
                <w:lang w:val="en-US"/>
              </w:rPr>
            </w:pPr>
            <w:r w:rsidRPr="0029110D">
              <w:rPr>
                <w:sz w:val="20"/>
                <w:szCs w:val="20"/>
              </w:rPr>
              <w:t>78 (21</w:t>
            </w:r>
            <w:r w:rsidR="00BE0BE9" w:rsidRPr="0029110D">
              <w:rPr>
                <w:sz w:val="20"/>
                <w:szCs w:val="20"/>
              </w:rPr>
              <w:t>,</w:t>
            </w:r>
            <w:r w:rsidRPr="0029110D">
              <w:rPr>
                <w:sz w:val="20"/>
                <w:szCs w:val="20"/>
              </w:rPr>
              <w:t>0) [36</w:t>
            </w:r>
            <w:r w:rsidR="00BE0BE9" w:rsidRPr="0029110D">
              <w:rPr>
                <w:sz w:val="20"/>
                <w:szCs w:val="20"/>
              </w:rPr>
              <w:t>,</w:t>
            </w:r>
            <w:r w:rsidRPr="0029110D">
              <w:rPr>
                <w:sz w:val="20"/>
                <w:szCs w:val="20"/>
              </w:rPr>
              <w:t>8]</w:t>
            </w:r>
          </w:p>
        </w:tc>
        <w:tc>
          <w:tcPr>
            <w:tcW w:w="1559" w:type="dxa"/>
            <w:vAlign w:val="center"/>
          </w:tcPr>
          <w:p w14:paraId="188331EE" w14:textId="17E003A9" w:rsidR="00C34E4A" w:rsidRPr="0029110D" w:rsidRDefault="00C34E4A" w:rsidP="00AB1FF1">
            <w:pPr>
              <w:tabs>
                <w:tab w:val="left" w:pos="2730"/>
              </w:tabs>
              <w:jc w:val="center"/>
              <w:rPr>
                <w:sz w:val="20"/>
                <w:szCs w:val="20"/>
                <w:lang w:val="en-US"/>
              </w:rPr>
            </w:pPr>
            <w:r w:rsidRPr="0029110D">
              <w:rPr>
                <w:sz w:val="20"/>
                <w:szCs w:val="20"/>
              </w:rPr>
              <w:t>79 (21</w:t>
            </w:r>
            <w:r w:rsidR="00BE0BE9" w:rsidRPr="0029110D">
              <w:rPr>
                <w:sz w:val="20"/>
                <w:szCs w:val="20"/>
              </w:rPr>
              <w:t>,</w:t>
            </w:r>
            <w:r w:rsidRPr="0029110D">
              <w:rPr>
                <w:sz w:val="20"/>
                <w:szCs w:val="20"/>
              </w:rPr>
              <w:t>6) [37</w:t>
            </w:r>
            <w:r w:rsidR="00BE0BE9" w:rsidRPr="0029110D">
              <w:rPr>
                <w:sz w:val="20"/>
                <w:szCs w:val="20"/>
              </w:rPr>
              <w:t>,</w:t>
            </w:r>
            <w:r w:rsidRPr="0029110D">
              <w:rPr>
                <w:sz w:val="20"/>
                <w:szCs w:val="20"/>
              </w:rPr>
              <w:t>7]</w:t>
            </w:r>
          </w:p>
        </w:tc>
        <w:tc>
          <w:tcPr>
            <w:tcW w:w="1559" w:type="dxa"/>
            <w:vAlign w:val="center"/>
          </w:tcPr>
          <w:p w14:paraId="7C1F2AB5" w14:textId="43A178EC" w:rsidR="00C34E4A" w:rsidRPr="0029110D" w:rsidRDefault="00C34E4A" w:rsidP="00AB1FF1">
            <w:pPr>
              <w:tabs>
                <w:tab w:val="left" w:pos="2730"/>
              </w:tabs>
              <w:jc w:val="center"/>
              <w:rPr>
                <w:sz w:val="20"/>
                <w:szCs w:val="20"/>
                <w:lang w:val="en-US"/>
              </w:rPr>
            </w:pPr>
            <w:r w:rsidRPr="0029110D">
              <w:rPr>
                <w:sz w:val="20"/>
                <w:szCs w:val="20"/>
              </w:rPr>
              <w:t>120 (22</w:t>
            </w:r>
            <w:r w:rsidR="00BE0BE9" w:rsidRPr="0029110D">
              <w:rPr>
                <w:sz w:val="20"/>
                <w:szCs w:val="20"/>
              </w:rPr>
              <w:t>,</w:t>
            </w:r>
            <w:r w:rsidRPr="0029110D">
              <w:rPr>
                <w:sz w:val="20"/>
                <w:szCs w:val="20"/>
              </w:rPr>
              <w:t>2) [37</w:t>
            </w:r>
            <w:r w:rsidR="00BE0BE9" w:rsidRPr="0029110D">
              <w:rPr>
                <w:sz w:val="20"/>
                <w:szCs w:val="20"/>
              </w:rPr>
              <w:t>,</w:t>
            </w:r>
            <w:r w:rsidRPr="0029110D">
              <w:rPr>
                <w:sz w:val="20"/>
                <w:szCs w:val="20"/>
              </w:rPr>
              <w:t>7]</w:t>
            </w:r>
          </w:p>
        </w:tc>
        <w:tc>
          <w:tcPr>
            <w:tcW w:w="1701" w:type="dxa"/>
            <w:vAlign w:val="center"/>
          </w:tcPr>
          <w:p w14:paraId="52B66B3F" w14:textId="14D86CC6" w:rsidR="00C34E4A" w:rsidRPr="0029110D" w:rsidRDefault="00C34E4A" w:rsidP="00AB1FF1">
            <w:pPr>
              <w:tabs>
                <w:tab w:val="left" w:pos="2730"/>
              </w:tabs>
              <w:jc w:val="center"/>
              <w:rPr>
                <w:sz w:val="20"/>
                <w:szCs w:val="20"/>
                <w:lang w:val="en-US"/>
              </w:rPr>
            </w:pPr>
            <w:r w:rsidRPr="0029110D">
              <w:rPr>
                <w:sz w:val="20"/>
                <w:szCs w:val="20"/>
              </w:rPr>
              <w:t>105 (28</w:t>
            </w:r>
            <w:r w:rsidR="00BE0BE9" w:rsidRPr="0029110D">
              <w:rPr>
                <w:sz w:val="20"/>
                <w:szCs w:val="20"/>
              </w:rPr>
              <w:t>,</w:t>
            </w:r>
            <w:r w:rsidRPr="0029110D">
              <w:rPr>
                <w:sz w:val="20"/>
                <w:szCs w:val="20"/>
              </w:rPr>
              <w:t>8) [30</w:t>
            </w:r>
            <w:r w:rsidR="00BE0BE9" w:rsidRPr="0029110D">
              <w:rPr>
                <w:sz w:val="20"/>
                <w:szCs w:val="20"/>
              </w:rPr>
              <w:t>,</w:t>
            </w:r>
            <w:r w:rsidRPr="0029110D">
              <w:rPr>
                <w:sz w:val="20"/>
                <w:szCs w:val="20"/>
              </w:rPr>
              <w:t>9]</w:t>
            </w:r>
          </w:p>
        </w:tc>
        <w:tc>
          <w:tcPr>
            <w:tcW w:w="1781" w:type="dxa"/>
            <w:vAlign w:val="center"/>
          </w:tcPr>
          <w:p w14:paraId="3B3D35B7" w14:textId="6B3707FA" w:rsidR="00C34E4A" w:rsidRPr="0029110D" w:rsidRDefault="00C34E4A" w:rsidP="00AB1FF1">
            <w:pPr>
              <w:tabs>
                <w:tab w:val="left" w:pos="2730"/>
              </w:tabs>
              <w:jc w:val="center"/>
              <w:rPr>
                <w:sz w:val="20"/>
                <w:szCs w:val="20"/>
                <w:lang w:val="en-US"/>
              </w:rPr>
            </w:pPr>
            <w:r w:rsidRPr="0029110D">
              <w:rPr>
                <w:sz w:val="20"/>
                <w:szCs w:val="20"/>
              </w:rPr>
              <w:t>162 (30</w:t>
            </w:r>
            <w:r w:rsidR="00BE0BE9" w:rsidRPr="0029110D">
              <w:rPr>
                <w:sz w:val="20"/>
                <w:szCs w:val="20"/>
              </w:rPr>
              <w:t>,</w:t>
            </w:r>
            <w:r w:rsidRPr="0029110D">
              <w:rPr>
                <w:sz w:val="20"/>
                <w:szCs w:val="20"/>
              </w:rPr>
              <w:t>0) [27</w:t>
            </w:r>
            <w:r w:rsidR="00BE0BE9" w:rsidRPr="0029110D">
              <w:rPr>
                <w:sz w:val="20"/>
                <w:szCs w:val="20"/>
              </w:rPr>
              <w:t>,</w:t>
            </w:r>
            <w:r w:rsidRPr="0029110D">
              <w:rPr>
                <w:sz w:val="20"/>
                <w:szCs w:val="20"/>
              </w:rPr>
              <w:t>1]</w:t>
            </w:r>
          </w:p>
        </w:tc>
        <w:tc>
          <w:tcPr>
            <w:tcW w:w="1479" w:type="dxa"/>
            <w:vAlign w:val="center"/>
          </w:tcPr>
          <w:p w14:paraId="3642818D" w14:textId="03DDCE2D" w:rsidR="00C34E4A" w:rsidRPr="0029110D" w:rsidRDefault="00C34E4A" w:rsidP="00AB1FF1">
            <w:pPr>
              <w:tabs>
                <w:tab w:val="left" w:pos="2730"/>
              </w:tabs>
              <w:jc w:val="center"/>
              <w:rPr>
                <w:sz w:val="20"/>
                <w:szCs w:val="20"/>
                <w:lang w:val="en-US"/>
              </w:rPr>
            </w:pPr>
            <w:r w:rsidRPr="0029110D">
              <w:rPr>
                <w:sz w:val="20"/>
                <w:szCs w:val="20"/>
              </w:rPr>
              <w:t>349 (28</w:t>
            </w:r>
            <w:r w:rsidR="00BE0BE9" w:rsidRPr="0029110D">
              <w:rPr>
                <w:sz w:val="20"/>
                <w:szCs w:val="20"/>
              </w:rPr>
              <w:t>,</w:t>
            </w:r>
            <w:r w:rsidRPr="0029110D">
              <w:rPr>
                <w:sz w:val="20"/>
                <w:szCs w:val="20"/>
              </w:rPr>
              <w:t>1) [25</w:t>
            </w:r>
            <w:r w:rsidR="00BE0BE9" w:rsidRPr="0029110D">
              <w:rPr>
                <w:sz w:val="20"/>
                <w:szCs w:val="20"/>
              </w:rPr>
              <w:t>,</w:t>
            </w:r>
            <w:r w:rsidRPr="0029110D">
              <w:rPr>
                <w:sz w:val="20"/>
                <w:szCs w:val="20"/>
              </w:rPr>
              <w:t>2]</w:t>
            </w:r>
          </w:p>
        </w:tc>
        <w:tc>
          <w:tcPr>
            <w:tcW w:w="1560" w:type="dxa"/>
            <w:vAlign w:val="center"/>
          </w:tcPr>
          <w:p w14:paraId="3070D06C" w14:textId="43D6788C" w:rsidR="00C34E4A" w:rsidRPr="0029110D" w:rsidRDefault="00C34E4A" w:rsidP="00AB1FF1">
            <w:pPr>
              <w:tabs>
                <w:tab w:val="left" w:pos="2730"/>
              </w:tabs>
              <w:jc w:val="center"/>
              <w:rPr>
                <w:sz w:val="20"/>
                <w:szCs w:val="20"/>
                <w:lang w:val="en-US"/>
              </w:rPr>
            </w:pPr>
            <w:r w:rsidRPr="0029110D">
              <w:rPr>
                <w:sz w:val="20"/>
                <w:szCs w:val="20"/>
              </w:rPr>
              <w:t>141 (25</w:t>
            </w:r>
            <w:r w:rsidR="00BE0BE9" w:rsidRPr="0029110D">
              <w:rPr>
                <w:sz w:val="20"/>
                <w:szCs w:val="20"/>
              </w:rPr>
              <w:t>,</w:t>
            </w:r>
            <w:r w:rsidRPr="0029110D">
              <w:rPr>
                <w:sz w:val="20"/>
                <w:szCs w:val="20"/>
              </w:rPr>
              <w:t>0) [28</w:t>
            </w:r>
            <w:r w:rsidR="00BE0BE9" w:rsidRPr="0029110D">
              <w:rPr>
                <w:sz w:val="20"/>
                <w:szCs w:val="20"/>
              </w:rPr>
              <w:t>,</w:t>
            </w:r>
            <w:r w:rsidRPr="0029110D">
              <w:rPr>
                <w:sz w:val="20"/>
                <w:szCs w:val="20"/>
              </w:rPr>
              <w:t>2]</w:t>
            </w:r>
          </w:p>
        </w:tc>
        <w:tc>
          <w:tcPr>
            <w:tcW w:w="1593" w:type="dxa"/>
            <w:vAlign w:val="center"/>
          </w:tcPr>
          <w:p w14:paraId="72F87CAC" w14:textId="296A5377" w:rsidR="00C34E4A" w:rsidRPr="0029110D" w:rsidRDefault="00C34E4A" w:rsidP="00AB1FF1">
            <w:pPr>
              <w:tabs>
                <w:tab w:val="left" w:pos="2730"/>
              </w:tabs>
              <w:jc w:val="center"/>
              <w:rPr>
                <w:sz w:val="20"/>
                <w:szCs w:val="20"/>
                <w:lang w:val="en-US"/>
              </w:rPr>
            </w:pPr>
            <w:r w:rsidRPr="0029110D">
              <w:rPr>
                <w:sz w:val="20"/>
                <w:szCs w:val="20"/>
              </w:rPr>
              <w:t>230 (24</w:t>
            </w:r>
            <w:r w:rsidR="00BE0BE9" w:rsidRPr="0029110D">
              <w:rPr>
                <w:sz w:val="20"/>
                <w:szCs w:val="20"/>
              </w:rPr>
              <w:t>,</w:t>
            </w:r>
            <w:r w:rsidRPr="0029110D">
              <w:rPr>
                <w:sz w:val="20"/>
                <w:szCs w:val="20"/>
              </w:rPr>
              <w:t>2) [24</w:t>
            </w:r>
            <w:r w:rsidR="00BE0BE9" w:rsidRPr="0029110D">
              <w:rPr>
                <w:sz w:val="20"/>
                <w:szCs w:val="20"/>
              </w:rPr>
              <w:t>,</w:t>
            </w:r>
            <w:r w:rsidRPr="0029110D">
              <w:rPr>
                <w:sz w:val="20"/>
                <w:szCs w:val="20"/>
              </w:rPr>
              <w:t>9]</w:t>
            </w:r>
          </w:p>
        </w:tc>
      </w:tr>
      <w:tr w:rsidR="00C34E4A" w:rsidRPr="00C34E4A" w14:paraId="4176CF33" w14:textId="77777777" w:rsidTr="00BE0BE9">
        <w:trPr>
          <w:trHeight w:val="20"/>
        </w:trPr>
        <w:tc>
          <w:tcPr>
            <w:tcW w:w="1696" w:type="dxa"/>
          </w:tcPr>
          <w:p w14:paraId="75F5FF4D" w14:textId="77777777" w:rsidR="00C34E4A" w:rsidRPr="0029110D" w:rsidRDefault="00C34E4A">
            <w:pPr>
              <w:tabs>
                <w:tab w:val="left" w:pos="2730"/>
              </w:tabs>
              <w:rPr>
                <w:sz w:val="20"/>
                <w:szCs w:val="20"/>
              </w:rPr>
            </w:pPr>
            <w:r w:rsidRPr="0029110D">
              <w:rPr>
                <w:sz w:val="20"/>
                <w:szCs w:val="20"/>
              </w:rPr>
              <w:t>Тяжелая степень</w:t>
            </w:r>
          </w:p>
        </w:tc>
        <w:tc>
          <w:tcPr>
            <w:tcW w:w="1560" w:type="dxa"/>
            <w:vAlign w:val="center"/>
          </w:tcPr>
          <w:p w14:paraId="795033FE" w14:textId="2273B4E7" w:rsidR="00C34E4A" w:rsidRPr="0029110D" w:rsidRDefault="00C34E4A" w:rsidP="00AB1FF1">
            <w:pPr>
              <w:tabs>
                <w:tab w:val="left" w:pos="2730"/>
              </w:tabs>
              <w:jc w:val="center"/>
              <w:rPr>
                <w:sz w:val="20"/>
                <w:szCs w:val="20"/>
                <w:lang w:val="en-US"/>
              </w:rPr>
            </w:pPr>
            <w:r w:rsidRPr="0029110D">
              <w:rPr>
                <w:sz w:val="20"/>
                <w:szCs w:val="20"/>
              </w:rPr>
              <w:t>11 (3</w:t>
            </w:r>
            <w:r w:rsidR="00BE0BE9" w:rsidRPr="0029110D">
              <w:rPr>
                <w:sz w:val="20"/>
                <w:szCs w:val="20"/>
              </w:rPr>
              <w:t>,</w:t>
            </w:r>
            <w:r w:rsidRPr="0029110D">
              <w:rPr>
                <w:sz w:val="20"/>
                <w:szCs w:val="20"/>
              </w:rPr>
              <w:t>0) [4</w:t>
            </w:r>
            <w:r w:rsidR="00BE0BE9" w:rsidRPr="0029110D">
              <w:rPr>
                <w:sz w:val="20"/>
                <w:szCs w:val="20"/>
              </w:rPr>
              <w:t>,</w:t>
            </w:r>
            <w:r w:rsidRPr="0029110D">
              <w:rPr>
                <w:sz w:val="20"/>
                <w:szCs w:val="20"/>
              </w:rPr>
              <w:t>6]</w:t>
            </w:r>
          </w:p>
        </w:tc>
        <w:tc>
          <w:tcPr>
            <w:tcW w:w="1559" w:type="dxa"/>
            <w:vAlign w:val="center"/>
          </w:tcPr>
          <w:p w14:paraId="14E77D67" w14:textId="215671E9" w:rsidR="00C34E4A" w:rsidRPr="0029110D" w:rsidRDefault="00C34E4A" w:rsidP="00AB1FF1">
            <w:pPr>
              <w:tabs>
                <w:tab w:val="left" w:pos="2730"/>
              </w:tabs>
              <w:jc w:val="center"/>
              <w:rPr>
                <w:sz w:val="20"/>
                <w:szCs w:val="20"/>
                <w:lang w:val="en-US"/>
              </w:rPr>
            </w:pPr>
            <w:r w:rsidRPr="0029110D">
              <w:rPr>
                <w:sz w:val="20"/>
                <w:szCs w:val="20"/>
              </w:rPr>
              <w:t>6 (1</w:t>
            </w:r>
            <w:r w:rsidR="00BE0BE9" w:rsidRPr="0029110D">
              <w:rPr>
                <w:sz w:val="20"/>
                <w:szCs w:val="20"/>
              </w:rPr>
              <w:t>,</w:t>
            </w:r>
            <w:r w:rsidRPr="0029110D">
              <w:rPr>
                <w:sz w:val="20"/>
                <w:szCs w:val="20"/>
              </w:rPr>
              <w:t>6) [2</w:t>
            </w:r>
            <w:r w:rsidR="00BE0BE9" w:rsidRPr="0029110D">
              <w:rPr>
                <w:sz w:val="20"/>
                <w:szCs w:val="20"/>
              </w:rPr>
              <w:t>,</w:t>
            </w:r>
            <w:r w:rsidRPr="0029110D">
              <w:rPr>
                <w:sz w:val="20"/>
                <w:szCs w:val="20"/>
              </w:rPr>
              <w:t>5]</w:t>
            </w:r>
          </w:p>
        </w:tc>
        <w:tc>
          <w:tcPr>
            <w:tcW w:w="1559" w:type="dxa"/>
            <w:vAlign w:val="center"/>
          </w:tcPr>
          <w:p w14:paraId="0FC2A213" w14:textId="6F3ED915" w:rsidR="00C34E4A" w:rsidRPr="0029110D" w:rsidRDefault="00C34E4A" w:rsidP="00AB1FF1">
            <w:pPr>
              <w:tabs>
                <w:tab w:val="left" w:pos="2730"/>
              </w:tabs>
              <w:jc w:val="center"/>
              <w:rPr>
                <w:sz w:val="20"/>
                <w:szCs w:val="20"/>
                <w:lang w:val="en-US"/>
              </w:rPr>
            </w:pPr>
            <w:r w:rsidRPr="0029110D">
              <w:rPr>
                <w:sz w:val="20"/>
                <w:szCs w:val="20"/>
              </w:rPr>
              <w:t>21 (3</w:t>
            </w:r>
            <w:r w:rsidR="00BE0BE9" w:rsidRPr="0029110D">
              <w:rPr>
                <w:sz w:val="20"/>
                <w:szCs w:val="20"/>
              </w:rPr>
              <w:t>,</w:t>
            </w:r>
            <w:r w:rsidRPr="0029110D">
              <w:rPr>
                <w:sz w:val="20"/>
                <w:szCs w:val="20"/>
              </w:rPr>
              <w:t>9) [5</w:t>
            </w:r>
            <w:r w:rsidR="00BE0BE9" w:rsidRPr="0029110D">
              <w:rPr>
                <w:sz w:val="20"/>
                <w:szCs w:val="20"/>
              </w:rPr>
              <w:t>,</w:t>
            </w:r>
            <w:r w:rsidRPr="0029110D">
              <w:rPr>
                <w:sz w:val="20"/>
                <w:szCs w:val="20"/>
              </w:rPr>
              <w:t>8]</w:t>
            </w:r>
          </w:p>
        </w:tc>
        <w:tc>
          <w:tcPr>
            <w:tcW w:w="1701" w:type="dxa"/>
            <w:vAlign w:val="center"/>
          </w:tcPr>
          <w:p w14:paraId="38D07B95" w14:textId="1ABF5B48" w:rsidR="00C34E4A" w:rsidRPr="0029110D" w:rsidRDefault="00C34E4A" w:rsidP="00AB1FF1">
            <w:pPr>
              <w:tabs>
                <w:tab w:val="left" w:pos="2730"/>
              </w:tabs>
              <w:jc w:val="center"/>
              <w:rPr>
                <w:sz w:val="20"/>
                <w:szCs w:val="20"/>
                <w:lang w:val="en-US"/>
              </w:rPr>
            </w:pPr>
            <w:r w:rsidRPr="0029110D">
              <w:rPr>
                <w:sz w:val="20"/>
                <w:szCs w:val="20"/>
              </w:rPr>
              <w:t>9 (2</w:t>
            </w:r>
            <w:r w:rsidR="00BE0BE9" w:rsidRPr="0029110D">
              <w:rPr>
                <w:sz w:val="20"/>
                <w:szCs w:val="20"/>
              </w:rPr>
              <w:t>,</w:t>
            </w:r>
            <w:r w:rsidRPr="0029110D">
              <w:rPr>
                <w:sz w:val="20"/>
                <w:szCs w:val="20"/>
              </w:rPr>
              <w:t>5) [2</w:t>
            </w:r>
            <w:r w:rsidR="00BE0BE9" w:rsidRPr="0029110D">
              <w:rPr>
                <w:sz w:val="20"/>
                <w:szCs w:val="20"/>
              </w:rPr>
              <w:t>,</w:t>
            </w:r>
            <w:r w:rsidRPr="0029110D">
              <w:rPr>
                <w:sz w:val="20"/>
                <w:szCs w:val="20"/>
              </w:rPr>
              <w:t>1]</w:t>
            </w:r>
          </w:p>
        </w:tc>
        <w:tc>
          <w:tcPr>
            <w:tcW w:w="1781" w:type="dxa"/>
            <w:vAlign w:val="center"/>
          </w:tcPr>
          <w:p w14:paraId="3121E450" w14:textId="2C93ECC6" w:rsidR="00C34E4A" w:rsidRPr="0029110D" w:rsidRDefault="00C34E4A" w:rsidP="00AB1FF1">
            <w:pPr>
              <w:tabs>
                <w:tab w:val="left" w:pos="2730"/>
              </w:tabs>
              <w:jc w:val="center"/>
              <w:rPr>
                <w:sz w:val="20"/>
                <w:szCs w:val="20"/>
                <w:lang w:val="en-US"/>
              </w:rPr>
            </w:pPr>
            <w:r w:rsidRPr="0029110D">
              <w:rPr>
                <w:sz w:val="20"/>
                <w:szCs w:val="20"/>
              </w:rPr>
              <w:t>32 (5</w:t>
            </w:r>
            <w:r w:rsidR="00BE0BE9" w:rsidRPr="0029110D">
              <w:rPr>
                <w:sz w:val="20"/>
                <w:szCs w:val="20"/>
              </w:rPr>
              <w:t>,</w:t>
            </w:r>
            <w:r w:rsidRPr="0029110D">
              <w:rPr>
                <w:sz w:val="20"/>
                <w:szCs w:val="20"/>
              </w:rPr>
              <w:t>9) [4</w:t>
            </w:r>
            <w:r w:rsidR="00BE0BE9" w:rsidRPr="0029110D">
              <w:rPr>
                <w:sz w:val="20"/>
                <w:szCs w:val="20"/>
              </w:rPr>
              <w:t>,</w:t>
            </w:r>
            <w:r w:rsidRPr="0029110D">
              <w:rPr>
                <w:sz w:val="20"/>
                <w:szCs w:val="20"/>
              </w:rPr>
              <w:t>4]</w:t>
            </w:r>
          </w:p>
        </w:tc>
        <w:tc>
          <w:tcPr>
            <w:tcW w:w="1479" w:type="dxa"/>
            <w:vAlign w:val="center"/>
          </w:tcPr>
          <w:p w14:paraId="7C409B17" w14:textId="44891900" w:rsidR="00C34E4A" w:rsidRPr="0029110D" w:rsidRDefault="00C34E4A" w:rsidP="00AB1FF1">
            <w:pPr>
              <w:tabs>
                <w:tab w:val="left" w:pos="2730"/>
              </w:tabs>
              <w:jc w:val="center"/>
              <w:rPr>
                <w:sz w:val="20"/>
                <w:szCs w:val="20"/>
                <w:lang w:val="en-US"/>
              </w:rPr>
            </w:pPr>
            <w:r w:rsidRPr="0029110D">
              <w:rPr>
                <w:sz w:val="20"/>
                <w:szCs w:val="20"/>
              </w:rPr>
              <w:t>57 (4</w:t>
            </w:r>
            <w:r w:rsidR="00BE0BE9" w:rsidRPr="0029110D">
              <w:rPr>
                <w:sz w:val="20"/>
                <w:szCs w:val="20"/>
              </w:rPr>
              <w:t>,</w:t>
            </w:r>
            <w:r w:rsidRPr="0029110D">
              <w:rPr>
                <w:sz w:val="20"/>
                <w:szCs w:val="20"/>
              </w:rPr>
              <w:t>6) [3</w:t>
            </w:r>
            <w:r w:rsidR="00BE0BE9" w:rsidRPr="0029110D">
              <w:rPr>
                <w:sz w:val="20"/>
                <w:szCs w:val="20"/>
              </w:rPr>
              <w:t>,</w:t>
            </w:r>
            <w:r w:rsidRPr="0029110D">
              <w:rPr>
                <w:sz w:val="20"/>
                <w:szCs w:val="20"/>
              </w:rPr>
              <w:t>4]</w:t>
            </w:r>
          </w:p>
        </w:tc>
        <w:tc>
          <w:tcPr>
            <w:tcW w:w="1560" w:type="dxa"/>
            <w:vAlign w:val="center"/>
          </w:tcPr>
          <w:p w14:paraId="558AACE0" w14:textId="0B51E1E0" w:rsidR="00C34E4A" w:rsidRPr="0029110D" w:rsidRDefault="00C34E4A" w:rsidP="00AB1FF1">
            <w:pPr>
              <w:tabs>
                <w:tab w:val="left" w:pos="2730"/>
              </w:tabs>
              <w:jc w:val="center"/>
              <w:rPr>
                <w:sz w:val="20"/>
                <w:szCs w:val="20"/>
                <w:lang w:val="en-US"/>
              </w:rPr>
            </w:pPr>
            <w:r w:rsidRPr="0029110D">
              <w:rPr>
                <w:sz w:val="20"/>
                <w:szCs w:val="20"/>
              </w:rPr>
              <w:t>12 (2</w:t>
            </w:r>
            <w:r w:rsidR="00BE0BE9" w:rsidRPr="0029110D">
              <w:rPr>
                <w:sz w:val="20"/>
                <w:szCs w:val="20"/>
              </w:rPr>
              <w:t>,</w:t>
            </w:r>
            <w:r w:rsidRPr="0029110D">
              <w:rPr>
                <w:sz w:val="20"/>
                <w:szCs w:val="20"/>
              </w:rPr>
              <w:t>1) [2</w:t>
            </w:r>
            <w:r w:rsidR="00BE0BE9" w:rsidRPr="0029110D">
              <w:rPr>
                <w:sz w:val="20"/>
                <w:szCs w:val="20"/>
              </w:rPr>
              <w:t>,</w:t>
            </w:r>
            <w:r w:rsidRPr="0029110D">
              <w:rPr>
                <w:sz w:val="20"/>
                <w:szCs w:val="20"/>
              </w:rPr>
              <w:t>0]</w:t>
            </w:r>
          </w:p>
        </w:tc>
        <w:tc>
          <w:tcPr>
            <w:tcW w:w="1593" w:type="dxa"/>
            <w:vAlign w:val="center"/>
          </w:tcPr>
          <w:p w14:paraId="44170064" w14:textId="66644DA1" w:rsidR="00C34E4A" w:rsidRPr="0029110D" w:rsidRDefault="00C34E4A" w:rsidP="00AB1FF1">
            <w:pPr>
              <w:tabs>
                <w:tab w:val="left" w:pos="2730"/>
              </w:tabs>
              <w:jc w:val="center"/>
              <w:rPr>
                <w:sz w:val="20"/>
                <w:szCs w:val="20"/>
                <w:lang w:val="en-US"/>
              </w:rPr>
            </w:pPr>
            <w:r w:rsidRPr="0029110D">
              <w:rPr>
                <w:sz w:val="20"/>
                <w:szCs w:val="20"/>
              </w:rPr>
              <w:t>45 (4</w:t>
            </w:r>
            <w:r w:rsidR="00BE0BE9" w:rsidRPr="0029110D">
              <w:rPr>
                <w:sz w:val="20"/>
                <w:szCs w:val="20"/>
              </w:rPr>
              <w:t>,</w:t>
            </w:r>
            <w:r w:rsidRPr="0029110D">
              <w:rPr>
                <w:sz w:val="20"/>
                <w:szCs w:val="20"/>
              </w:rPr>
              <w:t>7) [4</w:t>
            </w:r>
            <w:r w:rsidR="00BE0BE9" w:rsidRPr="0029110D">
              <w:rPr>
                <w:sz w:val="20"/>
                <w:szCs w:val="20"/>
              </w:rPr>
              <w:t>,</w:t>
            </w:r>
            <w:r w:rsidRPr="0029110D">
              <w:rPr>
                <w:sz w:val="20"/>
                <w:szCs w:val="20"/>
              </w:rPr>
              <w:t>1]</w:t>
            </w:r>
          </w:p>
        </w:tc>
      </w:tr>
      <w:tr w:rsidR="00C34E4A" w:rsidRPr="00C34E4A" w14:paraId="1AD307CC" w14:textId="77777777" w:rsidTr="00BE0BE9">
        <w:trPr>
          <w:trHeight w:val="20"/>
        </w:trPr>
        <w:tc>
          <w:tcPr>
            <w:tcW w:w="1696" w:type="dxa"/>
          </w:tcPr>
          <w:p w14:paraId="05F7AD53" w14:textId="77777777" w:rsidR="00C34E4A" w:rsidRPr="0029110D" w:rsidRDefault="00C34E4A">
            <w:pPr>
              <w:tabs>
                <w:tab w:val="left" w:pos="2730"/>
              </w:tabs>
              <w:rPr>
                <w:sz w:val="20"/>
                <w:szCs w:val="20"/>
              </w:rPr>
            </w:pPr>
            <w:r w:rsidRPr="0029110D">
              <w:rPr>
                <w:sz w:val="20"/>
                <w:szCs w:val="20"/>
              </w:rPr>
              <w:t>Прекращение приема исследуемого препарата из-за НЯ</w:t>
            </w:r>
          </w:p>
        </w:tc>
        <w:tc>
          <w:tcPr>
            <w:tcW w:w="1560" w:type="dxa"/>
            <w:vAlign w:val="center"/>
          </w:tcPr>
          <w:p w14:paraId="09C0FBCF" w14:textId="3976BCC2" w:rsidR="00C34E4A" w:rsidRPr="0029110D" w:rsidRDefault="00C34E4A" w:rsidP="00AB1FF1">
            <w:pPr>
              <w:tabs>
                <w:tab w:val="left" w:pos="2730"/>
              </w:tabs>
              <w:jc w:val="center"/>
              <w:rPr>
                <w:sz w:val="20"/>
                <w:szCs w:val="20"/>
              </w:rPr>
            </w:pPr>
            <w:r w:rsidRPr="0029110D">
              <w:rPr>
                <w:sz w:val="20"/>
                <w:szCs w:val="20"/>
              </w:rPr>
              <w:t>6 (1</w:t>
            </w:r>
            <w:r w:rsidR="00BE0BE9" w:rsidRPr="0029110D">
              <w:rPr>
                <w:sz w:val="20"/>
                <w:szCs w:val="20"/>
              </w:rPr>
              <w:t>,</w:t>
            </w:r>
            <w:r w:rsidRPr="0029110D">
              <w:rPr>
                <w:sz w:val="20"/>
                <w:szCs w:val="20"/>
              </w:rPr>
              <w:t>6) [2</w:t>
            </w:r>
            <w:r w:rsidR="00BE0BE9" w:rsidRPr="0029110D">
              <w:rPr>
                <w:sz w:val="20"/>
                <w:szCs w:val="20"/>
              </w:rPr>
              <w:t>,</w:t>
            </w:r>
            <w:r w:rsidRPr="0029110D">
              <w:rPr>
                <w:sz w:val="20"/>
                <w:szCs w:val="20"/>
              </w:rPr>
              <w:t>5]</w:t>
            </w:r>
          </w:p>
        </w:tc>
        <w:tc>
          <w:tcPr>
            <w:tcW w:w="1559" w:type="dxa"/>
            <w:vAlign w:val="center"/>
          </w:tcPr>
          <w:p w14:paraId="4B88DF95" w14:textId="776A96B1" w:rsidR="00C34E4A" w:rsidRPr="0029110D" w:rsidRDefault="00C34E4A" w:rsidP="00AB1FF1">
            <w:pPr>
              <w:tabs>
                <w:tab w:val="left" w:pos="2730"/>
              </w:tabs>
              <w:jc w:val="center"/>
              <w:rPr>
                <w:sz w:val="20"/>
                <w:szCs w:val="20"/>
              </w:rPr>
            </w:pPr>
            <w:r w:rsidRPr="0029110D">
              <w:rPr>
                <w:sz w:val="20"/>
                <w:szCs w:val="20"/>
              </w:rPr>
              <w:t>8 (2</w:t>
            </w:r>
            <w:r w:rsidR="00BE0BE9" w:rsidRPr="0029110D">
              <w:rPr>
                <w:sz w:val="20"/>
                <w:szCs w:val="20"/>
              </w:rPr>
              <w:t>,</w:t>
            </w:r>
            <w:r w:rsidRPr="0029110D">
              <w:rPr>
                <w:sz w:val="20"/>
                <w:szCs w:val="20"/>
              </w:rPr>
              <w:t>2) [3</w:t>
            </w:r>
            <w:r w:rsidR="00BE0BE9" w:rsidRPr="0029110D">
              <w:rPr>
                <w:sz w:val="20"/>
                <w:szCs w:val="20"/>
              </w:rPr>
              <w:t>,</w:t>
            </w:r>
            <w:r w:rsidRPr="0029110D">
              <w:rPr>
                <w:sz w:val="20"/>
                <w:szCs w:val="20"/>
              </w:rPr>
              <w:t>3]</w:t>
            </w:r>
          </w:p>
        </w:tc>
        <w:tc>
          <w:tcPr>
            <w:tcW w:w="1559" w:type="dxa"/>
            <w:vAlign w:val="center"/>
          </w:tcPr>
          <w:p w14:paraId="5CF6377C" w14:textId="3939E567" w:rsidR="00C34E4A" w:rsidRPr="0029110D" w:rsidRDefault="00C34E4A" w:rsidP="00AB1FF1">
            <w:pPr>
              <w:tabs>
                <w:tab w:val="left" w:pos="2730"/>
              </w:tabs>
              <w:jc w:val="center"/>
              <w:rPr>
                <w:sz w:val="20"/>
                <w:szCs w:val="20"/>
              </w:rPr>
            </w:pPr>
            <w:r w:rsidRPr="0029110D">
              <w:rPr>
                <w:sz w:val="20"/>
                <w:szCs w:val="20"/>
              </w:rPr>
              <w:t>12 (2</w:t>
            </w:r>
            <w:r w:rsidR="00BE0BE9" w:rsidRPr="0029110D">
              <w:rPr>
                <w:sz w:val="20"/>
                <w:szCs w:val="20"/>
              </w:rPr>
              <w:t>,</w:t>
            </w:r>
            <w:r w:rsidRPr="0029110D">
              <w:rPr>
                <w:sz w:val="20"/>
                <w:szCs w:val="20"/>
              </w:rPr>
              <w:t>2) [3</w:t>
            </w:r>
            <w:r w:rsidR="00BE0BE9" w:rsidRPr="0029110D">
              <w:rPr>
                <w:sz w:val="20"/>
                <w:szCs w:val="20"/>
              </w:rPr>
              <w:t>,</w:t>
            </w:r>
            <w:r w:rsidRPr="0029110D">
              <w:rPr>
                <w:sz w:val="20"/>
                <w:szCs w:val="20"/>
              </w:rPr>
              <w:t>3]</w:t>
            </w:r>
          </w:p>
        </w:tc>
        <w:tc>
          <w:tcPr>
            <w:tcW w:w="1701" w:type="dxa"/>
            <w:vAlign w:val="center"/>
          </w:tcPr>
          <w:p w14:paraId="6CBB8083" w14:textId="58675FEE" w:rsidR="00C34E4A" w:rsidRPr="0029110D" w:rsidRDefault="00C34E4A" w:rsidP="00AB1FF1">
            <w:pPr>
              <w:tabs>
                <w:tab w:val="left" w:pos="2730"/>
              </w:tabs>
              <w:jc w:val="center"/>
              <w:rPr>
                <w:sz w:val="20"/>
                <w:szCs w:val="20"/>
              </w:rPr>
            </w:pPr>
            <w:r w:rsidRPr="0029110D">
              <w:rPr>
                <w:sz w:val="20"/>
                <w:szCs w:val="20"/>
              </w:rPr>
              <w:t>9 (2</w:t>
            </w:r>
            <w:r w:rsidR="00BE0BE9" w:rsidRPr="0029110D">
              <w:rPr>
                <w:sz w:val="20"/>
                <w:szCs w:val="20"/>
              </w:rPr>
              <w:t>,</w:t>
            </w:r>
            <w:r w:rsidRPr="0029110D">
              <w:rPr>
                <w:sz w:val="20"/>
                <w:szCs w:val="20"/>
              </w:rPr>
              <w:t>5) [2</w:t>
            </w:r>
            <w:r w:rsidR="00BE0BE9" w:rsidRPr="0029110D">
              <w:rPr>
                <w:sz w:val="20"/>
                <w:szCs w:val="20"/>
              </w:rPr>
              <w:t>,</w:t>
            </w:r>
            <w:r w:rsidRPr="0029110D">
              <w:rPr>
                <w:sz w:val="20"/>
                <w:szCs w:val="20"/>
              </w:rPr>
              <w:t>1]</w:t>
            </w:r>
          </w:p>
        </w:tc>
        <w:tc>
          <w:tcPr>
            <w:tcW w:w="1781" w:type="dxa"/>
            <w:vAlign w:val="center"/>
          </w:tcPr>
          <w:p w14:paraId="703E1414" w14:textId="049FB71D" w:rsidR="00C34E4A" w:rsidRPr="0029110D" w:rsidRDefault="00C34E4A" w:rsidP="00AB1FF1">
            <w:pPr>
              <w:tabs>
                <w:tab w:val="left" w:pos="2730"/>
              </w:tabs>
              <w:jc w:val="center"/>
              <w:rPr>
                <w:sz w:val="20"/>
                <w:szCs w:val="20"/>
              </w:rPr>
            </w:pPr>
            <w:r w:rsidRPr="0029110D">
              <w:rPr>
                <w:sz w:val="20"/>
                <w:szCs w:val="20"/>
              </w:rPr>
              <w:t>19 (3</w:t>
            </w:r>
            <w:r w:rsidR="00BE0BE9" w:rsidRPr="0029110D">
              <w:rPr>
                <w:sz w:val="20"/>
                <w:szCs w:val="20"/>
              </w:rPr>
              <w:t>,</w:t>
            </w:r>
            <w:r w:rsidRPr="0029110D">
              <w:rPr>
                <w:sz w:val="20"/>
                <w:szCs w:val="20"/>
              </w:rPr>
              <w:t>5) [2</w:t>
            </w:r>
            <w:r w:rsidR="00BE0BE9" w:rsidRPr="0029110D">
              <w:rPr>
                <w:sz w:val="20"/>
                <w:szCs w:val="20"/>
              </w:rPr>
              <w:t>,</w:t>
            </w:r>
            <w:r w:rsidRPr="0029110D">
              <w:rPr>
                <w:sz w:val="20"/>
                <w:szCs w:val="20"/>
              </w:rPr>
              <w:t>6]</w:t>
            </w:r>
          </w:p>
        </w:tc>
        <w:tc>
          <w:tcPr>
            <w:tcW w:w="1479" w:type="dxa"/>
            <w:vAlign w:val="center"/>
          </w:tcPr>
          <w:p w14:paraId="18953216" w14:textId="13F18609" w:rsidR="00C34E4A" w:rsidRPr="0029110D" w:rsidRDefault="00C34E4A" w:rsidP="00AB1FF1">
            <w:pPr>
              <w:tabs>
                <w:tab w:val="left" w:pos="2730"/>
              </w:tabs>
              <w:jc w:val="center"/>
              <w:rPr>
                <w:sz w:val="20"/>
                <w:szCs w:val="20"/>
              </w:rPr>
            </w:pPr>
            <w:r w:rsidRPr="0029110D">
              <w:rPr>
                <w:sz w:val="20"/>
                <w:szCs w:val="20"/>
              </w:rPr>
              <w:t>33 (2</w:t>
            </w:r>
            <w:r w:rsidR="00BE0BE9" w:rsidRPr="0029110D">
              <w:rPr>
                <w:sz w:val="20"/>
                <w:szCs w:val="20"/>
              </w:rPr>
              <w:t>,</w:t>
            </w:r>
            <w:r w:rsidRPr="0029110D">
              <w:rPr>
                <w:sz w:val="20"/>
                <w:szCs w:val="20"/>
              </w:rPr>
              <w:t>7) [1</w:t>
            </w:r>
            <w:r w:rsidR="00BE0BE9" w:rsidRPr="0029110D">
              <w:rPr>
                <w:sz w:val="20"/>
                <w:szCs w:val="20"/>
              </w:rPr>
              <w:t>,</w:t>
            </w:r>
            <w:r w:rsidRPr="0029110D">
              <w:rPr>
                <w:sz w:val="20"/>
                <w:szCs w:val="20"/>
              </w:rPr>
              <w:t>9]</w:t>
            </w:r>
          </w:p>
        </w:tc>
        <w:tc>
          <w:tcPr>
            <w:tcW w:w="1560" w:type="dxa"/>
            <w:vAlign w:val="center"/>
          </w:tcPr>
          <w:p w14:paraId="2EAF4258" w14:textId="105FCA09" w:rsidR="00C34E4A" w:rsidRPr="0029110D" w:rsidRDefault="00C34E4A" w:rsidP="00AB1FF1">
            <w:pPr>
              <w:tabs>
                <w:tab w:val="left" w:pos="2730"/>
              </w:tabs>
              <w:jc w:val="center"/>
              <w:rPr>
                <w:sz w:val="20"/>
                <w:szCs w:val="20"/>
              </w:rPr>
            </w:pPr>
            <w:r w:rsidRPr="0029110D">
              <w:rPr>
                <w:sz w:val="20"/>
                <w:szCs w:val="20"/>
              </w:rPr>
              <w:t>10 (1</w:t>
            </w:r>
            <w:r w:rsidR="00BE0BE9" w:rsidRPr="0029110D">
              <w:rPr>
                <w:sz w:val="20"/>
                <w:szCs w:val="20"/>
              </w:rPr>
              <w:t>,</w:t>
            </w:r>
            <w:r w:rsidRPr="0029110D">
              <w:rPr>
                <w:sz w:val="20"/>
                <w:szCs w:val="20"/>
              </w:rPr>
              <w:t>8) [1</w:t>
            </w:r>
            <w:r w:rsidR="00BE0BE9" w:rsidRPr="0029110D">
              <w:rPr>
                <w:sz w:val="20"/>
                <w:szCs w:val="20"/>
              </w:rPr>
              <w:t>,</w:t>
            </w:r>
            <w:r w:rsidRPr="0029110D">
              <w:rPr>
                <w:sz w:val="20"/>
                <w:szCs w:val="20"/>
              </w:rPr>
              <w:t>6]</w:t>
            </w:r>
          </w:p>
        </w:tc>
        <w:tc>
          <w:tcPr>
            <w:tcW w:w="1593" w:type="dxa"/>
            <w:vAlign w:val="center"/>
          </w:tcPr>
          <w:p w14:paraId="14910755" w14:textId="5A21AB23" w:rsidR="00C34E4A" w:rsidRPr="0029110D" w:rsidRDefault="00C34E4A" w:rsidP="00AB1FF1">
            <w:pPr>
              <w:tabs>
                <w:tab w:val="left" w:pos="2730"/>
              </w:tabs>
              <w:jc w:val="center"/>
              <w:rPr>
                <w:sz w:val="20"/>
                <w:szCs w:val="20"/>
              </w:rPr>
            </w:pPr>
            <w:r w:rsidRPr="0029110D">
              <w:rPr>
                <w:sz w:val="20"/>
                <w:szCs w:val="20"/>
              </w:rPr>
              <w:t>23 (2</w:t>
            </w:r>
            <w:r w:rsidR="00BE0BE9" w:rsidRPr="0029110D">
              <w:rPr>
                <w:sz w:val="20"/>
                <w:szCs w:val="20"/>
              </w:rPr>
              <w:t>,</w:t>
            </w:r>
            <w:r w:rsidRPr="0029110D">
              <w:rPr>
                <w:sz w:val="20"/>
                <w:szCs w:val="20"/>
              </w:rPr>
              <w:t>4) [2</w:t>
            </w:r>
            <w:r w:rsidR="00BE0BE9" w:rsidRPr="0029110D">
              <w:rPr>
                <w:sz w:val="20"/>
                <w:szCs w:val="20"/>
              </w:rPr>
              <w:t>,</w:t>
            </w:r>
            <w:r w:rsidRPr="0029110D">
              <w:rPr>
                <w:sz w:val="20"/>
                <w:szCs w:val="20"/>
              </w:rPr>
              <w:t>1]</w:t>
            </w:r>
          </w:p>
        </w:tc>
      </w:tr>
      <w:tr w:rsidR="00C34E4A" w:rsidRPr="00C34E4A" w14:paraId="4E40FB7D" w14:textId="77777777" w:rsidTr="00BE0BE9">
        <w:trPr>
          <w:trHeight w:val="20"/>
        </w:trPr>
        <w:tc>
          <w:tcPr>
            <w:tcW w:w="1696" w:type="dxa"/>
          </w:tcPr>
          <w:p w14:paraId="2CDECE44" w14:textId="77777777" w:rsidR="00C34E4A" w:rsidRPr="0029110D" w:rsidRDefault="00C34E4A">
            <w:pPr>
              <w:tabs>
                <w:tab w:val="left" w:pos="2730"/>
              </w:tabs>
              <w:rPr>
                <w:sz w:val="20"/>
                <w:szCs w:val="20"/>
              </w:rPr>
            </w:pPr>
            <w:r w:rsidRPr="0029110D">
              <w:rPr>
                <w:sz w:val="20"/>
                <w:szCs w:val="20"/>
              </w:rPr>
              <w:t>Исключение из исследования из-за НЯ</w:t>
            </w:r>
          </w:p>
        </w:tc>
        <w:tc>
          <w:tcPr>
            <w:tcW w:w="1560" w:type="dxa"/>
            <w:vAlign w:val="center"/>
          </w:tcPr>
          <w:p w14:paraId="7A9BC02B" w14:textId="51347FC5" w:rsidR="00C34E4A" w:rsidRPr="0029110D" w:rsidRDefault="00C34E4A" w:rsidP="00AB1FF1">
            <w:pPr>
              <w:tabs>
                <w:tab w:val="left" w:pos="2730"/>
              </w:tabs>
              <w:jc w:val="center"/>
              <w:rPr>
                <w:sz w:val="20"/>
                <w:szCs w:val="20"/>
              </w:rPr>
            </w:pPr>
            <w:r w:rsidRPr="0029110D">
              <w:rPr>
                <w:sz w:val="20"/>
                <w:szCs w:val="20"/>
              </w:rPr>
              <w:t>6 (1</w:t>
            </w:r>
            <w:r w:rsidR="00BE0BE9" w:rsidRPr="0029110D">
              <w:rPr>
                <w:sz w:val="20"/>
                <w:szCs w:val="20"/>
              </w:rPr>
              <w:t>,</w:t>
            </w:r>
            <w:r w:rsidRPr="0029110D">
              <w:rPr>
                <w:sz w:val="20"/>
                <w:szCs w:val="20"/>
              </w:rPr>
              <w:t>6) [2</w:t>
            </w:r>
            <w:r w:rsidR="00BE0BE9" w:rsidRPr="0029110D">
              <w:rPr>
                <w:sz w:val="20"/>
                <w:szCs w:val="20"/>
              </w:rPr>
              <w:t>,</w:t>
            </w:r>
            <w:r w:rsidRPr="0029110D">
              <w:rPr>
                <w:sz w:val="20"/>
                <w:szCs w:val="20"/>
              </w:rPr>
              <w:t>5]</w:t>
            </w:r>
          </w:p>
        </w:tc>
        <w:tc>
          <w:tcPr>
            <w:tcW w:w="1559" w:type="dxa"/>
            <w:vAlign w:val="center"/>
          </w:tcPr>
          <w:p w14:paraId="44283E09" w14:textId="08CD8399" w:rsidR="00C34E4A" w:rsidRPr="0029110D" w:rsidRDefault="00C34E4A" w:rsidP="00AB1FF1">
            <w:pPr>
              <w:tabs>
                <w:tab w:val="left" w:pos="2730"/>
              </w:tabs>
              <w:jc w:val="center"/>
              <w:rPr>
                <w:sz w:val="20"/>
                <w:szCs w:val="20"/>
              </w:rPr>
            </w:pPr>
            <w:r w:rsidRPr="0029110D">
              <w:rPr>
                <w:sz w:val="20"/>
                <w:szCs w:val="20"/>
              </w:rPr>
              <w:t>8 (2</w:t>
            </w:r>
            <w:r w:rsidR="00BE0BE9" w:rsidRPr="0029110D">
              <w:rPr>
                <w:sz w:val="20"/>
                <w:szCs w:val="20"/>
              </w:rPr>
              <w:t>,</w:t>
            </w:r>
            <w:r w:rsidRPr="0029110D">
              <w:rPr>
                <w:sz w:val="20"/>
                <w:szCs w:val="20"/>
              </w:rPr>
              <w:t>2) [3</w:t>
            </w:r>
            <w:r w:rsidR="00BE0BE9" w:rsidRPr="0029110D">
              <w:rPr>
                <w:sz w:val="20"/>
                <w:szCs w:val="20"/>
              </w:rPr>
              <w:t>,</w:t>
            </w:r>
            <w:r w:rsidRPr="0029110D">
              <w:rPr>
                <w:sz w:val="20"/>
                <w:szCs w:val="20"/>
              </w:rPr>
              <w:t>3]</w:t>
            </w:r>
          </w:p>
        </w:tc>
        <w:tc>
          <w:tcPr>
            <w:tcW w:w="1559" w:type="dxa"/>
            <w:vAlign w:val="center"/>
          </w:tcPr>
          <w:p w14:paraId="56E0C865" w14:textId="54A3D266" w:rsidR="00C34E4A" w:rsidRPr="0029110D" w:rsidRDefault="00C34E4A" w:rsidP="00AB1FF1">
            <w:pPr>
              <w:tabs>
                <w:tab w:val="left" w:pos="2730"/>
              </w:tabs>
              <w:jc w:val="center"/>
              <w:rPr>
                <w:sz w:val="20"/>
                <w:szCs w:val="20"/>
              </w:rPr>
            </w:pPr>
            <w:r w:rsidRPr="0029110D">
              <w:rPr>
                <w:sz w:val="20"/>
                <w:szCs w:val="20"/>
              </w:rPr>
              <w:t>8 (1</w:t>
            </w:r>
            <w:r w:rsidR="00BE0BE9" w:rsidRPr="0029110D">
              <w:rPr>
                <w:sz w:val="20"/>
                <w:szCs w:val="20"/>
              </w:rPr>
              <w:t>,</w:t>
            </w:r>
            <w:r w:rsidRPr="0029110D">
              <w:rPr>
                <w:sz w:val="20"/>
                <w:szCs w:val="20"/>
              </w:rPr>
              <w:t>5) [2</w:t>
            </w:r>
            <w:r w:rsidR="00BE0BE9" w:rsidRPr="0029110D">
              <w:rPr>
                <w:sz w:val="20"/>
                <w:szCs w:val="20"/>
              </w:rPr>
              <w:t>,</w:t>
            </w:r>
            <w:r w:rsidRPr="0029110D">
              <w:rPr>
                <w:sz w:val="20"/>
                <w:szCs w:val="20"/>
              </w:rPr>
              <w:t>2]</w:t>
            </w:r>
          </w:p>
        </w:tc>
        <w:tc>
          <w:tcPr>
            <w:tcW w:w="1701" w:type="dxa"/>
            <w:vAlign w:val="center"/>
          </w:tcPr>
          <w:p w14:paraId="08749E77" w14:textId="0AEFB24F" w:rsidR="00C34E4A" w:rsidRPr="0029110D" w:rsidRDefault="00C34E4A" w:rsidP="00AB1FF1">
            <w:pPr>
              <w:tabs>
                <w:tab w:val="left" w:pos="2730"/>
              </w:tabs>
              <w:jc w:val="center"/>
              <w:rPr>
                <w:sz w:val="20"/>
                <w:szCs w:val="20"/>
              </w:rPr>
            </w:pPr>
            <w:r w:rsidRPr="0029110D">
              <w:rPr>
                <w:sz w:val="20"/>
                <w:szCs w:val="20"/>
              </w:rPr>
              <w:t>7 (1</w:t>
            </w:r>
            <w:r w:rsidR="00BE0BE9" w:rsidRPr="0029110D">
              <w:rPr>
                <w:sz w:val="20"/>
                <w:szCs w:val="20"/>
              </w:rPr>
              <w:t>,</w:t>
            </w:r>
            <w:r w:rsidRPr="0029110D">
              <w:rPr>
                <w:sz w:val="20"/>
                <w:szCs w:val="20"/>
              </w:rPr>
              <w:t>9) [1</w:t>
            </w:r>
            <w:r w:rsidR="00BE0BE9" w:rsidRPr="0029110D">
              <w:rPr>
                <w:sz w:val="20"/>
                <w:szCs w:val="20"/>
              </w:rPr>
              <w:t>,</w:t>
            </w:r>
            <w:r w:rsidRPr="0029110D">
              <w:rPr>
                <w:sz w:val="20"/>
                <w:szCs w:val="20"/>
              </w:rPr>
              <w:t>6]</w:t>
            </w:r>
          </w:p>
        </w:tc>
        <w:tc>
          <w:tcPr>
            <w:tcW w:w="1781" w:type="dxa"/>
            <w:vAlign w:val="center"/>
          </w:tcPr>
          <w:p w14:paraId="7CEFF18D" w14:textId="31B0C9BC" w:rsidR="00C34E4A" w:rsidRPr="0029110D" w:rsidRDefault="00C34E4A" w:rsidP="00AB1FF1">
            <w:pPr>
              <w:tabs>
                <w:tab w:val="left" w:pos="2730"/>
              </w:tabs>
              <w:jc w:val="center"/>
              <w:rPr>
                <w:sz w:val="20"/>
                <w:szCs w:val="20"/>
              </w:rPr>
            </w:pPr>
            <w:r w:rsidRPr="0029110D">
              <w:rPr>
                <w:sz w:val="20"/>
                <w:szCs w:val="20"/>
              </w:rPr>
              <w:t>18 (3</w:t>
            </w:r>
            <w:r w:rsidR="00BE0BE9" w:rsidRPr="0029110D">
              <w:rPr>
                <w:sz w:val="20"/>
                <w:szCs w:val="20"/>
              </w:rPr>
              <w:t>,</w:t>
            </w:r>
            <w:r w:rsidRPr="0029110D">
              <w:rPr>
                <w:sz w:val="20"/>
                <w:szCs w:val="20"/>
              </w:rPr>
              <w:t>3) [2</w:t>
            </w:r>
            <w:r w:rsidR="00BE0BE9" w:rsidRPr="0029110D">
              <w:rPr>
                <w:sz w:val="20"/>
                <w:szCs w:val="20"/>
              </w:rPr>
              <w:t>,</w:t>
            </w:r>
            <w:r w:rsidRPr="0029110D">
              <w:rPr>
                <w:sz w:val="20"/>
                <w:szCs w:val="20"/>
              </w:rPr>
              <w:t>4]</w:t>
            </w:r>
          </w:p>
        </w:tc>
        <w:tc>
          <w:tcPr>
            <w:tcW w:w="1479" w:type="dxa"/>
            <w:vAlign w:val="center"/>
          </w:tcPr>
          <w:p w14:paraId="1C12A284" w14:textId="67588327" w:rsidR="00C34E4A" w:rsidRPr="0029110D" w:rsidRDefault="00C34E4A" w:rsidP="00AB1FF1">
            <w:pPr>
              <w:tabs>
                <w:tab w:val="left" w:pos="2730"/>
              </w:tabs>
              <w:jc w:val="center"/>
              <w:rPr>
                <w:sz w:val="20"/>
                <w:szCs w:val="20"/>
              </w:rPr>
            </w:pPr>
            <w:r w:rsidRPr="0029110D">
              <w:rPr>
                <w:sz w:val="20"/>
                <w:szCs w:val="20"/>
              </w:rPr>
              <w:t>29 (2</w:t>
            </w:r>
            <w:r w:rsidR="00BE0BE9" w:rsidRPr="0029110D">
              <w:rPr>
                <w:sz w:val="20"/>
                <w:szCs w:val="20"/>
              </w:rPr>
              <w:t>,</w:t>
            </w:r>
            <w:r w:rsidRPr="0029110D">
              <w:rPr>
                <w:sz w:val="20"/>
                <w:szCs w:val="20"/>
              </w:rPr>
              <w:t>3) [1</w:t>
            </w:r>
            <w:r w:rsidR="00BE0BE9" w:rsidRPr="0029110D">
              <w:rPr>
                <w:sz w:val="20"/>
                <w:szCs w:val="20"/>
              </w:rPr>
              <w:t>,</w:t>
            </w:r>
            <w:r w:rsidRPr="0029110D">
              <w:rPr>
                <w:sz w:val="20"/>
                <w:szCs w:val="20"/>
              </w:rPr>
              <w:t>7]</w:t>
            </w:r>
          </w:p>
        </w:tc>
        <w:tc>
          <w:tcPr>
            <w:tcW w:w="1560" w:type="dxa"/>
            <w:vAlign w:val="center"/>
          </w:tcPr>
          <w:p w14:paraId="11F151D6" w14:textId="502F8294" w:rsidR="00C34E4A" w:rsidRPr="0029110D" w:rsidRDefault="00C34E4A" w:rsidP="00AB1FF1">
            <w:pPr>
              <w:tabs>
                <w:tab w:val="left" w:pos="2730"/>
              </w:tabs>
              <w:jc w:val="center"/>
              <w:rPr>
                <w:sz w:val="20"/>
                <w:szCs w:val="20"/>
              </w:rPr>
            </w:pPr>
            <w:r w:rsidRPr="0029110D">
              <w:rPr>
                <w:sz w:val="20"/>
                <w:szCs w:val="20"/>
              </w:rPr>
              <w:t>7 (1</w:t>
            </w:r>
            <w:r w:rsidR="00BE0BE9" w:rsidRPr="0029110D">
              <w:rPr>
                <w:sz w:val="20"/>
                <w:szCs w:val="20"/>
              </w:rPr>
              <w:t>,</w:t>
            </w:r>
            <w:r w:rsidRPr="0029110D">
              <w:rPr>
                <w:sz w:val="20"/>
                <w:szCs w:val="20"/>
              </w:rPr>
              <w:t>2) [1</w:t>
            </w:r>
            <w:r w:rsidR="00BE0BE9" w:rsidRPr="0029110D">
              <w:rPr>
                <w:sz w:val="20"/>
                <w:szCs w:val="20"/>
              </w:rPr>
              <w:t>,</w:t>
            </w:r>
            <w:r w:rsidRPr="0029110D">
              <w:rPr>
                <w:sz w:val="20"/>
                <w:szCs w:val="20"/>
              </w:rPr>
              <w:t>2]</w:t>
            </w:r>
          </w:p>
        </w:tc>
        <w:tc>
          <w:tcPr>
            <w:tcW w:w="1593" w:type="dxa"/>
            <w:vAlign w:val="center"/>
          </w:tcPr>
          <w:p w14:paraId="71DD34D6" w14:textId="004EFA66" w:rsidR="00C34E4A" w:rsidRPr="0029110D" w:rsidRDefault="00C34E4A" w:rsidP="00AB1FF1">
            <w:pPr>
              <w:tabs>
                <w:tab w:val="left" w:pos="2730"/>
              </w:tabs>
              <w:jc w:val="center"/>
              <w:rPr>
                <w:sz w:val="20"/>
                <w:szCs w:val="20"/>
              </w:rPr>
            </w:pPr>
            <w:r w:rsidRPr="0029110D">
              <w:rPr>
                <w:sz w:val="20"/>
                <w:szCs w:val="20"/>
              </w:rPr>
              <w:t>22 (2</w:t>
            </w:r>
            <w:r w:rsidR="00BE0BE9" w:rsidRPr="0029110D">
              <w:rPr>
                <w:sz w:val="20"/>
                <w:szCs w:val="20"/>
              </w:rPr>
              <w:t>,</w:t>
            </w:r>
            <w:r w:rsidRPr="0029110D">
              <w:rPr>
                <w:sz w:val="20"/>
                <w:szCs w:val="20"/>
              </w:rPr>
              <w:t>3) [2</w:t>
            </w:r>
            <w:r w:rsidR="00BE0BE9" w:rsidRPr="0029110D">
              <w:rPr>
                <w:sz w:val="20"/>
                <w:szCs w:val="20"/>
              </w:rPr>
              <w:t>,</w:t>
            </w:r>
            <w:r w:rsidRPr="0029110D">
              <w:rPr>
                <w:sz w:val="20"/>
                <w:szCs w:val="20"/>
              </w:rPr>
              <w:t>0]</w:t>
            </w:r>
          </w:p>
        </w:tc>
      </w:tr>
      <w:tr w:rsidR="00C34E4A" w:rsidRPr="00C34E4A" w14:paraId="5654CDA9" w14:textId="77777777" w:rsidTr="006E1535">
        <w:trPr>
          <w:trHeight w:val="20"/>
        </w:trPr>
        <w:tc>
          <w:tcPr>
            <w:tcW w:w="14488" w:type="dxa"/>
            <w:gridSpan w:val="9"/>
          </w:tcPr>
          <w:p w14:paraId="2DFCCD18" w14:textId="7DA2AC86" w:rsidR="00C34E4A" w:rsidRPr="006E1535" w:rsidRDefault="006E1535">
            <w:pPr>
              <w:tabs>
                <w:tab w:val="left" w:pos="2730"/>
              </w:tabs>
              <w:rPr>
                <w:sz w:val="20"/>
                <w:szCs w:val="20"/>
              </w:rPr>
            </w:pPr>
            <w:r w:rsidRPr="006E1535">
              <w:rPr>
                <w:b/>
                <w:sz w:val="20"/>
                <w:szCs w:val="20"/>
              </w:rPr>
              <w:t>Примечание:</w:t>
            </w:r>
            <w:r>
              <w:rPr>
                <w:sz w:val="20"/>
                <w:szCs w:val="20"/>
              </w:rPr>
              <w:br/>
            </w:r>
            <w:r w:rsidR="00C34E4A" w:rsidRPr="006E1535">
              <w:rPr>
                <w:sz w:val="20"/>
                <w:szCs w:val="20"/>
              </w:rPr>
              <w:t xml:space="preserve">PBO – плацебо; BARI 2 </w:t>
            </w:r>
            <w:r w:rsidR="00C34E4A" w:rsidRPr="006E1535">
              <w:rPr>
                <w:sz w:val="20"/>
                <w:szCs w:val="20"/>
                <w:lang w:val="en-US"/>
              </w:rPr>
              <w:t>mg</w:t>
            </w:r>
            <w:r w:rsidR="00C34E4A" w:rsidRPr="006E1535">
              <w:rPr>
                <w:sz w:val="20"/>
                <w:szCs w:val="20"/>
              </w:rPr>
              <w:t xml:space="preserve"> – барицитиниб в дозе 2 мг;  BARI 4 </w:t>
            </w:r>
            <w:r w:rsidR="00C34E4A" w:rsidRPr="006E1535">
              <w:rPr>
                <w:sz w:val="20"/>
                <w:szCs w:val="20"/>
                <w:lang w:val="en-US"/>
              </w:rPr>
              <w:t>mg</w:t>
            </w:r>
            <w:r w:rsidR="00C34E4A" w:rsidRPr="006E1535">
              <w:rPr>
                <w:sz w:val="20"/>
                <w:szCs w:val="20"/>
              </w:rPr>
              <w:t xml:space="preserve"> – барицитиниб 4 мг; АА – очаговая алопеция; СНЯ – серьезные нежелательные явления; НЯ – нежелательные явления; </w:t>
            </w:r>
            <w:r w:rsidR="00C34E4A" w:rsidRPr="006E1535">
              <w:rPr>
                <w:sz w:val="20"/>
                <w:szCs w:val="20"/>
                <w:lang w:val="en-US"/>
              </w:rPr>
              <w:t>IR</w:t>
            </w:r>
            <w:r w:rsidR="00C34E4A" w:rsidRPr="006E1535">
              <w:rPr>
                <w:sz w:val="20"/>
                <w:szCs w:val="20"/>
              </w:rPr>
              <w:t xml:space="preserve"> – уровень заболеваемости; n – количество пациентов в анализируемой популяции; </w:t>
            </w:r>
            <w:r w:rsidR="00C34E4A" w:rsidRPr="006E1535">
              <w:rPr>
                <w:sz w:val="20"/>
                <w:szCs w:val="20"/>
                <w:lang w:val="en-US"/>
              </w:rPr>
              <w:t>n</w:t>
            </w:r>
            <w:r w:rsidR="00C34E4A" w:rsidRPr="006E1535">
              <w:rPr>
                <w:sz w:val="20"/>
                <w:szCs w:val="20"/>
              </w:rPr>
              <w:t xml:space="preserve">’ – количество пациентов в указанной категории; PYE – экспозиция пациент-год; PYR – пациенто-годы риска; TEAE – событие, которое впервые произошло или регистрировали ухудшение состояния в течение периода анализа; a – пациенты с множественными случаями одного и того же события учитывались как пациенты с наивысшей степенью тяжести, для которых IR рассчитываются на основе PYR; * – включены данные от момента рандомизации до даты прекращения сбора данных. Включает всех пациентов, подвергшихся воздействию плацебо, барицитиниба в дозе 2 мг или 4 мг; </w:t>
            </w:r>
            <w:r w:rsidR="00C34E4A" w:rsidRPr="006E1535">
              <w:rPr>
                <w:sz w:val="20"/>
                <w:szCs w:val="20"/>
                <w:vertAlign w:val="superscript"/>
              </w:rPr>
              <w:t>#</w:t>
            </w:r>
            <w:r w:rsidR="00C34E4A" w:rsidRPr="006E1535">
              <w:rPr>
                <w:sz w:val="20"/>
                <w:szCs w:val="20"/>
              </w:rPr>
              <w:t xml:space="preserve"> – анализ включает данные всех пациентов, подвергшихся воздействию любой дозы барицитиниба в любое время в ходе исследований либо в результате рандомизации, либо в результате смены терапии с плацебо на барицитиниб; </w:t>
            </w:r>
            <w:r w:rsidR="00C34E4A" w:rsidRPr="006E1535">
              <w:rPr>
                <w:sz w:val="20"/>
                <w:szCs w:val="20"/>
                <w:vertAlign w:val="superscript"/>
              </w:rPr>
              <w:t xml:space="preserve">&amp; </w:t>
            </w:r>
            <w:r w:rsidR="00C34E4A" w:rsidRPr="006E1535">
              <w:rPr>
                <w:sz w:val="20"/>
                <w:szCs w:val="20"/>
              </w:rPr>
              <w:t xml:space="preserve">– анализ включает данные пациентов, которые подвергались воздействию барицитиниба в дозе 2 мг в любое время в ходе исследований либо в результате рандомизации, либо в результате смены любой терапии на барицитиниб 2 мг; ^ – анализ включает данные пациентов, которые подвергались воздействию барицитиниба в дозе 4 мг в любое время в ходе исследований, </w:t>
            </w:r>
            <w:r w:rsidR="00C34E4A" w:rsidRPr="006E1535">
              <w:rPr>
                <w:sz w:val="20"/>
                <w:szCs w:val="20"/>
              </w:rPr>
              <w:lastRenderedPageBreak/>
              <w:t xml:space="preserve">либо в результате рандомизации, либо в результате смены любой терапии на барицитиниб 4 мг. </w:t>
            </w:r>
          </w:p>
        </w:tc>
      </w:tr>
    </w:tbl>
    <w:p w14:paraId="2C80BECD" w14:textId="77777777" w:rsidR="005D2DF4" w:rsidRDefault="005D2DF4">
      <w:pPr>
        <w:tabs>
          <w:tab w:val="left" w:pos="2730"/>
        </w:tabs>
        <w:spacing w:after="0" w:line="240" w:lineRule="auto"/>
        <w:rPr>
          <w:b/>
          <w:bCs/>
        </w:rPr>
      </w:pPr>
    </w:p>
    <w:p w14:paraId="7B5C08C6" w14:textId="5E84CFB3" w:rsidR="00C34E4A" w:rsidRPr="006740E4" w:rsidRDefault="006E1535">
      <w:pPr>
        <w:tabs>
          <w:tab w:val="left" w:pos="2730"/>
        </w:tabs>
        <w:spacing w:after="0" w:line="240" w:lineRule="auto"/>
        <w:rPr>
          <w:b/>
          <w:bCs/>
        </w:rPr>
      </w:pPr>
      <w:r>
        <w:rPr>
          <w:b/>
          <w:bCs/>
        </w:rPr>
        <w:t>Таблица 4-17.</w:t>
      </w:r>
      <w:r w:rsidR="00C34E4A" w:rsidRPr="006740E4">
        <w:rPr>
          <w:b/>
          <w:bCs/>
        </w:rPr>
        <w:t xml:space="preserve"> </w:t>
      </w:r>
      <w:r w:rsidR="00C34E4A" w:rsidRPr="006E1535">
        <w:rPr>
          <w:bCs/>
        </w:rPr>
        <w:t>TEAE, зарегистрированные в ходе изучения эффективности и безопасности применения барицитиниба у пациентов с очаговой алопецией</w:t>
      </w:r>
      <w:r w:rsidRPr="006E1535">
        <w:rPr>
          <w:bCs/>
        </w:rPr>
        <w:t>.</w:t>
      </w:r>
    </w:p>
    <w:tbl>
      <w:tblPr>
        <w:tblStyle w:val="a8"/>
        <w:tblW w:w="5000" w:type="pct"/>
        <w:tblInd w:w="136" w:type="dxa"/>
        <w:tblLook w:val="04A0" w:firstRow="1" w:lastRow="0" w:firstColumn="1" w:lastColumn="0" w:noHBand="0" w:noVBand="1"/>
      </w:tblPr>
      <w:tblGrid>
        <w:gridCol w:w="2339"/>
        <w:gridCol w:w="1744"/>
        <w:gridCol w:w="1418"/>
        <w:gridCol w:w="1514"/>
        <w:gridCol w:w="1655"/>
        <w:gridCol w:w="1508"/>
        <w:gridCol w:w="1683"/>
        <w:gridCol w:w="1627"/>
        <w:gridCol w:w="1298"/>
      </w:tblGrid>
      <w:tr w:rsidR="00C34E4A" w:rsidRPr="0029110D" w14:paraId="47A9D2B8" w14:textId="77777777" w:rsidTr="0029110D">
        <w:trPr>
          <w:trHeight w:val="20"/>
          <w:tblHeader/>
        </w:trPr>
        <w:tc>
          <w:tcPr>
            <w:tcW w:w="2339" w:type="dxa"/>
            <w:vMerge w:val="restart"/>
            <w:shd w:val="clear" w:color="auto" w:fill="D9D9D9" w:themeFill="background1" w:themeFillShade="D9"/>
            <w:vAlign w:val="center"/>
          </w:tcPr>
          <w:p w14:paraId="14C98C7E" w14:textId="1A112C5B" w:rsidR="00C34E4A" w:rsidRPr="0029110D" w:rsidRDefault="0029110D" w:rsidP="0029110D">
            <w:pPr>
              <w:tabs>
                <w:tab w:val="left" w:pos="2730"/>
              </w:tabs>
              <w:jc w:val="center"/>
              <w:rPr>
                <w:b/>
                <w:bCs/>
                <w:sz w:val="20"/>
                <w:szCs w:val="20"/>
              </w:rPr>
            </w:pPr>
            <w:r w:rsidRPr="0029110D">
              <w:rPr>
                <w:b/>
                <w:bCs/>
                <w:sz w:val="20"/>
                <w:szCs w:val="20"/>
              </w:rPr>
              <w:t>Параметр</w:t>
            </w:r>
          </w:p>
        </w:tc>
        <w:tc>
          <w:tcPr>
            <w:tcW w:w="4676" w:type="dxa"/>
            <w:gridSpan w:val="3"/>
            <w:shd w:val="clear" w:color="auto" w:fill="D9D9D9" w:themeFill="background1" w:themeFillShade="D9"/>
            <w:vAlign w:val="center"/>
          </w:tcPr>
          <w:p w14:paraId="131F7B4B" w14:textId="28C819A9" w:rsidR="00C34E4A" w:rsidRPr="0029110D" w:rsidRDefault="00C34E4A">
            <w:pPr>
              <w:tabs>
                <w:tab w:val="left" w:pos="2730"/>
              </w:tabs>
              <w:jc w:val="center"/>
              <w:rPr>
                <w:b/>
                <w:bCs/>
                <w:sz w:val="20"/>
                <w:szCs w:val="20"/>
              </w:rPr>
            </w:pPr>
            <w:r w:rsidRPr="0029110D">
              <w:rPr>
                <w:b/>
                <w:bCs/>
                <w:sz w:val="20"/>
                <w:szCs w:val="20"/>
              </w:rPr>
              <w:t>36-недельные плацебо контролируемые исследования</w:t>
            </w:r>
          </w:p>
        </w:tc>
        <w:tc>
          <w:tcPr>
            <w:tcW w:w="3163" w:type="dxa"/>
            <w:gridSpan w:val="2"/>
            <w:shd w:val="clear" w:color="auto" w:fill="D9D9D9" w:themeFill="background1" w:themeFillShade="D9"/>
            <w:vAlign w:val="center"/>
          </w:tcPr>
          <w:p w14:paraId="39C9A498" w14:textId="1F8D265D" w:rsidR="00C34E4A" w:rsidRPr="0029110D" w:rsidRDefault="00C34E4A">
            <w:pPr>
              <w:tabs>
                <w:tab w:val="left" w:pos="2730"/>
              </w:tabs>
              <w:jc w:val="center"/>
              <w:rPr>
                <w:b/>
                <w:bCs/>
                <w:sz w:val="20"/>
                <w:szCs w:val="20"/>
              </w:rPr>
            </w:pPr>
            <w:r w:rsidRPr="0029110D">
              <w:rPr>
                <w:b/>
                <w:bCs/>
                <w:sz w:val="20"/>
                <w:szCs w:val="20"/>
              </w:rPr>
              <w:t>Расширенный анализ данных*</w:t>
            </w:r>
          </w:p>
        </w:tc>
        <w:tc>
          <w:tcPr>
            <w:tcW w:w="1683" w:type="dxa"/>
            <w:shd w:val="clear" w:color="auto" w:fill="D9D9D9" w:themeFill="background1" w:themeFillShade="D9"/>
            <w:vAlign w:val="center"/>
          </w:tcPr>
          <w:p w14:paraId="07BC257A" w14:textId="05057995" w:rsidR="00C34E4A" w:rsidRPr="0029110D" w:rsidRDefault="00C34E4A">
            <w:pPr>
              <w:tabs>
                <w:tab w:val="left" w:pos="2730"/>
              </w:tabs>
              <w:jc w:val="center"/>
              <w:rPr>
                <w:b/>
                <w:bCs/>
                <w:sz w:val="20"/>
                <w:szCs w:val="20"/>
              </w:rPr>
            </w:pPr>
            <w:r w:rsidRPr="0029110D">
              <w:rPr>
                <w:b/>
                <w:bCs/>
                <w:sz w:val="20"/>
                <w:szCs w:val="20"/>
                <w:lang w:val="en-US"/>
              </w:rPr>
              <w:t>All</w:t>
            </w:r>
            <w:r w:rsidRPr="0029110D">
              <w:rPr>
                <w:b/>
                <w:bCs/>
                <w:sz w:val="20"/>
                <w:szCs w:val="20"/>
              </w:rPr>
              <w:t xml:space="preserve"> </w:t>
            </w:r>
            <w:r w:rsidRPr="0029110D">
              <w:rPr>
                <w:b/>
                <w:bCs/>
                <w:sz w:val="20"/>
                <w:szCs w:val="20"/>
                <w:lang w:val="en-US"/>
              </w:rPr>
              <w:t>BARI</w:t>
            </w:r>
            <w:r w:rsidRPr="0029110D">
              <w:rPr>
                <w:b/>
                <w:bCs/>
                <w:sz w:val="20"/>
                <w:szCs w:val="20"/>
              </w:rPr>
              <w:t xml:space="preserve"> </w:t>
            </w:r>
            <w:r w:rsidRPr="0029110D">
              <w:rPr>
                <w:b/>
                <w:bCs/>
                <w:sz w:val="20"/>
                <w:szCs w:val="20"/>
                <w:lang w:val="en-US"/>
              </w:rPr>
              <w:t>AA</w:t>
            </w:r>
            <w:r w:rsidRPr="0029110D">
              <w:rPr>
                <w:b/>
                <w:bCs/>
                <w:sz w:val="20"/>
                <w:szCs w:val="20"/>
                <w:vertAlign w:val="superscript"/>
              </w:rPr>
              <w:t>#</w:t>
            </w:r>
          </w:p>
        </w:tc>
        <w:tc>
          <w:tcPr>
            <w:tcW w:w="1627" w:type="dxa"/>
            <w:shd w:val="clear" w:color="auto" w:fill="D9D9D9" w:themeFill="background1" w:themeFillShade="D9"/>
            <w:vAlign w:val="center"/>
          </w:tcPr>
          <w:p w14:paraId="57F66D05" w14:textId="77777777" w:rsidR="00C34E4A" w:rsidRPr="0029110D" w:rsidRDefault="00C34E4A">
            <w:pPr>
              <w:tabs>
                <w:tab w:val="left" w:pos="2730"/>
              </w:tabs>
              <w:jc w:val="center"/>
              <w:rPr>
                <w:b/>
                <w:bCs/>
                <w:sz w:val="20"/>
                <w:szCs w:val="20"/>
              </w:rPr>
            </w:pPr>
            <w:r w:rsidRPr="0029110D">
              <w:rPr>
                <w:b/>
                <w:bCs/>
                <w:sz w:val="20"/>
                <w:szCs w:val="20"/>
                <w:lang w:val="en-US"/>
              </w:rPr>
              <w:t>All</w:t>
            </w:r>
            <w:r w:rsidRPr="0029110D">
              <w:rPr>
                <w:b/>
                <w:bCs/>
                <w:sz w:val="20"/>
                <w:szCs w:val="20"/>
              </w:rPr>
              <w:t xml:space="preserve"> </w:t>
            </w:r>
            <w:r w:rsidRPr="0029110D">
              <w:rPr>
                <w:b/>
                <w:bCs/>
                <w:sz w:val="20"/>
                <w:szCs w:val="20"/>
                <w:lang w:val="en-US"/>
              </w:rPr>
              <w:t>BARI</w:t>
            </w:r>
            <w:r w:rsidRPr="0029110D">
              <w:rPr>
                <w:b/>
                <w:bCs/>
                <w:sz w:val="20"/>
                <w:szCs w:val="20"/>
              </w:rPr>
              <w:t xml:space="preserve"> 2-</w:t>
            </w:r>
            <w:r w:rsidRPr="0029110D">
              <w:rPr>
                <w:b/>
                <w:bCs/>
                <w:sz w:val="20"/>
                <w:szCs w:val="20"/>
                <w:lang w:val="en-US"/>
              </w:rPr>
              <w:t>mg</w:t>
            </w:r>
            <w:r w:rsidRPr="0029110D">
              <w:rPr>
                <w:b/>
                <w:bCs/>
                <w:sz w:val="20"/>
                <w:szCs w:val="20"/>
              </w:rPr>
              <w:t xml:space="preserve"> </w:t>
            </w:r>
            <w:r w:rsidRPr="0029110D">
              <w:rPr>
                <w:b/>
                <w:bCs/>
                <w:sz w:val="20"/>
                <w:szCs w:val="20"/>
                <w:lang w:val="en-US"/>
              </w:rPr>
              <w:t>AA</w:t>
            </w:r>
            <w:r w:rsidRPr="0029110D">
              <w:rPr>
                <w:b/>
                <w:bCs/>
                <w:sz w:val="20"/>
                <w:szCs w:val="20"/>
                <w:vertAlign w:val="superscript"/>
              </w:rPr>
              <w:t>&amp;</w:t>
            </w:r>
          </w:p>
        </w:tc>
        <w:tc>
          <w:tcPr>
            <w:tcW w:w="1298" w:type="dxa"/>
            <w:shd w:val="clear" w:color="auto" w:fill="D9D9D9" w:themeFill="background1" w:themeFillShade="D9"/>
            <w:vAlign w:val="center"/>
          </w:tcPr>
          <w:p w14:paraId="23C13F65" w14:textId="77777777" w:rsidR="00C34E4A" w:rsidRPr="0029110D" w:rsidRDefault="00C34E4A">
            <w:pPr>
              <w:tabs>
                <w:tab w:val="left" w:pos="2730"/>
              </w:tabs>
              <w:jc w:val="center"/>
              <w:rPr>
                <w:b/>
                <w:bCs/>
                <w:sz w:val="20"/>
                <w:szCs w:val="20"/>
              </w:rPr>
            </w:pPr>
            <w:r w:rsidRPr="0029110D">
              <w:rPr>
                <w:b/>
                <w:bCs/>
                <w:sz w:val="20"/>
                <w:szCs w:val="20"/>
                <w:lang w:val="en-US"/>
              </w:rPr>
              <w:t>All</w:t>
            </w:r>
            <w:r w:rsidRPr="0029110D">
              <w:rPr>
                <w:b/>
                <w:bCs/>
                <w:sz w:val="20"/>
                <w:szCs w:val="20"/>
              </w:rPr>
              <w:t xml:space="preserve"> </w:t>
            </w:r>
            <w:r w:rsidRPr="0029110D">
              <w:rPr>
                <w:b/>
                <w:bCs/>
                <w:sz w:val="20"/>
                <w:szCs w:val="20"/>
                <w:lang w:val="en-US"/>
              </w:rPr>
              <w:t>BARI</w:t>
            </w:r>
            <w:r w:rsidRPr="0029110D">
              <w:rPr>
                <w:b/>
                <w:bCs/>
                <w:sz w:val="20"/>
                <w:szCs w:val="20"/>
              </w:rPr>
              <w:t xml:space="preserve"> 4- </w:t>
            </w:r>
            <w:r w:rsidRPr="0029110D">
              <w:rPr>
                <w:b/>
                <w:bCs/>
                <w:sz w:val="20"/>
                <w:szCs w:val="20"/>
                <w:lang w:val="en-US"/>
              </w:rPr>
              <w:t>mg</w:t>
            </w:r>
            <w:r w:rsidRPr="0029110D">
              <w:rPr>
                <w:b/>
                <w:bCs/>
                <w:sz w:val="20"/>
                <w:szCs w:val="20"/>
              </w:rPr>
              <w:t xml:space="preserve"> </w:t>
            </w:r>
            <w:r w:rsidRPr="0029110D">
              <w:rPr>
                <w:b/>
                <w:bCs/>
                <w:sz w:val="20"/>
                <w:szCs w:val="20"/>
                <w:lang w:val="en-US"/>
              </w:rPr>
              <w:t>AA^</w:t>
            </w:r>
          </w:p>
        </w:tc>
      </w:tr>
      <w:tr w:rsidR="00C34E4A" w:rsidRPr="0029110D" w14:paraId="3675CBD1" w14:textId="77777777" w:rsidTr="0029110D">
        <w:trPr>
          <w:trHeight w:val="20"/>
          <w:tblHeader/>
        </w:trPr>
        <w:tc>
          <w:tcPr>
            <w:tcW w:w="2339" w:type="dxa"/>
            <w:vMerge/>
            <w:shd w:val="clear" w:color="auto" w:fill="D9D9D9" w:themeFill="background1" w:themeFillShade="D9"/>
            <w:vAlign w:val="center"/>
          </w:tcPr>
          <w:p w14:paraId="5905AC31" w14:textId="77777777" w:rsidR="00C34E4A" w:rsidRPr="0029110D" w:rsidRDefault="00C34E4A">
            <w:pPr>
              <w:tabs>
                <w:tab w:val="left" w:pos="2730"/>
              </w:tabs>
              <w:jc w:val="center"/>
              <w:rPr>
                <w:b/>
                <w:sz w:val="20"/>
                <w:szCs w:val="20"/>
              </w:rPr>
            </w:pPr>
          </w:p>
        </w:tc>
        <w:tc>
          <w:tcPr>
            <w:tcW w:w="1744" w:type="dxa"/>
            <w:shd w:val="clear" w:color="auto" w:fill="D9D9D9" w:themeFill="background1" w:themeFillShade="D9"/>
            <w:vAlign w:val="center"/>
          </w:tcPr>
          <w:p w14:paraId="49ABBB5A" w14:textId="77777777" w:rsidR="00C34E4A" w:rsidRPr="0029110D" w:rsidRDefault="00C34E4A">
            <w:pPr>
              <w:tabs>
                <w:tab w:val="left" w:pos="2730"/>
              </w:tabs>
              <w:jc w:val="center"/>
              <w:rPr>
                <w:b/>
                <w:sz w:val="20"/>
                <w:szCs w:val="20"/>
                <w:lang w:val="en-US"/>
              </w:rPr>
            </w:pPr>
            <w:r w:rsidRPr="0029110D">
              <w:rPr>
                <w:b/>
                <w:sz w:val="20"/>
                <w:szCs w:val="20"/>
                <w:lang w:val="en-US"/>
              </w:rPr>
              <w:t>PBO n=371 PYE=243.2, n’ (%) [IR]</w:t>
            </w:r>
          </w:p>
        </w:tc>
        <w:tc>
          <w:tcPr>
            <w:tcW w:w="1418" w:type="dxa"/>
            <w:shd w:val="clear" w:color="auto" w:fill="D9D9D9" w:themeFill="background1" w:themeFillShade="D9"/>
            <w:vAlign w:val="center"/>
          </w:tcPr>
          <w:p w14:paraId="5C3F4695" w14:textId="77777777" w:rsidR="00C34E4A" w:rsidRPr="0029110D" w:rsidRDefault="00C34E4A">
            <w:pPr>
              <w:tabs>
                <w:tab w:val="left" w:pos="2730"/>
              </w:tabs>
              <w:jc w:val="center"/>
              <w:rPr>
                <w:b/>
                <w:sz w:val="20"/>
                <w:szCs w:val="20"/>
                <w:lang w:val="en-US"/>
              </w:rPr>
            </w:pPr>
            <w:r w:rsidRPr="0029110D">
              <w:rPr>
                <w:b/>
                <w:sz w:val="20"/>
                <w:szCs w:val="20"/>
                <w:lang w:val="en-US"/>
              </w:rPr>
              <w:t>BARI 2- mg n=365 PYE=240.6 n’ (%) [IR]</w:t>
            </w:r>
          </w:p>
        </w:tc>
        <w:tc>
          <w:tcPr>
            <w:tcW w:w="1514" w:type="dxa"/>
            <w:shd w:val="clear" w:color="auto" w:fill="D9D9D9" w:themeFill="background1" w:themeFillShade="D9"/>
            <w:vAlign w:val="center"/>
          </w:tcPr>
          <w:p w14:paraId="0283A8A3" w14:textId="77777777" w:rsidR="00C34E4A" w:rsidRPr="0029110D" w:rsidRDefault="00C34E4A">
            <w:pPr>
              <w:tabs>
                <w:tab w:val="left" w:pos="2730"/>
              </w:tabs>
              <w:jc w:val="center"/>
              <w:rPr>
                <w:b/>
                <w:sz w:val="20"/>
                <w:szCs w:val="20"/>
                <w:lang w:val="en-US"/>
              </w:rPr>
            </w:pPr>
            <w:r w:rsidRPr="0029110D">
              <w:rPr>
                <w:b/>
                <w:sz w:val="20"/>
                <w:szCs w:val="20"/>
                <w:lang w:val="en-US"/>
              </w:rPr>
              <w:t>BARI 4- mg n=540 PYE = 363.4 n’ (%) [IR]</w:t>
            </w:r>
          </w:p>
        </w:tc>
        <w:tc>
          <w:tcPr>
            <w:tcW w:w="1655" w:type="dxa"/>
            <w:shd w:val="clear" w:color="auto" w:fill="D9D9D9" w:themeFill="background1" w:themeFillShade="D9"/>
            <w:vAlign w:val="center"/>
          </w:tcPr>
          <w:p w14:paraId="0FE914EA" w14:textId="77777777" w:rsidR="00C34E4A" w:rsidRPr="0029110D" w:rsidRDefault="00C34E4A">
            <w:pPr>
              <w:tabs>
                <w:tab w:val="left" w:pos="2730"/>
              </w:tabs>
              <w:jc w:val="center"/>
              <w:rPr>
                <w:b/>
                <w:sz w:val="20"/>
                <w:szCs w:val="20"/>
                <w:lang w:val="en-US"/>
              </w:rPr>
            </w:pPr>
            <w:r w:rsidRPr="0029110D">
              <w:rPr>
                <w:b/>
                <w:sz w:val="20"/>
                <w:szCs w:val="20"/>
                <w:lang w:val="en-US"/>
              </w:rPr>
              <w:t>BARI 2- mg n=365 PYE = 402.1 n’ (%) [IR]</w:t>
            </w:r>
          </w:p>
        </w:tc>
        <w:tc>
          <w:tcPr>
            <w:tcW w:w="1508" w:type="dxa"/>
            <w:shd w:val="clear" w:color="auto" w:fill="D9D9D9" w:themeFill="background1" w:themeFillShade="D9"/>
            <w:vAlign w:val="center"/>
          </w:tcPr>
          <w:p w14:paraId="7BD4021D" w14:textId="77777777" w:rsidR="00C34E4A" w:rsidRPr="0029110D" w:rsidRDefault="00C34E4A">
            <w:pPr>
              <w:tabs>
                <w:tab w:val="left" w:pos="2730"/>
              </w:tabs>
              <w:jc w:val="center"/>
              <w:rPr>
                <w:b/>
                <w:sz w:val="20"/>
                <w:szCs w:val="20"/>
                <w:lang w:val="en-US"/>
              </w:rPr>
            </w:pPr>
            <w:r w:rsidRPr="0029110D">
              <w:rPr>
                <w:b/>
                <w:sz w:val="20"/>
                <w:szCs w:val="20"/>
                <w:lang w:val="en-US"/>
              </w:rPr>
              <w:t>BARI 4- mg n=540 PYE = 720.7 n’ (%) [IR]</w:t>
            </w:r>
          </w:p>
        </w:tc>
        <w:tc>
          <w:tcPr>
            <w:tcW w:w="1683" w:type="dxa"/>
            <w:shd w:val="clear" w:color="auto" w:fill="D9D9D9" w:themeFill="background1" w:themeFillShade="D9"/>
            <w:vAlign w:val="center"/>
          </w:tcPr>
          <w:p w14:paraId="0F6210B8" w14:textId="77777777" w:rsidR="00C34E4A" w:rsidRPr="0029110D" w:rsidRDefault="00C34E4A">
            <w:pPr>
              <w:tabs>
                <w:tab w:val="left" w:pos="2730"/>
              </w:tabs>
              <w:jc w:val="center"/>
              <w:rPr>
                <w:b/>
                <w:sz w:val="20"/>
                <w:szCs w:val="20"/>
                <w:lang w:val="en-US"/>
              </w:rPr>
            </w:pPr>
            <w:r w:rsidRPr="0029110D">
              <w:rPr>
                <w:b/>
                <w:sz w:val="20"/>
                <w:szCs w:val="20"/>
                <w:lang w:val="en-US"/>
              </w:rPr>
              <w:t>PBO n=371 PYE=243.2 n’ (%) [IR]</w:t>
            </w:r>
          </w:p>
        </w:tc>
        <w:tc>
          <w:tcPr>
            <w:tcW w:w="1627" w:type="dxa"/>
            <w:shd w:val="clear" w:color="auto" w:fill="D9D9D9" w:themeFill="background1" w:themeFillShade="D9"/>
            <w:vAlign w:val="center"/>
          </w:tcPr>
          <w:p w14:paraId="402811D3" w14:textId="77777777" w:rsidR="00C34E4A" w:rsidRPr="0029110D" w:rsidRDefault="00C34E4A">
            <w:pPr>
              <w:tabs>
                <w:tab w:val="left" w:pos="2730"/>
              </w:tabs>
              <w:jc w:val="center"/>
              <w:rPr>
                <w:b/>
                <w:sz w:val="20"/>
                <w:szCs w:val="20"/>
                <w:lang w:val="en-US"/>
              </w:rPr>
            </w:pPr>
            <w:r w:rsidRPr="0029110D">
              <w:rPr>
                <w:b/>
                <w:sz w:val="20"/>
                <w:szCs w:val="20"/>
                <w:lang w:val="en-US"/>
              </w:rPr>
              <w:t>BARI 2- mg n=365 PYE=240.6 n’ (%) [IR]</w:t>
            </w:r>
          </w:p>
        </w:tc>
        <w:tc>
          <w:tcPr>
            <w:tcW w:w="1298" w:type="dxa"/>
            <w:shd w:val="clear" w:color="auto" w:fill="D9D9D9" w:themeFill="background1" w:themeFillShade="D9"/>
            <w:vAlign w:val="center"/>
          </w:tcPr>
          <w:p w14:paraId="5C40A138" w14:textId="77777777" w:rsidR="00C34E4A" w:rsidRPr="0029110D" w:rsidRDefault="00C34E4A">
            <w:pPr>
              <w:tabs>
                <w:tab w:val="left" w:pos="2730"/>
              </w:tabs>
              <w:jc w:val="center"/>
              <w:rPr>
                <w:b/>
                <w:sz w:val="20"/>
                <w:szCs w:val="20"/>
                <w:lang w:val="en-US"/>
              </w:rPr>
            </w:pPr>
            <w:r w:rsidRPr="0029110D">
              <w:rPr>
                <w:b/>
                <w:sz w:val="20"/>
                <w:szCs w:val="20"/>
                <w:lang w:val="en-US"/>
              </w:rPr>
              <w:t>BARI 4- mg n=540 PYE = 363.4 n’ (%) [IR]</w:t>
            </w:r>
          </w:p>
        </w:tc>
      </w:tr>
      <w:tr w:rsidR="00C34E4A" w:rsidRPr="0029110D" w14:paraId="2F09DD7B" w14:textId="77777777" w:rsidTr="0029110D">
        <w:trPr>
          <w:trHeight w:val="20"/>
        </w:trPr>
        <w:tc>
          <w:tcPr>
            <w:tcW w:w="2339" w:type="dxa"/>
          </w:tcPr>
          <w:p w14:paraId="6018EF09" w14:textId="77777777" w:rsidR="00C34E4A" w:rsidRPr="0029110D" w:rsidRDefault="00C34E4A">
            <w:pPr>
              <w:tabs>
                <w:tab w:val="left" w:pos="2730"/>
              </w:tabs>
              <w:rPr>
                <w:sz w:val="20"/>
                <w:szCs w:val="20"/>
              </w:rPr>
            </w:pPr>
            <w:r w:rsidRPr="0029110D">
              <w:rPr>
                <w:sz w:val="20"/>
                <w:szCs w:val="20"/>
              </w:rPr>
              <w:t>Пациенты с ≥1 TEAE</w:t>
            </w:r>
          </w:p>
        </w:tc>
        <w:tc>
          <w:tcPr>
            <w:tcW w:w="1744" w:type="dxa"/>
            <w:vAlign w:val="center"/>
          </w:tcPr>
          <w:p w14:paraId="37970B81" w14:textId="133166D2" w:rsidR="00C34E4A" w:rsidRPr="0029110D" w:rsidRDefault="00C34E4A" w:rsidP="00AB1FF1">
            <w:pPr>
              <w:tabs>
                <w:tab w:val="left" w:pos="2730"/>
              </w:tabs>
              <w:jc w:val="center"/>
              <w:rPr>
                <w:sz w:val="20"/>
                <w:szCs w:val="20"/>
                <w:lang w:val="en-US"/>
              </w:rPr>
            </w:pPr>
            <w:r w:rsidRPr="0029110D">
              <w:rPr>
                <w:sz w:val="20"/>
                <w:szCs w:val="20"/>
              </w:rPr>
              <w:t>211 (56</w:t>
            </w:r>
            <w:r w:rsidR="00BE0BE9" w:rsidRPr="0029110D">
              <w:rPr>
                <w:sz w:val="20"/>
                <w:szCs w:val="20"/>
              </w:rPr>
              <w:t>,</w:t>
            </w:r>
            <w:r w:rsidRPr="0029110D">
              <w:rPr>
                <w:sz w:val="20"/>
                <w:szCs w:val="20"/>
              </w:rPr>
              <w:t>9) [153</w:t>
            </w:r>
            <w:r w:rsidR="00BE0BE9" w:rsidRPr="0029110D">
              <w:rPr>
                <w:sz w:val="20"/>
                <w:szCs w:val="20"/>
              </w:rPr>
              <w:t>,</w:t>
            </w:r>
            <w:r w:rsidRPr="0029110D">
              <w:rPr>
                <w:sz w:val="20"/>
                <w:szCs w:val="20"/>
              </w:rPr>
              <w:t>1]</w:t>
            </w:r>
          </w:p>
        </w:tc>
        <w:tc>
          <w:tcPr>
            <w:tcW w:w="1418" w:type="dxa"/>
            <w:vAlign w:val="center"/>
          </w:tcPr>
          <w:p w14:paraId="38A12888" w14:textId="07F8F233" w:rsidR="00C34E4A" w:rsidRPr="0029110D" w:rsidRDefault="00C34E4A" w:rsidP="00AB1FF1">
            <w:pPr>
              <w:tabs>
                <w:tab w:val="left" w:pos="2730"/>
              </w:tabs>
              <w:jc w:val="center"/>
              <w:rPr>
                <w:sz w:val="20"/>
                <w:szCs w:val="20"/>
                <w:lang w:val="en-US"/>
              </w:rPr>
            </w:pPr>
            <w:r w:rsidRPr="0029110D">
              <w:rPr>
                <w:sz w:val="20"/>
                <w:szCs w:val="20"/>
              </w:rPr>
              <w:t>221 (60</w:t>
            </w:r>
            <w:r w:rsidR="00BE0BE9" w:rsidRPr="0029110D">
              <w:rPr>
                <w:sz w:val="20"/>
                <w:szCs w:val="20"/>
              </w:rPr>
              <w:t>,</w:t>
            </w:r>
            <w:r w:rsidRPr="0029110D">
              <w:rPr>
                <w:sz w:val="20"/>
                <w:szCs w:val="20"/>
              </w:rPr>
              <w:t>5) [160</w:t>
            </w:r>
            <w:r w:rsidR="00BE0BE9" w:rsidRPr="0029110D">
              <w:rPr>
                <w:sz w:val="20"/>
                <w:szCs w:val="20"/>
              </w:rPr>
              <w:t>,</w:t>
            </w:r>
            <w:r w:rsidRPr="0029110D">
              <w:rPr>
                <w:sz w:val="20"/>
                <w:szCs w:val="20"/>
              </w:rPr>
              <w:t>9]</w:t>
            </w:r>
          </w:p>
        </w:tc>
        <w:tc>
          <w:tcPr>
            <w:tcW w:w="1514" w:type="dxa"/>
            <w:vAlign w:val="center"/>
          </w:tcPr>
          <w:p w14:paraId="199CCCFD" w14:textId="7191C83C" w:rsidR="00C34E4A" w:rsidRPr="0029110D" w:rsidRDefault="00C34E4A" w:rsidP="00AB1FF1">
            <w:pPr>
              <w:tabs>
                <w:tab w:val="left" w:pos="2730"/>
              </w:tabs>
              <w:jc w:val="center"/>
              <w:rPr>
                <w:sz w:val="20"/>
                <w:szCs w:val="20"/>
                <w:lang w:val="en-US"/>
              </w:rPr>
            </w:pPr>
            <w:r w:rsidRPr="0029110D">
              <w:rPr>
                <w:sz w:val="20"/>
                <w:szCs w:val="20"/>
              </w:rPr>
              <w:t>341 (63</w:t>
            </w:r>
            <w:r w:rsidR="00BE0BE9" w:rsidRPr="0029110D">
              <w:rPr>
                <w:sz w:val="20"/>
                <w:szCs w:val="20"/>
              </w:rPr>
              <w:t>,</w:t>
            </w:r>
            <w:r w:rsidRPr="0029110D">
              <w:rPr>
                <w:sz w:val="20"/>
                <w:szCs w:val="20"/>
              </w:rPr>
              <w:t>1) [172</w:t>
            </w:r>
            <w:r w:rsidR="00BE0BE9" w:rsidRPr="0029110D">
              <w:rPr>
                <w:sz w:val="20"/>
                <w:szCs w:val="20"/>
              </w:rPr>
              <w:t>,</w:t>
            </w:r>
            <w:r w:rsidRPr="0029110D">
              <w:rPr>
                <w:sz w:val="20"/>
                <w:szCs w:val="20"/>
              </w:rPr>
              <w:t>1]</w:t>
            </w:r>
          </w:p>
        </w:tc>
        <w:tc>
          <w:tcPr>
            <w:tcW w:w="1655" w:type="dxa"/>
            <w:vAlign w:val="center"/>
          </w:tcPr>
          <w:p w14:paraId="2F70C8BF" w14:textId="75EF6BAC" w:rsidR="00C34E4A" w:rsidRPr="0029110D" w:rsidRDefault="00C34E4A" w:rsidP="00AB1FF1">
            <w:pPr>
              <w:tabs>
                <w:tab w:val="left" w:pos="2730"/>
              </w:tabs>
              <w:jc w:val="center"/>
              <w:rPr>
                <w:sz w:val="20"/>
                <w:szCs w:val="20"/>
                <w:lang w:val="en-US"/>
              </w:rPr>
            </w:pPr>
            <w:r w:rsidRPr="0029110D">
              <w:rPr>
                <w:sz w:val="20"/>
                <w:szCs w:val="20"/>
              </w:rPr>
              <w:t>246 (67</w:t>
            </w:r>
            <w:r w:rsidR="00BE0BE9" w:rsidRPr="0029110D">
              <w:rPr>
                <w:sz w:val="20"/>
                <w:szCs w:val="20"/>
              </w:rPr>
              <w:t>,</w:t>
            </w:r>
            <w:r w:rsidRPr="0029110D">
              <w:rPr>
                <w:sz w:val="20"/>
                <w:szCs w:val="20"/>
              </w:rPr>
              <w:t>4) [129</w:t>
            </w:r>
            <w:r w:rsidR="00BE0BE9" w:rsidRPr="0029110D">
              <w:rPr>
                <w:sz w:val="20"/>
                <w:szCs w:val="20"/>
              </w:rPr>
              <w:t>,</w:t>
            </w:r>
            <w:r w:rsidRPr="0029110D">
              <w:rPr>
                <w:sz w:val="20"/>
                <w:szCs w:val="20"/>
              </w:rPr>
              <w:t>5]</w:t>
            </w:r>
          </w:p>
        </w:tc>
        <w:tc>
          <w:tcPr>
            <w:tcW w:w="1508" w:type="dxa"/>
            <w:vAlign w:val="center"/>
          </w:tcPr>
          <w:p w14:paraId="14D22221" w14:textId="2C660429" w:rsidR="00C34E4A" w:rsidRPr="0029110D" w:rsidRDefault="00C34E4A" w:rsidP="00AB1FF1">
            <w:pPr>
              <w:tabs>
                <w:tab w:val="left" w:pos="2730"/>
              </w:tabs>
              <w:jc w:val="center"/>
              <w:rPr>
                <w:sz w:val="20"/>
                <w:szCs w:val="20"/>
                <w:lang w:val="en-US"/>
              </w:rPr>
            </w:pPr>
            <w:r w:rsidRPr="0029110D">
              <w:rPr>
                <w:sz w:val="20"/>
                <w:szCs w:val="20"/>
              </w:rPr>
              <w:t>399 (73</w:t>
            </w:r>
            <w:r w:rsidR="00BE0BE9" w:rsidRPr="0029110D">
              <w:rPr>
                <w:sz w:val="20"/>
                <w:szCs w:val="20"/>
              </w:rPr>
              <w:t>,</w:t>
            </w:r>
            <w:r w:rsidRPr="0029110D">
              <w:rPr>
                <w:sz w:val="20"/>
                <w:szCs w:val="20"/>
              </w:rPr>
              <w:t>9) [132</w:t>
            </w:r>
            <w:r w:rsidR="00BE0BE9" w:rsidRPr="0029110D">
              <w:rPr>
                <w:sz w:val="20"/>
                <w:szCs w:val="20"/>
              </w:rPr>
              <w:t>,</w:t>
            </w:r>
            <w:r w:rsidRPr="0029110D">
              <w:rPr>
                <w:sz w:val="20"/>
                <w:szCs w:val="20"/>
              </w:rPr>
              <w:t>7]</w:t>
            </w:r>
          </w:p>
        </w:tc>
        <w:tc>
          <w:tcPr>
            <w:tcW w:w="1683" w:type="dxa"/>
            <w:vAlign w:val="center"/>
          </w:tcPr>
          <w:p w14:paraId="5C73FE30" w14:textId="1526BF49" w:rsidR="00C34E4A" w:rsidRPr="0029110D" w:rsidRDefault="00C34E4A" w:rsidP="00AB1FF1">
            <w:pPr>
              <w:tabs>
                <w:tab w:val="left" w:pos="2730"/>
              </w:tabs>
              <w:jc w:val="center"/>
              <w:rPr>
                <w:sz w:val="20"/>
                <w:szCs w:val="20"/>
                <w:lang w:val="en-US"/>
              </w:rPr>
            </w:pPr>
            <w:r w:rsidRPr="0029110D">
              <w:rPr>
                <w:sz w:val="20"/>
                <w:szCs w:val="20"/>
              </w:rPr>
              <w:t>872 (70</w:t>
            </w:r>
            <w:r w:rsidR="00BE0BE9" w:rsidRPr="0029110D">
              <w:rPr>
                <w:sz w:val="20"/>
                <w:szCs w:val="20"/>
              </w:rPr>
              <w:t>,</w:t>
            </w:r>
            <w:r w:rsidRPr="0029110D">
              <w:rPr>
                <w:sz w:val="20"/>
                <w:szCs w:val="20"/>
              </w:rPr>
              <w:t>1) [118</w:t>
            </w:r>
            <w:r w:rsidR="00BE0BE9" w:rsidRPr="0029110D">
              <w:rPr>
                <w:sz w:val="20"/>
                <w:szCs w:val="20"/>
              </w:rPr>
              <w:t>,</w:t>
            </w:r>
            <w:r w:rsidRPr="0029110D">
              <w:rPr>
                <w:sz w:val="20"/>
                <w:szCs w:val="20"/>
              </w:rPr>
              <w:t>5]</w:t>
            </w:r>
          </w:p>
        </w:tc>
        <w:tc>
          <w:tcPr>
            <w:tcW w:w="1627" w:type="dxa"/>
            <w:vAlign w:val="center"/>
          </w:tcPr>
          <w:p w14:paraId="68EB6C19" w14:textId="2F916741" w:rsidR="00C34E4A" w:rsidRPr="0029110D" w:rsidRDefault="00C34E4A" w:rsidP="00AB1FF1">
            <w:pPr>
              <w:tabs>
                <w:tab w:val="left" w:pos="2730"/>
              </w:tabs>
              <w:jc w:val="center"/>
              <w:rPr>
                <w:sz w:val="20"/>
                <w:szCs w:val="20"/>
                <w:lang w:val="en-US"/>
              </w:rPr>
            </w:pPr>
            <w:r w:rsidRPr="0029110D">
              <w:rPr>
                <w:sz w:val="20"/>
                <w:szCs w:val="20"/>
              </w:rPr>
              <w:t>351 (62</w:t>
            </w:r>
            <w:r w:rsidR="00BE0BE9" w:rsidRPr="0029110D">
              <w:rPr>
                <w:sz w:val="20"/>
                <w:szCs w:val="20"/>
              </w:rPr>
              <w:t>,</w:t>
            </w:r>
            <w:r w:rsidRPr="0029110D">
              <w:rPr>
                <w:sz w:val="20"/>
                <w:szCs w:val="20"/>
              </w:rPr>
              <w:t>2) [119</w:t>
            </w:r>
            <w:r w:rsidR="00BE0BE9" w:rsidRPr="0029110D">
              <w:rPr>
                <w:sz w:val="20"/>
                <w:szCs w:val="20"/>
              </w:rPr>
              <w:t>,</w:t>
            </w:r>
            <w:r w:rsidRPr="0029110D">
              <w:rPr>
                <w:sz w:val="20"/>
                <w:szCs w:val="20"/>
              </w:rPr>
              <w:t>0]</w:t>
            </w:r>
          </w:p>
        </w:tc>
        <w:tc>
          <w:tcPr>
            <w:tcW w:w="1298" w:type="dxa"/>
            <w:vAlign w:val="center"/>
          </w:tcPr>
          <w:p w14:paraId="2A9EF42B" w14:textId="32DA9313" w:rsidR="00C34E4A" w:rsidRPr="0029110D" w:rsidRDefault="00C34E4A" w:rsidP="00AB1FF1">
            <w:pPr>
              <w:tabs>
                <w:tab w:val="left" w:pos="2730"/>
              </w:tabs>
              <w:jc w:val="center"/>
              <w:rPr>
                <w:sz w:val="20"/>
                <w:szCs w:val="20"/>
                <w:lang w:val="en-US"/>
              </w:rPr>
            </w:pPr>
            <w:r w:rsidRPr="0029110D">
              <w:rPr>
                <w:sz w:val="20"/>
                <w:szCs w:val="20"/>
              </w:rPr>
              <w:t>604 (63</w:t>
            </w:r>
            <w:r w:rsidR="00BE0BE9" w:rsidRPr="0029110D">
              <w:rPr>
                <w:sz w:val="20"/>
                <w:szCs w:val="20"/>
              </w:rPr>
              <w:t>,</w:t>
            </w:r>
            <w:r w:rsidRPr="0029110D">
              <w:rPr>
                <w:sz w:val="20"/>
                <w:szCs w:val="20"/>
              </w:rPr>
              <w:t>5) [115</w:t>
            </w:r>
            <w:r w:rsidR="00BE0BE9" w:rsidRPr="0029110D">
              <w:rPr>
                <w:sz w:val="20"/>
                <w:szCs w:val="20"/>
              </w:rPr>
              <w:t>,</w:t>
            </w:r>
            <w:r w:rsidRPr="0029110D">
              <w:rPr>
                <w:sz w:val="20"/>
                <w:szCs w:val="20"/>
              </w:rPr>
              <w:t>9]</w:t>
            </w:r>
          </w:p>
        </w:tc>
      </w:tr>
      <w:tr w:rsidR="00C34E4A" w:rsidRPr="0029110D" w14:paraId="5DF012C2" w14:textId="77777777" w:rsidTr="0029110D">
        <w:trPr>
          <w:trHeight w:val="20"/>
        </w:trPr>
        <w:tc>
          <w:tcPr>
            <w:tcW w:w="2339" w:type="dxa"/>
          </w:tcPr>
          <w:p w14:paraId="28827294" w14:textId="77777777" w:rsidR="00C34E4A" w:rsidRPr="0029110D" w:rsidRDefault="00C34E4A">
            <w:pPr>
              <w:tabs>
                <w:tab w:val="left" w:pos="2730"/>
              </w:tabs>
              <w:rPr>
                <w:sz w:val="20"/>
                <w:szCs w:val="20"/>
              </w:rPr>
            </w:pPr>
            <w:r w:rsidRPr="0029110D">
              <w:rPr>
                <w:sz w:val="20"/>
                <w:szCs w:val="20"/>
              </w:rPr>
              <w:t>Инфекции и инвазии</w:t>
            </w:r>
          </w:p>
        </w:tc>
        <w:tc>
          <w:tcPr>
            <w:tcW w:w="1744" w:type="dxa"/>
            <w:vAlign w:val="center"/>
          </w:tcPr>
          <w:p w14:paraId="2F7268C4" w14:textId="4BDEE699" w:rsidR="00C34E4A" w:rsidRPr="0029110D" w:rsidRDefault="00C34E4A" w:rsidP="00AB1FF1">
            <w:pPr>
              <w:tabs>
                <w:tab w:val="left" w:pos="2730"/>
              </w:tabs>
              <w:jc w:val="center"/>
              <w:rPr>
                <w:sz w:val="20"/>
                <w:szCs w:val="20"/>
              </w:rPr>
            </w:pPr>
            <w:r w:rsidRPr="0029110D">
              <w:rPr>
                <w:sz w:val="20"/>
                <w:szCs w:val="20"/>
              </w:rPr>
              <w:t>108 (29</w:t>
            </w:r>
            <w:r w:rsidR="00BE0BE9" w:rsidRPr="0029110D">
              <w:rPr>
                <w:sz w:val="20"/>
                <w:szCs w:val="20"/>
              </w:rPr>
              <w:t>,</w:t>
            </w:r>
            <w:r w:rsidRPr="0029110D">
              <w:rPr>
                <w:sz w:val="20"/>
                <w:szCs w:val="20"/>
              </w:rPr>
              <w:t>1) [55</w:t>
            </w:r>
            <w:r w:rsidR="00BE0BE9" w:rsidRPr="0029110D">
              <w:rPr>
                <w:sz w:val="20"/>
                <w:szCs w:val="20"/>
              </w:rPr>
              <w:t>,</w:t>
            </w:r>
            <w:r w:rsidRPr="0029110D">
              <w:rPr>
                <w:sz w:val="20"/>
                <w:szCs w:val="20"/>
              </w:rPr>
              <w:t>5]</w:t>
            </w:r>
          </w:p>
        </w:tc>
        <w:tc>
          <w:tcPr>
            <w:tcW w:w="1418" w:type="dxa"/>
            <w:vAlign w:val="center"/>
          </w:tcPr>
          <w:p w14:paraId="5329E83D" w14:textId="307D484C" w:rsidR="00C34E4A" w:rsidRPr="0029110D" w:rsidRDefault="00C34E4A" w:rsidP="00AB1FF1">
            <w:pPr>
              <w:tabs>
                <w:tab w:val="left" w:pos="2730"/>
              </w:tabs>
              <w:jc w:val="center"/>
              <w:rPr>
                <w:sz w:val="20"/>
                <w:szCs w:val="20"/>
              </w:rPr>
            </w:pPr>
            <w:r w:rsidRPr="0029110D">
              <w:rPr>
                <w:sz w:val="20"/>
                <w:szCs w:val="20"/>
              </w:rPr>
              <w:t>118 (32</w:t>
            </w:r>
            <w:r w:rsidR="00BE0BE9" w:rsidRPr="0029110D">
              <w:rPr>
                <w:sz w:val="20"/>
                <w:szCs w:val="20"/>
              </w:rPr>
              <w:t>,</w:t>
            </w:r>
            <w:r w:rsidRPr="0029110D">
              <w:rPr>
                <w:sz w:val="20"/>
                <w:szCs w:val="20"/>
              </w:rPr>
              <w:t>3) [62</w:t>
            </w:r>
            <w:r w:rsidR="00BE0BE9" w:rsidRPr="0029110D">
              <w:rPr>
                <w:sz w:val="20"/>
                <w:szCs w:val="20"/>
              </w:rPr>
              <w:t>,</w:t>
            </w:r>
            <w:r w:rsidRPr="0029110D">
              <w:rPr>
                <w:sz w:val="20"/>
                <w:szCs w:val="20"/>
              </w:rPr>
              <w:t>9]</w:t>
            </w:r>
          </w:p>
        </w:tc>
        <w:tc>
          <w:tcPr>
            <w:tcW w:w="1514" w:type="dxa"/>
            <w:vAlign w:val="center"/>
          </w:tcPr>
          <w:p w14:paraId="09BF5F7A" w14:textId="1EB9D7FE" w:rsidR="00C34E4A" w:rsidRPr="0029110D" w:rsidRDefault="00C34E4A" w:rsidP="00AB1FF1">
            <w:pPr>
              <w:tabs>
                <w:tab w:val="left" w:pos="2730"/>
              </w:tabs>
              <w:jc w:val="center"/>
              <w:rPr>
                <w:sz w:val="20"/>
                <w:szCs w:val="20"/>
              </w:rPr>
            </w:pPr>
            <w:r w:rsidRPr="0029110D">
              <w:rPr>
                <w:sz w:val="20"/>
                <w:szCs w:val="20"/>
              </w:rPr>
              <w:t>165 (30</w:t>
            </w:r>
            <w:r w:rsidR="00BE0BE9" w:rsidRPr="0029110D">
              <w:rPr>
                <w:sz w:val="20"/>
                <w:szCs w:val="20"/>
              </w:rPr>
              <w:t>,</w:t>
            </w:r>
            <w:r w:rsidRPr="0029110D">
              <w:rPr>
                <w:sz w:val="20"/>
                <w:szCs w:val="20"/>
              </w:rPr>
              <w:t>6) [57</w:t>
            </w:r>
            <w:r w:rsidR="00BE0BE9" w:rsidRPr="0029110D">
              <w:rPr>
                <w:sz w:val="20"/>
                <w:szCs w:val="20"/>
              </w:rPr>
              <w:t>,</w:t>
            </w:r>
            <w:r w:rsidRPr="0029110D">
              <w:rPr>
                <w:sz w:val="20"/>
                <w:szCs w:val="20"/>
              </w:rPr>
              <w:t>3]</w:t>
            </w:r>
          </w:p>
        </w:tc>
        <w:tc>
          <w:tcPr>
            <w:tcW w:w="1655" w:type="dxa"/>
            <w:vAlign w:val="center"/>
          </w:tcPr>
          <w:p w14:paraId="0DBE93B4" w14:textId="52E4589D" w:rsidR="00C34E4A" w:rsidRPr="0029110D" w:rsidRDefault="00C34E4A" w:rsidP="00AB1FF1">
            <w:pPr>
              <w:tabs>
                <w:tab w:val="left" w:pos="2730"/>
              </w:tabs>
              <w:jc w:val="center"/>
              <w:rPr>
                <w:sz w:val="20"/>
                <w:szCs w:val="20"/>
              </w:rPr>
            </w:pPr>
            <w:r w:rsidRPr="0029110D">
              <w:rPr>
                <w:sz w:val="20"/>
                <w:szCs w:val="20"/>
              </w:rPr>
              <w:t>150 (41</w:t>
            </w:r>
            <w:r w:rsidR="00BE0BE9" w:rsidRPr="0029110D">
              <w:rPr>
                <w:sz w:val="20"/>
                <w:szCs w:val="20"/>
              </w:rPr>
              <w:t>,</w:t>
            </w:r>
            <w:r w:rsidRPr="0029110D">
              <w:rPr>
                <w:sz w:val="20"/>
                <w:szCs w:val="20"/>
              </w:rPr>
              <w:t>1) [51</w:t>
            </w:r>
            <w:r w:rsidR="00BE0BE9" w:rsidRPr="0029110D">
              <w:rPr>
                <w:sz w:val="20"/>
                <w:szCs w:val="20"/>
              </w:rPr>
              <w:t>,</w:t>
            </w:r>
            <w:r w:rsidRPr="0029110D">
              <w:rPr>
                <w:sz w:val="20"/>
                <w:szCs w:val="20"/>
              </w:rPr>
              <w:t>6]</w:t>
            </w:r>
          </w:p>
        </w:tc>
        <w:tc>
          <w:tcPr>
            <w:tcW w:w="1508" w:type="dxa"/>
            <w:vAlign w:val="center"/>
          </w:tcPr>
          <w:p w14:paraId="633525B3" w14:textId="199BDEDA" w:rsidR="00C34E4A" w:rsidRPr="0029110D" w:rsidRDefault="00C34E4A" w:rsidP="00AB1FF1">
            <w:pPr>
              <w:tabs>
                <w:tab w:val="left" w:pos="2730"/>
              </w:tabs>
              <w:jc w:val="center"/>
              <w:rPr>
                <w:sz w:val="20"/>
                <w:szCs w:val="20"/>
              </w:rPr>
            </w:pPr>
            <w:r w:rsidRPr="0029110D">
              <w:rPr>
                <w:sz w:val="20"/>
                <w:szCs w:val="20"/>
              </w:rPr>
              <w:t>227 (42</w:t>
            </w:r>
            <w:r w:rsidR="00BE0BE9" w:rsidRPr="0029110D">
              <w:rPr>
                <w:sz w:val="20"/>
                <w:szCs w:val="20"/>
              </w:rPr>
              <w:t>,</w:t>
            </w:r>
            <w:r w:rsidRPr="0029110D">
              <w:rPr>
                <w:sz w:val="20"/>
                <w:szCs w:val="20"/>
              </w:rPr>
              <w:t>0) [44</w:t>
            </w:r>
            <w:r w:rsidR="00BE0BE9" w:rsidRPr="0029110D">
              <w:rPr>
                <w:sz w:val="20"/>
                <w:szCs w:val="20"/>
              </w:rPr>
              <w:t>,</w:t>
            </w:r>
            <w:r w:rsidRPr="0029110D">
              <w:rPr>
                <w:sz w:val="20"/>
                <w:szCs w:val="20"/>
              </w:rPr>
              <w:t>4]</w:t>
            </w:r>
          </w:p>
        </w:tc>
        <w:tc>
          <w:tcPr>
            <w:tcW w:w="1683" w:type="dxa"/>
            <w:vAlign w:val="center"/>
          </w:tcPr>
          <w:p w14:paraId="08F41E8B" w14:textId="4FEB323E" w:rsidR="00C34E4A" w:rsidRPr="0029110D" w:rsidRDefault="00C34E4A" w:rsidP="00AB1FF1">
            <w:pPr>
              <w:tabs>
                <w:tab w:val="left" w:pos="2730"/>
              </w:tabs>
              <w:jc w:val="center"/>
              <w:rPr>
                <w:sz w:val="20"/>
                <w:szCs w:val="20"/>
              </w:rPr>
            </w:pPr>
            <w:r w:rsidRPr="0029110D">
              <w:rPr>
                <w:sz w:val="20"/>
                <w:szCs w:val="20"/>
              </w:rPr>
              <w:t>509 (40</w:t>
            </w:r>
            <w:r w:rsidR="00BE0BE9" w:rsidRPr="0029110D">
              <w:rPr>
                <w:sz w:val="20"/>
                <w:szCs w:val="20"/>
              </w:rPr>
              <w:t>,</w:t>
            </w:r>
            <w:r w:rsidRPr="0029110D">
              <w:rPr>
                <w:sz w:val="20"/>
                <w:szCs w:val="20"/>
              </w:rPr>
              <w:t>9) [43</w:t>
            </w:r>
            <w:r w:rsidR="00BE0BE9" w:rsidRPr="0029110D">
              <w:rPr>
                <w:sz w:val="20"/>
                <w:szCs w:val="20"/>
              </w:rPr>
              <w:t>,</w:t>
            </w:r>
            <w:r w:rsidRPr="0029110D">
              <w:rPr>
                <w:sz w:val="20"/>
                <w:szCs w:val="20"/>
              </w:rPr>
              <w:t>3]</w:t>
            </w:r>
          </w:p>
        </w:tc>
        <w:tc>
          <w:tcPr>
            <w:tcW w:w="1627" w:type="dxa"/>
            <w:vAlign w:val="center"/>
          </w:tcPr>
          <w:p w14:paraId="18447E29" w14:textId="6827C072" w:rsidR="00C34E4A" w:rsidRPr="0029110D" w:rsidRDefault="00C34E4A" w:rsidP="00AB1FF1">
            <w:pPr>
              <w:tabs>
                <w:tab w:val="left" w:pos="2730"/>
              </w:tabs>
              <w:jc w:val="center"/>
              <w:rPr>
                <w:sz w:val="20"/>
                <w:szCs w:val="20"/>
              </w:rPr>
            </w:pPr>
            <w:r w:rsidRPr="0029110D">
              <w:rPr>
                <w:sz w:val="20"/>
                <w:szCs w:val="20"/>
              </w:rPr>
              <w:t>201 (35</w:t>
            </w:r>
            <w:r w:rsidR="00BE0BE9" w:rsidRPr="0029110D">
              <w:rPr>
                <w:sz w:val="20"/>
                <w:szCs w:val="20"/>
              </w:rPr>
              <w:t>,</w:t>
            </w:r>
            <w:r w:rsidRPr="0029110D">
              <w:rPr>
                <w:sz w:val="20"/>
                <w:szCs w:val="20"/>
              </w:rPr>
              <w:t>6) [45</w:t>
            </w:r>
            <w:r w:rsidR="00BE0BE9" w:rsidRPr="0029110D">
              <w:rPr>
                <w:sz w:val="20"/>
                <w:szCs w:val="20"/>
              </w:rPr>
              <w:t>,</w:t>
            </w:r>
            <w:r w:rsidRPr="0029110D">
              <w:rPr>
                <w:sz w:val="20"/>
                <w:szCs w:val="20"/>
              </w:rPr>
              <w:t>7]</w:t>
            </w:r>
          </w:p>
        </w:tc>
        <w:tc>
          <w:tcPr>
            <w:tcW w:w="1298" w:type="dxa"/>
            <w:vAlign w:val="center"/>
          </w:tcPr>
          <w:p w14:paraId="16A89F33" w14:textId="136F7744" w:rsidR="00C34E4A" w:rsidRPr="0029110D" w:rsidRDefault="00C34E4A" w:rsidP="00AB1FF1">
            <w:pPr>
              <w:tabs>
                <w:tab w:val="left" w:pos="2730"/>
              </w:tabs>
              <w:jc w:val="center"/>
              <w:rPr>
                <w:sz w:val="20"/>
                <w:szCs w:val="20"/>
              </w:rPr>
            </w:pPr>
            <w:r w:rsidRPr="0029110D">
              <w:rPr>
                <w:sz w:val="20"/>
                <w:szCs w:val="20"/>
              </w:rPr>
              <w:t>334 (35</w:t>
            </w:r>
            <w:r w:rsidR="00BE0BE9" w:rsidRPr="0029110D">
              <w:rPr>
                <w:sz w:val="20"/>
                <w:szCs w:val="20"/>
              </w:rPr>
              <w:t>,</w:t>
            </w:r>
            <w:r w:rsidRPr="0029110D">
              <w:rPr>
                <w:sz w:val="20"/>
                <w:szCs w:val="20"/>
              </w:rPr>
              <w:t>1) [41</w:t>
            </w:r>
            <w:r w:rsidR="00BE0BE9" w:rsidRPr="0029110D">
              <w:rPr>
                <w:sz w:val="20"/>
                <w:szCs w:val="20"/>
              </w:rPr>
              <w:t>,</w:t>
            </w:r>
            <w:r w:rsidRPr="0029110D">
              <w:rPr>
                <w:sz w:val="20"/>
                <w:szCs w:val="20"/>
              </w:rPr>
              <w:t>4]</w:t>
            </w:r>
          </w:p>
        </w:tc>
      </w:tr>
      <w:tr w:rsidR="00C34E4A" w:rsidRPr="0029110D" w14:paraId="35481292" w14:textId="77777777" w:rsidTr="0029110D">
        <w:trPr>
          <w:trHeight w:val="20"/>
        </w:trPr>
        <w:tc>
          <w:tcPr>
            <w:tcW w:w="2339" w:type="dxa"/>
          </w:tcPr>
          <w:p w14:paraId="5E0C9542" w14:textId="77777777" w:rsidR="00C34E4A" w:rsidRPr="0029110D" w:rsidRDefault="00C34E4A">
            <w:pPr>
              <w:tabs>
                <w:tab w:val="left" w:pos="2730"/>
              </w:tabs>
              <w:rPr>
                <w:sz w:val="20"/>
                <w:szCs w:val="20"/>
              </w:rPr>
            </w:pPr>
            <w:r w:rsidRPr="0029110D">
              <w:rPr>
                <w:sz w:val="20"/>
                <w:szCs w:val="20"/>
              </w:rPr>
              <w:t>Нарушения со стороны кожи и подкожных тканей</w:t>
            </w:r>
          </w:p>
        </w:tc>
        <w:tc>
          <w:tcPr>
            <w:tcW w:w="1744" w:type="dxa"/>
            <w:vAlign w:val="center"/>
          </w:tcPr>
          <w:p w14:paraId="23C6FDB0" w14:textId="076A0ECD" w:rsidR="00C34E4A" w:rsidRPr="0029110D" w:rsidRDefault="00C34E4A" w:rsidP="00AB1FF1">
            <w:pPr>
              <w:tabs>
                <w:tab w:val="left" w:pos="2730"/>
              </w:tabs>
              <w:jc w:val="center"/>
              <w:rPr>
                <w:sz w:val="20"/>
                <w:szCs w:val="20"/>
              </w:rPr>
            </w:pPr>
            <w:r w:rsidRPr="0029110D">
              <w:rPr>
                <w:sz w:val="20"/>
                <w:szCs w:val="20"/>
              </w:rPr>
              <w:t>44 (11</w:t>
            </w:r>
            <w:r w:rsidR="00BE0BE9" w:rsidRPr="0029110D">
              <w:rPr>
                <w:sz w:val="20"/>
                <w:szCs w:val="20"/>
              </w:rPr>
              <w:t>,</w:t>
            </w:r>
            <w:r w:rsidRPr="0029110D">
              <w:rPr>
                <w:sz w:val="20"/>
                <w:szCs w:val="20"/>
              </w:rPr>
              <w:t>9) [19</w:t>
            </w:r>
            <w:r w:rsidR="00BE0BE9" w:rsidRPr="0029110D">
              <w:rPr>
                <w:sz w:val="20"/>
                <w:szCs w:val="20"/>
              </w:rPr>
              <w:t>,</w:t>
            </w:r>
            <w:r w:rsidRPr="0029110D">
              <w:rPr>
                <w:sz w:val="20"/>
                <w:szCs w:val="20"/>
              </w:rPr>
              <w:t>5]</w:t>
            </w:r>
          </w:p>
        </w:tc>
        <w:tc>
          <w:tcPr>
            <w:tcW w:w="1418" w:type="dxa"/>
            <w:vAlign w:val="center"/>
          </w:tcPr>
          <w:p w14:paraId="23FF1451" w14:textId="4AF13F7C" w:rsidR="00C34E4A" w:rsidRPr="0029110D" w:rsidRDefault="00C34E4A" w:rsidP="00AB1FF1">
            <w:pPr>
              <w:tabs>
                <w:tab w:val="left" w:pos="2730"/>
              </w:tabs>
              <w:jc w:val="center"/>
              <w:rPr>
                <w:sz w:val="20"/>
                <w:szCs w:val="20"/>
              </w:rPr>
            </w:pPr>
            <w:r w:rsidRPr="0029110D">
              <w:rPr>
                <w:sz w:val="20"/>
                <w:szCs w:val="20"/>
              </w:rPr>
              <w:t>45 (12</w:t>
            </w:r>
            <w:r w:rsidR="00BE0BE9" w:rsidRPr="0029110D">
              <w:rPr>
                <w:sz w:val="20"/>
                <w:szCs w:val="20"/>
              </w:rPr>
              <w:t>,</w:t>
            </w:r>
            <w:r w:rsidRPr="0029110D">
              <w:rPr>
                <w:sz w:val="20"/>
                <w:szCs w:val="20"/>
              </w:rPr>
              <w:t>3) [20</w:t>
            </w:r>
            <w:r w:rsidR="00BE0BE9" w:rsidRPr="0029110D">
              <w:rPr>
                <w:sz w:val="20"/>
                <w:szCs w:val="20"/>
              </w:rPr>
              <w:t>,</w:t>
            </w:r>
            <w:r w:rsidRPr="0029110D">
              <w:rPr>
                <w:sz w:val="20"/>
                <w:szCs w:val="20"/>
              </w:rPr>
              <w:t>1]</w:t>
            </w:r>
          </w:p>
        </w:tc>
        <w:tc>
          <w:tcPr>
            <w:tcW w:w="1514" w:type="dxa"/>
            <w:vAlign w:val="center"/>
          </w:tcPr>
          <w:p w14:paraId="0BBB36EE" w14:textId="2F0975FE" w:rsidR="00C34E4A" w:rsidRPr="0029110D" w:rsidRDefault="00C34E4A" w:rsidP="00AB1FF1">
            <w:pPr>
              <w:tabs>
                <w:tab w:val="left" w:pos="2730"/>
              </w:tabs>
              <w:jc w:val="center"/>
              <w:rPr>
                <w:sz w:val="20"/>
                <w:szCs w:val="20"/>
              </w:rPr>
            </w:pPr>
            <w:r w:rsidRPr="0029110D">
              <w:rPr>
                <w:sz w:val="20"/>
                <w:szCs w:val="20"/>
              </w:rPr>
              <w:t>77 (14</w:t>
            </w:r>
            <w:r w:rsidR="00BE0BE9" w:rsidRPr="0029110D">
              <w:rPr>
                <w:sz w:val="20"/>
                <w:szCs w:val="20"/>
              </w:rPr>
              <w:t>,</w:t>
            </w:r>
            <w:r w:rsidRPr="0029110D">
              <w:rPr>
                <w:sz w:val="20"/>
                <w:szCs w:val="20"/>
              </w:rPr>
              <w:t>3) [23</w:t>
            </w:r>
            <w:r w:rsidR="00BE0BE9" w:rsidRPr="0029110D">
              <w:rPr>
                <w:sz w:val="20"/>
                <w:szCs w:val="20"/>
              </w:rPr>
              <w:t>,</w:t>
            </w:r>
            <w:r w:rsidRPr="0029110D">
              <w:rPr>
                <w:sz w:val="20"/>
                <w:szCs w:val="20"/>
              </w:rPr>
              <w:t>1]</w:t>
            </w:r>
          </w:p>
        </w:tc>
        <w:tc>
          <w:tcPr>
            <w:tcW w:w="1655" w:type="dxa"/>
            <w:vAlign w:val="center"/>
          </w:tcPr>
          <w:p w14:paraId="2836F139" w14:textId="637B647E" w:rsidR="00C34E4A" w:rsidRPr="0029110D" w:rsidRDefault="00C34E4A" w:rsidP="00AB1FF1">
            <w:pPr>
              <w:tabs>
                <w:tab w:val="left" w:pos="2730"/>
              </w:tabs>
              <w:jc w:val="center"/>
              <w:rPr>
                <w:sz w:val="20"/>
                <w:szCs w:val="20"/>
              </w:rPr>
            </w:pPr>
            <w:r w:rsidRPr="0029110D">
              <w:rPr>
                <w:sz w:val="20"/>
                <w:szCs w:val="20"/>
              </w:rPr>
              <w:t>61 (16</w:t>
            </w:r>
            <w:r w:rsidR="00BE0BE9" w:rsidRPr="0029110D">
              <w:rPr>
                <w:sz w:val="20"/>
                <w:szCs w:val="20"/>
              </w:rPr>
              <w:t>,</w:t>
            </w:r>
            <w:r w:rsidRPr="0029110D">
              <w:rPr>
                <w:sz w:val="20"/>
                <w:szCs w:val="20"/>
              </w:rPr>
              <w:t>7) [16</w:t>
            </w:r>
            <w:r w:rsidR="00BE0BE9" w:rsidRPr="0029110D">
              <w:rPr>
                <w:sz w:val="20"/>
                <w:szCs w:val="20"/>
              </w:rPr>
              <w:t>,</w:t>
            </w:r>
            <w:r w:rsidRPr="0029110D">
              <w:rPr>
                <w:sz w:val="20"/>
                <w:szCs w:val="20"/>
              </w:rPr>
              <w:t>4]</w:t>
            </w:r>
          </w:p>
        </w:tc>
        <w:tc>
          <w:tcPr>
            <w:tcW w:w="1508" w:type="dxa"/>
            <w:vAlign w:val="center"/>
          </w:tcPr>
          <w:p w14:paraId="5ED0EA5A" w14:textId="3857FC53" w:rsidR="00C34E4A" w:rsidRPr="0029110D" w:rsidRDefault="00C34E4A" w:rsidP="00AB1FF1">
            <w:pPr>
              <w:tabs>
                <w:tab w:val="left" w:pos="2730"/>
              </w:tabs>
              <w:jc w:val="center"/>
              <w:rPr>
                <w:sz w:val="20"/>
                <w:szCs w:val="20"/>
              </w:rPr>
            </w:pPr>
            <w:r w:rsidRPr="0029110D">
              <w:rPr>
                <w:sz w:val="20"/>
                <w:szCs w:val="20"/>
              </w:rPr>
              <w:t>122 (22</w:t>
            </w:r>
            <w:r w:rsidR="00BE0BE9" w:rsidRPr="0029110D">
              <w:rPr>
                <w:sz w:val="20"/>
                <w:szCs w:val="20"/>
              </w:rPr>
              <w:t>,</w:t>
            </w:r>
            <w:r w:rsidRPr="0029110D">
              <w:rPr>
                <w:sz w:val="20"/>
                <w:szCs w:val="20"/>
              </w:rPr>
              <w:t>6) [19</w:t>
            </w:r>
            <w:r w:rsidR="00BE0BE9" w:rsidRPr="0029110D">
              <w:rPr>
                <w:sz w:val="20"/>
                <w:szCs w:val="20"/>
              </w:rPr>
              <w:t>,</w:t>
            </w:r>
            <w:r w:rsidRPr="0029110D">
              <w:rPr>
                <w:sz w:val="20"/>
                <w:szCs w:val="20"/>
              </w:rPr>
              <w:t>1]</w:t>
            </w:r>
          </w:p>
        </w:tc>
        <w:tc>
          <w:tcPr>
            <w:tcW w:w="1683" w:type="dxa"/>
            <w:vAlign w:val="center"/>
          </w:tcPr>
          <w:p w14:paraId="0FBB65F3" w14:textId="5C669981" w:rsidR="00C34E4A" w:rsidRPr="0029110D" w:rsidRDefault="00C34E4A" w:rsidP="00AB1FF1">
            <w:pPr>
              <w:tabs>
                <w:tab w:val="left" w:pos="2730"/>
              </w:tabs>
              <w:jc w:val="center"/>
              <w:rPr>
                <w:sz w:val="20"/>
                <w:szCs w:val="20"/>
              </w:rPr>
            </w:pPr>
            <w:r w:rsidRPr="0029110D">
              <w:rPr>
                <w:sz w:val="20"/>
                <w:szCs w:val="20"/>
              </w:rPr>
              <w:t>241 (19</w:t>
            </w:r>
            <w:r w:rsidR="00BE0BE9" w:rsidRPr="0029110D">
              <w:rPr>
                <w:sz w:val="20"/>
                <w:szCs w:val="20"/>
              </w:rPr>
              <w:t>,</w:t>
            </w:r>
            <w:r w:rsidRPr="0029110D">
              <w:rPr>
                <w:sz w:val="20"/>
                <w:szCs w:val="20"/>
              </w:rPr>
              <w:t>4) [16</w:t>
            </w:r>
            <w:r w:rsidR="00BE0BE9" w:rsidRPr="0029110D">
              <w:rPr>
                <w:sz w:val="20"/>
                <w:szCs w:val="20"/>
              </w:rPr>
              <w:t>,</w:t>
            </w:r>
            <w:r w:rsidRPr="0029110D">
              <w:rPr>
                <w:sz w:val="20"/>
                <w:szCs w:val="20"/>
              </w:rPr>
              <w:t>3]</w:t>
            </w:r>
          </w:p>
        </w:tc>
        <w:tc>
          <w:tcPr>
            <w:tcW w:w="1627" w:type="dxa"/>
            <w:vAlign w:val="center"/>
          </w:tcPr>
          <w:p w14:paraId="2342DA4B" w14:textId="584B0677" w:rsidR="00C34E4A" w:rsidRPr="0029110D" w:rsidRDefault="00C34E4A" w:rsidP="00AB1FF1">
            <w:pPr>
              <w:tabs>
                <w:tab w:val="left" w:pos="2730"/>
              </w:tabs>
              <w:jc w:val="center"/>
              <w:rPr>
                <w:sz w:val="20"/>
                <w:szCs w:val="20"/>
              </w:rPr>
            </w:pPr>
            <w:r w:rsidRPr="0029110D">
              <w:rPr>
                <w:sz w:val="20"/>
                <w:szCs w:val="20"/>
              </w:rPr>
              <w:t>84 (14</w:t>
            </w:r>
            <w:r w:rsidR="00BE0BE9" w:rsidRPr="0029110D">
              <w:rPr>
                <w:sz w:val="20"/>
                <w:szCs w:val="20"/>
              </w:rPr>
              <w:t>,</w:t>
            </w:r>
            <w:r w:rsidRPr="0029110D">
              <w:rPr>
                <w:sz w:val="20"/>
                <w:szCs w:val="20"/>
              </w:rPr>
              <w:t>9) [15</w:t>
            </w:r>
            <w:r w:rsidR="00BE0BE9" w:rsidRPr="0029110D">
              <w:rPr>
                <w:sz w:val="20"/>
                <w:szCs w:val="20"/>
              </w:rPr>
              <w:t>,</w:t>
            </w:r>
            <w:r w:rsidRPr="0029110D">
              <w:rPr>
                <w:sz w:val="20"/>
                <w:szCs w:val="20"/>
              </w:rPr>
              <w:t>5]</w:t>
            </w:r>
          </w:p>
        </w:tc>
        <w:tc>
          <w:tcPr>
            <w:tcW w:w="1298" w:type="dxa"/>
            <w:vAlign w:val="center"/>
          </w:tcPr>
          <w:p w14:paraId="56BD3FDE" w14:textId="67CB32DE" w:rsidR="00C34E4A" w:rsidRPr="0029110D" w:rsidRDefault="00C34E4A" w:rsidP="00AB1FF1">
            <w:pPr>
              <w:tabs>
                <w:tab w:val="left" w:pos="2730"/>
              </w:tabs>
              <w:jc w:val="center"/>
              <w:rPr>
                <w:sz w:val="20"/>
                <w:szCs w:val="20"/>
              </w:rPr>
            </w:pPr>
            <w:r w:rsidRPr="0029110D">
              <w:rPr>
                <w:sz w:val="20"/>
                <w:szCs w:val="20"/>
              </w:rPr>
              <w:t>162 (17</w:t>
            </w:r>
            <w:r w:rsidR="00BE0BE9" w:rsidRPr="0029110D">
              <w:rPr>
                <w:sz w:val="20"/>
                <w:szCs w:val="20"/>
              </w:rPr>
              <w:t>,</w:t>
            </w:r>
            <w:r w:rsidRPr="0029110D">
              <w:rPr>
                <w:sz w:val="20"/>
                <w:szCs w:val="20"/>
              </w:rPr>
              <w:t>0) [16</w:t>
            </w:r>
            <w:r w:rsidR="00BE0BE9" w:rsidRPr="0029110D">
              <w:rPr>
                <w:sz w:val="20"/>
                <w:szCs w:val="20"/>
              </w:rPr>
              <w:t>,</w:t>
            </w:r>
            <w:r w:rsidRPr="0029110D">
              <w:rPr>
                <w:sz w:val="20"/>
                <w:szCs w:val="20"/>
              </w:rPr>
              <w:t>6]</w:t>
            </w:r>
          </w:p>
        </w:tc>
      </w:tr>
      <w:tr w:rsidR="00C34E4A" w:rsidRPr="0029110D" w14:paraId="3788D382" w14:textId="77777777" w:rsidTr="0029110D">
        <w:trPr>
          <w:trHeight w:val="20"/>
        </w:trPr>
        <w:tc>
          <w:tcPr>
            <w:tcW w:w="2339" w:type="dxa"/>
          </w:tcPr>
          <w:p w14:paraId="28FD4C99" w14:textId="74F32627" w:rsidR="00C34E4A" w:rsidRPr="0029110D" w:rsidRDefault="00714857">
            <w:pPr>
              <w:tabs>
                <w:tab w:val="left" w:pos="2730"/>
              </w:tabs>
              <w:rPr>
                <w:sz w:val="20"/>
                <w:szCs w:val="20"/>
              </w:rPr>
            </w:pPr>
            <w:r w:rsidRPr="0029110D">
              <w:rPr>
                <w:sz w:val="20"/>
                <w:szCs w:val="20"/>
              </w:rPr>
              <w:t>Лабораторные и инструментальные данные</w:t>
            </w:r>
          </w:p>
        </w:tc>
        <w:tc>
          <w:tcPr>
            <w:tcW w:w="1744" w:type="dxa"/>
            <w:vAlign w:val="center"/>
          </w:tcPr>
          <w:p w14:paraId="18705018" w14:textId="35300E60" w:rsidR="00C34E4A" w:rsidRPr="0029110D" w:rsidRDefault="00C34E4A" w:rsidP="00AB1FF1">
            <w:pPr>
              <w:tabs>
                <w:tab w:val="left" w:pos="2730"/>
              </w:tabs>
              <w:jc w:val="center"/>
              <w:rPr>
                <w:sz w:val="20"/>
                <w:szCs w:val="20"/>
              </w:rPr>
            </w:pPr>
            <w:r w:rsidRPr="0029110D">
              <w:rPr>
                <w:sz w:val="20"/>
                <w:szCs w:val="20"/>
              </w:rPr>
              <w:t>19 (5</w:t>
            </w:r>
            <w:r w:rsidR="00BE0BE9" w:rsidRPr="0029110D">
              <w:rPr>
                <w:sz w:val="20"/>
                <w:szCs w:val="20"/>
              </w:rPr>
              <w:t>,</w:t>
            </w:r>
            <w:r w:rsidRPr="0029110D">
              <w:rPr>
                <w:sz w:val="20"/>
                <w:szCs w:val="20"/>
              </w:rPr>
              <w:t>1) [7</w:t>
            </w:r>
            <w:r w:rsidR="00BE0BE9" w:rsidRPr="0029110D">
              <w:rPr>
                <w:sz w:val="20"/>
                <w:szCs w:val="20"/>
              </w:rPr>
              <w:t>,</w:t>
            </w:r>
            <w:r w:rsidRPr="0029110D">
              <w:rPr>
                <w:sz w:val="20"/>
                <w:szCs w:val="20"/>
              </w:rPr>
              <w:t>9]</w:t>
            </w:r>
          </w:p>
        </w:tc>
        <w:tc>
          <w:tcPr>
            <w:tcW w:w="1418" w:type="dxa"/>
            <w:vAlign w:val="center"/>
          </w:tcPr>
          <w:p w14:paraId="27BD5946" w14:textId="0AA46631" w:rsidR="00C34E4A" w:rsidRPr="0029110D" w:rsidRDefault="00C34E4A" w:rsidP="00AB1FF1">
            <w:pPr>
              <w:tabs>
                <w:tab w:val="left" w:pos="2730"/>
              </w:tabs>
              <w:jc w:val="center"/>
              <w:rPr>
                <w:sz w:val="20"/>
                <w:szCs w:val="20"/>
              </w:rPr>
            </w:pPr>
            <w:r w:rsidRPr="0029110D">
              <w:rPr>
                <w:sz w:val="20"/>
                <w:szCs w:val="20"/>
              </w:rPr>
              <w:t>26 (7</w:t>
            </w:r>
            <w:r w:rsidR="00BE0BE9" w:rsidRPr="0029110D">
              <w:rPr>
                <w:sz w:val="20"/>
                <w:szCs w:val="20"/>
              </w:rPr>
              <w:t>,</w:t>
            </w:r>
            <w:r w:rsidRPr="0029110D">
              <w:rPr>
                <w:sz w:val="20"/>
                <w:szCs w:val="20"/>
              </w:rPr>
              <w:t>1) [11</w:t>
            </w:r>
            <w:r w:rsidR="00BE0BE9" w:rsidRPr="0029110D">
              <w:rPr>
                <w:sz w:val="20"/>
                <w:szCs w:val="20"/>
              </w:rPr>
              <w:t>,</w:t>
            </w:r>
            <w:r w:rsidRPr="0029110D">
              <w:rPr>
                <w:sz w:val="20"/>
                <w:szCs w:val="20"/>
              </w:rPr>
              <w:t>2]</w:t>
            </w:r>
          </w:p>
        </w:tc>
        <w:tc>
          <w:tcPr>
            <w:tcW w:w="1514" w:type="dxa"/>
            <w:vAlign w:val="center"/>
          </w:tcPr>
          <w:p w14:paraId="2616A0E2" w14:textId="59763BB8" w:rsidR="00C34E4A" w:rsidRPr="0029110D" w:rsidRDefault="00C34E4A" w:rsidP="00AB1FF1">
            <w:pPr>
              <w:tabs>
                <w:tab w:val="left" w:pos="2730"/>
              </w:tabs>
              <w:jc w:val="center"/>
              <w:rPr>
                <w:sz w:val="20"/>
                <w:szCs w:val="20"/>
              </w:rPr>
            </w:pPr>
            <w:r w:rsidRPr="0029110D">
              <w:rPr>
                <w:sz w:val="20"/>
                <w:szCs w:val="20"/>
              </w:rPr>
              <w:t>65 (12</w:t>
            </w:r>
            <w:r w:rsidR="00BE0BE9" w:rsidRPr="0029110D">
              <w:rPr>
                <w:sz w:val="20"/>
                <w:szCs w:val="20"/>
              </w:rPr>
              <w:t>,</w:t>
            </w:r>
            <w:r w:rsidRPr="0029110D">
              <w:rPr>
                <w:sz w:val="20"/>
                <w:szCs w:val="20"/>
              </w:rPr>
              <w:t>0) [18</w:t>
            </w:r>
            <w:r w:rsidR="00BE0BE9" w:rsidRPr="0029110D">
              <w:rPr>
                <w:sz w:val="20"/>
                <w:szCs w:val="20"/>
              </w:rPr>
              <w:t>,</w:t>
            </w:r>
            <w:r w:rsidRPr="0029110D">
              <w:rPr>
                <w:sz w:val="20"/>
                <w:szCs w:val="20"/>
              </w:rPr>
              <w:t>9]</w:t>
            </w:r>
          </w:p>
        </w:tc>
        <w:tc>
          <w:tcPr>
            <w:tcW w:w="1655" w:type="dxa"/>
            <w:vAlign w:val="center"/>
          </w:tcPr>
          <w:p w14:paraId="4D26B865" w14:textId="694239EA" w:rsidR="00C34E4A" w:rsidRPr="0029110D" w:rsidRDefault="00C34E4A" w:rsidP="00AB1FF1">
            <w:pPr>
              <w:tabs>
                <w:tab w:val="left" w:pos="2730"/>
              </w:tabs>
              <w:jc w:val="center"/>
              <w:rPr>
                <w:sz w:val="20"/>
                <w:szCs w:val="20"/>
              </w:rPr>
            </w:pPr>
            <w:r w:rsidRPr="0029110D">
              <w:rPr>
                <w:sz w:val="20"/>
                <w:szCs w:val="20"/>
              </w:rPr>
              <w:t>33 (9</w:t>
            </w:r>
            <w:r w:rsidR="00BE0BE9" w:rsidRPr="0029110D">
              <w:rPr>
                <w:sz w:val="20"/>
                <w:szCs w:val="20"/>
              </w:rPr>
              <w:t>,</w:t>
            </w:r>
            <w:r w:rsidRPr="0029110D">
              <w:rPr>
                <w:sz w:val="20"/>
                <w:szCs w:val="20"/>
              </w:rPr>
              <w:t>0) [8</w:t>
            </w:r>
            <w:r w:rsidR="00BE0BE9" w:rsidRPr="0029110D">
              <w:rPr>
                <w:sz w:val="20"/>
                <w:szCs w:val="20"/>
              </w:rPr>
              <w:t>,</w:t>
            </w:r>
            <w:r w:rsidRPr="0029110D">
              <w:rPr>
                <w:sz w:val="20"/>
                <w:szCs w:val="20"/>
              </w:rPr>
              <w:t>3]</w:t>
            </w:r>
          </w:p>
        </w:tc>
        <w:tc>
          <w:tcPr>
            <w:tcW w:w="1508" w:type="dxa"/>
            <w:vAlign w:val="center"/>
          </w:tcPr>
          <w:p w14:paraId="617CE0AB" w14:textId="77888ED7" w:rsidR="00C34E4A" w:rsidRPr="0029110D" w:rsidRDefault="00C34E4A" w:rsidP="00AB1FF1">
            <w:pPr>
              <w:tabs>
                <w:tab w:val="left" w:pos="2730"/>
              </w:tabs>
              <w:jc w:val="center"/>
              <w:rPr>
                <w:sz w:val="20"/>
                <w:szCs w:val="20"/>
              </w:rPr>
            </w:pPr>
            <w:r w:rsidRPr="0029110D">
              <w:rPr>
                <w:sz w:val="20"/>
                <w:szCs w:val="20"/>
              </w:rPr>
              <w:t>81 (15</w:t>
            </w:r>
            <w:r w:rsidR="00BE0BE9" w:rsidRPr="0029110D">
              <w:rPr>
                <w:sz w:val="20"/>
                <w:szCs w:val="20"/>
              </w:rPr>
              <w:t>,</w:t>
            </w:r>
            <w:r w:rsidRPr="0029110D">
              <w:rPr>
                <w:sz w:val="20"/>
                <w:szCs w:val="20"/>
              </w:rPr>
              <w:t>0) [12</w:t>
            </w:r>
            <w:r w:rsidR="00BE0BE9" w:rsidRPr="0029110D">
              <w:rPr>
                <w:sz w:val="20"/>
                <w:szCs w:val="20"/>
              </w:rPr>
              <w:t>,</w:t>
            </w:r>
            <w:r w:rsidRPr="0029110D">
              <w:rPr>
                <w:sz w:val="20"/>
                <w:szCs w:val="20"/>
              </w:rPr>
              <w:t>1]</w:t>
            </w:r>
          </w:p>
        </w:tc>
        <w:tc>
          <w:tcPr>
            <w:tcW w:w="1683" w:type="dxa"/>
            <w:vAlign w:val="center"/>
          </w:tcPr>
          <w:p w14:paraId="0EC3E221" w14:textId="5878E356" w:rsidR="00C34E4A" w:rsidRPr="0029110D" w:rsidRDefault="00C34E4A" w:rsidP="00AB1FF1">
            <w:pPr>
              <w:tabs>
                <w:tab w:val="left" w:pos="2730"/>
              </w:tabs>
              <w:jc w:val="center"/>
              <w:rPr>
                <w:sz w:val="20"/>
                <w:szCs w:val="20"/>
              </w:rPr>
            </w:pPr>
            <w:r w:rsidRPr="0029110D">
              <w:rPr>
                <w:sz w:val="20"/>
                <w:szCs w:val="20"/>
              </w:rPr>
              <w:t>155 (12</w:t>
            </w:r>
            <w:r w:rsidR="00BE0BE9" w:rsidRPr="0029110D">
              <w:rPr>
                <w:sz w:val="20"/>
                <w:szCs w:val="20"/>
              </w:rPr>
              <w:t>,</w:t>
            </w:r>
            <w:r w:rsidRPr="0029110D">
              <w:rPr>
                <w:sz w:val="20"/>
                <w:szCs w:val="20"/>
              </w:rPr>
              <w:t>5) [9</w:t>
            </w:r>
            <w:r w:rsidR="00BE0BE9" w:rsidRPr="0029110D">
              <w:rPr>
                <w:sz w:val="20"/>
                <w:szCs w:val="20"/>
              </w:rPr>
              <w:t>,</w:t>
            </w:r>
            <w:r w:rsidRPr="0029110D">
              <w:rPr>
                <w:sz w:val="20"/>
                <w:szCs w:val="20"/>
              </w:rPr>
              <w:t>9]</w:t>
            </w:r>
          </w:p>
        </w:tc>
        <w:tc>
          <w:tcPr>
            <w:tcW w:w="1627" w:type="dxa"/>
            <w:vAlign w:val="center"/>
          </w:tcPr>
          <w:p w14:paraId="0BC6D5F2" w14:textId="15755FF5" w:rsidR="00C34E4A" w:rsidRPr="0029110D" w:rsidRDefault="00C34E4A" w:rsidP="00AB1FF1">
            <w:pPr>
              <w:tabs>
                <w:tab w:val="left" w:pos="2730"/>
              </w:tabs>
              <w:jc w:val="center"/>
              <w:rPr>
                <w:sz w:val="20"/>
                <w:szCs w:val="20"/>
              </w:rPr>
            </w:pPr>
            <w:r w:rsidRPr="0029110D">
              <w:rPr>
                <w:sz w:val="20"/>
                <w:szCs w:val="20"/>
              </w:rPr>
              <w:t>48 (8</w:t>
            </w:r>
            <w:r w:rsidR="00BE0BE9" w:rsidRPr="0029110D">
              <w:rPr>
                <w:sz w:val="20"/>
                <w:szCs w:val="20"/>
              </w:rPr>
              <w:t>,</w:t>
            </w:r>
            <w:r w:rsidRPr="0029110D">
              <w:rPr>
                <w:sz w:val="20"/>
                <w:szCs w:val="20"/>
              </w:rPr>
              <w:t>5) [8</w:t>
            </w:r>
            <w:r w:rsidR="00BE0BE9" w:rsidRPr="0029110D">
              <w:rPr>
                <w:sz w:val="20"/>
                <w:szCs w:val="20"/>
              </w:rPr>
              <w:t>,</w:t>
            </w:r>
            <w:r w:rsidRPr="0029110D">
              <w:rPr>
                <w:sz w:val="20"/>
                <w:szCs w:val="20"/>
              </w:rPr>
              <w:t>4]</w:t>
            </w:r>
          </w:p>
        </w:tc>
        <w:tc>
          <w:tcPr>
            <w:tcW w:w="1298" w:type="dxa"/>
            <w:vAlign w:val="center"/>
          </w:tcPr>
          <w:p w14:paraId="660A631A" w14:textId="3D84FFFB" w:rsidR="00C34E4A" w:rsidRPr="0029110D" w:rsidRDefault="00C34E4A" w:rsidP="00AB1FF1">
            <w:pPr>
              <w:tabs>
                <w:tab w:val="left" w:pos="2730"/>
              </w:tabs>
              <w:jc w:val="center"/>
              <w:rPr>
                <w:sz w:val="20"/>
                <w:szCs w:val="20"/>
              </w:rPr>
            </w:pPr>
            <w:r w:rsidRPr="0029110D">
              <w:rPr>
                <w:sz w:val="20"/>
                <w:szCs w:val="20"/>
              </w:rPr>
              <w:t>111 (11</w:t>
            </w:r>
            <w:r w:rsidR="00BE0BE9" w:rsidRPr="0029110D">
              <w:rPr>
                <w:sz w:val="20"/>
                <w:szCs w:val="20"/>
              </w:rPr>
              <w:t>,</w:t>
            </w:r>
            <w:r w:rsidRPr="0029110D">
              <w:rPr>
                <w:sz w:val="20"/>
                <w:szCs w:val="20"/>
              </w:rPr>
              <w:t>7) [10</w:t>
            </w:r>
            <w:r w:rsidR="00BE0BE9" w:rsidRPr="0029110D">
              <w:rPr>
                <w:sz w:val="20"/>
                <w:szCs w:val="20"/>
              </w:rPr>
              <w:t>,</w:t>
            </w:r>
            <w:r w:rsidRPr="0029110D">
              <w:rPr>
                <w:sz w:val="20"/>
                <w:szCs w:val="20"/>
              </w:rPr>
              <w:t>9]</w:t>
            </w:r>
          </w:p>
        </w:tc>
      </w:tr>
      <w:tr w:rsidR="00C34E4A" w:rsidRPr="0029110D" w14:paraId="0B4EF22D" w14:textId="77777777" w:rsidTr="0029110D">
        <w:trPr>
          <w:trHeight w:val="20"/>
        </w:trPr>
        <w:tc>
          <w:tcPr>
            <w:tcW w:w="2339" w:type="dxa"/>
          </w:tcPr>
          <w:p w14:paraId="1726EDC2" w14:textId="77777777" w:rsidR="00C34E4A" w:rsidRPr="0029110D" w:rsidRDefault="00C34E4A">
            <w:pPr>
              <w:tabs>
                <w:tab w:val="left" w:pos="2730"/>
              </w:tabs>
              <w:rPr>
                <w:sz w:val="20"/>
                <w:szCs w:val="20"/>
              </w:rPr>
            </w:pPr>
            <w:r w:rsidRPr="0029110D">
              <w:rPr>
                <w:sz w:val="20"/>
                <w:szCs w:val="20"/>
              </w:rPr>
              <w:t>Нарушения со стороны нервной системы</w:t>
            </w:r>
          </w:p>
        </w:tc>
        <w:tc>
          <w:tcPr>
            <w:tcW w:w="1744" w:type="dxa"/>
            <w:vAlign w:val="center"/>
          </w:tcPr>
          <w:p w14:paraId="4B7BE28C" w14:textId="3AD3BD17" w:rsidR="00C34E4A" w:rsidRPr="0029110D" w:rsidRDefault="00C34E4A" w:rsidP="00AB1FF1">
            <w:pPr>
              <w:tabs>
                <w:tab w:val="left" w:pos="2730"/>
              </w:tabs>
              <w:jc w:val="center"/>
              <w:rPr>
                <w:sz w:val="20"/>
                <w:szCs w:val="20"/>
              </w:rPr>
            </w:pPr>
            <w:r w:rsidRPr="0029110D">
              <w:rPr>
                <w:sz w:val="20"/>
                <w:szCs w:val="20"/>
              </w:rPr>
              <w:t>29 (7</w:t>
            </w:r>
            <w:r w:rsidR="00BE0BE9" w:rsidRPr="0029110D">
              <w:rPr>
                <w:sz w:val="20"/>
                <w:szCs w:val="20"/>
              </w:rPr>
              <w:t>,</w:t>
            </w:r>
            <w:r w:rsidRPr="0029110D">
              <w:rPr>
                <w:sz w:val="20"/>
                <w:szCs w:val="20"/>
              </w:rPr>
              <w:t>8) [12</w:t>
            </w:r>
            <w:r w:rsidR="00BE0BE9" w:rsidRPr="0029110D">
              <w:rPr>
                <w:sz w:val="20"/>
                <w:szCs w:val="20"/>
              </w:rPr>
              <w:t>,</w:t>
            </w:r>
            <w:r w:rsidRPr="0029110D">
              <w:rPr>
                <w:sz w:val="20"/>
                <w:szCs w:val="20"/>
              </w:rPr>
              <w:t>4]</w:t>
            </w:r>
          </w:p>
        </w:tc>
        <w:tc>
          <w:tcPr>
            <w:tcW w:w="1418" w:type="dxa"/>
            <w:vAlign w:val="center"/>
          </w:tcPr>
          <w:p w14:paraId="6AAF021A" w14:textId="2495C635" w:rsidR="00C34E4A" w:rsidRPr="0029110D" w:rsidRDefault="00C34E4A" w:rsidP="00AB1FF1">
            <w:pPr>
              <w:tabs>
                <w:tab w:val="left" w:pos="2730"/>
              </w:tabs>
              <w:jc w:val="center"/>
              <w:rPr>
                <w:sz w:val="20"/>
                <w:szCs w:val="20"/>
              </w:rPr>
            </w:pPr>
            <w:r w:rsidRPr="0029110D">
              <w:rPr>
                <w:sz w:val="20"/>
                <w:szCs w:val="20"/>
              </w:rPr>
              <w:t>28 (7</w:t>
            </w:r>
            <w:r w:rsidR="00BE0BE9" w:rsidRPr="0029110D">
              <w:rPr>
                <w:sz w:val="20"/>
                <w:szCs w:val="20"/>
              </w:rPr>
              <w:t>,</w:t>
            </w:r>
            <w:r w:rsidRPr="0029110D">
              <w:rPr>
                <w:sz w:val="20"/>
                <w:szCs w:val="20"/>
              </w:rPr>
              <w:t>7) [12</w:t>
            </w:r>
            <w:r w:rsidR="00BE0BE9" w:rsidRPr="0029110D">
              <w:rPr>
                <w:sz w:val="20"/>
                <w:szCs w:val="20"/>
              </w:rPr>
              <w:t>,</w:t>
            </w:r>
            <w:r w:rsidRPr="0029110D">
              <w:rPr>
                <w:sz w:val="20"/>
                <w:szCs w:val="20"/>
              </w:rPr>
              <w:t>1]</w:t>
            </w:r>
          </w:p>
        </w:tc>
        <w:tc>
          <w:tcPr>
            <w:tcW w:w="1514" w:type="dxa"/>
            <w:vAlign w:val="center"/>
          </w:tcPr>
          <w:p w14:paraId="56F09934" w14:textId="1B711C34" w:rsidR="00C34E4A" w:rsidRPr="0029110D" w:rsidRDefault="00C34E4A" w:rsidP="00AB1FF1">
            <w:pPr>
              <w:tabs>
                <w:tab w:val="left" w:pos="2730"/>
              </w:tabs>
              <w:jc w:val="center"/>
              <w:rPr>
                <w:sz w:val="20"/>
                <w:szCs w:val="20"/>
              </w:rPr>
            </w:pPr>
            <w:r w:rsidRPr="0029110D">
              <w:rPr>
                <w:sz w:val="20"/>
                <w:szCs w:val="20"/>
              </w:rPr>
              <w:t>54 (10</w:t>
            </w:r>
            <w:r w:rsidR="00BE0BE9" w:rsidRPr="0029110D">
              <w:rPr>
                <w:sz w:val="20"/>
                <w:szCs w:val="20"/>
              </w:rPr>
              <w:t>,</w:t>
            </w:r>
            <w:r w:rsidRPr="0029110D">
              <w:rPr>
                <w:sz w:val="20"/>
                <w:szCs w:val="20"/>
              </w:rPr>
              <w:t>0) [15</w:t>
            </w:r>
            <w:r w:rsidR="00BE0BE9" w:rsidRPr="0029110D">
              <w:rPr>
                <w:sz w:val="20"/>
                <w:szCs w:val="20"/>
              </w:rPr>
              <w:t>,</w:t>
            </w:r>
            <w:r w:rsidRPr="0029110D">
              <w:rPr>
                <w:sz w:val="20"/>
                <w:szCs w:val="20"/>
              </w:rPr>
              <w:t>8]</w:t>
            </w:r>
          </w:p>
        </w:tc>
        <w:tc>
          <w:tcPr>
            <w:tcW w:w="1655" w:type="dxa"/>
            <w:vAlign w:val="center"/>
          </w:tcPr>
          <w:p w14:paraId="67324019" w14:textId="2CB4A59E" w:rsidR="00C34E4A" w:rsidRPr="0029110D" w:rsidRDefault="00C34E4A" w:rsidP="00AB1FF1">
            <w:pPr>
              <w:tabs>
                <w:tab w:val="left" w:pos="2730"/>
              </w:tabs>
              <w:jc w:val="center"/>
              <w:rPr>
                <w:sz w:val="20"/>
                <w:szCs w:val="20"/>
              </w:rPr>
            </w:pPr>
            <w:r w:rsidRPr="0029110D">
              <w:rPr>
                <w:sz w:val="20"/>
                <w:szCs w:val="20"/>
              </w:rPr>
              <w:t>39 (10</w:t>
            </w:r>
            <w:r w:rsidR="00BE0BE9" w:rsidRPr="0029110D">
              <w:rPr>
                <w:sz w:val="20"/>
                <w:szCs w:val="20"/>
              </w:rPr>
              <w:t>,</w:t>
            </w:r>
            <w:r w:rsidRPr="0029110D">
              <w:rPr>
                <w:sz w:val="20"/>
                <w:szCs w:val="20"/>
              </w:rPr>
              <w:t>7) [9</w:t>
            </w:r>
            <w:r w:rsidR="00BE0BE9" w:rsidRPr="0029110D">
              <w:rPr>
                <w:sz w:val="20"/>
                <w:szCs w:val="20"/>
              </w:rPr>
              <w:t>,</w:t>
            </w:r>
            <w:r w:rsidRPr="0029110D">
              <w:rPr>
                <w:sz w:val="20"/>
                <w:szCs w:val="20"/>
              </w:rPr>
              <w:t>9]</w:t>
            </w:r>
          </w:p>
        </w:tc>
        <w:tc>
          <w:tcPr>
            <w:tcW w:w="1508" w:type="dxa"/>
            <w:vAlign w:val="center"/>
          </w:tcPr>
          <w:p w14:paraId="0DD1E19E" w14:textId="0A30B7E2" w:rsidR="00C34E4A" w:rsidRPr="0029110D" w:rsidRDefault="00C34E4A" w:rsidP="00AB1FF1">
            <w:pPr>
              <w:tabs>
                <w:tab w:val="left" w:pos="2730"/>
              </w:tabs>
              <w:jc w:val="center"/>
              <w:rPr>
                <w:sz w:val="20"/>
                <w:szCs w:val="20"/>
              </w:rPr>
            </w:pPr>
            <w:r w:rsidRPr="0029110D">
              <w:rPr>
                <w:sz w:val="20"/>
                <w:szCs w:val="20"/>
              </w:rPr>
              <w:t>75 (13</w:t>
            </w:r>
            <w:r w:rsidR="00BE0BE9" w:rsidRPr="0029110D">
              <w:rPr>
                <w:sz w:val="20"/>
                <w:szCs w:val="20"/>
              </w:rPr>
              <w:t>,</w:t>
            </w:r>
            <w:r w:rsidRPr="0029110D">
              <w:rPr>
                <w:sz w:val="20"/>
                <w:szCs w:val="20"/>
              </w:rPr>
              <w:t>9) [11</w:t>
            </w:r>
            <w:r w:rsidR="00BE0BE9" w:rsidRPr="0029110D">
              <w:rPr>
                <w:sz w:val="20"/>
                <w:szCs w:val="20"/>
              </w:rPr>
              <w:t>,</w:t>
            </w:r>
            <w:r w:rsidRPr="0029110D">
              <w:rPr>
                <w:sz w:val="20"/>
                <w:szCs w:val="20"/>
              </w:rPr>
              <w:t>1]</w:t>
            </w:r>
          </w:p>
        </w:tc>
        <w:tc>
          <w:tcPr>
            <w:tcW w:w="1683" w:type="dxa"/>
            <w:vAlign w:val="center"/>
          </w:tcPr>
          <w:p w14:paraId="47C91867" w14:textId="7CC0DA82" w:rsidR="00C34E4A" w:rsidRPr="0029110D" w:rsidRDefault="00C34E4A" w:rsidP="00AB1FF1">
            <w:pPr>
              <w:tabs>
                <w:tab w:val="left" w:pos="2730"/>
              </w:tabs>
              <w:jc w:val="center"/>
              <w:rPr>
                <w:sz w:val="20"/>
                <w:szCs w:val="20"/>
              </w:rPr>
            </w:pPr>
            <w:r w:rsidRPr="0029110D">
              <w:rPr>
                <w:sz w:val="20"/>
                <w:szCs w:val="20"/>
              </w:rPr>
              <w:t>152 (12</w:t>
            </w:r>
            <w:r w:rsidR="00BE0BE9" w:rsidRPr="0029110D">
              <w:rPr>
                <w:sz w:val="20"/>
                <w:szCs w:val="20"/>
              </w:rPr>
              <w:t>,</w:t>
            </w:r>
            <w:r w:rsidRPr="0029110D">
              <w:rPr>
                <w:sz w:val="20"/>
                <w:szCs w:val="20"/>
              </w:rPr>
              <w:t>2) [9</w:t>
            </w:r>
            <w:r w:rsidR="00BE0BE9" w:rsidRPr="0029110D">
              <w:rPr>
                <w:sz w:val="20"/>
                <w:szCs w:val="20"/>
              </w:rPr>
              <w:t>,</w:t>
            </w:r>
            <w:r w:rsidRPr="0029110D">
              <w:rPr>
                <w:sz w:val="20"/>
                <w:szCs w:val="20"/>
              </w:rPr>
              <w:t>7]</w:t>
            </w:r>
          </w:p>
        </w:tc>
        <w:tc>
          <w:tcPr>
            <w:tcW w:w="1627" w:type="dxa"/>
            <w:vAlign w:val="center"/>
          </w:tcPr>
          <w:p w14:paraId="08BA157E" w14:textId="1A1D1241" w:rsidR="00C34E4A" w:rsidRPr="0029110D" w:rsidRDefault="00C34E4A" w:rsidP="00AB1FF1">
            <w:pPr>
              <w:tabs>
                <w:tab w:val="left" w:pos="2730"/>
              </w:tabs>
              <w:jc w:val="center"/>
              <w:rPr>
                <w:sz w:val="20"/>
                <w:szCs w:val="20"/>
              </w:rPr>
            </w:pPr>
            <w:r w:rsidRPr="0029110D">
              <w:rPr>
                <w:sz w:val="20"/>
                <w:szCs w:val="20"/>
              </w:rPr>
              <w:t>52 (9</w:t>
            </w:r>
            <w:r w:rsidR="00BE0BE9" w:rsidRPr="0029110D">
              <w:rPr>
                <w:sz w:val="20"/>
                <w:szCs w:val="20"/>
              </w:rPr>
              <w:t>,</w:t>
            </w:r>
            <w:r w:rsidRPr="0029110D">
              <w:rPr>
                <w:sz w:val="20"/>
                <w:szCs w:val="20"/>
              </w:rPr>
              <w:t>2) [9</w:t>
            </w:r>
            <w:r w:rsidR="00BE0BE9" w:rsidRPr="0029110D">
              <w:rPr>
                <w:sz w:val="20"/>
                <w:szCs w:val="20"/>
              </w:rPr>
              <w:t>,</w:t>
            </w:r>
            <w:r w:rsidRPr="0029110D">
              <w:rPr>
                <w:sz w:val="20"/>
                <w:szCs w:val="20"/>
              </w:rPr>
              <w:t>1]</w:t>
            </w:r>
          </w:p>
        </w:tc>
        <w:tc>
          <w:tcPr>
            <w:tcW w:w="1298" w:type="dxa"/>
            <w:vAlign w:val="center"/>
          </w:tcPr>
          <w:p w14:paraId="65D72FBA" w14:textId="69AAB91D" w:rsidR="00C34E4A" w:rsidRPr="0029110D" w:rsidRDefault="00C34E4A" w:rsidP="00AB1FF1">
            <w:pPr>
              <w:tabs>
                <w:tab w:val="left" w:pos="2730"/>
              </w:tabs>
              <w:jc w:val="center"/>
              <w:rPr>
                <w:sz w:val="20"/>
                <w:szCs w:val="20"/>
              </w:rPr>
            </w:pPr>
            <w:r w:rsidRPr="0029110D">
              <w:rPr>
                <w:sz w:val="20"/>
                <w:szCs w:val="20"/>
              </w:rPr>
              <w:t>101 (10</w:t>
            </w:r>
            <w:r w:rsidR="00BE0BE9" w:rsidRPr="0029110D">
              <w:rPr>
                <w:sz w:val="20"/>
                <w:szCs w:val="20"/>
              </w:rPr>
              <w:t>,</w:t>
            </w:r>
            <w:r w:rsidRPr="0029110D">
              <w:rPr>
                <w:sz w:val="20"/>
                <w:szCs w:val="20"/>
              </w:rPr>
              <w:t>6) [9</w:t>
            </w:r>
            <w:r w:rsidR="00BE0BE9" w:rsidRPr="0029110D">
              <w:rPr>
                <w:sz w:val="20"/>
                <w:szCs w:val="20"/>
              </w:rPr>
              <w:t>,</w:t>
            </w:r>
            <w:r w:rsidRPr="0029110D">
              <w:rPr>
                <w:sz w:val="20"/>
                <w:szCs w:val="20"/>
              </w:rPr>
              <w:t>8]</w:t>
            </w:r>
          </w:p>
        </w:tc>
      </w:tr>
      <w:tr w:rsidR="00C34E4A" w:rsidRPr="0029110D" w14:paraId="2460DB13" w14:textId="77777777" w:rsidTr="0029110D">
        <w:trPr>
          <w:trHeight w:val="20"/>
        </w:trPr>
        <w:tc>
          <w:tcPr>
            <w:tcW w:w="2339" w:type="dxa"/>
          </w:tcPr>
          <w:p w14:paraId="6EAD68A2" w14:textId="77777777" w:rsidR="00C34E4A" w:rsidRPr="0029110D" w:rsidRDefault="00C34E4A">
            <w:pPr>
              <w:tabs>
                <w:tab w:val="left" w:pos="2730"/>
              </w:tabs>
              <w:rPr>
                <w:sz w:val="20"/>
                <w:szCs w:val="20"/>
              </w:rPr>
            </w:pPr>
            <w:r w:rsidRPr="0029110D">
              <w:rPr>
                <w:sz w:val="20"/>
                <w:szCs w:val="20"/>
              </w:rPr>
              <w:t>Желудочно-кишечные нарушения</w:t>
            </w:r>
          </w:p>
        </w:tc>
        <w:tc>
          <w:tcPr>
            <w:tcW w:w="1744" w:type="dxa"/>
            <w:vAlign w:val="center"/>
          </w:tcPr>
          <w:p w14:paraId="0D940936" w14:textId="5238EEB0" w:rsidR="00C34E4A" w:rsidRPr="0029110D" w:rsidRDefault="00C34E4A" w:rsidP="00AB1FF1">
            <w:pPr>
              <w:tabs>
                <w:tab w:val="left" w:pos="2730"/>
              </w:tabs>
              <w:jc w:val="center"/>
              <w:rPr>
                <w:sz w:val="20"/>
                <w:szCs w:val="20"/>
              </w:rPr>
            </w:pPr>
            <w:r w:rsidRPr="0029110D">
              <w:rPr>
                <w:sz w:val="20"/>
                <w:szCs w:val="20"/>
              </w:rPr>
              <w:t>40 (10</w:t>
            </w:r>
            <w:r w:rsidR="00BE0BE9" w:rsidRPr="0029110D">
              <w:rPr>
                <w:sz w:val="20"/>
                <w:szCs w:val="20"/>
              </w:rPr>
              <w:t>,</w:t>
            </w:r>
            <w:r w:rsidRPr="0029110D">
              <w:rPr>
                <w:sz w:val="20"/>
                <w:szCs w:val="20"/>
              </w:rPr>
              <w:t>8) [17</w:t>
            </w:r>
            <w:r w:rsidR="00BE0BE9" w:rsidRPr="0029110D">
              <w:rPr>
                <w:sz w:val="20"/>
                <w:szCs w:val="20"/>
              </w:rPr>
              <w:t>,</w:t>
            </w:r>
            <w:r w:rsidRPr="0029110D">
              <w:rPr>
                <w:sz w:val="20"/>
                <w:szCs w:val="20"/>
              </w:rPr>
              <w:t>8]</w:t>
            </w:r>
          </w:p>
        </w:tc>
        <w:tc>
          <w:tcPr>
            <w:tcW w:w="1418" w:type="dxa"/>
            <w:vAlign w:val="center"/>
          </w:tcPr>
          <w:p w14:paraId="033227ED" w14:textId="727DCDC4" w:rsidR="00C34E4A" w:rsidRPr="0029110D" w:rsidRDefault="00C34E4A" w:rsidP="00AB1FF1">
            <w:pPr>
              <w:tabs>
                <w:tab w:val="left" w:pos="2730"/>
              </w:tabs>
              <w:jc w:val="center"/>
              <w:rPr>
                <w:sz w:val="20"/>
                <w:szCs w:val="20"/>
              </w:rPr>
            </w:pPr>
            <w:r w:rsidRPr="0029110D">
              <w:rPr>
                <w:sz w:val="20"/>
                <w:szCs w:val="20"/>
              </w:rPr>
              <w:t>41 (11</w:t>
            </w:r>
            <w:r w:rsidR="00BE0BE9" w:rsidRPr="0029110D">
              <w:rPr>
                <w:sz w:val="20"/>
                <w:szCs w:val="20"/>
              </w:rPr>
              <w:t>,</w:t>
            </w:r>
            <w:r w:rsidRPr="0029110D">
              <w:rPr>
                <w:sz w:val="20"/>
                <w:szCs w:val="20"/>
              </w:rPr>
              <w:t>2) [18</w:t>
            </w:r>
            <w:r w:rsidR="00BE0BE9" w:rsidRPr="0029110D">
              <w:rPr>
                <w:sz w:val="20"/>
                <w:szCs w:val="20"/>
              </w:rPr>
              <w:t>,</w:t>
            </w:r>
            <w:r w:rsidRPr="0029110D">
              <w:rPr>
                <w:sz w:val="20"/>
                <w:szCs w:val="20"/>
              </w:rPr>
              <w:t>3]</w:t>
            </w:r>
          </w:p>
        </w:tc>
        <w:tc>
          <w:tcPr>
            <w:tcW w:w="1514" w:type="dxa"/>
            <w:vAlign w:val="center"/>
          </w:tcPr>
          <w:p w14:paraId="36325144" w14:textId="704B4D04" w:rsidR="00C34E4A" w:rsidRPr="0029110D" w:rsidRDefault="00C34E4A" w:rsidP="00AB1FF1">
            <w:pPr>
              <w:tabs>
                <w:tab w:val="left" w:pos="2730"/>
              </w:tabs>
              <w:jc w:val="center"/>
              <w:rPr>
                <w:sz w:val="20"/>
                <w:szCs w:val="20"/>
              </w:rPr>
            </w:pPr>
            <w:r w:rsidRPr="0029110D">
              <w:rPr>
                <w:sz w:val="20"/>
                <w:szCs w:val="20"/>
              </w:rPr>
              <w:t>52 (9</w:t>
            </w:r>
            <w:r w:rsidR="00BE0BE9" w:rsidRPr="0029110D">
              <w:rPr>
                <w:sz w:val="20"/>
                <w:szCs w:val="20"/>
              </w:rPr>
              <w:t>,</w:t>
            </w:r>
            <w:r w:rsidRPr="0029110D">
              <w:rPr>
                <w:sz w:val="20"/>
                <w:szCs w:val="20"/>
              </w:rPr>
              <w:t>6) [15</w:t>
            </w:r>
            <w:r w:rsidR="00BE0BE9" w:rsidRPr="0029110D">
              <w:rPr>
                <w:sz w:val="20"/>
                <w:szCs w:val="20"/>
              </w:rPr>
              <w:t>,</w:t>
            </w:r>
            <w:r w:rsidRPr="0029110D">
              <w:rPr>
                <w:sz w:val="20"/>
                <w:szCs w:val="20"/>
              </w:rPr>
              <w:t>2]</w:t>
            </w:r>
          </w:p>
        </w:tc>
        <w:tc>
          <w:tcPr>
            <w:tcW w:w="1655" w:type="dxa"/>
            <w:vAlign w:val="center"/>
          </w:tcPr>
          <w:p w14:paraId="436470F3" w14:textId="5A3223AF" w:rsidR="00C34E4A" w:rsidRPr="0029110D" w:rsidRDefault="00C34E4A" w:rsidP="00AB1FF1">
            <w:pPr>
              <w:tabs>
                <w:tab w:val="left" w:pos="2730"/>
              </w:tabs>
              <w:jc w:val="center"/>
              <w:rPr>
                <w:sz w:val="20"/>
                <w:szCs w:val="20"/>
              </w:rPr>
            </w:pPr>
            <w:r w:rsidRPr="0029110D">
              <w:rPr>
                <w:sz w:val="20"/>
                <w:szCs w:val="20"/>
              </w:rPr>
              <w:t>53 (14</w:t>
            </w:r>
            <w:r w:rsidR="00BE0BE9" w:rsidRPr="0029110D">
              <w:rPr>
                <w:sz w:val="20"/>
                <w:szCs w:val="20"/>
              </w:rPr>
              <w:t>,</w:t>
            </w:r>
            <w:r w:rsidRPr="0029110D">
              <w:rPr>
                <w:sz w:val="20"/>
                <w:szCs w:val="20"/>
              </w:rPr>
              <w:t>5) [14</w:t>
            </w:r>
            <w:r w:rsidR="00BE0BE9" w:rsidRPr="0029110D">
              <w:rPr>
                <w:sz w:val="20"/>
                <w:szCs w:val="20"/>
              </w:rPr>
              <w:t>,</w:t>
            </w:r>
            <w:r w:rsidRPr="0029110D">
              <w:rPr>
                <w:sz w:val="20"/>
                <w:szCs w:val="20"/>
              </w:rPr>
              <w:t>0]</w:t>
            </w:r>
          </w:p>
        </w:tc>
        <w:tc>
          <w:tcPr>
            <w:tcW w:w="1508" w:type="dxa"/>
            <w:vAlign w:val="center"/>
          </w:tcPr>
          <w:p w14:paraId="7F4E038C" w14:textId="030D0E50" w:rsidR="00C34E4A" w:rsidRPr="0029110D" w:rsidRDefault="00C34E4A" w:rsidP="00AB1FF1">
            <w:pPr>
              <w:tabs>
                <w:tab w:val="left" w:pos="2730"/>
              </w:tabs>
              <w:jc w:val="center"/>
              <w:rPr>
                <w:sz w:val="20"/>
                <w:szCs w:val="20"/>
              </w:rPr>
            </w:pPr>
            <w:r w:rsidRPr="0029110D">
              <w:rPr>
                <w:sz w:val="20"/>
                <w:szCs w:val="20"/>
              </w:rPr>
              <w:t>72 (13</w:t>
            </w:r>
            <w:r w:rsidR="00BE0BE9" w:rsidRPr="0029110D">
              <w:rPr>
                <w:sz w:val="20"/>
                <w:szCs w:val="20"/>
              </w:rPr>
              <w:t>,</w:t>
            </w:r>
            <w:r w:rsidRPr="0029110D">
              <w:rPr>
                <w:sz w:val="20"/>
                <w:szCs w:val="20"/>
              </w:rPr>
              <w:t>3) [10</w:t>
            </w:r>
            <w:r w:rsidR="00BE0BE9" w:rsidRPr="0029110D">
              <w:rPr>
                <w:sz w:val="20"/>
                <w:szCs w:val="20"/>
              </w:rPr>
              <w:t>,</w:t>
            </w:r>
            <w:r w:rsidRPr="0029110D">
              <w:rPr>
                <w:sz w:val="20"/>
                <w:szCs w:val="20"/>
              </w:rPr>
              <w:t>7]</w:t>
            </w:r>
          </w:p>
        </w:tc>
        <w:tc>
          <w:tcPr>
            <w:tcW w:w="1683" w:type="dxa"/>
            <w:vAlign w:val="center"/>
          </w:tcPr>
          <w:p w14:paraId="6EEB19ED" w14:textId="29426F8C" w:rsidR="00C34E4A" w:rsidRPr="0029110D" w:rsidRDefault="00C34E4A" w:rsidP="00AB1FF1">
            <w:pPr>
              <w:tabs>
                <w:tab w:val="left" w:pos="2730"/>
              </w:tabs>
              <w:jc w:val="center"/>
              <w:rPr>
                <w:sz w:val="20"/>
                <w:szCs w:val="20"/>
              </w:rPr>
            </w:pPr>
            <w:r w:rsidRPr="0029110D">
              <w:rPr>
                <w:sz w:val="20"/>
                <w:szCs w:val="20"/>
              </w:rPr>
              <w:t>171 (13</w:t>
            </w:r>
            <w:r w:rsidR="00BE0BE9" w:rsidRPr="0029110D">
              <w:rPr>
                <w:sz w:val="20"/>
                <w:szCs w:val="20"/>
              </w:rPr>
              <w:t>,</w:t>
            </w:r>
            <w:r w:rsidRPr="0029110D">
              <w:rPr>
                <w:sz w:val="20"/>
                <w:szCs w:val="20"/>
              </w:rPr>
              <w:t>7) [11</w:t>
            </w:r>
            <w:r w:rsidR="00BE0BE9" w:rsidRPr="0029110D">
              <w:rPr>
                <w:sz w:val="20"/>
                <w:szCs w:val="20"/>
              </w:rPr>
              <w:t>,</w:t>
            </w:r>
            <w:r w:rsidRPr="0029110D">
              <w:rPr>
                <w:sz w:val="20"/>
                <w:szCs w:val="20"/>
              </w:rPr>
              <w:t>2]</w:t>
            </w:r>
          </w:p>
        </w:tc>
        <w:tc>
          <w:tcPr>
            <w:tcW w:w="1627" w:type="dxa"/>
            <w:vAlign w:val="center"/>
          </w:tcPr>
          <w:p w14:paraId="4C4E93E8" w14:textId="0F091DEC" w:rsidR="00C34E4A" w:rsidRPr="0029110D" w:rsidRDefault="00C34E4A" w:rsidP="00AB1FF1">
            <w:pPr>
              <w:tabs>
                <w:tab w:val="left" w:pos="2730"/>
              </w:tabs>
              <w:jc w:val="center"/>
              <w:rPr>
                <w:sz w:val="20"/>
                <w:szCs w:val="20"/>
              </w:rPr>
            </w:pPr>
            <w:r w:rsidRPr="0029110D">
              <w:rPr>
                <w:sz w:val="20"/>
                <w:szCs w:val="20"/>
              </w:rPr>
              <w:t>71 (12</w:t>
            </w:r>
            <w:r w:rsidR="00BE0BE9" w:rsidRPr="0029110D">
              <w:rPr>
                <w:sz w:val="20"/>
                <w:szCs w:val="20"/>
              </w:rPr>
              <w:t>,</w:t>
            </w:r>
            <w:r w:rsidRPr="0029110D">
              <w:rPr>
                <w:sz w:val="20"/>
                <w:szCs w:val="20"/>
              </w:rPr>
              <w:t>6) [12</w:t>
            </w:r>
            <w:r w:rsidR="00BE0BE9" w:rsidRPr="0029110D">
              <w:rPr>
                <w:sz w:val="20"/>
                <w:szCs w:val="20"/>
              </w:rPr>
              <w:t>,</w:t>
            </w:r>
            <w:r w:rsidRPr="0029110D">
              <w:rPr>
                <w:sz w:val="20"/>
                <w:szCs w:val="20"/>
              </w:rPr>
              <w:t>9]</w:t>
            </w:r>
          </w:p>
        </w:tc>
        <w:tc>
          <w:tcPr>
            <w:tcW w:w="1298" w:type="dxa"/>
            <w:vAlign w:val="center"/>
          </w:tcPr>
          <w:p w14:paraId="7D8CFA07" w14:textId="2B609512" w:rsidR="00C34E4A" w:rsidRPr="0029110D" w:rsidRDefault="00C34E4A" w:rsidP="00AB1FF1">
            <w:pPr>
              <w:tabs>
                <w:tab w:val="left" w:pos="2730"/>
              </w:tabs>
              <w:jc w:val="center"/>
              <w:rPr>
                <w:sz w:val="20"/>
                <w:szCs w:val="20"/>
              </w:rPr>
            </w:pPr>
            <w:r w:rsidRPr="0029110D">
              <w:rPr>
                <w:sz w:val="20"/>
                <w:szCs w:val="20"/>
              </w:rPr>
              <w:t>101 (10</w:t>
            </w:r>
            <w:r w:rsidR="00BE0BE9" w:rsidRPr="0029110D">
              <w:rPr>
                <w:sz w:val="20"/>
                <w:szCs w:val="20"/>
              </w:rPr>
              <w:t>,</w:t>
            </w:r>
            <w:r w:rsidRPr="0029110D">
              <w:rPr>
                <w:sz w:val="20"/>
                <w:szCs w:val="20"/>
              </w:rPr>
              <w:t>6) [10</w:t>
            </w:r>
            <w:r w:rsidR="00BE0BE9" w:rsidRPr="0029110D">
              <w:rPr>
                <w:sz w:val="20"/>
                <w:szCs w:val="20"/>
              </w:rPr>
              <w:t>,</w:t>
            </w:r>
            <w:r w:rsidRPr="0029110D">
              <w:rPr>
                <w:sz w:val="20"/>
                <w:szCs w:val="20"/>
              </w:rPr>
              <w:t>0]</w:t>
            </w:r>
          </w:p>
        </w:tc>
      </w:tr>
      <w:tr w:rsidR="00C34E4A" w:rsidRPr="0029110D" w14:paraId="04E47EDF" w14:textId="77777777" w:rsidTr="0029110D">
        <w:trPr>
          <w:trHeight w:val="20"/>
        </w:trPr>
        <w:tc>
          <w:tcPr>
            <w:tcW w:w="2339" w:type="dxa"/>
          </w:tcPr>
          <w:p w14:paraId="32C13D8C" w14:textId="77777777" w:rsidR="00C34E4A" w:rsidRPr="0029110D" w:rsidRDefault="00C34E4A">
            <w:pPr>
              <w:tabs>
                <w:tab w:val="left" w:pos="2730"/>
              </w:tabs>
              <w:rPr>
                <w:sz w:val="20"/>
                <w:szCs w:val="20"/>
              </w:rPr>
            </w:pPr>
            <w:r w:rsidRPr="0029110D">
              <w:rPr>
                <w:sz w:val="20"/>
                <w:szCs w:val="20"/>
              </w:rPr>
              <w:t>Нарушения со стороны мышечной, скелетной и соединительной ткани</w:t>
            </w:r>
          </w:p>
        </w:tc>
        <w:tc>
          <w:tcPr>
            <w:tcW w:w="1744" w:type="dxa"/>
            <w:vAlign w:val="center"/>
          </w:tcPr>
          <w:p w14:paraId="3A62EEF0" w14:textId="0D43750F" w:rsidR="00C34E4A" w:rsidRPr="0029110D" w:rsidRDefault="00C34E4A" w:rsidP="00AB1FF1">
            <w:pPr>
              <w:tabs>
                <w:tab w:val="left" w:pos="2730"/>
              </w:tabs>
              <w:jc w:val="center"/>
              <w:rPr>
                <w:sz w:val="20"/>
                <w:szCs w:val="20"/>
              </w:rPr>
            </w:pPr>
            <w:r w:rsidRPr="0029110D">
              <w:rPr>
                <w:sz w:val="20"/>
                <w:szCs w:val="20"/>
              </w:rPr>
              <w:t>31 (8</w:t>
            </w:r>
            <w:r w:rsidR="00BE0BE9" w:rsidRPr="0029110D">
              <w:rPr>
                <w:sz w:val="20"/>
                <w:szCs w:val="20"/>
              </w:rPr>
              <w:t>,</w:t>
            </w:r>
            <w:r w:rsidRPr="0029110D">
              <w:rPr>
                <w:sz w:val="20"/>
                <w:szCs w:val="20"/>
              </w:rPr>
              <w:t>4) [13</w:t>
            </w:r>
            <w:r w:rsidR="00BE0BE9" w:rsidRPr="0029110D">
              <w:rPr>
                <w:sz w:val="20"/>
                <w:szCs w:val="20"/>
              </w:rPr>
              <w:t>,</w:t>
            </w:r>
            <w:r w:rsidRPr="0029110D">
              <w:rPr>
                <w:sz w:val="20"/>
                <w:szCs w:val="20"/>
              </w:rPr>
              <w:t>4]</w:t>
            </w:r>
          </w:p>
        </w:tc>
        <w:tc>
          <w:tcPr>
            <w:tcW w:w="1418" w:type="dxa"/>
            <w:vAlign w:val="center"/>
          </w:tcPr>
          <w:p w14:paraId="0075472E" w14:textId="733A3DF9" w:rsidR="00C34E4A" w:rsidRPr="0029110D" w:rsidRDefault="00C34E4A" w:rsidP="00AB1FF1">
            <w:pPr>
              <w:tabs>
                <w:tab w:val="left" w:pos="2730"/>
              </w:tabs>
              <w:jc w:val="center"/>
              <w:rPr>
                <w:sz w:val="20"/>
                <w:szCs w:val="20"/>
              </w:rPr>
            </w:pPr>
            <w:r w:rsidRPr="0029110D">
              <w:rPr>
                <w:sz w:val="20"/>
                <w:szCs w:val="20"/>
              </w:rPr>
              <w:t>27 (7</w:t>
            </w:r>
            <w:r w:rsidR="00BE0BE9" w:rsidRPr="0029110D">
              <w:rPr>
                <w:sz w:val="20"/>
                <w:szCs w:val="20"/>
              </w:rPr>
              <w:t>,</w:t>
            </w:r>
            <w:r w:rsidRPr="0029110D">
              <w:rPr>
                <w:sz w:val="20"/>
                <w:szCs w:val="20"/>
              </w:rPr>
              <w:t>4) [11</w:t>
            </w:r>
            <w:r w:rsidR="00BE0BE9" w:rsidRPr="0029110D">
              <w:rPr>
                <w:sz w:val="20"/>
                <w:szCs w:val="20"/>
              </w:rPr>
              <w:t>,</w:t>
            </w:r>
            <w:r w:rsidRPr="0029110D">
              <w:rPr>
                <w:sz w:val="20"/>
                <w:szCs w:val="20"/>
              </w:rPr>
              <w:t>6]</w:t>
            </w:r>
          </w:p>
        </w:tc>
        <w:tc>
          <w:tcPr>
            <w:tcW w:w="1514" w:type="dxa"/>
            <w:vAlign w:val="center"/>
          </w:tcPr>
          <w:p w14:paraId="2E3868F5" w14:textId="22949DFA" w:rsidR="00C34E4A" w:rsidRPr="0029110D" w:rsidRDefault="00C34E4A" w:rsidP="00AB1FF1">
            <w:pPr>
              <w:tabs>
                <w:tab w:val="left" w:pos="2730"/>
              </w:tabs>
              <w:jc w:val="center"/>
              <w:rPr>
                <w:sz w:val="20"/>
                <w:szCs w:val="20"/>
              </w:rPr>
            </w:pPr>
            <w:r w:rsidRPr="0029110D">
              <w:rPr>
                <w:sz w:val="20"/>
                <w:szCs w:val="20"/>
              </w:rPr>
              <w:t>44 (8</w:t>
            </w:r>
            <w:r w:rsidR="00BE0BE9" w:rsidRPr="0029110D">
              <w:rPr>
                <w:sz w:val="20"/>
                <w:szCs w:val="20"/>
              </w:rPr>
              <w:t>,</w:t>
            </w:r>
            <w:r w:rsidRPr="0029110D">
              <w:rPr>
                <w:sz w:val="20"/>
                <w:szCs w:val="20"/>
              </w:rPr>
              <w:t>1) [12</w:t>
            </w:r>
            <w:r w:rsidR="00BE0BE9" w:rsidRPr="0029110D">
              <w:rPr>
                <w:sz w:val="20"/>
                <w:szCs w:val="20"/>
              </w:rPr>
              <w:t>,</w:t>
            </w:r>
            <w:r w:rsidRPr="0029110D">
              <w:rPr>
                <w:sz w:val="20"/>
                <w:szCs w:val="20"/>
              </w:rPr>
              <w:t>6]</w:t>
            </w:r>
          </w:p>
        </w:tc>
        <w:tc>
          <w:tcPr>
            <w:tcW w:w="1655" w:type="dxa"/>
            <w:vAlign w:val="center"/>
          </w:tcPr>
          <w:p w14:paraId="451F5027" w14:textId="74BE1CD5" w:rsidR="00C34E4A" w:rsidRPr="0029110D" w:rsidRDefault="00C34E4A" w:rsidP="00AB1FF1">
            <w:pPr>
              <w:tabs>
                <w:tab w:val="left" w:pos="2730"/>
              </w:tabs>
              <w:jc w:val="center"/>
              <w:rPr>
                <w:sz w:val="20"/>
                <w:szCs w:val="20"/>
              </w:rPr>
            </w:pPr>
            <w:r w:rsidRPr="0029110D">
              <w:rPr>
                <w:sz w:val="20"/>
                <w:szCs w:val="20"/>
              </w:rPr>
              <w:t>46 (12</w:t>
            </w:r>
            <w:r w:rsidR="00BE0BE9" w:rsidRPr="0029110D">
              <w:rPr>
                <w:sz w:val="20"/>
                <w:szCs w:val="20"/>
              </w:rPr>
              <w:t>,</w:t>
            </w:r>
            <w:r w:rsidRPr="0029110D">
              <w:rPr>
                <w:sz w:val="20"/>
                <w:szCs w:val="20"/>
              </w:rPr>
              <w:t>6) [11</w:t>
            </w:r>
            <w:r w:rsidR="00BE0BE9" w:rsidRPr="0029110D">
              <w:rPr>
                <w:sz w:val="20"/>
                <w:szCs w:val="20"/>
              </w:rPr>
              <w:t>,</w:t>
            </w:r>
            <w:r w:rsidRPr="0029110D">
              <w:rPr>
                <w:sz w:val="20"/>
                <w:szCs w:val="20"/>
              </w:rPr>
              <w:t>7]</w:t>
            </w:r>
          </w:p>
        </w:tc>
        <w:tc>
          <w:tcPr>
            <w:tcW w:w="1508" w:type="dxa"/>
            <w:vAlign w:val="center"/>
          </w:tcPr>
          <w:p w14:paraId="5D52C2A4" w14:textId="0EC73022" w:rsidR="00C34E4A" w:rsidRPr="0029110D" w:rsidRDefault="00C34E4A" w:rsidP="00AB1FF1">
            <w:pPr>
              <w:tabs>
                <w:tab w:val="left" w:pos="2730"/>
              </w:tabs>
              <w:jc w:val="center"/>
              <w:rPr>
                <w:sz w:val="20"/>
                <w:szCs w:val="20"/>
              </w:rPr>
            </w:pPr>
            <w:r w:rsidRPr="0029110D">
              <w:rPr>
                <w:sz w:val="20"/>
                <w:szCs w:val="20"/>
              </w:rPr>
              <w:t>68 (12</w:t>
            </w:r>
            <w:r w:rsidR="00BE0BE9" w:rsidRPr="0029110D">
              <w:rPr>
                <w:sz w:val="20"/>
                <w:szCs w:val="20"/>
              </w:rPr>
              <w:t>,</w:t>
            </w:r>
            <w:r w:rsidRPr="0029110D">
              <w:rPr>
                <w:sz w:val="20"/>
                <w:szCs w:val="20"/>
              </w:rPr>
              <w:t>6) [9</w:t>
            </w:r>
            <w:r w:rsidR="00BE0BE9" w:rsidRPr="0029110D">
              <w:rPr>
                <w:sz w:val="20"/>
                <w:szCs w:val="20"/>
              </w:rPr>
              <w:t>,</w:t>
            </w:r>
            <w:r w:rsidRPr="0029110D">
              <w:rPr>
                <w:sz w:val="20"/>
                <w:szCs w:val="20"/>
              </w:rPr>
              <w:t>9]</w:t>
            </w:r>
          </w:p>
        </w:tc>
        <w:tc>
          <w:tcPr>
            <w:tcW w:w="1683" w:type="dxa"/>
            <w:vAlign w:val="center"/>
          </w:tcPr>
          <w:p w14:paraId="4B020743" w14:textId="3BE1DBCF" w:rsidR="00C34E4A" w:rsidRPr="0029110D" w:rsidRDefault="00C34E4A" w:rsidP="00AB1FF1">
            <w:pPr>
              <w:tabs>
                <w:tab w:val="left" w:pos="2730"/>
              </w:tabs>
              <w:jc w:val="center"/>
              <w:rPr>
                <w:sz w:val="20"/>
                <w:szCs w:val="20"/>
              </w:rPr>
            </w:pPr>
            <w:r w:rsidRPr="0029110D">
              <w:rPr>
                <w:sz w:val="20"/>
                <w:szCs w:val="20"/>
              </w:rPr>
              <w:t>139 (11</w:t>
            </w:r>
            <w:r w:rsidR="00BE0BE9" w:rsidRPr="0029110D">
              <w:rPr>
                <w:sz w:val="20"/>
                <w:szCs w:val="20"/>
              </w:rPr>
              <w:t>,</w:t>
            </w:r>
            <w:r w:rsidRPr="0029110D">
              <w:rPr>
                <w:sz w:val="20"/>
                <w:szCs w:val="20"/>
              </w:rPr>
              <w:t>2) [8</w:t>
            </w:r>
            <w:r w:rsidR="00BE0BE9" w:rsidRPr="0029110D">
              <w:rPr>
                <w:sz w:val="20"/>
                <w:szCs w:val="20"/>
              </w:rPr>
              <w:t>,</w:t>
            </w:r>
            <w:r w:rsidRPr="0029110D">
              <w:rPr>
                <w:sz w:val="20"/>
                <w:szCs w:val="20"/>
              </w:rPr>
              <w:t>7]</w:t>
            </w:r>
          </w:p>
        </w:tc>
        <w:tc>
          <w:tcPr>
            <w:tcW w:w="1627" w:type="dxa"/>
            <w:vAlign w:val="center"/>
          </w:tcPr>
          <w:p w14:paraId="27DD6E95" w14:textId="4E9964E0" w:rsidR="00C34E4A" w:rsidRPr="0029110D" w:rsidRDefault="00C34E4A" w:rsidP="00AB1FF1">
            <w:pPr>
              <w:tabs>
                <w:tab w:val="left" w:pos="2730"/>
              </w:tabs>
              <w:jc w:val="center"/>
              <w:rPr>
                <w:sz w:val="20"/>
                <w:szCs w:val="20"/>
              </w:rPr>
            </w:pPr>
            <w:r w:rsidRPr="0029110D">
              <w:rPr>
                <w:sz w:val="20"/>
                <w:szCs w:val="20"/>
              </w:rPr>
              <w:t>60 (10</w:t>
            </w:r>
            <w:r w:rsidR="00BE0BE9" w:rsidRPr="0029110D">
              <w:rPr>
                <w:sz w:val="20"/>
                <w:szCs w:val="20"/>
              </w:rPr>
              <w:t>,</w:t>
            </w:r>
            <w:r w:rsidRPr="0029110D">
              <w:rPr>
                <w:sz w:val="20"/>
                <w:szCs w:val="20"/>
              </w:rPr>
              <w:t>6) [10</w:t>
            </w:r>
            <w:r w:rsidR="00BE0BE9" w:rsidRPr="0029110D">
              <w:rPr>
                <w:sz w:val="20"/>
                <w:szCs w:val="20"/>
              </w:rPr>
              <w:t>,</w:t>
            </w:r>
            <w:r w:rsidRPr="0029110D">
              <w:rPr>
                <w:sz w:val="20"/>
                <w:szCs w:val="20"/>
              </w:rPr>
              <w:t>6]</w:t>
            </w:r>
          </w:p>
        </w:tc>
        <w:tc>
          <w:tcPr>
            <w:tcW w:w="1298" w:type="dxa"/>
            <w:vAlign w:val="center"/>
          </w:tcPr>
          <w:p w14:paraId="74E80A6A" w14:textId="53CB05DE" w:rsidR="00C34E4A" w:rsidRPr="0029110D" w:rsidRDefault="00C34E4A" w:rsidP="00AB1FF1">
            <w:pPr>
              <w:tabs>
                <w:tab w:val="left" w:pos="2730"/>
              </w:tabs>
              <w:jc w:val="center"/>
              <w:rPr>
                <w:sz w:val="20"/>
                <w:szCs w:val="20"/>
              </w:rPr>
            </w:pPr>
            <w:r w:rsidRPr="0029110D">
              <w:rPr>
                <w:sz w:val="20"/>
                <w:szCs w:val="20"/>
              </w:rPr>
              <w:t>82 (8</w:t>
            </w:r>
            <w:r w:rsidR="00BE0BE9" w:rsidRPr="0029110D">
              <w:rPr>
                <w:sz w:val="20"/>
                <w:szCs w:val="20"/>
              </w:rPr>
              <w:t>,</w:t>
            </w:r>
            <w:r w:rsidRPr="0029110D">
              <w:rPr>
                <w:sz w:val="20"/>
                <w:szCs w:val="20"/>
              </w:rPr>
              <w:t>6) [7</w:t>
            </w:r>
            <w:r w:rsidR="00BE0BE9" w:rsidRPr="0029110D">
              <w:rPr>
                <w:sz w:val="20"/>
                <w:szCs w:val="20"/>
              </w:rPr>
              <w:t>,</w:t>
            </w:r>
            <w:r w:rsidRPr="0029110D">
              <w:rPr>
                <w:sz w:val="20"/>
                <w:szCs w:val="20"/>
              </w:rPr>
              <w:t>8]</w:t>
            </w:r>
          </w:p>
        </w:tc>
      </w:tr>
      <w:tr w:rsidR="00C34E4A" w:rsidRPr="0029110D" w14:paraId="609D297B" w14:textId="77777777" w:rsidTr="0029110D">
        <w:trPr>
          <w:trHeight w:val="20"/>
        </w:trPr>
        <w:tc>
          <w:tcPr>
            <w:tcW w:w="2339" w:type="dxa"/>
          </w:tcPr>
          <w:p w14:paraId="4CE3D5F3" w14:textId="77777777" w:rsidR="00C34E4A" w:rsidRPr="0029110D" w:rsidRDefault="00C34E4A">
            <w:pPr>
              <w:tabs>
                <w:tab w:val="left" w:pos="2730"/>
              </w:tabs>
              <w:rPr>
                <w:sz w:val="20"/>
                <w:szCs w:val="20"/>
              </w:rPr>
            </w:pPr>
            <w:r w:rsidRPr="0029110D">
              <w:rPr>
                <w:sz w:val="20"/>
                <w:szCs w:val="20"/>
              </w:rPr>
              <w:t xml:space="preserve">Нарушения со стороны дыхательной системы, </w:t>
            </w:r>
            <w:r w:rsidRPr="0029110D">
              <w:rPr>
                <w:sz w:val="20"/>
                <w:szCs w:val="20"/>
              </w:rPr>
              <w:lastRenderedPageBreak/>
              <w:t>органов грудной клетки и средостения</w:t>
            </w:r>
          </w:p>
        </w:tc>
        <w:tc>
          <w:tcPr>
            <w:tcW w:w="1744" w:type="dxa"/>
            <w:vAlign w:val="center"/>
          </w:tcPr>
          <w:p w14:paraId="5B93BA2B" w14:textId="036D26F6" w:rsidR="00C34E4A" w:rsidRPr="0029110D" w:rsidRDefault="00C34E4A" w:rsidP="00AB1FF1">
            <w:pPr>
              <w:tabs>
                <w:tab w:val="left" w:pos="2730"/>
              </w:tabs>
              <w:jc w:val="center"/>
              <w:rPr>
                <w:sz w:val="20"/>
                <w:szCs w:val="20"/>
              </w:rPr>
            </w:pPr>
            <w:r w:rsidRPr="0029110D">
              <w:rPr>
                <w:sz w:val="20"/>
                <w:szCs w:val="20"/>
              </w:rPr>
              <w:lastRenderedPageBreak/>
              <w:t>18 (4</w:t>
            </w:r>
            <w:r w:rsidR="00BE0BE9" w:rsidRPr="0029110D">
              <w:rPr>
                <w:sz w:val="20"/>
                <w:szCs w:val="20"/>
              </w:rPr>
              <w:t>,</w:t>
            </w:r>
            <w:r w:rsidRPr="0029110D">
              <w:rPr>
                <w:sz w:val="20"/>
                <w:szCs w:val="20"/>
              </w:rPr>
              <w:t>9) [7</w:t>
            </w:r>
            <w:r w:rsidR="00BE0BE9" w:rsidRPr="0029110D">
              <w:rPr>
                <w:sz w:val="20"/>
                <w:szCs w:val="20"/>
              </w:rPr>
              <w:t>,</w:t>
            </w:r>
            <w:r w:rsidRPr="0029110D">
              <w:rPr>
                <w:sz w:val="20"/>
                <w:szCs w:val="20"/>
              </w:rPr>
              <w:t>6]</w:t>
            </w:r>
          </w:p>
        </w:tc>
        <w:tc>
          <w:tcPr>
            <w:tcW w:w="1418" w:type="dxa"/>
            <w:vAlign w:val="center"/>
          </w:tcPr>
          <w:p w14:paraId="4D59FD3B" w14:textId="23FAB648" w:rsidR="00C34E4A" w:rsidRPr="0029110D" w:rsidRDefault="00C34E4A" w:rsidP="00AB1FF1">
            <w:pPr>
              <w:tabs>
                <w:tab w:val="left" w:pos="2730"/>
              </w:tabs>
              <w:jc w:val="center"/>
              <w:rPr>
                <w:sz w:val="20"/>
                <w:szCs w:val="20"/>
              </w:rPr>
            </w:pPr>
            <w:r w:rsidRPr="0029110D">
              <w:rPr>
                <w:sz w:val="20"/>
                <w:szCs w:val="20"/>
              </w:rPr>
              <w:t>20 (5</w:t>
            </w:r>
            <w:r w:rsidR="00BE0BE9" w:rsidRPr="0029110D">
              <w:rPr>
                <w:sz w:val="20"/>
                <w:szCs w:val="20"/>
              </w:rPr>
              <w:t>,</w:t>
            </w:r>
            <w:r w:rsidRPr="0029110D">
              <w:rPr>
                <w:sz w:val="20"/>
                <w:szCs w:val="20"/>
              </w:rPr>
              <w:t>5) [8</w:t>
            </w:r>
            <w:r w:rsidR="00BE0BE9" w:rsidRPr="0029110D">
              <w:rPr>
                <w:sz w:val="20"/>
                <w:szCs w:val="20"/>
              </w:rPr>
              <w:t>,</w:t>
            </w:r>
            <w:r w:rsidRPr="0029110D">
              <w:rPr>
                <w:sz w:val="20"/>
                <w:szCs w:val="20"/>
              </w:rPr>
              <w:t>5]</w:t>
            </w:r>
          </w:p>
        </w:tc>
        <w:tc>
          <w:tcPr>
            <w:tcW w:w="1514" w:type="dxa"/>
            <w:vAlign w:val="center"/>
          </w:tcPr>
          <w:p w14:paraId="105492B5" w14:textId="6E0B0DBE" w:rsidR="00C34E4A" w:rsidRPr="0029110D" w:rsidRDefault="00C34E4A" w:rsidP="00AB1FF1">
            <w:pPr>
              <w:tabs>
                <w:tab w:val="left" w:pos="2730"/>
              </w:tabs>
              <w:jc w:val="center"/>
              <w:rPr>
                <w:sz w:val="20"/>
                <w:szCs w:val="20"/>
              </w:rPr>
            </w:pPr>
            <w:r w:rsidRPr="0029110D">
              <w:rPr>
                <w:sz w:val="20"/>
                <w:szCs w:val="20"/>
              </w:rPr>
              <w:t>36 (6</w:t>
            </w:r>
            <w:r w:rsidR="00BE0BE9" w:rsidRPr="0029110D">
              <w:rPr>
                <w:sz w:val="20"/>
                <w:szCs w:val="20"/>
              </w:rPr>
              <w:t>,</w:t>
            </w:r>
            <w:r w:rsidRPr="0029110D">
              <w:rPr>
                <w:sz w:val="20"/>
                <w:szCs w:val="20"/>
              </w:rPr>
              <w:t>7) [10</w:t>
            </w:r>
            <w:r w:rsidR="00BE0BE9" w:rsidRPr="0029110D">
              <w:rPr>
                <w:sz w:val="20"/>
                <w:szCs w:val="20"/>
              </w:rPr>
              <w:t>,</w:t>
            </w:r>
            <w:r w:rsidRPr="0029110D">
              <w:rPr>
                <w:sz w:val="20"/>
                <w:szCs w:val="20"/>
              </w:rPr>
              <w:t>2]</w:t>
            </w:r>
          </w:p>
        </w:tc>
        <w:tc>
          <w:tcPr>
            <w:tcW w:w="1655" w:type="dxa"/>
            <w:vAlign w:val="center"/>
          </w:tcPr>
          <w:p w14:paraId="178CEE2B" w14:textId="3C650274" w:rsidR="00C34E4A" w:rsidRPr="0029110D" w:rsidRDefault="00C34E4A" w:rsidP="00AB1FF1">
            <w:pPr>
              <w:tabs>
                <w:tab w:val="left" w:pos="2730"/>
              </w:tabs>
              <w:jc w:val="center"/>
              <w:rPr>
                <w:sz w:val="20"/>
                <w:szCs w:val="20"/>
              </w:rPr>
            </w:pPr>
            <w:r w:rsidRPr="0029110D">
              <w:rPr>
                <w:sz w:val="20"/>
                <w:szCs w:val="20"/>
              </w:rPr>
              <w:t>31 (8</w:t>
            </w:r>
            <w:r w:rsidR="00BE0BE9" w:rsidRPr="0029110D">
              <w:rPr>
                <w:sz w:val="20"/>
                <w:szCs w:val="20"/>
              </w:rPr>
              <w:t>,</w:t>
            </w:r>
            <w:r w:rsidRPr="0029110D">
              <w:rPr>
                <w:sz w:val="20"/>
                <w:szCs w:val="20"/>
              </w:rPr>
              <w:t>5) [7</w:t>
            </w:r>
            <w:r w:rsidR="00BE0BE9" w:rsidRPr="0029110D">
              <w:rPr>
                <w:sz w:val="20"/>
                <w:szCs w:val="20"/>
              </w:rPr>
              <w:t>,</w:t>
            </w:r>
            <w:r w:rsidRPr="0029110D">
              <w:rPr>
                <w:sz w:val="20"/>
                <w:szCs w:val="20"/>
              </w:rPr>
              <w:t>7]</w:t>
            </w:r>
          </w:p>
        </w:tc>
        <w:tc>
          <w:tcPr>
            <w:tcW w:w="1508" w:type="dxa"/>
            <w:vAlign w:val="center"/>
          </w:tcPr>
          <w:p w14:paraId="149994E1" w14:textId="093D3BB5" w:rsidR="00C34E4A" w:rsidRPr="0029110D" w:rsidRDefault="00C34E4A" w:rsidP="00AB1FF1">
            <w:pPr>
              <w:tabs>
                <w:tab w:val="left" w:pos="2730"/>
              </w:tabs>
              <w:jc w:val="center"/>
              <w:rPr>
                <w:sz w:val="20"/>
                <w:szCs w:val="20"/>
              </w:rPr>
            </w:pPr>
            <w:r w:rsidRPr="0029110D">
              <w:rPr>
                <w:sz w:val="20"/>
                <w:szCs w:val="20"/>
              </w:rPr>
              <w:t>48 (8</w:t>
            </w:r>
            <w:r w:rsidR="00BE0BE9" w:rsidRPr="0029110D">
              <w:rPr>
                <w:sz w:val="20"/>
                <w:szCs w:val="20"/>
              </w:rPr>
              <w:t>,</w:t>
            </w:r>
            <w:r w:rsidRPr="0029110D">
              <w:rPr>
                <w:sz w:val="20"/>
                <w:szCs w:val="20"/>
              </w:rPr>
              <w:t>9) [6</w:t>
            </w:r>
            <w:r w:rsidR="00BE0BE9" w:rsidRPr="0029110D">
              <w:rPr>
                <w:sz w:val="20"/>
                <w:szCs w:val="20"/>
              </w:rPr>
              <w:t>,</w:t>
            </w:r>
            <w:r w:rsidRPr="0029110D">
              <w:rPr>
                <w:sz w:val="20"/>
                <w:szCs w:val="20"/>
              </w:rPr>
              <w:t>8]</w:t>
            </w:r>
          </w:p>
        </w:tc>
        <w:tc>
          <w:tcPr>
            <w:tcW w:w="1683" w:type="dxa"/>
            <w:vAlign w:val="center"/>
          </w:tcPr>
          <w:p w14:paraId="62F14A7C" w14:textId="40A2840B" w:rsidR="00C34E4A" w:rsidRPr="0029110D" w:rsidRDefault="00C34E4A" w:rsidP="00AB1FF1">
            <w:pPr>
              <w:tabs>
                <w:tab w:val="left" w:pos="2730"/>
              </w:tabs>
              <w:jc w:val="center"/>
              <w:rPr>
                <w:sz w:val="20"/>
                <w:szCs w:val="20"/>
              </w:rPr>
            </w:pPr>
            <w:r w:rsidRPr="0029110D">
              <w:rPr>
                <w:sz w:val="20"/>
                <w:szCs w:val="20"/>
              </w:rPr>
              <w:t>98 (7</w:t>
            </w:r>
            <w:r w:rsidR="00BE0BE9" w:rsidRPr="0029110D">
              <w:rPr>
                <w:sz w:val="20"/>
                <w:szCs w:val="20"/>
              </w:rPr>
              <w:t>,</w:t>
            </w:r>
            <w:r w:rsidRPr="0029110D">
              <w:rPr>
                <w:sz w:val="20"/>
                <w:szCs w:val="20"/>
              </w:rPr>
              <w:t>9) [6</w:t>
            </w:r>
            <w:r w:rsidR="00BE0BE9" w:rsidRPr="0029110D">
              <w:rPr>
                <w:sz w:val="20"/>
                <w:szCs w:val="20"/>
              </w:rPr>
              <w:t>,</w:t>
            </w:r>
            <w:r w:rsidRPr="0029110D">
              <w:rPr>
                <w:sz w:val="20"/>
                <w:szCs w:val="20"/>
              </w:rPr>
              <w:t>0]</w:t>
            </w:r>
          </w:p>
        </w:tc>
        <w:tc>
          <w:tcPr>
            <w:tcW w:w="1627" w:type="dxa"/>
            <w:vAlign w:val="center"/>
          </w:tcPr>
          <w:p w14:paraId="5DC37394" w14:textId="349BBE2C" w:rsidR="00C34E4A" w:rsidRPr="0029110D" w:rsidRDefault="00C34E4A" w:rsidP="00AB1FF1">
            <w:pPr>
              <w:tabs>
                <w:tab w:val="left" w:pos="2730"/>
              </w:tabs>
              <w:jc w:val="center"/>
              <w:rPr>
                <w:sz w:val="20"/>
                <w:szCs w:val="20"/>
              </w:rPr>
            </w:pPr>
            <w:r w:rsidRPr="0029110D">
              <w:rPr>
                <w:sz w:val="20"/>
                <w:szCs w:val="20"/>
              </w:rPr>
              <w:t>38 (6</w:t>
            </w:r>
            <w:r w:rsidR="00BE0BE9" w:rsidRPr="0029110D">
              <w:rPr>
                <w:sz w:val="20"/>
                <w:szCs w:val="20"/>
              </w:rPr>
              <w:t>,</w:t>
            </w:r>
            <w:r w:rsidRPr="0029110D">
              <w:rPr>
                <w:sz w:val="20"/>
                <w:szCs w:val="20"/>
              </w:rPr>
              <w:t>7) [6</w:t>
            </w:r>
            <w:r w:rsidR="00BE0BE9" w:rsidRPr="0029110D">
              <w:rPr>
                <w:sz w:val="20"/>
                <w:szCs w:val="20"/>
              </w:rPr>
              <w:t>,</w:t>
            </w:r>
            <w:r w:rsidRPr="0029110D">
              <w:rPr>
                <w:sz w:val="20"/>
                <w:szCs w:val="20"/>
              </w:rPr>
              <w:t>6]</w:t>
            </w:r>
          </w:p>
        </w:tc>
        <w:tc>
          <w:tcPr>
            <w:tcW w:w="1298" w:type="dxa"/>
            <w:vAlign w:val="center"/>
          </w:tcPr>
          <w:p w14:paraId="2E35CA43" w14:textId="04F9B132" w:rsidR="00C34E4A" w:rsidRPr="0029110D" w:rsidRDefault="00C34E4A" w:rsidP="00AB1FF1">
            <w:pPr>
              <w:tabs>
                <w:tab w:val="left" w:pos="2730"/>
              </w:tabs>
              <w:jc w:val="center"/>
              <w:rPr>
                <w:sz w:val="20"/>
                <w:szCs w:val="20"/>
              </w:rPr>
            </w:pPr>
            <w:r w:rsidRPr="0029110D">
              <w:rPr>
                <w:sz w:val="20"/>
                <w:szCs w:val="20"/>
              </w:rPr>
              <w:t>60 (6</w:t>
            </w:r>
            <w:r w:rsidR="00BE0BE9" w:rsidRPr="0029110D">
              <w:rPr>
                <w:sz w:val="20"/>
                <w:szCs w:val="20"/>
              </w:rPr>
              <w:t>,</w:t>
            </w:r>
            <w:r w:rsidRPr="0029110D">
              <w:rPr>
                <w:sz w:val="20"/>
                <w:szCs w:val="20"/>
              </w:rPr>
              <w:t>3) [5</w:t>
            </w:r>
            <w:r w:rsidR="00BE0BE9" w:rsidRPr="0029110D">
              <w:rPr>
                <w:sz w:val="20"/>
                <w:szCs w:val="20"/>
              </w:rPr>
              <w:t>,</w:t>
            </w:r>
            <w:r w:rsidRPr="0029110D">
              <w:rPr>
                <w:sz w:val="20"/>
                <w:szCs w:val="20"/>
              </w:rPr>
              <w:t>6]</w:t>
            </w:r>
          </w:p>
        </w:tc>
      </w:tr>
      <w:tr w:rsidR="00C34E4A" w:rsidRPr="0029110D" w14:paraId="151A30DF" w14:textId="77777777" w:rsidTr="0029110D">
        <w:trPr>
          <w:trHeight w:val="20"/>
        </w:trPr>
        <w:tc>
          <w:tcPr>
            <w:tcW w:w="14786" w:type="dxa"/>
            <w:gridSpan w:val="9"/>
          </w:tcPr>
          <w:p w14:paraId="084D35EB" w14:textId="57C7D876" w:rsidR="00C34E4A" w:rsidRPr="0029110D" w:rsidRDefault="006E1535">
            <w:pPr>
              <w:tabs>
                <w:tab w:val="left" w:pos="2730"/>
              </w:tabs>
              <w:rPr>
                <w:sz w:val="20"/>
                <w:szCs w:val="20"/>
              </w:rPr>
            </w:pPr>
            <w:r w:rsidRPr="0029110D">
              <w:rPr>
                <w:b/>
                <w:sz w:val="20"/>
                <w:szCs w:val="20"/>
              </w:rPr>
              <w:t>Примечание:</w:t>
            </w:r>
            <w:r w:rsidRPr="0029110D">
              <w:rPr>
                <w:sz w:val="20"/>
                <w:szCs w:val="20"/>
              </w:rPr>
              <w:br/>
            </w:r>
            <w:r w:rsidR="00C34E4A" w:rsidRPr="0029110D">
              <w:rPr>
                <w:sz w:val="20"/>
                <w:szCs w:val="20"/>
              </w:rPr>
              <w:t xml:space="preserve">PBO – плацебо; BARI 2 </w:t>
            </w:r>
            <w:r w:rsidR="00C34E4A" w:rsidRPr="0029110D">
              <w:rPr>
                <w:sz w:val="20"/>
                <w:szCs w:val="20"/>
                <w:lang w:val="en-US"/>
              </w:rPr>
              <w:t>mg</w:t>
            </w:r>
            <w:r w:rsidR="00C34E4A" w:rsidRPr="0029110D">
              <w:rPr>
                <w:sz w:val="20"/>
                <w:szCs w:val="20"/>
              </w:rPr>
              <w:t xml:space="preserve"> – барицитиниб в дозе 2 мг;  BARI 4 </w:t>
            </w:r>
            <w:r w:rsidR="00C34E4A" w:rsidRPr="0029110D">
              <w:rPr>
                <w:sz w:val="20"/>
                <w:szCs w:val="20"/>
                <w:lang w:val="en-US"/>
              </w:rPr>
              <w:t>mg</w:t>
            </w:r>
            <w:r w:rsidR="00C34E4A" w:rsidRPr="0029110D">
              <w:rPr>
                <w:sz w:val="20"/>
                <w:szCs w:val="20"/>
              </w:rPr>
              <w:t xml:space="preserve"> – барицитиниб 4 мг; АА – очаговая алопеция; </w:t>
            </w:r>
            <w:r w:rsidR="00C34E4A" w:rsidRPr="0029110D">
              <w:rPr>
                <w:sz w:val="20"/>
                <w:szCs w:val="20"/>
                <w:lang w:val="en-US"/>
              </w:rPr>
              <w:t>IR</w:t>
            </w:r>
            <w:r w:rsidR="00C34E4A" w:rsidRPr="0029110D">
              <w:rPr>
                <w:sz w:val="20"/>
                <w:szCs w:val="20"/>
              </w:rPr>
              <w:t xml:space="preserve"> – уровень заболеваемости; n – количество пациентов в анализируемой популяции; </w:t>
            </w:r>
            <w:r w:rsidR="00C34E4A" w:rsidRPr="0029110D">
              <w:rPr>
                <w:sz w:val="20"/>
                <w:szCs w:val="20"/>
                <w:lang w:val="en-US"/>
              </w:rPr>
              <w:t>n</w:t>
            </w:r>
            <w:r w:rsidR="00C34E4A" w:rsidRPr="0029110D">
              <w:rPr>
                <w:sz w:val="20"/>
                <w:szCs w:val="20"/>
              </w:rPr>
              <w:t xml:space="preserve">’ – количество пациентов в указанной категории; PYE – экспозиция пациент-год; PYR – пациенто-годы риска; TEAE – событие, которое впервые произошло или регистрировали ухудшение состояния в течение периода анализа; * – включены данные от момента рандомизации до даты прекращения сбора данных. Включает всех пациентов, подвергшихся воздействию плацебо, барицитиниба в дозе 2 мг или 4 мг; </w:t>
            </w:r>
            <w:r w:rsidR="00C34E4A" w:rsidRPr="0029110D">
              <w:rPr>
                <w:sz w:val="20"/>
                <w:szCs w:val="20"/>
                <w:vertAlign w:val="superscript"/>
              </w:rPr>
              <w:t>#</w:t>
            </w:r>
            <w:r w:rsidR="00C34E4A" w:rsidRPr="0029110D">
              <w:rPr>
                <w:sz w:val="20"/>
                <w:szCs w:val="20"/>
              </w:rPr>
              <w:t xml:space="preserve"> – анализ включает данные всех пациентов, подвергшихся воздействию любой дозы барицитиниба в любое время в ходе исследований либо в результате рандомизации, либо в результате смены терапии с плацебо на барицитиниб; </w:t>
            </w:r>
            <w:r w:rsidR="00C34E4A" w:rsidRPr="0029110D">
              <w:rPr>
                <w:sz w:val="20"/>
                <w:szCs w:val="20"/>
                <w:vertAlign w:val="superscript"/>
              </w:rPr>
              <w:t xml:space="preserve">&amp; </w:t>
            </w:r>
            <w:r w:rsidR="00C34E4A" w:rsidRPr="0029110D">
              <w:rPr>
                <w:sz w:val="20"/>
                <w:szCs w:val="20"/>
              </w:rPr>
              <w:t>– анализ включает данные пациентов, которые подвергались воздействию барицитиниба в дозе 2 мг в любое время в ходе исследований либо в результате рандомизации, либо в результате смены любой терапии на барицитиниб 2 мг; ^ – анализ включает данные пациентов, которые подвергались воздействию барицитиниба в дозе 4 мг в любое время в ходе исследований, либо в результате рандомизации, либо в результате смены любой терапии на барицитиниб 4 мг.</w:t>
            </w:r>
          </w:p>
        </w:tc>
      </w:tr>
    </w:tbl>
    <w:p w14:paraId="28D18CD7" w14:textId="77777777" w:rsidR="00C34E4A" w:rsidRPr="00DD1452" w:rsidRDefault="00C34E4A">
      <w:pPr>
        <w:tabs>
          <w:tab w:val="left" w:pos="2730"/>
        </w:tabs>
        <w:spacing w:after="0" w:line="240" w:lineRule="auto"/>
      </w:pPr>
    </w:p>
    <w:p w14:paraId="5E0EC794" w14:textId="77777777" w:rsidR="00C34E4A" w:rsidRPr="00DD1452" w:rsidRDefault="00C34E4A">
      <w:pPr>
        <w:tabs>
          <w:tab w:val="left" w:pos="2730"/>
        </w:tabs>
        <w:spacing w:after="0" w:line="240" w:lineRule="auto"/>
      </w:pPr>
    </w:p>
    <w:p w14:paraId="780B6BA1" w14:textId="77777777" w:rsidR="00C34E4A" w:rsidRDefault="00C34E4A">
      <w:pPr>
        <w:spacing w:after="0" w:line="240" w:lineRule="auto"/>
        <w:ind w:firstLine="709"/>
        <w:sectPr w:rsidR="00C34E4A" w:rsidSect="00DD1452">
          <w:pgSz w:w="16838" w:h="11906" w:orient="landscape"/>
          <w:pgMar w:top="1701" w:right="1134" w:bottom="849" w:left="1134" w:header="708" w:footer="709" w:gutter="0"/>
          <w:cols w:space="708"/>
          <w:docGrid w:linePitch="360"/>
        </w:sectPr>
      </w:pPr>
    </w:p>
    <w:p w14:paraId="692CEAC9" w14:textId="77777777" w:rsidR="00C34E4A" w:rsidRDefault="00C34E4A">
      <w:pPr>
        <w:spacing w:after="0" w:line="240" w:lineRule="auto"/>
        <w:ind w:firstLine="709"/>
      </w:pPr>
      <w:r>
        <w:lastRenderedPageBreak/>
        <w:t xml:space="preserve">В ходе </w:t>
      </w:r>
      <w:r w:rsidRPr="000345A1">
        <w:t>36-недельны</w:t>
      </w:r>
      <w:r>
        <w:t>х</w:t>
      </w:r>
      <w:r w:rsidRPr="000345A1">
        <w:t xml:space="preserve"> плацебо контролируемы</w:t>
      </w:r>
      <w:r>
        <w:t>х</w:t>
      </w:r>
      <w:r w:rsidRPr="000345A1">
        <w:t xml:space="preserve"> исследовани</w:t>
      </w:r>
      <w:r>
        <w:t>й</w:t>
      </w:r>
      <w:r w:rsidRPr="000345A1">
        <w:t xml:space="preserve"> </w:t>
      </w:r>
      <w:r>
        <w:t xml:space="preserve">«распространенные НЯ» чаще всего возникали в группе барицитиниба 4 мг, численно реже в группе 2 мг и меньше всего в группе плацебо. Наиболее распространенные НЯ, которые численно чаще встречались в группах лечения барицитинибом, включали (плацебо, барицитиниб 2 мг, барицитиниб 4 мг): инфекции верхних дыхательных путей (7,0%, 6,6%, 7,6%) и вирусные инфекции верхних дыхательных путей (1,6%, 2,2%, 1,5%), назофарингит (5,1%, 4,4%, 6,9%), головная боль (5,4%, 5,5%, 6,7%), акне (1,1% , 5,8%,  5,6%), увеличение активности креатинфосфокиназы в крови (1,3%, 0,8%, 4,3%), инфекции мочевыводящих путей (1,6%, 3,8%, 3,3%), грипп (1,9%, 1,6%, 2,6%), усталость (1,1%, 0,8%, 2,2%), фолликулит (0,8%, 1,4%, 2,2%), тошнота (1,6%, 2,7%, 2,0%) и вульвовагинальный кандидоз (0%, 2,6%, 1,2%) </w:t>
      </w:r>
      <w:r>
        <w:fldChar w:fldCharType="begin"/>
      </w:r>
      <w:r>
        <w:instrText xml:space="preserve"> ADDIN ZOTERO_ITEM CSL_CITATION {"citationID":"ceuTUReQ","properties":{"formattedCitation":"[2]","plainCitation":"[2]","noteIndex":0},"citationItems":[{"id":3827,"uris":["http://zotero.org/groups/4514912/items/LB74K8KI"],"itemData":{"id":3827,"type":"document","title":"Assessment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7B37FF0D" w14:textId="77777777" w:rsidR="00C34E4A" w:rsidRDefault="00C34E4A">
      <w:pPr>
        <w:spacing w:after="0" w:line="240" w:lineRule="auto"/>
        <w:ind w:firstLine="709"/>
      </w:pPr>
    </w:p>
    <w:p w14:paraId="2E40945A" w14:textId="47A87053" w:rsidR="00C34E4A" w:rsidRPr="006E1535" w:rsidRDefault="006E1535">
      <w:pPr>
        <w:spacing w:after="0" w:line="240" w:lineRule="auto"/>
        <w:rPr>
          <w:b/>
          <w:iCs/>
        </w:rPr>
      </w:pPr>
      <w:r w:rsidRPr="006E1535">
        <w:rPr>
          <w:b/>
        </w:rPr>
        <w:t xml:space="preserve">4.3.2.2.2. </w:t>
      </w:r>
      <w:r w:rsidR="00F1294E">
        <w:rPr>
          <w:b/>
          <w:iCs/>
        </w:rPr>
        <w:t>Серьезные нежелательные явлен</w:t>
      </w:r>
      <w:r w:rsidR="00963B80">
        <w:rPr>
          <w:b/>
          <w:iCs/>
        </w:rPr>
        <w:t>и</w:t>
      </w:r>
      <w:r w:rsidR="00F1294E">
        <w:rPr>
          <w:b/>
          <w:iCs/>
        </w:rPr>
        <w:t>я</w:t>
      </w:r>
      <w:r>
        <w:rPr>
          <w:b/>
          <w:iCs/>
        </w:rPr>
        <w:t>/смерти</w:t>
      </w:r>
      <w:r w:rsidRPr="005D2DF4">
        <w:rPr>
          <w:b/>
          <w:iCs/>
        </w:rPr>
        <w:t>/другие значимые события</w:t>
      </w:r>
    </w:p>
    <w:p w14:paraId="6CDB5611" w14:textId="77777777" w:rsidR="006E1535" w:rsidRDefault="006E1535">
      <w:pPr>
        <w:spacing w:after="0" w:line="240" w:lineRule="auto"/>
        <w:ind w:firstLine="709"/>
      </w:pPr>
    </w:p>
    <w:p w14:paraId="7E8819A2" w14:textId="77777777" w:rsidR="00C34E4A" w:rsidRDefault="00C34E4A">
      <w:pPr>
        <w:spacing w:after="0" w:line="240" w:lineRule="auto"/>
        <w:ind w:firstLine="709"/>
      </w:pPr>
      <w:r>
        <w:t xml:space="preserve">В ходе клинических исследований ОА не было зарегистрировано ни одного случая смерти до даты окончания сбора данных. О СНЯ сообщалось в соответствии с рекомендациями </w:t>
      </w:r>
      <w:r w:rsidRPr="006740E4">
        <w:t>ICH E2A</w:t>
      </w:r>
      <w:r>
        <w:t xml:space="preserve"> (1994) </w:t>
      </w:r>
      <w:r>
        <w:fldChar w:fldCharType="begin"/>
      </w:r>
      <w:r>
        <w:instrText xml:space="preserve"> ADDIN ZOTERO_ITEM CSL_CITATION {"citationID":"iEVX0Qic","properties":{"formattedCitation":"[2]","plainCitation":"[2]","noteIndex":0},"citationItems":[{"id":3827,"uris":["http://zotero.org/groups/4514912/items/LB74K8KI"],"itemData":{"id":3827,"type":"document","title":"Assessment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464C4CFE" w14:textId="77777777" w:rsidR="00C34E4A" w:rsidRDefault="00C34E4A">
      <w:pPr>
        <w:spacing w:after="0" w:line="240" w:lineRule="auto"/>
        <w:ind w:firstLine="709"/>
      </w:pPr>
      <w:r>
        <w:t>В течение 36-недельных плацебо-контролируемого периода в группах барицитиниба 2 мг и 4 мг 2,2% и 2,6% пациентов, сообщали по крайней мере об одном СНЯ, по сравнению с 1,6% в группе плацебо. В течение продолжительного периода лечения большинство СНЯ относились к «Травмы, отравления и процедурные осложнения», «Инфекции и инвазии», «Нарушения со стороны сердца» и «</w:t>
      </w:r>
      <w:r w:rsidRPr="00C27FD9">
        <w:t>Желудочно-кишечные нарушения</w:t>
      </w:r>
      <w:r>
        <w:t xml:space="preserve">» </w:t>
      </w:r>
      <w:r>
        <w:fldChar w:fldCharType="begin"/>
      </w:r>
      <w:r>
        <w:instrText xml:space="preserve"> ADDIN ZOTERO_ITEM CSL_CITATION {"citationID":"TZSsyOvb","properties":{"formattedCitation":"[2]","plainCitation":"[2]","noteIndex":0},"citationItems":[{"id":3827,"uris":["http://zotero.org/groups/4514912/items/LB74K8KI"],"itemData":{"id":3827,"type":"document","title":"Assessment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783290E6" w14:textId="77777777" w:rsidR="00C34E4A" w:rsidRDefault="00C34E4A">
      <w:pPr>
        <w:spacing w:after="0" w:line="240" w:lineRule="auto"/>
        <w:ind w:firstLine="709"/>
      </w:pPr>
      <w:r>
        <w:t xml:space="preserve">Из категории «Травмы, отравления и процедурные осложнения» переломы были наиболее частыми СНЯ у пациентов, получавших барицитиниб. В ходе плацебо контролируемых исследований зарегистрировано 3 перелома в группе плацебо, у 8 пациентов в группе барицитиниба 2 мг и у 7 пациентов в группе барицитиниба 4 мг. В расширенном наборе данных 11 пациентов, принимавших 2 мг (3,0%) барицитиниба, и 12 пациентов, принимавших 4 мг (2,2%) барицитиниба, сообщили о переломах </w:t>
      </w:r>
      <w:r>
        <w:fldChar w:fldCharType="begin"/>
      </w:r>
      <w:r>
        <w:instrText xml:space="preserve"> ADDIN ZOTERO_ITEM CSL_CITATION {"citationID":"IuYqHucm","properties":{"formattedCitation":"[2]","plainCitation":"[2]","noteIndex":0},"citationItems":[{"id":3827,"uris":["http://zotero.org/groups/4514912/items/LB74K8KI"],"itemData":{"id":3827,"type":"document","title":"Assessment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46EDC596" w14:textId="77777777" w:rsidR="00C34E4A" w:rsidRDefault="00C34E4A">
      <w:pPr>
        <w:spacing w:after="0" w:line="240" w:lineRule="auto"/>
        <w:ind w:firstLine="709"/>
      </w:pPr>
      <w:r>
        <w:t xml:space="preserve">Сообщалось о двух случаях пиелонефрита, по одному в каждой группе, получавшей барицитиниб. В наборе данных All BARI (анализ включает данные </w:t>
      </w:r>
      <w:r w:rsidRPr="00F65FD2">
        <w:t xml:space="preserve">всех пациентов, подвергшихся воздействию любой дозы </w:t>
      </w:r>
      <w:r>
        <w:t>барицитиниба</w:t>
      </w:r>
      <w:r w:rsidRPr="00F65FD2">
        <w:t xml:space="preserve"> в любое время в ходе исследований либо в результате рандомизации, либо в результате </w:t>
      </w:r>
      <w:r>
        <w:t xml:space="preserve">смены терапии с плацебо на барицитиниб) регистрировали 6 случаев COVID-19, 3 из них с пневмонией. В расширенном наборе данных СНЯ: дивертикулит (n=1), аппендицит (n=2), перфоративный аппендицит (n=1) и опоясывающего герпеса регистрировали в группе барицитиниба 4 мг. Пневмония, дивертикулит и опоясывающий герпес известны как побочные эффекты барицитиниба, перфорация ЖКТ является важным выявленным риском. В отношении сердечно-сосудистой системы было зарегистрировано 4 СНЯ: желудочковая тахикардия, острый инфаркт миокарда, застойная сердечная недостаточность, недостаточность аортального клапана в группах барицитиниба и ни одного в группе плацебо. СНЯ со стороны ЖКТ были стеноз желудка, непроходимость желудка в группе барицитиниба 2 мг, кроме трех случаев аппендицита, описанных выше. Со стороны гепатобилиарной системы, в группе плацебо было зарегистрировано одно СНЯ в виде острого холецистита и два в группе барицитиниба с дополнительным СНЯ в виде острого гепатита </w:t>
      </w:r>
      <w:r>
        <w:fldChar w:fldCharType="begin"/>
      </w:r>
      <w:r>
        <w:instrText xml:space="preserve"> ADDIN ZOTERO_ITEM CSL_CITATION {"citationID":"TvEUPfmS","properties":{"formattedCitation":"[2]","plainCitation":"[2]","noteIndex":0},"citationItems":[{"id":3827,"uris":["http://zotero.org/groups/4514912/items/LB74K8KI"],"itemData":{"id":3827,"type":"document","title":"Assessment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2AC1D30D" w14:textId="77777777" w:rsidR="00C34E4A" w:rsidRDefault="00C34E4A">
      <w:pPr>
        <w:spacing w:after="0" w:line="240" w:lineRule="auto"/>
        <w:ind w:firstLine="709"/>
      </w:pPr>
      <w:r>
        <w:t xml:space="preserve">Зарегистрировали 2 случая </w:t>
      </w:r>
      <w:r w:rsidRPr="00674FF1">
        <w:t>венозных тромботических событий (</w:t>
      </w:r>
      <w:r>
        <w:t xml:space="preserve">одна легочная эмболия и один тромбоз глубоких вен), произошедшие после закрытия базы данных, что согласуется с ранее выявленными сведеньями </w:t>
      </w:r>
      <w:r>
        <w:fldChar w:fldCharType="begin"/>
      </w:r>
      <w:r>
        <w:instrText xml:space="preserve"> ADDIN ZOTERO_ITEM CSL_CITATION {"citationID":"5AyHzvgM","properties":{"formattedCitation":"[2]","plainCitation":"[2]","noteIndex":0},"citationItems":[{"id":3827,"uris":["http://zotero.org/groups/4514912/items/LB74K8KI"],"itemData":{"id":3827,"type":"document","title":"Assessment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68CA5F1B" w14:textId="2563A70D" w:rsidR="00C34E4A" w:rsidRDefault="00C34E4A">
      <w:pPr>
        <w:spacing w:after="0" w:line="240" w:lineRule="auto"/>
        <w:ind w:firstLine="709"/>
      </w:pPr>
      <w:r>
        <w:lastRenderedPageBreak/>
        <w:t xml:space="preserve"> В группах барицитиниба (анализ включает данные </w:t>
      </w:r>
      <w:r w:rsidRPr="00F65FD2">
        <w:t xml:space="preserve">всех пациентов, подвергшихся воздействию любой дозы </w:t>
      </w:r>
      <w:r>
        <w:t>барицитиниба</w:t>
      </w:r>
      <w:r w:rsidRPr="00F65FD2">
        <w:t xml:space="preserve"> в любое время в ходе исследований либо в результате рандомизации, либо в результате </w:t>
      </w:r>
      <w:r>
        <w:t xml:space="preserve">смены терапии с плацебо на барицитиниб) регистрировали 1 случай В-клеточной лимфомы. Не зарегистрировали ни одного случая ТБ, кандидозных инфекций, </w:t>
      </w:r>
      <w:r w:rsidRPr="00E2753B">
        <w:t>прогрессирующ</w:t>
      </w:r>
      <w:r>
        <w:t>ей</w:t>
      </w:r>
      <w:r w:rsidRPr="00E2753B">
        <w:t xml:space="preserve"> мультифокальн</w:t>
      </w:r>
      <w:r>
        <w:t>ой</w:t>
      </w:r>
      <w:r w:rsidRPr="00E2753B">
        <w:t xml:space="preserve"> лейкоэнцефалопати</w:t>
      </w:r>
      <w:r>
        <w:t xml:space="preserve">и. </w:t>
      </w:r>
      <w:r w:rsidR="007F72CA">
        <w:t>Зарегистрировали СНЯ острого гепатита/острого холецистита (</w:t>
      </w:r>
      <w:r w:rsidR="007F72CA">
        <w:rPr>
          <w:lang w:val="en-US"/>
        </w:rPr>
        <w:t>n</w:t>
      </w:r>
      <w:r w:rsidR="007F72CA" w:rsidRPr="00E2753B">
        <w:t>=3</w:t>
      </w:r>
      <w:r w:rsidR="007F72CA">
        <w:t>); MACE (</w:t>
      </w:r>
      <w:r w:rsidR="007F72CA">
        <w:rPr>
          <w:lang w:val="en-US"/>
        </w:rPr>
        <w:t>n</w:t>
      </w:r>
      <w:r w:rsidR="007F72CA" w:rsidRPr="00E2753B">
        <w:t>=</w:t>
      </w:r>
      <w:r w:rsidR="007F72CA">
        <w:t>2, острая инфекция миокарда и застойная сердечная недостаточность); венозные тромботически</w:t>
      </w:r>
      <w:r w:rsidR="007F72CA">
        <w:t>е</w:t>
      </w:r>
      <w:r w:rsidR="007F72CA">
        <w:t xml:space="preserve"> события (</w:t>
      </w:r>
      <w:r w:rsidR="007F72CA">
        <w:rPr>
          <w:lang w:val="en-US"/>
        </w:rPr>
        <w:t>n</w:t>
      </w:r>
      <w:r w:rsidR="007F72CA" w:rsidRPr="00E2753B">
        <w:t>=</w:t>
      </w:r>
      <w:r w:rsidR="007F72CA">
        <w:t>2); перфорация ЖКТ (</w:t>
      </w:r>
      <w:r w:rsidR="007F72CA">
        <w:rPr>
          <w:lang w:val="en-US"/>
        </w:rPr>
        <w:t>n</w:t>
      </w:r>
      <w:r w:rsidR="007F72CA" w:rsidRPr="00E2753B">
        <w:t>=</w:t>
      </w:r>
      <w:r w:rsidR="007F72CA">
        <w:t xml:space="preserve">1). </w:t>
      </w:r>
      <w:r>
        <w:t xml:space="preserve">В группах, получавших барицитиниб, не было СНЯ в виде миелосупрессии или миопатии, включая рабдомиолиз </w:t>
      </w:r>
      <w:r>
        <w:fldChar w:fldCharType="begin"/>
      </w:r>
      <w:r>
        <w:instrText xml:space="preserve"> ADDIN ZOTERO_ITEM CSL_CITATION {"citationID":"le7hPr8G","properties":{"formattedCitation":"[2]","plainCitation":"[2]","noteIndex":0},"citationItems":[{"id":3827,"uris":["http://zotero.org/groups/4514912/items/LB74K8KI"],"itemData":{"id":3827,"type":"document","title":"Assessment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 xml:space="preserve">. </w:t>
      </w:r>
    </w:p>
    <w:p w14:paraId="36AF704B" w14:textId="77777777" w:rsidR="00C34E4A" w:rsidRPr="008F7CAB" w:rsidRDefault="00C34E4A">
      <w:pPr>
        <w:spacing w:after="0" w:line="240" w:lineRule="auto"/>
        <w:ind w:firstLine="709"/>
      </w:pPr>
    </w:p>
    <w:p w14:paraId="0373ACCA" w14:textId="77777777" w:rsidR="00C34E4A" w:rsidRPr="00BE0BE9" w:rsidRDefault="00C34E4A" w:rsidP="00AB1FF1">
      <w:pPr>
        <w:spacing w:after="0" w:line="240" w:lineRule="auto"/>
        <w:rPr>
          <w:b/>
          <w:i/>
          <w:iCs/>
        </w:rPr>
      </w:pPr>
      <w:r w:rsidRPr="00BE0BE9">
        <w:rPr>
          <w:b/>
          <w:i/>
          <w:iCs/>
        </w:rPr>
        <w:t>Инфекции, в том числе оппортунистические инфекции</w:t>
      </w:r>
    </w:p>
    <w:p w14:paraId="031F06BA" w14:textId="77777777" w:rsidR="0029110D" w:rsidRDefault="0029110D">
      <w:pPr>
        <w:spacing w:after="0" w:line="240" w:lineRule="auto"/>
        <w:ind w:firstLine="709"/>
      </w:pPr>
    </w:p>
    <w:p w14:paraId="07B87610" w14:textId="054D5769" w:rsidR="00C34E4A" w:rsidRPr="008F7CAB" w:rsidRDefault="00C34E4A">
      <w:pPr>
        <w:spacing w:after="0" w:line="240" w:lineRule="auto"/>
        <w:ind w:firstLine="709"/>
      </w:pPr>
      <w:r w:rsidRPr="008F7CAB">
        <w:t>Фармакодинамическое действия барицитиниба может привести к повышенной частоте возникновения инфекций у пациентов. SmPC барицитиниба включает инфекции в разделе «Предупреждения и меры предосторожности». Инфекции верхних дыхательных путей, герпес, гастроэнтерит, инфекции мочевыводящих путей и пневмония относятся к нежелательным реакциям, а серьезные инфекции являются важным потенциальным риском барицитиниба. В клинической программе ОА пациенты</w:t>
      </w:r>
      <w:r>
        <w:t xml:space="preserve"> не включались в исследование/</w:t>
      </w:r>
      <w:r w:rsidRPr="008F7CAB">
        <w:t>исключались, если у них были</w:t>
      </w:r>
      <w:r>
        <w:t xml:space="preserve"> </w:t>
      </w:r>
      <w:r>
        <w:fldChar w:fldCharType="begin"/>
      </w:r>
      <w:r>
        <w:instrText xml:space="preserve"> ADDIN ZOTERO_ITEM CSL_CITATION {"citationID":"7PxtO0oo","properties":{"formattedCitation":"[2]","plainCitation":"[2]","noteIndex":0},"citationItems":[{"id":3827,"uris":["http://zotero.org/groups/4514912/items/LB74K8KI"],"itemData":{"id":3827,"type":"document","title":"Assessment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F7CAB">
        <w:t>:</w:t>
      </w:r>
    </w:p>
    <w:p w14:paraId="4A95EB86" w14:textId="77777777" w:rsidR="00C34E4A" w:rsidRPr="008F7CAB" w:rsidRDefault="00C34E4A">
      <w:pPr>
        <w:spacing w:after="0" w:line="240" w:lineRule="auto"/>
        <w:ind w:firstLine="709"/>
      </w:pPr>
      <w:r w:rsidRPr="008F7CAB">
        <w:t>• герпетическая экзема в анамнезе за последние 12 месяцев или 2 предыдущих эпизода, или</w:t>
      </w:r>
    </w:p>
    <w:p w14:paraId="747957DB" w14:textId="77777777" w:rsidR="00C34E4A" w:rsidRPr="008F7CAB" w:rsidRDefault="00C34E4A">
      <w:pPr>
        <w:spacing w:after="0" w:line="240" w:lineRule="auto"/>
        <w:ind w:firstLine="709"/>
      </w:pPr>
      <w:r w:rsidRPr="008F7CAB">
        <w:t>• текущая или недавняя и/или клинически серьезная вирусная, бактериальная, грибковая или паразитарная инфекция.</w:t>
      </w:r>
    </w:p>
    <w:p w14:paraId="6E2C6724" w14:textId="77777777" w:rsidR="00C34E4A" w:rsidRPr="008F7CAB" w:rsidRDefault="00C34E4A">
      <w:pPr>
        <w:spacing w:after="0" w:line="240" w:lineRule="auto"/>
        <w:ind w:firstLine="709"/>
      </w:pPr>
      <w:r w:rsidRPr="008F7CAB">
        <w:t>Потенциальные оппортунистические инфекции (ОИ) были определены с использованием списка PT MedDRA в соответствии с согласованными рекомендациями по отчетности об ОИ:</w:t>
      </w:r>
    </w:p>
    <w:p w14:paraId="387DB036" w14:textId="77777777" w:rsidR="00C34E4A" w:rsidRPr="008F7CAB" w:rsidRDefault="00C34E4A">
      <w:pPr>
        <w:spacing w:after="0" w:line="240" w:lineRule="auto"/>
        <w:ind w:firstLine="709"/>
      </w:pPr>
      <w:r w:rsidRPr="008F7CAB">
        <w:t>• Кандидозные инфекции, поражающие только ротовую полость и глотку, не считались ОИ, за исключением случаев, когда также присутствовали инфекции пищевода или нижележащих отделов ЖКТ;</w:t>
      </w:r>
    </w:p>
    <w:p w14:paraId="48DDE341" w14:textId="77777777" w:rsidR="00C34E4A" w:rsidRPr="008F7CAB" w:rsidRDefault="00C34E4A">
      <w:pPr>
        <w:spacing w:after="0" w:line="240" w:lineRule="auto"/>
        <w:ind w:firstLine="709"/>
      </w:pPr>
      <w:r w:rsidRPr="008F7CAB">
        <w:t>• Локализованные инфекции опоясывающего герпеса не считались ОИ; только мультидерматомы или диссеминированные инфекции или и то, и другое считались ОИ.</w:t>
      </w:r>
    </w:p>
    <w:p w14:paraId="03641413" w14:textId="77777777" w:rsidR="00C34E4A" w:rsidRPr="008F7CAB" w:rsidRDefault="00C34E4A">
      <w:pPr>
        <w:spacing w:after="0" w:line="240" w:lineRule="auto"/>
        <w:ind w:firstLine="709"/>
      </w:pPr>
      <w:r w:rsidRPr="008F7CAB">
        <w:t>• Активная туберкулезная инфекция, возникшая после лечения, считалась ОИ.</w:t>
      </w:r>
    </w:p>
    <w:p w14:paraId="3162E01D" w14:textId="77777777" w:rsidR="00C34E4A" w:rsidRDefault="00C34E4A">
      <w:pPr>
        <w:spacing w:after="0" w:line="240" w:lineRule="auto"/>
        <w:ind w:firstLine="709"/>
      </w:pPr>
      <w:r w:rsidRPr="008F7CAB">
        <w:t>В плацебо-контролируемых исследованиях не регистрировали значимых отличий между группами, получавшими плацебо и барицитиниб, в отношении: частоты возникающих инфекций, серьезности развития инфекционного поражения, необходимости временного прерывания или отказа от приема исследуемого препарата из-за инфекций. Наиболее частыми инфекциями (более чем у 1% пациентов в любой группе приема барицитиниба) являлись: инфекции мочевыводящих путей, фолликулит, бронхит, опоясывающий герпес и кандидозный вульвовагинит. Различия не были статистически значимыми, за исключением кандидозн</w:t>
      </w:r>
      <w:r>
        <w:t>ого</w:t>
      </w:r>
      <w:r w:rsidRPr="008F7CAB">
        <w:t xml:space="preserve"> вульвовагинит</w:t>
      </w:r>
      <w:r>
        <w:t>а</w:t>
      </w:r>
      <w:r w:rsidRPr="008F7CAB">
        <w:t>. Регистрировали развитие пиелонефрита у пациентов, получавших барицитиниб 2 или 4 мг, и пневмонии COVID-19 (барицитиниб 2 мг), что привело к отмене исследуемого препарата. Опоясывающий герпес был наиболее часто регистрируемой инфекцией, что привело к временному прекращению приема исследуемого препарата у пациентов, получавших барицитиниб, как это предписано протоколом. Один пациент прекратил прием исследуемого препарата из-за инфекции нижних дыхательных путей в группе барицитиниба 2 мг</w:t>
      </w:r>
      <w:r>
        <w:t xml:space="preserve"> </w:t>
      </w:r>
      <w:r>
        <w:fldChar w:fldCharType="begin"/>
      </w:r>
      <w:r>
        <w:instrText xml:space="preserve"> ADDIN ZOTERO_ITEM CSL_CITATION {"citationID":"nALbWquj","properties":{"formattedCitation":"[2]","plainCitation":"[2]","noteIndex":0},"citationItems":[{"id":3827,"uris":["http://zotero.org/groups/4514912/items/LB74K8KI"],"itemData":{"id":3827,"type":"document","title":"Assessment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F7CAB">
        <w:t>.</w:t>
      </w:r>
      <w:r>
        <w:t xml:space="preserve"> </w:t>
      </w:r>
    </w:p>
    <w:p w14:paraId="393C8FC1" w14:textId="21235406" w:rsidR="00C34E4A" w:rsidRDefault="00C34E4A">
      <w:pPr>
        <w:spacing w:after="0" w:line="240" w:lineRule="auto"/>
        <w:ind w:firstLine="709"/>
      </w:pPr>
      <w:r w:rsidRPr="00CC6AB9">
        <w:t xml:space="preserve">В течение 36-недельного плацебо контролируемого периода исследований JAHO и JAIR наблюдалась более высокая частота развития фолликулита при применении </w:t>
      </w:r>
      <w:r w:rsidRPr="00CC6AB9">
        <w:lastRenderedPageBreak/>
        <w:t xml:space="preserve">барицитиниба 2 мг (1,4%,) и барицитиниба 4 мг (2,2%,) по сравнению с плацебо (0,8%,). Большинство случаев фолликулита на коже головы (71%) произошло у пациентов, при повторном росте волос на голове во время события, или волос начинал расти вскоре после развития фолликулита. Большинство (70%) пациентов выздоровели, ни один пациент не прервал или не прекратил прием исследуемого препарата из-за НЯ. Исследователями не установлена связь между приемом барицитиниба и развитием фолликулита, опосредованная </w:t>
      </w:r>
      <w:r w:rsidR="00963B80" w:rsidRPr="00CC6AB9">
        <w:t>иммуносупрессивным</w:t>
      </w:r>
      <w:r w:rsidRPr="00CC6AB9">
        <w:t xml:space="preserve"> действием барицитиниба. Авторы считают, что если бы фолликулит указывал на инфекции, вызванные местной иммуносупрессией, то были бы поражены различные области тела у </w:t>
      </w:r>
      <w:r w:rsidR="00963B80">
        <w:t>пациентов, отвечающих и не отвечающих на терапию</w:t>
      </w:r>
      <w:r>
        <w:t xml:space="preserve"> </w:t>
      </w:r>
      <w:r>
        <w:fldChar w:fldCharType="begin"/>
      </w:r>
      <w:r>
        <w:instrText xml:space="preserve"> ADDIN ZOTERO_ITEM CSL_CITATION {"citationID":"WQKE0KlU","properties":{"formattedCitation":"[2]","plainCitation":"[2]","noteIndex":0},"citationItems":[{"id":3827,"uris":["http://zotero.org/groups/4514912/items/LB74K8KI"],"itemData":{"id":3827,"type":"document","title":"Assessment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6363A312" w14:textId="77777777" w:rsidR="00C34E4A" w:rsidRDefault="00C34E4A">
      <w:pPr>
        <w:spacing w:after="0" w:line="240" w:lineRule="auto"/>
        <w:ind w:firstLine="709"/>
      </w:pPr>
      <w:r>
        <w:t xml:space="preserve">В клинических исследованиях по оценке эффективности и безопасности барицитиниба в отношении ОА не зарегистрировано ни подтвержденных ОИ, ни случаев ТБ. Установленный профиль безопасности барицитиниба включает вирусную реактивацию, в том числе реактивацию вируса герпеса и гепатита В в разделе «Предупреждения и меры предосторожности» </w:t>
      </w:r>
      <w:r>
        <w:fldChar w:fldCharType="begin"/>
      </w:r>
      <w:r>
        <w:instrText xml:space="preserve"> ADDIN ZOTERO_ITEM CSL_CITATION {"citationID":"GtsXkWe9","properties":{"formattedCitation":"[2]","plainCitation":"[2]","noteIndex":0},"citationItems":[{"id":3827,"uris":["http://zotero.org/groups/4514912/items/LB74K8KI"],"itemData":{"id":3827,"type":"document","title":"Assessment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0E397BF3" w14:textId="77777777" w:rsidR="006E1535" w:rsidRDefault="006E1535">
      <w:pPr>
        <w:spacing w:after="0" w:line="240" w:lineRule="auto"/>
        <w:rPr>
          <w:i/>
          <w:iCs/>
        </w:rPr>
      </w:pPr>
    </w:p>
    <w:p w14:paraId="78682060" w14:textId="77777777" w:rsidR="00C34E4A" w:rsidRPr="00BE0BE9" w:rsidRDefault="00C34E4A" w:rsidP="00AB1FF1">
      <w:pPr>
        <w:spacing w:after="0" w:line="240" w:lineRule="auto"/>
        <w:rPr>
          <w:b/>
          <w:i/>
          <w:iCs/>
        </w:rPr>
      </w:pPr>
      <w:r w:rsidRPr="00BE0BE9">
        <w:rPr>
          <w:b/>
          <w:i/>
          <w:iCs/>
        </w:rPr>
        <w:t>Изменения гематологических параметров</w:t>
      </w:r>
    </w:p>
    <w:p w14:paraId="176F3B24" w14:textId="77777777" w:rsidR="0029110D" w:rsidRDefault="0029110D">
      <w:pPr>
        <w:spacing w:after="0" w:line="240" w:lineRule="auto"/>
        <w:ind w:firstLine="709"/>
      </w:pPr>
    </w:p>
    <w:p w14:paraId="4DAEFD29" w14:textId="7CB06DBF" w:rsidR="00C34E4A" w:rsidRDefault="00C34E4A">
      <w:pPr>
        <w:spacing w:after="0" w:line="240" w:lineRule="auto"/>
        <w:ind w:firstLine="709"/>
      </w:pPr>
      <w:r>
        <w:t xml:space="preserve">В ходе исследований по оценке эффективности и безопасности барицитиниба в отношении ОА регистрировали большую частоту встречаемости снижения количества нейтрофилов и лимфоцитов, снижения уровня </w:t>
      </w:r>
      <w:r>
        <w:rPr>
          <w:lang w:val="en-US"/>
        </w:rPr>
        <w:t>Hb</w:t>
      </w:r>
      <w:r>
        <w:t xml:space="preserve"> и повышения количества тромбоцитов при приеме барицитиниба в дозах 4 и 2 мг по сравнению с плацебо. При анализе данных, полученных от всех пациентов, получавших барицитиниб хотя бы 1 раз, 13 пациентов (1%) сообщили о TEAE – анемии, все события были легкой или средней степени тяжести, при этом 3 пациента прервали прием барицитиниба из-за анемии. Вмешивающиеся факторы или альтернативные причины присутствовали у 12 из 13 пациентов с анемией, включая желудочно-кишечное кровотечение в анамнезе, дефицит витамина B12, гемоглобинопатию, анемию и дефицит железа. У нескольких пациенток изначально был низкий </w:t>
      </w:r>
      <w:r>
        <w:rPr>
          <w:lang w:val="en-US"/>
        </w:rPr>
        <w:t>Hb</w:t>
      </w:r>
      <w:r>
        <w:t xml:space="preserve">, или анемия была связана с вагинальным кровотечением, липосакцией, использованием пенициллина или дисменореей. Хотя низкий уровень </w:t>
      </w:r>
      <w:r>
        <w:rPr>
          <w:lang w:val="en-US"/>
        </w:rPr>
        <w:t>Hb</w:t>
      </w:r>
      <w:r>
        <w:t xml:space="preserve"> и связанные с ним изменения гематологических аналитов наблюдались с большей частотой у пациентов, получавших лечение барицитинибом, по сравнению с плацебо, и чаще у пациентов, получавших барицитиниб в дозе 4 мг, по сравнению с группой, получавшей 2 мг, в большинстве случаев повышение уровня </w:t>
      </w:r>
      <w:r>
        <w:rPr>
          <w:lang w:val="en-US"/>
        </w:rPr>
        <w:t>Hb</w:t>
      </w:r>
      <w:r>
        <w:t xml:space="preserve"> 1 или 2 степени, а среднее снижение по сравнению с исходным уровнем было не значительным и не имело клинического значения </w:t>
      </w:r>
      <w:r>
        <w:fldChar w:fldCharType="begin"/>
      </w:r>
      <w:r>
        <w:instrText xml:space="preserve"> ADDIN ZOTERO_ITEM CSL_CITATION {"citationID":"4Xb0aWzw","properties":{"formattedCitation":"[2]","plainCitation":"[2]","noteIndex":0},"citationItems":[{"id":3827,"uris":["http://zotero.org/groups/4514912/items/LB74K8KI"],"itemData":{"id":3827,"type":"document","title":"Assessment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4D32DDB1" w14:textId="77777777" w:rsidR="00C34E4A" w:rsidRPr="00247C36" w:rsidRDefault="00C34E4A">
      <w:pPr>
        <w:spacing w:after="0" w:line="240" w:lineRule="auto"/>
        <w:ind w:firstLine="709"/>
        <w:rPr>
          <w:color w:val="000000"/>
        </w:rPr>
      </w:pPr>
      <w:r>
        <w:rPr>
          <w:color w:val="000000"/>
        </w:rPr>
        <w:t>У пациентов с ОА регистрировали п</w:t>
      </w:r>
      <w:r w:rsidRPr="00247C36">
        <w:rPr>
          <w:color w:val="000000"/>
        </w:rPr>
        <w:t xml:space="preserve">овышение среднего уровня </w:t>
      </w:r>
      <w:r>
        <w:rPr>
          <w:color w:val="000000"/>
        </w:rPr>
        <w:t xml:space="preserve">холестерина </w:t>
      </w:r>
      <w:r w:rsidRPr="00247C36">
        <w:rPr>
          <w:color w:val="000000"/>
        </w:rPr>
        <w:t xml:space="preserve">ЛПНП, </w:t>
      </w:r>
      <w:r>
        <w:rPr>
          <w:color w:val="000000"/>
        </w:rPr>
        <w:t xml:space="preserve">холестерина </w:t>
      </w:r>
      <w:r w:rsidRPr="00247C36">
        <w:rPr>
          <w:color w:val="000000"/>
        </w:rPr>
        <w:t>ЛПВП и, соответственно, общего холестерина в первые 12 недель лечения барицитинибом. По сравнению с группой плацебо не было различий ни в среднем уровне триглицеридов, ни в проценте категориальных сдвигов для триглицеридов</w:t>
      </w:r>
      <w:r>
        <w:t xml:space="preserve"> </w:t>
      </w:r>
      <w:r>
        <w:fldChar w:fldCharType="begin"/>
      </w:r>
      <w:r>
        <w:instrText xml:space="preserve"> ADDIN ZOTERO_ITEM CSL_CITATION {"citationID":"fpc5qhg9","properties":{"formattedCitation":"[2]","plainCitation":"[2]","noteIndex":0},"citationItems":[{"id":3827,"uris":["http://zotero.org/groups/4514912/items/LB74K8KI"],"itemData":{"id":3827,"type":"document","title":"Assessment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247C36">
        <w:rPr>
          <w:color w:val="000000"/>
        </w:rPr>
        <w:t>.</w:t>
      </w:r>
    </w:p>
    <w:p w14:paraId="336FBA4D" w14:textId="77777777" w:rsidR="00C34E4A" w:rsidRDefault="00C34E4A">
      <w:pPr>
        <w:spacing w:after="0" w:line="240" w:lineRule="auto"/>
        <w:ind w:firstLine="709"/>
        <w:rPr>
          <w:color w:val="000000"/>
        </w:rPr>
      </w:pPr>
      <w:r>
        <w:rPr>
          <w:color w:val="000000"/>
        </w:rPr>
        <w:t xml:space="preserve">При анализе данных всех пациентов с ОА, получавших барицитиниб хотя бы 1 раз, </w:t>
      </w:r>
      <w:r w:rsidRPr="0040387A">
        <w:rPr>
          <w:color w:val="000000"/>
        </w:rPr>
        <w:t>было зарегистрировано одно сердечно-сосудистое событие (несостоятельность аортального клапана</w:t>
      </w:r>
      <w:r>
        <w:rPr>
          <w:color w:val="000000"/>
        </w:rPr>
        <w:t xml:space="preserve">), МАСЕ </w:t>
      </w:r>
      <w:r w:rsidRPr="0040387A">
        <w:rPr>
          <w:color w:val="000000"/>
        </w:rPr>
        <w:t>отсутств</w:t>
      </w:r>
      <w:r>
        <w:rPr>
          <w:color w:val="000000"/>
        </w:rPr>
        <w:t xml:space="preserve">овали </w:t>
      </w:r>
      <w:r>
        <w:fldChar w:fldCharType="begin"/>
      </w:r>
      <w:r>
        <w:instrText xml:space="preserve"> ADDIN ZOTERO_ITEM CSL_CITATION {"citationID":"tnIvcjra","properties":{"formattedCitation":"[2]","plainCitation":"[2]","noteIndex":0},"citationItems":[{"id":3827,"uris":["http://zotero.org/groups/4514912/items/LB74K8KI"],"itemData":{"id":3827,"type":"document","title":"Assessment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0387A">
        <w:rPr>
          <w:color w:val="000000"/>
        </w:rPr>
        <w:t>.</w:t>
      </w:r>
    </w:p>
    <w:p w14:paraId="604ADE22" w14:textId="77777777" w:rsidR="00C34E4A" w:rsidRPr="0040387A" w:rsidRDefault="00C34E4A">
      <w:pPr>
        <w:spacing w:after="0" w:line="240" w:lineRule="auto"/>
        <w:ind w:firstLine="709"/>
        <w:rPr>
          <w:color w:val="000000"/>
        </w:rPr>
      </w:pPr>
    </w:p>
    <w:p w14:paraId="3338A71A" w14:textId="77777777" w:rsidR="00C34E4A" w:rsidRPr="00BE0BE9" w:rsidRDefault="00C34E4A" w:rsidP="00AB1FF1">
      <w:pPr>
        <w:spacing w:after="0" w:line="240" w:lineRule="auto"/>
        <w:rPr>
          <w:b/>
          <w:i/>
          <w:iCs/>
          <w:color w:val="000000"/>
        </w:rPr>
      </w:pPr>
      <w:r w:rsidRPr="00BE0BE9">
        <w:rPr>
          <w:b/>
          <w:i/>
          <w:iCs/>
          <w:color w:val="000000"/>
        </w:rPr>
        <w:t xml:space="preserve">Венозные тромбоэмболии </w:t>
      </w:r>
    </w:p>
    <w:p w14:paraId="63DFE0F6" w14:textId="77777777" w:rsidR="0029110D" w:rsidRDefault="0029110D">
      <w:pPr>
        <w:spacing w:after="0" w:line="240" w:lineRule="auto"/>
        <w:ind w:firstLine="709"/>
        <w:rPr>
          <w:color w:val="000000"/>
        </w:rPr>
      </w:pPr>
    </w:p>
    <w:p w14:paraId="1F6F67BD" w14:textId="6D43FA22" w:rsidR="00C34E4A" w:rsidRDefault="00C34E4A">
      <w:pPr>
        <w:spacing w:after="0" w:line="240" w:lineRule="auto"/>
        <w:ind w:firstLine="709"/>
        <w:rPr>
          <w:color w:val="000000"/>
        </w:rPr>
      </w:pPr>
      <w:r w:rsidRPr="006740E4">
        <w:rPr>
          <w:color w:val="000000"/>
        </w:rPr>
        <w:t>Тромбоэмболия легочной артерии (ТЭЛА) и тромбоз глубоких вен (ТГВ) считаются НЛР для барицитиниба, а венозные тромбоэмболии (ВТЭ)</w:t>
      </w:r>
      <w:r w:rsidRPr="0040387A">
        <w:rPr>
          <w:color w:val="000000"/>
        </w:rPr>
        <w:t xml:space="preserve"> представля</w:t>
      </w:r>
      <w:r>
        <w:rPr>
          <w:color w:val="000000"/>
        </w:rPr>
        <w:t>ю</w:t>
      </w:r>
      <w:r w:rsidRPr="0040387A">
        <w:rPr>
          <w:color w:val="000000"/>
        </w:rPr>
        <w:t xml:space="preserve">т собой </w:t>
      </w:r>
      <w:r w:rsidRPr="0040387A">
        <w:rPr>
          <w:color w:val="000000"/>
        </w:rPr>
        <w:lastRenderedPageBreak/>
        <w:t xml:space="preserve">важный потенциальный риск для барицитиниба. Пациенты с ВТЭ в анамнезе или с высоким риском </w:t>
      </w:r>
      <w:r>
        <w:rPr>
          <w:color w:val="000000"/>
        </w:rPr>
        <w:t xml:space="preserve">развития </w:t>
      </w:r>
      <w:r w:rsidRPr="0040387A">
        <w:rPr>
          <w:color w:val="000000"/>
        </w:rPr>
        <w:t xml:space="preserve">ВТЭ были исключены из клинических исследований </w:t>
      </w:r>
      <w:r>
        <w:rPr>
          <w:color w:val="000000"/>
        </w:rPr>
        <w:t>эффективности и безопасности барицитиниба в отношении О</w:t>
      </w:r>
      <w:r w:rsidRPr="0040387A">
        <w:rPr>
          <w:color w:val="000000"/>
        </w:rPr>
        <w:t xml:space="preserve">А. В </w:t>
      </w:r>
      <w:r>
        <w:rPr>
          <w:color w:val="000000"/>
        </w:rPr>
        <w:t>ходе</w:t>
      </w:r>
      <w:r w:rsidRPr="0040387A">
        <w:rPr>
          <w:color w:val="000000"/>
        </w:rPr>
        <w:t xml:space="preserve"> клинических </w:t>
      </w:r>
      <w:r>
        <w:rPr>
          <w:color w:val="000000"/>
        </w:rPr>
        <w:t>исследований по ОА у</w:t>
      </w:r>
      <w:r w:rsidRPr="0040387A">
        <w:rPr>
          <w:color w:val="000000"/>
        </w:rPr>
        <w:t xml:space="preserve"> пациент</w:t>
      </w:r>
      <w:r>
        <w:rPr>
          <w:color w:val="000000"/>
        </w:rPr>
        <w:t>ов, получавших барицитниб в дозе 2 мг, регистрировали</w:t>
      </w:r>
      <w:r w:rsidRPr="0040387A">
        <w:rPr>
          <w:color w:val="000000"/>
        </w:rPr>
        <w:t xml:space="preserve"> ВТЭ</w:t>
      </w:r>
      <w:r>
        <w:rPr>
          <w:color w:val="000000"/>
        </w:rPr>
        <w:t xml:space="preserve"> (</w:t>
      </w:r>
      <w:r>
        <w:rPr>
          <w:color w:val="000000"/>
          <w:lang w:val="en-US"/>
        </w:rPr>
        <w:t>n</w:t>
      </w:r>
      <w:r w:rsidRPr="0040387A">
        <w:rPr>
          <w:color w:val="000000"/>
        </w:rPr>
        <w:t>=2</w:t>
      </w:r>
      <w:r>
        <w:rPr>
          <w:color w:val="000000"/>
        </w:rPr>
        <w:t>)</w:t>
      </w:r>
      <w:r w:rsidRPr="0040387A">
        <w:rPr>
          <w:color w:val="000000"/>
        </w:rPr>
        <w:t xml:space="preserve">, ТЭЛА </w:t>
      </w:r>
      <w:r>
        <w:rPr>
          <w:color w:val="000000"/>
        </w:rPr>
        <w:t>(</w:t>
      </w:r>
      <w:r>
        <w:rPr>
          <w:color w:val="000000"/>
          <w:lang w:val="en-US"/>
        </w:rPr>
        <w:t>n</w:t>
      </w:r>
      <w:r w:rsidRPr="0040387A">
        <w:rPr>
          <w:color w:val="000000"/>
        </w:rPr>
        <w:t>=</w:t>
      </w:r>
      <w:r>
        <w:rPr>
          <w:color w:val="000000"/>
        </w:rPr>
        <w:t>1)</w:t>
      </w:r>
      <w:r w:rsidRPr="0040387A">
        <w:rPr>
          <w:color w:val="000000"/>
        </w:rPr>
        <w:t xml:space="preserve"> и ТГВ/ТЭЛА</w:t>
      </w:r>
      <w:r>
        <w:rPr>
          <w:color w:val="000000"/>
        </w:rPr>
        <w:t xml:space="preserve"> (</w:t>
      </w:r>
      <w:r>
        <w:rPr>
          <w:color w:val="000000"/>
          <w:lang w:val="en-US"/>
        </w:rPr>
        <w:t>n</w:t>
      </w:r>
      <w:r w:rsidRPr="0040387A">
        <w:rPr>
          <w:color w:val="000000"/>
        </w:rPr>
        <w:t>=</w:t>
      </w:r>
      <w:r>
        <w:rPr>
          <w:color w:val="000000"/>
        </w:rPr>
        <w:t>1)</w:t>
      </w:r>
      <w:r w:rsidRPr="0040387A">
        <w:rPr>
          <w:color w:val="000000"/>
        </w:rPr>
        <w:t>. Пациентка с ТГВ/ТЭЛА также имела ожирение (ИМТ</w:t>
      </w:r>
      <w:r>
        <w:rPr>
          <w:color w:val="000000"/>
        </w:rPr>
        <w:t xml:space="preserve"> </w:t>
      </w:r>
      <w:r w:rsidRPr="008C2014">
        <w:rPr>
          <w:color w:val="000000"/>
        </w:rPr>
        <w:t>[</w:t>
      </w:r>
      <w:r>
        <w:rPr>
          <w:color w:val="000000"/>
        </w:rPr>
        <w:t>индекс массы тела</w:t>
      </w:r>
      <w:r w:rsidRPr="008C2014">
        <w:rPr>
          <w:color w:val="000000"/>
        </w:rPr>
        <w:t>]</w:t>
      </w:r>
      <w:r w:rsidRPr="0040387A">
        <w:rPr>
          <w:color w:val="000000"/>
        </w:rPr>
        <w:t xml:space="preserve"> 35,8) и принимала оральные контрацептивы, другая пациентка с ТЭЛА </w:t>
      </w:r>
      <w:r>
        <w:rPr>
          <w:color w:val="000000"/>
        </w:rPr>
        <w:t xml:space="preserve">перенесла </w:t>
      </w:r>
      <w:r w:rsidRPr="0040387A">
        <w:rPr>
          <w:color w:val="000000"/>
        </w:rPr>
        <w:t>COVID-19</w:t>
      </w:r>
      <w:r>
        <w:rPr>
          <w:color w:val="000000"/>
        </w:rPr>
        <w:t>-ассоциированную</w:t>
      </w:r>
      <w:r w:rsidRPr="0040387A">
        <w:rPr>
          <w:color w:val="000000"/>
        </w:rPr>
        <w:t xml:space="preserve"> пневмонию и острую дыхательную недостаточность, а также </w:t>
      </w:r>
      <w:r>
        <w:rPr>
          <w:color w:val="000000"/>
        </w:rPr>
        <w:t xml:space="preserve">имела </w:t>
      </w:r>
      <w:r w:rsidRPr="0040387A">
        <w:rPr>
          <w:color w:val="000000"/>
        </w:rPr>
        <w:t>генетическую предрасположенность (гетерозиготность по протромбиновому гену)</w:t>
      </w:r>
      <w:r>
        <w:rPr>
          <w:color w:val="000000"/>
        </w:rPr>
        <w:t xml:space="preserve"> </w:t>
      </w:r>
      <w:r>
        <w:fldChar w:fldCharType="begin"/>
      </w:r>
      <w:r>
        <w:instrText xml:space="preserve"> ADDIN ZOTERO_ITEM CSL_CITATION {"citationID":"1koOpGaT","properties":{"formattedCitation":"[2]","plainCitation":"[2]","noteIndex":0},"citationItems":[{"id":3827,"uris":["http://zotero.org/groups/4514912/items/LB74K8KI"],"itemData":{"id":3827,"type":"document","title":"Assessment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0387A">
        <w:rPr>
          <w:color w:val="000000"/>
        </w:rPr>
        <w:t>.</w:t>
      </w:r>
    </w:p>
    <w:p w14:paraId="0FEB8897" w14:textId="77777777" w:rsidR="00C34E4A" w:rsidRPr="0040387A" w:rsidRDefault="00C34E4A">
      <w:pPr>
        <w:spacing w:after="0" w:line="240" w:lineRule="auto"/>
        <w:ind w:firstLine="709"/>
        <w:rPr>
          <w:color w:val="000000"/>
        </w:rPr>
      </w:pPr>
    </w:p>
    <w:p w14:paraId="59E3D4E8" w14:textId="77777777" w:rsidR="00C34E4A" w:rsidRPr="00BE0BE9" w:rsidRDefault="00C34E4A" w:rsidP="00AB1FF1">
      <w:pPr>
        <w:spacing w:after="0" w:line="240" w:lineRule="auto"/>
        <w:rPr>
          <w:b/>
          <w:i/>
          <w:iCs/>
          <w:color w:val="000000"/>
        </w:rPr>
      </w:pPr>
      <w:r w:rsidRPr="00BE0BE9">
        <w:rPr>
          <w:b/>
          <w:i/>
          <w:iCs/>
          <w:color w:val="000000"/>
        </w:rPr>
        <w:t>Изменения креатинфосфокиназы и симптомы, связанные с мышцами</w:t>
      </w:r>
    </w:p>
    <w:p w14:paraId="06B4F434" w14:textId="77777777" w:rsidR="0029110D" w:rsidRDefault="0029110D">
      <w:pPr>
        <w:spacing w:after="0" w:line="240" w:lineRule="auto"/>
        <w:ind w:firstLine="709"/>
        <w:rPr>
          <w:color w:val="000000"/>
        </w:rPr>
      </w:pPr>
    </w:p>
    <w:p w14:paraId="146BB023" w14:textId="3EB6D277" w:rsidR="00C34E4A" w:rsidRPr="0040387A" w:rsidRDefault="00C34E4A">
      <w:pPr>
        <w:spacing w:after="0" w:line="240" w:lineRule="auto"/>
        <w:ind w:firstLine="709"/>
        <w:rPr>
          <w:color w:val="000000"/>
        </w:rPr>
      </w:pPr>
      <w:r w:rsidRPr="0040387A">
        <w:rPr>
          <w:color w:val="000000"/>
        </w:rPr>
        <w:t xml:space="preserve">Повышение </w:t>
      </w:r>
      <w:r>
        <w:rPr>
          <w:color w:val="000000"/>
        </w:rPr>
        <w:t>креатинфосфокиназы</w:t>
      </w:r>
      <w:r w:rsidRPr="0040387A">
        <w:rPr>
          <w:color w:val="000000"/>
        </w:rPr>
        <w:t xml:space="preserve"> более чем в 5 раз выше ВГН признано НЛР для барицитиниба. В клинических </w:t>
      </w:r>
      <w:r>
        <w:rPr>
          <w:color w:val="000000"/>
        </w:rPr>
        <w:t>исследованиях</w:t>
      </w:r>
      <w:r w:rsidRPr="0040387A">
        <w:rPr>
          <w:color w:val="000000"/>
        </w:rPr>
        <w:t xml:space="preserve"> барицитиниба при </w:t>
      </w:r>
      <w:r>
        <w:rPr>
          <w:color w:val="000000"/>
        </w:rPr>
        <w:t>РА</w:t>
      </w:r>
      <w:r w:rsidRPr="0040387A">
        <w:rPr>
          <w:color w:val="000000"/>
        </w:rPr>
        <w:t xml:space="preserve"> и</w:t>
      </w:r>
      <w:r>
        <w:rPr>
          <w:color w:val="000000"/>
        </w:rPr>
        <w:t xml:space="preserve"> АД</w:t>
      </w:r>
      <w:r w:rsidRPr="0040387A">
        <w:rPr>
          <w:color w:val="000000"/>
        </w:rPr>
        <w:t xml:space="preserve"> не было выявлено связи с мышечными симптомами. В клинических исследованиях </w:t>
      </w:r>
      <w:r>
        <w:rPr>
          <w:color w:val="000000"/>
        </w:rPr>
        <w:t>по поводу О</w:t>
      </w:r>
      <w:r w:rsidRPr="0040387A">
        <w:rPr>
          <w:color w:val="000000"/>
        </w:rPr>
        <w:t xml:space="preserve">А были рассмотрены возникающие при лечении НЯ, связанные повышением </w:t>
      </w:r>
      <w:r>
        <w:rPr>
          <w:color w:val="000000"/>
        </w:rPr>
        <w:t xml:space="preserve">креатинфосфокиназы </w:t>
      </w:r>
      <w:r>
        <w:fldChar w:fldCharType="begin"/>
      </w:r>
      <w:r>
        <w:instrText xml:space="preserve"> ADDIN ZOTERO_ITEM CSL_CITATION {"citationID":"3MrCMtkI","properties":{"formattedCitation":"[2]","plainCitation":"[2]","noteIndex":0},"citationItems":[{"id":3827,"uris":["http://zotero.org/groups/4514912/items/LB74K8KI"],"itemData":{"id":3827,"type":"document","title":"Assessment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0387A">
        <w:rPr>
          <w:color w:val="000000"/>
        </w:rPr>
        <w:t>.</w:t>
      </w:r>
    </w:p>
    <w:p w14:paraId="0250D8C1" w14:textId="77777777" w:rsidR="00C34E4A" w:rsidRDefault="00C34E4A">
      <w:pPr>
        <w:spacing w:after="0" w:line="240" w:lineRule="auto"/>
        <w:ind w:firstLine="709"/>
        <w:rPr>
          <w:color w:val="000000"/>
        </w:rPr>
      </w:pPr>
      <w:r w:rsidRPr="0040387A">
        <w:rPr>
          <w:color w:val="000000"/>
        </w:rPr>
        <w:t>В плацебо</w:t>
      </w:r>
      <w:r>
        <w:rPr>
          <w:color w:val="000000"/>
        </w:rPr>
        <w:t xml:space="preserve"> </w:t>
      </w:r>
      <w:r w:rsidRPr="0040387A">
        <w:rPr>
          <w:color w:val="000000"/>
        </w:rPr>
        <w:t xml:space="preserve">контролируемом периоде процент пациентов с повышением </w:t>
      </w:r>
      <w:r>
        <w:rPr>
          <w:color w:val="000000"/>
        </w:rPr>
        <w:t>креатинфосфокиназы</w:t>
      </w:r>
      <w:r w:rsidRPr="0040387A">
        <w:rPr>
          <w:color w:val="000000"/>
        </w:rPr>
        <w:t xml:space="preserve"> был выше в группе барицитиниба 2 мг и барицитиниба 4 мг по сравнению с плацебо, </w:t>
      </w:r>
      <w:r>
        <w:rPr>
          <w:color w:val="000000"/>
        </w:rPr>
        <w:t xml:space="preserve">также </w:t>
      </w:r>
      <w:r w:rsidRPr="0040387A">
        <w:rPr>
          <w:color w:val="000000"/>
        </w:rPr>
        <w:t>наблюдались дозозависимые различия</w:t>
      </w:r>
      <w:r>
        <w:rPr>
          <w:color w:val="000000"/>
        </w:rPr>
        <w:t xml:space="preserve"> </w:t>
      </w:r>
      <w:r>
        <w:fldChar w:fldCharType="begin"/>
      </w:r>
      <w:r>
        <w:instrText xml:space="preserve"> ADDIN ZOTERO_ITEM CSL_CITATION {"citationID":"xFzWQA95","properties":{"formattedCitation":"[2]","plainCitation":"[2]","noteIndex":0},"citationItems":[{"id":3827,"uris":["http://zotero.org/groups/4514912/items/LB74K8KI"],"itemData":{"id":3827,"type":"document","title":"Assessment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0387A">
        <w:rPr>
          <w:color w:val="000000"/>
        </w:rPr>
        <w:t xml:space="preserve">. </w:t>
      </w:r>
    </w:p>
    <w:p w14:paraId="729813C4" w14:textId="77777777" w:rsidR="00C34E4A" w:rsidRDefault="00C34E4A">
      <w:pPr>
        <w:spacing w:after="0" w:line="240" w:lineRule="auto"/>
        <w:ind w:firstLine="708"/>
        <w:rPr>
          <w:color w:val="000000"/>
        </w:rPr>
      </w:pPr>
      <w:r w:rsidRPr="0056552B">
        <w:rPr>
          <w:color w:val="000000"/>
        </w:rPr>
        <w:t>В плацебо</w:t>
      </w:r>
      <w:r>
        <w:rPr>
          <w:color w:val="000000"/>
        </w:rPr>
        <w:t xml:space="preserve"> </w:t>
      </w:r>
      <w:r w:rsidRPr="0056552B">
        <w:rPr>
          <w:color w:val="000000"/>
        </w:rPr>
        <w:t>контролируемом периоде</w:t>
      </w:r>
      <w:r>
        <w:rPr>
          <w:color w:val="000000"/>
        </w:rPr>
        <w:t xml:space="preserve"> клинических исследований эффективности и безопасности барицитиниба у пациентов с ОА</w:t>
      </w:r>
      <w:r w:rsidRPr="0056552B">
        <w:rPr>
          <w:color w:val="000000"/>
        </w:rPr>
        <w:t xml:space="preserve"> процент и количество пациентов, сообщивших об 1 или более TEAE, потенциально связанных с мышечными симптомами/с сопутствующим повышением </w:t>
      </w:r>
      <w:r>
        <w:rPr>
          <w:color w:val="000000"/>
        </w:rPr>
        <w:t>креатинфосфокиназы</w:t>
      </w:r>
      <w:r w:rsidRPr="0056552B">
        <w:rPr>
          <w:color w:val="000000"/>
        </w:rPr>
        <w:t>, составили: n=3/0 в группе плацебо, n=3/1 в группе барицитиниба 2 мг</w:t>
      </w:r>
      <w:r>
        <w:rPr>
          <w:color w:val="000000"/>
        </w:rPr>
        <w:t>,</w:t>
      </w:r>
      <w:r w:rsidRPr="0056552B">
        <w:rPr>
          <w:color w:val="000000"/>
        </w:rPr>
        <w:t xml:space="preserve"> и n=5/3 в группе барицитиниба 4 мг. В группе плацебо из 3 пациентов с сообщенными мышечными симптомами был 1 пациент с рабдомиолизом и нормальным уровнем </w:t>
      </w:r>
      <w:r>
        <w:rPr>
          <w:color w:val="000000"/>
        </w:rPr>
        <w:t>креатинфосфокиназы</w:t>
      </w:r>
      <w:r w:rsidRPr="0056552B">
        <w:rPr>
          <w:color w:val="000000"/>
        </w:rPr>
        <w:t>. В других группах лечения рабдомиолиза не наблюдалось. В группе барицитиниба в дозе 4 мг у большинства (4/5) пациентов отмечались мышечные спазмы, и у 1 пациента развилась миалгия</w:t>
      </w:r>
      <w:r>
        <w:rPr>
          <w:color w:val="000000"/>
        </w:rPr>
        <w:t xml:space="preserve"> </w:t>
      </w:r>
      <w:r>
        <w:fldChar w:fldCharType="begin"/>
      </w:r>
      <w:r>
        <w:instrText xml:space="preserve"> ADDIN ZOTERO_ITEM CSL_CITATION {"citationID":"n0dOJOqh","properties":{"formattedCitation":"[2]","plainCitation":"[2]","noteIndex":0},"citationItems":[{"id":3827,"uris":["http://zotero.org/groups/4514912/items/LB74K8KI"],"itemData":{"id":3827,"type":"document","title":"Assessment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56552B">
        <w:rPr>
          <w:color w:val="000000"/>
        </w:rPr>
        <w:t>.</w:t>
      </w:r>
    </w:p>
    <w:p w14:paraId="4F3B3420" w14:textId="77777777" w:rsidR="00C34E4A" w:rsidRPr="0056552B" w:rsidRDefault="00C34E4A">
      <w:pPr>
        <w:spacing w:after="0" w:line="240" w:lineRule="auto"/>
        <w:ind w:firstLine="708"/>
        <w:rPr>
          <w:color w:val="000000"/>
        </w:rPr>
      </w:pPr>
    </w:p>
    <w:p w14:paraId="2D4B8C03" w14:textId="77777777" w:rsidR="00C34E4A" w:rsidRPr="00BE0BE9" w:rsidRDefault="00C34E4A" w:rsidP="00AB1FF1">
      <w:pPr>
        <w:spacing w:after="0" w:line="240" w:lineRule="auto"/>
        <w:rPr>
          <w:b/>
          <w:i/>
          <w:iCs/>
          <w:color w:val="000000"/>
        </w:rPr>
      </w:pPr>
      <w:r w:rsidRPr="00BE0BE9">
        <w:rPr>
          <w:b/>
          <w:i/>
          <w:iCs/>
          <w:color w:val="000000"/>
        </w:rPr>
        <w:t>Злокачественные новообразования</w:t>
      </w:r>
    </w:p>
    <w:p w14:paraId="4AE288A6" w14:textId="77777777" w:rsidR="0029110D" w:rsidRDefault="0029110D">
      <w:pPr>
        <w:spacing w:after="0" w:line="240" w:lineRule="auto"/>
        <w:ind w:firstLine="709"/>
        <w:rPr>
          <w:color w:val="000000"/>
        </w:rPr>
      </w:pPr>
    </w:p>
    <w:p w14:paraId="46472781" w14:textId="37657912" w:rsidR="00C34E4A" w:rsidRDefault="00C34E4A">
      <w:pPr>
        <w:spacing w:after="0" w:line="240" w:lineRule="auto"/>
        <w:ind w:firstLine="709"/>
        <w:rPr>
          <w:color w:val="000000"/>
        </w:rPr>
      </w:pPr>
      <w:r w:rsidRPr="0056552B">
        <w:rPr>
          <w:color w:val="000000"/>
        </w:rPr>
        <w:t>Количество злокачественных новообразований (n=3) и НМРК (n=</w:t>
      </w:r>
      <w:r>
        <w:rPr>
          <w:color w:val="000000"/>
        </w:rPr>
        <w:t>2</w:t>
      </w:r>
      <w:r w:rsidRPr="0056552B">
        <w:rPr>
          <w:color w:val="000000"/>
        </w:rPr>
        <w:t>) было небольшим у пациентов</w:t>
      </w:r>
      <w:r>
        <w:rPr>
          <w:color w:val="000000"/>
        </w:rPr>
        <w:t xml:space="preserve"> с ОА</w:t>
      </w:r>
      <w:r w:rsidRPr="0056552B">
        <w:rPr>
          <w:color w:val="000000"/>
        </w:rPr>
        <w:t>, получавших барицитиниб в течение более 104 недель (13%). В плацебо-контролируемом периоде сообщалось об одном случае рака предстательной железы при приеме плацебо и об одном случае В-клеточной лимфомы при приеме барицитиниба в дозе 4 мг</w:t>
      </w:r>
      <w:r>
        <w:rPr>
          <w:color w:val="000000"/>
        </w:rPr>
        <w:t xml:space="preserve"> </w:t>
      </w:r>
      <w:r>
        <w:fldChar w:fldCharType="begin"/>
      </w:r>
      <w:r>
        <w:instrText xml:space="preserve"> ADDIN ZOTERO_ITEM CSL_CITATION {"citationID":"30XD6ZRT","properties":{"formattedCitation":"[2]","plainCitation":"[2]","noteIndex":0},"citationItems":[{"id":3827,"uris":["http://zotero.org/groups/4514912/items/LB74K8KI"],"itemData":{"id":3827,"type":"document","title":"Assessment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Pr>
          <w:color w:val="000000"/>
        </w:rPr>
        <w:t>.</w:t>
      </w:r>
    </w:p>
    <w:p w14:paraId="32C36697" w14:textId="77777777" w:rsidR="00C34E4A" w:rsidRDefault="00C34E4A">
      <w:pPr>
        <w:spacing w:after="0" w:line="240" w:lineRule="auto"/>
        <w:ind w:firstLine="709"/>
        <w:rPr>
          <w:color w:val="000000"/>
        </w:rPr>
      </w:pPr>
    </w:p>
    <w:p w14:paraId="2D371218" w14:textId="7469EFD4" w:rsidR="006E1535" w:rsidRDefault="006E1535">
      <w:pPr>
        <w:spacing w:after="0" w:line="240" w:lineRule="auto"/>
      </w:pPr>
      <w:r w:rsidRPr="006E1535">
        <w:rPr>
          <w:b/>
        </w:rPr>
        <w:t>4.3.2.2.</w:t>
      </w:r>
      <w:r>
        <w:rPr>
          <w:b/>
        </w:rPr>
        <w:t>3</w:t>
      </w:r>
      <w:r w:rsidRPr="006E1535">
        <w:rPr>
          <w:b/>
        </w:rPr>
        <w:t>.</w:t>
      </w:r>
      <w:r>
        <w:rPr>
          <w:b/>
        </w:rPr>
        <w:t xml:space="preserve"> </w:t>
      </w:r>
      <w:r w:rsidRPr="005D2DF4">
        <w:rPr>
          <w:b/>
          <w:iCs/>
        </w:rPr>
        <w:t>Лабораторные</w:t>
      </w:r>
      <w:r w:rsidRPr="005D2DF4">
        <w:rPr>
          <w:b/>
          <w:i/>
          <w:iCs/>
        </w:rPr>
        <w:t xml:space="preserve"> </w:t>
      </w:r>
      <w:r w:rsidRPr="006E1535">
        <w:rPr>
          <w:b/>
          <w:iCs/>
        </w:rPr>
        <w:t>и инструментальные</w:t>
      </w:r>
      <w:r>
        <w:rPr>
          <w:b/>
          <w:i/>
          <w:iCs/>
        </w:rPr>
        <w:t xml:space="preserve"> </w:t>
      </w:r>
      <w:r w:rsidRPr="006E1535">
        <w:rPr>
          <w:b/>
          <w:iCs/>
        </w:rPr>
        <w:t>данные</w:t>
      </w:r>
    </w:p>
    <w:p w14:paraId="34BDE794" w14:textId="77777777" w:rsidR="006E1535" w:rsidRDefault="006E1535">
      <w:pPr>
        <w:spacing w:after="0" w:line="240" w:lineRule="auto"/>
        <w:ind w:firstLine="709"/>
        <w:rPr>
          <w:color w:val="000000"/>
        </w:rPr>
      </w:pPr>
    </w:p>
    <w:p w14:paraId="730B0465" w14:textId="2B7E7A57" w:rsidR="00C34E4A" w:rsidRPr="008475FE" w:rsidRDefault="007F72CA">
      <w:pPr>
        <w:spacing w:after="0" w:line="240" w:lineRule="auto"/>
        <w:ind w:firstLine="709"/>
        <w:rPr>
          <w:color w:val="000000"/>
        </w:rPr>
      </w:pPr>
      <w:r w:rsidRPr="0056552B">
        <w:rPr>
          <w:color w:val="000000"/>
        </w:rPr>
        <w:t>В плацебо</w:t>
      </w:r>
      <w:r>
        <w:rPr>
          <w:color w:val="000000"/>
        </w:rPr>
        <w:t xml:space="preserve"> </w:t>
      </w:r>
      <w:r w:rsidRPr="0056552B">
        <w:rPr>
          <w:color w:val="000000"/>
        </w:rPr>
        <w:t>контролируемом периоде</w:t>
      </w:r>
      <w:r>
        <w:rPr>
          <w:color w:val="000000"/>
        </w:rPr>
        <w:t xml:space="preserve"> клинических ис</w:t>
      </w:r>
      <w:r>
        <w:rPr>
          <w:color w:val="000000"/>
        </w:rPr>
        <w:t>с</w:t>
      </w:r>
      <w:r>
        <w:rPr>
          <w:color w:val="000000"/>
        </w:rPr>
        <w:t>ледований эффективности и безопасности барицитиниба в отношении ОА</w:t>
      </w:r>
      <w:r w:rsidRPr="0056552B">
        <w:rPr>
          <w:color w:val="000000"/>
        </w:rPr>
        <w:t xml:space="preserve"> средние значения АСТ и АЛТ в группе, принимавшей 4 мг барицитиниба, незначительно увеличивались в течение плацебо-контролируемого периода (+2,6 МЕ для АЛТ и +3,1 для АСТ), в то время как медиана оставалась стабильной (+1 МЕ для АЛТ и +2 МЕ для АСТ). </w:t>
      </w:r>
      <w:r w:rsidR="00C34E4A" w:rsidRPr="0056552B">
        <w:rPr>
          <w:color w:val="000000"/>
        </w:rPr>
        <w:t>Средние и медианные значения в группе 2 мг оставались стабильными и сходными со средними значениями в группе плацебо. Частота повышения АЛТ или АСТ до ≥3 х ВГН и ≥5 х ВГН была ниже в группах барицитиниба, чем в группе плацебо</w:t>
      </w:r>
      <w:r w:rsidR="00C34E4A">
        <w:rPr>
          <w:color w:val="000000"/>
        </w:rPr>
        <w:t xml:space="preserve"> </w:t>
      </w:r>
      <w:r w:rsidR="00C34E4A">
        <w:fldChar w:fldCharType="begin"/>
      </w:r>
      <w:r w:rsidR="00C34E4A">
        <w:instrText xml:space="preserve"> ADDIN ZOTERO_ITEM CSL_CITATION {"citationID":"bnbFuSgy","properties":{"formattedCitation":"[2]","plainCitation":"[2]","noteIndex":0},"citationItems":[{"id":3827,"uris":["http://zotero.org/groups/4514912/items/LB74K8KI"],"itemData":{"id":3827,"type":"document","title":"Assessment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00C34E4A">
        <w:fldChar w:fldCharType="separate"/>
      </w:r>
      <w:r w:rsidR="00C34E4A" w:rsidRPr="006D54B4">
        <w:t>[2]</w:t>
      </w:r>
      <w:r w:rsidR="00C34E4A">
        <w:fldChar w:fldCharType="end"/>
      </w:r>
      <w:r w:rsidR="00C34E4A" w:rsidRPr="0056552B">
        <w:rPr>
          <w:color w:val="000000"/>
        </w:rPr>
        <w:t>.</w:t>
      </w:r>
    </w:p>
    <w:p w14:paraId="08B47EFF" w14:textId="58F43D32" w:rsidR="00C34E4A" w:rsidRPr="008475FE" w:rsidRDefault="00C34E4A">
      <w:pPr>
        <w:spacing w:after="0" w:line="240" w:lineRule="auto"/>
        <w:ind w:firstLine="709"/>
        <w:rPr>
          <w:color w:val="000000"/>
        </w:rPr>
      </w:pPr>
      <w:r w:rsidRPr="008475FE">
        <w:rPr>
          <w:color w:val="000000"/>
        </w:rPr>
        <w:lastRenderedPageBreak/>
        <w:t>В плацебо</w:t>
      </w:r>
      <w:r>
        <w:rPr>
          <w:color w:val="000000"/>
        </w:rPr>
        <w:t xml:space="preserve"> </w:t>
      </w:r>
      <w:r w:rsidRPr="008475FE">
        <w:rPr>
          <w:color w:val="000000"/>
        </w:rPr>
        <w:t xml:space="preserve">контролируемом периоде </w:t>
      </w:r>
      <w:r>
        <w:rPr>
          <w:color w:val="000000"/>
        </w:rPr>
        <w:t xml:space="preserve">клинических исследований эффективности и безопасности барицитиниба в отношении ОА </w:t>
      </w:r>
      <w:r w:rsidRPr="008475FE">
        <w:rPr>
          <w:color w:val="000000"/>
        </w:rPr>
        <w:t>процент пациентов с высоким уровнем сывороточного альбумина был выше в группах барицитиниба по сравнению с группой плацебо: 1,4% в группе плацебо, 3,9% в группе барицитиниба 2 мг и 5,0% в группе</w:t>
      </w:r>
      <w:r>
        <w:rPr>
          <w:color w:val="000000"/>
        </w:rPr>
        <w:t xml:space="preserve"> </w:t>
      </w:r>
      <w:r w:rsidRPr="008475FE">
        <w:rPr>
          <w:color w:val="000000"/>
        </w:rPr>
        <w:t>барицитиниб</w:t>
      </w:r>
      <w:r>
        <w:rPr>
          <w:color w:val="000000"/>
        </w:rPr>
        <w:t>а</w:t>
      </w:r>
      <w:r w:rsidRPr="008475FE">
        <w:rPr>
          <w:color w:val="000000"/>
        </w:rPr>
        <w:t xml:space="preserve"> 4 мг. Максимальное увеличение сывороточного альбумина по сравнению с исходным уровнем</w:t>
      </w:r>
      <w:r>
        <w:rPr>
          <w:color w:val="000000"/>
        </w:rPr>
        <w:t xml:space="preserve"> значимо не отличалось от</w:t>
      </w:r>
      <w:r w:rsidRPr="008475FE">
        <w:rPr>
          <w:color w:val="000000"/>
        </w:rPr>
        <w:t xml:space="preserve"> групп</w:t>
      </w:r>
      <w:r>
        <w:rPr>
          <w:color w:val="000000"/>
        </w:rPr>
        <w:t>ы</w:t>
      </w:r>
      <w:r w:rsidRPr="008475FE">
        <w:rPr>
          <w:color w:val="000000"/>
        </w:rPr>
        <w:t xml:space="preserve"> плацебо, 0,66 г/л при приеме барицитиниба 2 мг и 0,85 г/л при приеме барицитиниба 4 мг</w:t>
      </w:r>
      <w:r>
        <w:rPr>
          <w:color w:val="000000"/>
        </w:rPr>
        <w:t>, и не имела клинической значимости</w:t>
      </w:r>
      <w:r>
        <w:t xml:space="preserve"> </w:t>
      </w:r>
      <w:r>
        <w:fldChar w:fldCharType="begin"/>
      </w:r>
      <w:r>
        <w:instrText xml:space="preserve"> ADDIN ZOTERO_ITEM CSL_CITATION {"citationID":"BBEu9d3K","properties":{"formattedCitation":"[2]","plainCitation":"[2]","noteIndex":0},"citationItems":[{"id":3827,"uris":["http://zotero.org/groups/4514912/items/LB74K8KI"],"itemData":{"id":3827,"type":"document","title":"Assessment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475FE">
        <w:rPr>
          <w:color w:val="000000"/>
        </w:rPr>
        <w:t>.</w:t>
      </w:r>
    </w:p>
    <w:p w14:paraId="0F78AA1F" w14:textId="77777777" w:rsidR="00C34E4A" w:rsidRPr="008475FE" w:rsidRDefault="00C34E4A">
      <w:pPr>
        <w:spacing w:after="0" w:line="240" w:lineRule="auto"/>
        <w:ind w:firstLine="709"/>
        <w:rPr>
          <w:color w:val="000000"/>
        </w:rPr>
      </w:pPr>
    </w:p>
    <w:p w14:paraId="2323248E" w14:textId="77777777" w:rsidR="00C34E4A" w:rsidRPr="00BE0BE9" w:rsidRDefault="00C34E4A" w:rsidP="00AB1FF1">
      <w:pPr>
        <w:spacing w:after="0" w:line="240" w:lineRule="auto"/>
        <w:rPr>
          <w:b/>
          <w:i/>
          <w:iCs/>
          <w:color w:val="000000"/>
        </w:rPr>
      </w:pPr>
      <w:r w:rsidRPr="00BE0BE9">
        <w:rPr>
          <w:b/>
          <w:i/>
          <w:iCs/>
          <w:color w:val="000000"/>
        </w:rPr>
        <w:t>Артериальное давление</w:t>
      </w:r>
    </w:p>
    <w:p w14:paraId="586807E9" w14:textId="77777777" w:rsidR="0029110D" w:rsidRDefault="0029110D">
      <w:pPr>
        <w:spacing w:after="0" w:line="240" w:lineRule="auto"/>
        <w:ind w:firstLine="709"/>
        <w:rPr>
          <w:color w:val="000000"/>
        </w:rPr>
      </w:pPr>
    </w:p>
    <w:p w14:paraId="163E2565" w14:textId="2BE3ACC7" w:rsidR="00C34E4A" w:rsidRDefault="00C34E4A">
      <w:pPr>
        <w:spacing w:after="0" w:line="240" w:lineRule="auto"/>
        <w:ind w:firstLine="709"/>
        <w:rPr>
          <w:color w:val="000000"/>
        </w:rPr>
      </w:pPr>
      <w:r w:rsidRPr="008475FE">
        <w:rPr>
          <w:color w:val="000000"/>
        </w:rPr>
        <w:t xml:space="preserve">В </w:t>
      </w:r>
      <w:r>
        <w:rPr>
          <w:color w:val="000000"/>
        </w:rPr>
        <w:t>клинических исследованиях при терапии ОА</w:t>
      </w:r>
      <w:r w:rsidRPr="008475FE">
        <w:rPr>
          <w:color w:val="000000"/>
        </w:rPr>
        <w:t xml:space="preserve"> частота </w:t>
      </w:r>
      <w:r>
        <w:rPr>
          <w:color w:val="000000"/>
        </w:rPr>
        <w:t xml:space="preserve">повышения </w:t>
      </w:r>
      <w:r w:rsidRPr="008475FE">
        <w:rPr>
          <w:color w:val="000000"/>
        </w:rPr>
        <w:t xml:space="preserve">систолического артериального давления была выше у пациентов, получавших барицитиниб, по сравнению с плацебо без различий в дозах. </w:t>
      </w:r>
      <w:r>
        <w:rPr>
          <w:color w:val="000000"/>
        </w:rPr>
        <w:t>А</w:t>
      </w:r>
      <w:r w:rsidRPr="008475FE">
        <w:rPr>
          <w:color w:val="000000"/>
        </w:rPr>
        <w:t>ртериальн</w:t>
      </w:r>
      <w:r>
        <w:rPr>
          <w:color w:val="000000"/>
        </w:rPr>
        <w:t xml:space="preserve">ая </w:t>
      </w:r>
      <w:r w:rsidRPr="008475FE">
        <w:rPr>
          <w:color w:val="000000"/>
        </w:rPr>
        <w:t>гипертензи</w:t>
      </w:r>
      <w:r>
        <w:rPr>
          <w:color w:val="000000"/>
        </w:rPr>
        <w:t xml:space="preserve">я возникала с одинаковой частотой </w:t>
      </w:r>
      <w:r w:rsidRPr="008475FE">
        <w:rPr>
          <w:color w:val="000000"/>
        </w:rPr>
        <w:t>при приеме плацебо (2,4%) и барицитиниба 4 мг (2,6%)</w:t>
      </w:r>
      <w:r>
        <w:rPr>
          <w:color w:val="000000"/>
        </w:rPr>
        <w:t>,</w:t>
      </w:r>
      <w:r w:rsidRPr="008475FE">
        <w:rPr>
          <w:color w:val="000000"/>
        </w:rPr>
        <w:t xml:space="preserve"> реже при приеме барицитиниба 2 мг (0,5%). Средние изменения по сравнению с исходным уровнем у пациентов, получавших барицитиниб, были небольшими (менее 2 мм рт. ст.) в обеих группах</w:t>
      </w:r>
      <w:r>
        <w:rPr>
          <w:color w:val="000000"/>
        </w:rPr>
        <w:t xml:space="preserve"> </w:t>
      </w:r>
      <w:r>
        <w:fldChar w:fldCharType="begin"/>
      </w:r>
      <w:r>
        <w:instrText xml:space="preserve"> ADDIN ZOTERO_ITEM CSL_CITATION {"citationID":"Rx9OayoC","properties":{"formattedCitation":"[2]","plainCitation":"[2]","noteIndex":0},"citationItems":[{"id":3827,"uris":["http://zotero.org/groups/4514912/items/LB74K8KI"],"itemData":{"id":3827,"type":"document","title":"Assessment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475FE">
        <w:rPr>
          <w:color w:val="000000"/>
        </w:rPr>
        <w:t xml:space="preserve">. </w:t>
      </w:r>
    </w:p>
    <w:p w14:paraId="692D43F1" w14:textId="77777777" w:rsidR="00C34E4A" w:rsidRPr="008475FE" w:rsidRDefault="00C34E4A">
      <w:pPr>
        <w:spacing w:after="0" w:line="240" w:lineRule="auto"/>
        <w:ind w:firstLine="709"/>
        <w:rPr>
          <w:color w:val="000000"/>
        </w:rPr>
      </w:pPr>
    </w:p>
    <w:p w14:paraId="089473DC" w14:textId="77777777" w:rsidR="00C34E4A" w:rsidRPr="00BE0BE9" w:rsidRDefault="00C34E4A" w:rsidP="00AB1FF1">
      <w:pPr>
        <w:spacing w:after="0" w:line="240" w:lineRule="auto"/>
        <w:rPr>
          <w:b/>
          <w:i/>
          <w:iCs/>
          <w:color w:val="000000"/>
        </w:rPr>
      </w:pPr>
      <w:r w:rsidRPr="00BE0BE9">
        <w:rPr>
          <w:b/>
          <w:i/>
          <w:iCs/>
          <w:color w:val="000000"/>
        </w:rPr>
        <w:t>Частота сердечных сокращений</w:t>
      </w:r>
    </w:p>
    <w:p w14:paraId="51B9DF3C" w14:textId="77777777" w:rsidR="0029110D" w:rsidRDefault="0029110D">
      <w:pPr>
        <w:spacing w:after="0" w:line="240" w:lineRule="auto"/>
        <w:ind w:firstLine="709"/>
        <w:rPr>
          <w:color w:val="000000"/>
        </w:rPr>
      </w:pPr>
    </w:p>
    <w:p w14:paraId="422D6356" w14:textId="04C9EDF1" w:rsidR="00C34E4A" w:rsidRDefault="00C34E4A">
      <w:pPr>
        <w:spacing w:after="0" w:line="240" w:lineRule="auto"/>
        <w:ind w:firstLine="709"/>
        <w:rPr>
          <w:color w:val="000000"/>
        </w:rPr>
      </w:pPr>
      <w:r w:rsidRPr="008475FE">
        <w:rPr>
          <w:color w:val="000000"/>
        </w:rPr>
        <w:t xml:space="preserve">В </w:t>
      </w:r>
      <w:r>
        <w:rPr>
          <w:color w:val="000000"/>
        </w:rPr>
        <w:t>клинических исследованиях при терапии ОА</w:t>
      </w:r>
      <w:r w:rsidRPr="008475FE">
        <w:rPr>
          <w:color w:val="000000"/>
        </w:rPr>
        <w:t xml:space="preserve"> частота </w:t>
      </w:r>
      <w:r>
        <w:rPr>
          <w:color w:val="000000"/>
        </w:rPr>
        <w:t>возникновения брадикардии</w:t>
      </w:r>
      <w:r w:rsidRPr="008475FE">
        <w:rPr>
          <w:color w:val="000000"/>
        </w:rPr>
        <w:t xml:space="preserve"> была одинаковой при приеме барицитиниба в дозе 4 мг и плацебо</w:t>
      </w:r>
      <w:r>
        <w:rPr>
          <w:color w:val="000000"/>
        </w:rPr>
        <w:t>,</w:t>
      </w:r>
      <w:r w:rsidRPr="008475FE">
        <w:rPr>
          <w:color w:val="000000"/>
        </w:rPr>
        <w:t xml:space="preserve"> и ниже при приеме барицитиниба в дозе 2 мг. </w:t>
      </w:r>
      <w:r>
        <w:rPr>
          <w:color w:val="000000"/>
        </w:rPr>
        <w:t xml:space="preserve">Тахикардию чаще регистрировали </w:t>
      </w:r>
      <w:r w:rsidRPr="008475FE">
        <w:rPr>
          <w:color w:val="000000"/>
        </w:rPr>
        <w:t xml:space="preserve">у пациентов, получавших барицитиниб, </w:t>
      </w:r>
      <w:r>
        <w:rPr>
          <w:color w:val="000000"/>
        </w:rPr>
        <w:t>в</w:t>
      </w:r>
      <w:r w:rsidRPr="008475FE">
        <w:rPr>
          <w:color w:val="000000"/>
        </w:rPr>
        <w:t xml:space="preserve"> сравнени</w:t>
      </w:r>
      <w:r>
        <w:rPr>
          <w:color w:val="000000"/>
        </w:rPr>
        <w:t>и</w:t>
      </w:r>
      <w:r w:rsidRPr="008475FE">
        <w:rPr>
          <w:color w:val="000000"/>
        </w:rPr>
        <w:t xml:space="preserve"> с плацебо. Максимальные средние изменения по сравнению с исходным уровнем у пациентов, получавших барицитиниб</w:t>
      </w:r>
      <w:r>
        <w:rPr>
          <w:color w:val="000000"/>
        </w:rPr>
        <w:t xml:space="preserve"> в обеих дозах</w:t>
      </w:r>
      <w:r w:rsidRPr="008475FE">
        <w:rPr>
          <w:color w:val="000000"/>
        </w:rPr>
        <w:t>, были небольшими (менее 2 ударов в минуту) и не увеличивались по сравнению с пациентами, получавшими плацебо (2,57 ударов в минуту)</w:t>
      </w:r>
      <w:r>
        <w:rPr>
          <w:color w:val="000000"/>
        </w:rPr>
        <w:t xml:space="preserve"> </w:t>
      </w:r>
      <w:r>
        <w:fldChar w:fldCharType="begin"/>
      </w:r>
      <w:r>
        <w:instrText xml:space="preserve"> ADDIN ZOTERO_ITEM CSL_CITATION {"citationID":"2B4Hc7I1","properties":{"formattedCitation":"[2]","plainCitation":"[2]","noteIndex":0},"citationItems":[{"id":3827,"uris":["http://zotero.org/groups/4514912/items/LB74K8KI"],"itemData":{"id":3827,"type":"document","title":"Assessment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475FE">
        <w:rPr>
          <w:color w:val="000000"/>
        </w:rPr>
        <w:t>.</w:t>
      </w:r>
    </w:p>
    <w:p w14:paraId="6248BEB8" w14:textId="77777777" w:rsidR="00C34E4A" w:rsidRPr="008475FE" w:rsidRDefault="00C34E4A">
      <w:pPr>
        <w:spacing w:after="0" w:line="240" w:lineRule="auto"/>
        <w:ind w:firstLine="709"/>
        <w:rPr>
          <w:color w:val="000000"/>
        </w:rPr>
      </w:pPr>
    </w:p>
    <w:p w14:paraId="1BC988F0" w14:textId="77777777" w:rsidR="00C34E4A" w:rsidRPr="00BE0BE9" w:rsidRDefault="00C34E4A" w:rsidP="00AB1FF1">
      <w:pPr>
        <w:spacing w:after="0" w:line="240" w:lineRule="auto"/>
        <w:rPr>
          <w:b/>
          <w:i/>
          <w:iCs/>
          <w:color w:val="000000"/>
        </w:rPr>
      </w:pPr>
      <w:r w:rsidRPr="00BE0BE9">
        <w:rPr>
          <w:b/>
          <w:i/>
          <w:iCs/>
          <w:color w:val="000000"/>
        </w:rPr>
        <w:t>Масса тела</w:t>
      </w:r>
    </w:p>
    <w:p w14:paraId="5CD13D0A" w14:textId="77777777" w:rsidR="0029110D" w:rsidRDefault="0029110D">
      <w:pPr>
        <w:spacing w:after="0" w:line="240" w:lineRule="auto"/>
        <w:ind w:firstLine="709"/>
        <w:rPr>
          <w:color w:val="000000"/>
        </w:rPr>
      </w:pPr>
    </w:p>
    <w:p w14:paraId="1D972ED7" w14:textId="79A57D9F" w:rsidR="00C34E4A" w:rsidRDefault="00C34E4A">
      <w:pPr>
        <w:spacing w:after="0" w:line="240" w:lineRule="auto"/>
        <w:ind w:firstLine="709"/>
        <w:rPr>
          <w:color w:val="000000"/>
        </w:rPr>
      </w:pPr>
      <w:r w:rsidRPr="008475FE">
        <w:rPr>
          <w:color w:val="000000"/>
        </w:rPr>
        <w:t xml:space="preserve">В </w:t>
      </w:r>
      <w:r>
        <w:rPr>
          <w:color w:val="000000"/>
        </w:rPr>
        <w:t>клинических исследованиях при терапии ОА</w:t>
      </w:r>
      <w:r w:rsidRPr="008475FE">
        <w:rPr>
          <w:color w:val="000000"/>
        </w:rPr>
        <w:t xml:space="preserve"> частота потери веса (снижение ≥7%) была выше в группе плацебо по сравнению с группами</w:t>
      </w:r>
      <w:r>
        <w:rPr>
          <w:color w:val="000000"/>
        </w:rPr>
        <w:t xml:space="preserve"> </w:t>
      </w:r>
      <w:r w:rsidRPr="008475FE">
        <w:rPr>
          <w:color w:val="000000"/>
        </w:rPr>
        <w:t>барицитиниб</w:t>
      </w:r>
      <w:r>
        <w:rPr>
          <w:color w:val="000000"/>
        </w:rPr>
        <w:t>а</w:t>
      </w:r>
      <w:r w:rsidRPr="008475FE">
        <w:rPr>
          <w:color w:val="000000"/>
        </w:rPr>
        <w:t xml:space="preserve"> 2 мг и 4 мг. Аналогичная доля пациентов во всех группах лечения имела прибавку в весе ≥7%. Увеличение массы тела </w:t>
      </w:r>
      <w:r>
        <w:rPr>
          <w:color w:val="000000"/>
        </w:rPr>
        <w:t>в ходе приема барицитиниба</w:t>
      </w:r>
      <w:r w:rsidRPr="008475FE">
        <w:rPr>
          <w:color w:val="000000"/>
        </w:rPr>
        <w:t xml:space="preserve"> отмечалось с большей частотой в группах барицитиниба 2 мг (1,6%) и 4 мг (0,9%) по сравнению с плацебо (0,3%). Максимальное среднее изменение по сравнению с исходным уровнем составило 1,15 кг при приеме барицитиниба 2 мг и 1,78 кг при приеме барицитиниба 4 мг по сравнению с 0,62 кг при приеме плацебо</w:t>
      </w:r>
      <w:r>
        <w:rPr>
          <w:color w:val="000000"/>
        </w:rPr>
        <w:t xml:space="preserve"> </w:t>
      </w:r>
      <w:r>
        <w:fldChar w:fldCharType="begin"/>
      </w:r>
      <w:r>
        <w:instrText xml:space="preserve"> ADDIN ZOTERO_ITEM CSL_CITATION {"citationID":"CIC6t3wP","properties":{"formattedCitation":"[2]","plainCitation":"[2]","noteIndex":0},"citationItems":[{"id":3827,"uris":["http://zotero.org/groups/4514912/items/LB74K8KI"],"itemData":{"id":3827,"type":"document","title":"Assessment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475FE">
        <w:rPr>
          <w:color w:val="000000"/>
        </w:rPr>
        <w:t>.</w:t>
      </w:r>
      <w:r>
        <w:rPr>
          <w:color w:val="000000"/>
        </w:rPr>
        <w:t xml:space="preserve"> </w:t>
      </w:r>
    </w:p>
    <w:p w14:paraId="4BECA4CD" w14:textId="77777777" w:rsidR="00C34E4A" w:rsidRPr="008475FE" w:rsidRDefault="00C34E4A">
      <w:pPr>
        <w:spacing w:after="0" w:line="240" w:lineRule="auto"/>
        <w:ind w:firstLine="709"/>
        <w:rPr>
          <w:color w:val="000000"/>
        </w:rPr>
      </w:pPr>
    </w:p>
    <w:p w14:paraId="507B3D3D" w14:textId="6D57057A" w:rsidR="00C34E4A" w:rsidRPr="006E1535" w:rsidRDefault="006E1535">
      <w:pPr>
        <w:spacing w:after="0" w:line="240" w:lineRule="auto"/>
        <w:rPr>
          <w:b/>
          <w:iCs/>
          <w:color w:val="000000"/>
        </w:rPr>
      </w:pPr>
      <w:r w:rsidRPr="006E1535">
        <w:rPr>
          <w:b/>
        </w:rPr>
        <w:t xml:space="preserve">4.3.2.2.4. </w:t>
      </w:r>
      <w:r w:rsidR="00C34E4A" w:rsidRPr="006E1535">
        <w:rPr>
          <w:b/>
          <w:iCs/>
          <w:color w:val="000000"/>
        </w:rPr>
        <w:t>Безопасность в особых группах населения</w:t>
      </w:r>
    </w:p>
    <w:p w14:paraId="3E7A072A" w14:textId="77777777" w:rsidR="006E1535" w:rsidRDefault="006E1535">
      <w:pPr>
        <w:spacing w:after="0" w:line="240" w:lineRule="auto"/>
        <w:ind w:firstLine="709"/>
        <w:rPr>
          <w:i/>
          <w:iCs/>
          <w:color w:val="000000"/>
        </w:rPr>
      </w:pPr>
    </w:p>
    <w:p w14:paraId="22E9352A" w14:textId="77777777" w:rsidR="00C34E4A" w:rsidRPr="00BE0BE9" w:rsidRDefault="00C34E4A" w:rsidP="00AB1FF1">
      <w:pPr>
        <w:spacing w:after="0" w:line="240" w:lineRule="auto"/>
        <w:rPr>
          <w:b/>
          <w:i/>
          <w:iCs/>
          <w:color w:val="000000"/>
        </w:rPr>
      </w:pPr>
      <w:r w:rsidRPr="00BE0BE9">
        <w:rPr>
          <w:b/>
          <w:i/>
          <w:iCs/>
          <w:color w:val="000000"/>
        </w:rPr>
        <w:t>Возраст</w:t>
      </w:r>
    </w:p>
    <w:p w14:paraId="2938436C" w14:textId="77777777" w:rsidR="0029110D" w:rsidRDefault="0029110D">
      <w:pPr>
        <w:spacing w:after="0" w:line="240" w:lineRule="auto"/>
        <w:ind w:firstLine="709"/>
        <w:rPr>
          <w:color w:val="000000"/>
        </w:rPr>
      </w:pPr>
    </w:p>
    <w:p w14:paraId="67A9443A" w14:textId="560216F9" w:rsidR="00C34E4A" w:rsidRPr="008C2014" w:rsidRDefault="00C34E4A">
      <w:pPr>
        <w:spacing w:after="0" w:line="240" w:lineRule="auto"/>
        <w:ind w:firstLine="709"/>
        <w:rPr>
          <w:color w:val="000000"/>
        </w:rPr>
      </w:pPr>
      <w:r w:rsidRPr="008C2014">
        <w:rPr>
          <w:color w:val="000000"/>
        </w:rPr>
        <w:t xml:space="preserve">Возрастные категории были определены как &lt;65 лет и ≥65 лет. Критериями включения в исследование были возраст не менее 18 лет и ≤60 лет для мужчин и ≤70 лет для женщин на момент получения информированного согласия. Всего из 1244 больных было: 1214 (97,6%) больных в возрасте до 65 лет и 30 (2,4%) больных в возрасте 65 лет и </w:t>
      </w:r>
      <w:r w:rsidRPr="008C2014">
        <w:rPr>
          <w:color w:val="000000"/>
        </w:rPr>
        <w:lastRenderedPageBreak/>
        <w:t>старше. Частота возникновения и тяжесть TEAE и СНЯ в возрастной группе старше 65 лет были выше по сравнению с более молодой возрастной группой</w:t>
      </w:r>
      <w:r>
        <w:rPr>
          <w:color w:val="000000"/>
        </w:rPr>
        <w:t xml:space="preserve"> </w:t>
      </w:r>
      <w:r>
        <w:fldChar w:fldCharType="begin"/>
      </w:r>
      <w:r>
        <w:instrText xml:space="preserve"> ADDIN ZOTERO_ITEM CSL_CITATION {"citationID":"YsxTgWed","properties":{"formattedCitation":"[2]","plainCitation":"[2]","noteIndex":0},"citationItems":[{"id":3827,"uris":["http://zotero.org/groups/4514912/items/LB74K8KI"],"itemData":{"id":3827,"type":"document","title":"Assessment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C2014">
        <w:rPr>
          <w:color w:val="000000"/>
        </w:rPr>
        <w:t>.</w:t>
      </w:r>
    </w:p>
    <w:p w14:paraId="63AB5935" w14:textId="77777777" w:rsidR="00C34E4A" w:rsidRDefault="00C34E4A">
      <w:pPr>
        <w:spacing w:after="0" w:line="240" w:lineRule="auto"/>
        <w:ind w:firstLine="709"/>
        <w:rPr>
          <w:color w:val="000000"/>
          <w:highlight w:val="cyan"/>
        </w:rPr>
      </w:pPr>
      <w:r w:rsidRPr="008C2014">
        <w:rPr>
          <w:color w:val="000000"/>
        </w:rPr>
        <w:t>Большинство (77%) пациентов в возрастной группе старше 65 лет сообщили о более чем 1 TEAE, наибольшее количество зарегистрированных событий было «инфекций и инвазий». Три пациента в возрастной группе старше 65 лет сообщили о СНЯ, по одному с переломом лодыжки, COVID-19 и желудочковой тахикардией</w:t>
      </w:r>
      <w:r>
        <w:rPr>
          <w:color w:val="000000"/>
        </w:rPr>
        <w:t xml:space="preserve"> </w:t>
      </w:r>
      <w:r>
        <w:fldChar w:fldCharType="begin"/>
      </w:r>
      <w:r>
        <w:instrText xml:space="preserve"> ADDIN ZOTERO_ITEM CSL_CITATION {"citationID":"XlLJHrhP","properties":{"formattedCitation":"[2]","plainCitation":"[2]","noteIndex":0},"citationItems":[{"id":3827,"uris":["http://zotero.org/groups/4514912/items/LB74K8KI"],"itemData":{"id":3827,"type":"document","title":"Assessment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C2014">
        <w:rPr>
          <w:color w:val="000000"/>
        </w:rPr>
        <w:t xml:space="preserve">. </w:t>
      </w:r>
    </w:p>
    <w:p w14:paraId="3F8A34EC" w14:textId="77777777" w:rsidR="00C34E4A" w:rsidRPr="00BA5788" w:rsidRDefault="00C34E4A">
      <w:pPr>
        <w:spacing w:after="0" w:line="240" w:lineRule="auto"/>
        <w:ind w:firstLine="709"/>
        <w:rPr>
          <w:color w:val="000000"/>
        </w:rPr>
      </w:pPr>
      <w:r w:rsidRPr="00BA5788">
        <w:rPr>
          <w:color w:val="000000"/>
        </w:rPr>
        <w:t xml:space="preserve">В </w:t>
      </w:r>
      <w:r>
        <w:rPr>
          <w:color w:val="000000"/>
        </w:rPr>
        <w:t>ходе</w:t>
      </w:r>
      <w:r w:rsidRPr="00BA5788">
        <w:rPr>
          <w:color w:val="000000"/>
        </w:rPr>
        <w:t xml:space="preserve"> клинических </w:t>
      </w:r>
      <w:r>
        <w:rPr>
          <w:color w:val="000000"/>
        </w:rPr>
        <w:t xml:space="preserve">исследований с участием пациентов с ОА </w:t>
      </w:r>
      <w:r w:rsidRPr="00BA5788">
        <w:rPr>
          <w:color w:val="000000"/>
        </w:rPr>
        <w:t xml:space="preserve">не было зарегистрировано случаев смерти ни в одной возрастной группе. Частота и </w:t>
      </w:r>
      <w:r>
        <w:rPr>
          <w:color w:val="000000"/>
        </w:rPr>
        <w:t xml:space="preserve">тяжесть </w:t>
      </w:r>
      <w:r w:rsidRPr="00BA5788">
        <w:rPr>
          <w:color w:val="000000"/>
        </w:rPr>
        <w:t xml:space="preserve">событий </w:t>
      </w:r>
      <w:r>
        <w:rPr>
          <w:color w:val="000000"/>
        </w:rPr>
        <w:t>«</w:t>
      </w:r>
      <w:r w:rsidRPr="00BA5788">
        <w:rPr>
          <w:color w:val="000000"/>
        </w:rPr>
        <w:t>инфекци</w:t>
      </w:r>
      <w:r>
        <w:rPr>
          <w:color w:val="000000"/>
        </w:rPr>
        <w:t>и</w:t>
      </w:r>
      <w:r w:rsidRPr="00BA5788">
        <w:rPr>
          <w:color w:val="000000"/>
        </w:rPr>
        <w:t xml:space="preserve"> и инвази</w:t>
      </w:r>
      <w:r>
        <w:rPr>
          <w:color w:val="000000"/>
        </w:rPr>
        <w:t>и»</w:t>
      </w:r>
      <w:r w:rsidRPr="00BA5788">
        <w:rPr>
          <w:color w:val="000000"/>
        </w:rPr>
        <w:t xml:space="preserve"> и событий гиперлипидемии были выше в возрастной группе старше 65 лет по сравнению с возрастной группой моложе 65 лет</w:t>
      </w:r>
      <w:r>
        <w:rPr>
          <w:color w:val="000000"/>
        </w:rPr>
        <w:t xml:space="preserve"> </w:t>
      </w:r>
      <w:r>
        <w:fldChar w:fldCharType="begin"/>
      </w:r>
      <w:r>
        <w:instrText xml:space="preserve"> ADDIN ZOTERO_ITEM CSL_CITATION {"citationID":"M8NPC9Em","properties":{"formattedCitation":"[2]","plainCitation":"[2]","noteIndex":0},"citationItems":[{"id":3827,"uris":["http://zotero.org/groups/4514912/items/LB74K8KI"],"itemData":{"id":3827,"type":"document","title":"Assessment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BA5788">
        <w:rPr>
          <w:color w:val="000000"/>
        </w:rPr>
        <w:t>.</w:t>
      </w:r>
    </w:p>
    <w:p w14:paraId="00B5BADE" w14:textId="77777777" w:rsidR="0029110D" w:rsidRDefault="0029110D" w:rsidP="00AB1FF1">
      <w:pPr>
        <w:spacing w:after="0" w:line="240" w:lineRule="auto"/>
        <w:rPr>
          <w:b/>
          <w:i/>
          <w:iCs/>
          <w:color w:val="000000"/>
        </w:rPr>
      </w:pPr>
    </w:p>
    <w:p w14:paraId="341D2670" w14:textId="027C96E7" w:rsidR="00C34E4A" w:rsidRPr="00BE0BE9" w:rsidRDefault="00C34E4A" w:rsidP="00AB1FF1">
      <w:pPr>
        <w:spacing w:after="0" w:line="240" w:lineRule="auto"/>
        <w:rPr>
          <w:b/>
          <w:i/>
          <w:iCs/>
          <w:color w:val="000000"/>
        </w:rPr>
      </w:pPr>
      <w:r w:rsidRPr="00BE0BE9">
        <w:rPr>
          <w:b/>
          <w:i/>
          <w:iCs/>
          <w:color w:val="000000"/>
        </w:rPr>
        <w:t>Функция почек</w:t>
      </w:r>
    </w:p>
    <w:p w14:paraId="54CD5D30" w14:textId="77777777" w:rsidR="0029110D" w:rsidRDefault="0029110D">
      <w:pPr>
        <w:spacing w:after="0" w:line="240" w:lineRule="auto"/>
        <w:ind w:firstLine="709"/>
        <w:rPr>
          <w:color w:val="000000"/>
        </w:rPr>
      </w:pPr>
    </w:p>
    <w:p w14:paraId="5D587552" w14:textId="5BFB5A8B" w:rsidR="00C34E4A" w:rsidRPr="00BA5788" w:rsidRDefault="00C34E4A">
      <w:pPr>
        <w:spacing w:after="0" w:line="240" w:lineRule="auto"/>
        <w:ind w:firstLine="709"/>
        <w:rPr>
          <w:color w:val="000000"/>
        </w:rPr>
      </w:pPr>
      <w:r w:rsidRPr="00BA5788">
        <w:rPr>
          <w:color w:val="000000"/>
        </w:rPr>
        <w:t xml:space="preserve">В </w:t>
      </w:r>
      <w:r>
        <w:rPr>
          <w:color w:val="000000"/>
        </w:rPr>
        <w:t>ходе</w:t>
      </w:r>
      <w:r w:rsidRPr="00BA5788">
        <w:rPr>
          <w:color w:val="000000"/>
        </w:rPr>
        <w:t xml:space="preserve"> клинических </w:t>
      </w:r>
      <w:r>
        <w:rPr>
          <w:color w:val="000000"/>
        </w:rPr>
        <w:t>исследований с участием пациентов с ОА</w:t>
      </w:r>
      <w:r w:rsidRPr="00BA5788">
        <w:rPr>
          <w:color w:val="000000"/>
        </w:rPr>
        <w:t xml:space="preserve"> только 2 пациента с исходной СКФ от 40 до 60 мл/мин/1,73 м</w:t>
      </w:r>
      <w:r w:rsidRPr="00B776F2">
        <w:rPr>
          <w:color w:val="000000"/>
          <w:vertAlign w:val="superscript"/>
        </w:rPr>
        <w:t>2</w:t>
      </w:r>
      <w:r w:rsidRPr="00BA5788">
        <w:rPr>
          <w:color w:val="000000"/>
        </w:rPr>
        <w:t xml:space="preserve"> были рандомизированы в группу барицитиниба в дозе 4 мг, и эти пациенты получали дозу 2 мг в соответствии с рекомендациями по дозиро</w:t>
      </w:r>
      <w:r>
        <w:rPr>
          <w:color w:val="000000"/>
        </w:rPr>
        <w:t xml:space="preserve">ванию </w:t>
      </w:r>
      <w:r>
        <w:fldChar w:fldCharType="begin"/>
      </w:r>
      <w:r>
        <w:instrText xml:space="preserve"> ADDIN ZOTERO_ITEM CSL_CITATION {"citationID":"bpMWbsAJ","properties":{"formattedCitation":"[2]","plainCitation":"[2]","noteIndex":0},"citationItems":[{"id":3827,"uris":["http://zotero.org/groups/4514912/items/LB74K8KI"],"itemData":{"id":3827,"type":"document","title":"Assessment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BA5788">
        <w:rPr>
          <w:color w:val="000000"/>
        </w:rPr>
        <w:t>.</w:t>
      </w:r>
    </w:p>
    <w:p w14:paraId="6A71BB09" w14:textId="77777777" w:rsidR="006E1535" w:rsidRDefault="006E1535">
      <w:pPr>
        <w:spacing w:after="0" w:line="240" w:lineRule="auto"/>
        <w:ind w:firstLine="709"/>
        <w:rPr>
          <w:i/>
          <w:iCs/>
          <w:color w:val="000000"/>
        </w:rPr>
      </w:pPr>
    </w:p>
    <w:p w14:paraId="2599B471" w14:textId="77777777" w:rsidR="00C34E4A" w:rsidRPr="00BE0BE9" w:rsidRDefault="00C34E4A" w:rsidP="00AB1FF1">
      <w:pPr>
        <w:spacing w:after="0" w:line="240" w:lineRule="auto"/>
        <w:rPr>
          <w:b/>
          <w:i/>
          <w:iCs/>
          <w:color w:val="000000"/>
        </w:rPr>
      </w:pPr>
      <w:r w:rsidRPr="00BE0BE9">
        <w:rPr>
          <w:b/>
          <w:i/>
          <w:iCs/>
          <w:color w:val="000000"/>
        </w:rPr>
        <w:t>Другие внутренние и внешние факторы</w:t>
      </w:r>
    </w:p>
    <w:p w14:paraId="4BC791F1" w14:textId="77777777" w:rsidR="0029110D" w:rsidRDefault="0029110D">
      <w:pPr>
        <w:spacing w:after="0" w:line="240" w:lineRule="auto"/>
        <w:ind w:firstLine="709"/>
        <w:rPr>
          <w:color w:val="000000"/>
        </w:rPr>
      </w:pPr>
    </w:p>
    <w:p w14:paraId="14AC0AE0" w14:textId="29B2CF4D" w:rsidR="00C34E4A" w:rsidRPr="00BA5788" w:rsidRDefault="00C34E4A">
      <w:pPr>
        <w:spacing w:after="0" w:line="240" w:lineRule="auto"/>
        <w:ind w:firstLine="709"/>
        <w:rPr>
          <w:color w:val="000000"/>
        </w:rPr>
      </w:pPr>
      <w:r w:rsidRPr="00BA5788">
        <w:rPr>
          <w:color w:val="000000"/>
        </w:rPr>
        <w:t>Не было отмечено клинически значимых дифференциальных эффектов лечения для общих TEAE ни в одной из подгрупп по полу, расе, этнической принадлежности, исходному весу или исходному ИМТ. Для большинства TEAE ч</w:t>
      </w:r>
      <w:r>
        <w:rPr>
          <w:color w:val="000000"/>
        </w:rPr>
        <w:t xml:space="preserve">астота возникновения </w:t>
      </w:r>
      <w:r w:rsidRPr="00BA5788">
        <w:rPr>
          <w:color w:val="000000"/>
        </w:rPr>
        <w:t>слишком мал</w:t>
      </w:r>
      <w:r>
        <w:rPr>
          <w:color w:val="000000"/>
        </w:rPr>
        <w:t>а</w:t>
      </w:r>
      <w:r w:rsidRPr="00BA5788">
        <w:rPr>
          <w:color w:val="000000"/>
        </w:rPr>
        <w:t xml:space="preserve"> для значимого сравнения. Не было обнаружено клинически значимых дифференциальных эффектов лечения для TEAE в какой-либо из подгрупп географического региона или для пациентов с предшествующей системной терапией или без нее</w:t>
      </w:r>
      <w:r>
        <w:rPr>
          <w:color w:val="000000"/>
        </w:rPr>
        <w:t xml:space="preserve"> </w:t>
      </w:r>
      <w:r>
        <w:fldChar w:fldCharType="begin"/>
      </w:r>
      <w:r>
        <w:instrText xml:space="preserve"> ADDIN ZOTERO_ITEM CSL_CITATION {"citationID":"IGb9rR5S","properties":{"formattedCitation":"[2]","plainCitation":"[2]","noteIndex":0},"citationItems":[{"id":3827,"uris":["http://zotero.org/groups/4514912/items/LB74K8KI"],"itemData":{"id":3827,"type":"document","title":"Assessment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BA5788">
        <w:rPr>
          <w:color w:val="000000"/>
        </w:rPr>
        <w:t>.</w:t>
      </w:r>
      <w:r>
        <w:rPr>
          <w:color w:val="000000"/>
        </w:rPr>
        <w:t xml:space="preserve"> </w:t>
      </w:r>
    </w:p>
    <w:p w14:paraId="28212DE0" w14:textId="77777777" w:rsidR="006E1535" w:rsidRDefault="006E1535">
      <w:pPr>
        <w:spacing w:after="0" w:line="240" w:lineRule="auto"/>
        <w:ind w:firstLine="709"/>
        <w:rPr>
          <w:i/>
          <w:iCs/>
          <w:color w:val="000000"/>
        </w:rPr>
      </w:pPr>
    </w:p>
    <w:p w14:paraId="2729F337" w14:textId="77777777" w:rsidR="00C34E4A" w:rsidRPr="00BE0BE9" w:rsidRDefault="00C34E4A" w:rsidP="00AB1FF1">
      <w:pPr>
        <w:spacing w:after="0" w:line="240" w:lineRule="auto"/>
        <w:rPr>
          <w:b/>
          <w:i/>
          <w:iCs/>
          <w:color w:val="000000"/>
        </w:rPr>
      </w:pPr>
      <w:r w:rsidRPr="00BE0BE9">
        <w:rPr>
          <w:b/>
          <w:i/>
          <w:iCs/>
          <w:color w:val="000000"/>
        </w:rPr>
        <w:t>Беременность</w:t>
      </w:r>
    </w:p>
    <w:p w14:paraId="0CACDEF6" w14:textId="77777777" w:rsidR="0029110D" w:rsidRDefault="0029110D">
      <w:pPr>
        <w:spacing w:after="0" w:line="240" w:lineRule="auto"/>
        <w:ind w:firstLine="709"/>
        <w:rPr>
          <w:color w:val="000000"/>
        </w:rPr>
      </w:pPr>
    </w:p>
    <w:p w14:paraId="0F645588" w14:textId="2CD54460" w:rsidR="00C34E4A" w:rsidRPr="00BA5788" w:rsidRDefault="00C34E4A">
      <w:pPr>
        <w:spacing w:after="0" w:line="240" w:lineRule="auto"/>
        <w:ind w:firstLine="709"/>
        <w:rPr>
          <w:color w:val="000000"/>
        </w:rPr>
      </w:pPr>
      <w:r w:rsidRPr="00BA5788">
        <w:rPr>
          <w:color w:val="000000"/>
        </w:rPr>
        <w:t>Было показано, что</w:t>
      </w:r>
      <w:r>
        <w:rPr>
          <w:color w:val="000000"/>
        </w:rPr>
        <w:t xml:space="preserve"> регуляторный</w:t>
      </w:r>
      <w:r w:rsidRPr="00BA5788">
        <w:rPr>
          <w:color w:val="000000"/>
        </w:rPr>
        <w:t xml:space="preserve"> путь JAK-STAT участвует в клеточной адгезии и клеточной полярности, что может влиять на раннее эмбриональное развитие. Влияние барицитиниба на развитие плода человека неизвестно; однако исследования на крысах и кроликах показали тератогенность. Выводы о материнской и эмбрио-фетальной токсичности, включая скелетные аномалии при дозах, превышающих максимальную дозу воздействия на человека, указывают на то, что барицитиниб может оказывать неблагоприятное воздействие на развитие костей в период внутриутробного развития. Поскольку пороки развития плода после внутриутробного воздействия являются важным потенциальным риском</w:t>
      </w:r>
      <w:r>
        <w:rPr>
          <w:color w:val="000000"/>
        </w:rPr>
        <w:t>, а</w:t>
      </w:r>
      <w:r w:rsidRPr="00BA5788">
        <w:rPr>
          <w:color w:val="000000"/>
        </w:rPr>
        <w:t xml:space="preserve"> барицитиниб противопоказан во время беременности, женщины и мужчины с репродуктивным потенциалом, включенные в клиническую программу </w:t>
      </w:r>
      <w:r>
        <w:rPr>
          <w:color w:val="000000"/>
        </w:rPr>
        <w:t>ОА</w:t>
      </w:r>
      <w:r w:rsidRPr="00BA5788">
        <w:rPr>
          <w:color w:val="000000"/>
        </w:rPr>
        <w:t xml:space="preserve">, должны были использовать надежный метод </w:t>
      </w:r>
      <w:r>
        <w:rPr>
          <w:color w:val="000000"/>
        </w:rPr>
        <w:t>контрацепции</w:t>
      </w:r>
      <w:r w:rsidRPr="00BA5788">
        <w:rPr>
          <w:color w:val="000000"/>
        </w:rPr>
        <w:t xml:space="preserve"> во время клинических исследований и в течение как минимум 4 недель после последней дозы исследуемого препарата</w:t>
      </w:r>
      <w:r>
        <w:rPr>
          <w:color w:val="000000"/>
        </w:rPr>
        <w:t xml:space="preserve"> </w:t>
      </w:r>
      <w:r>
        <w:fldChar w:fldCharType="begin"/>
      </w:r>
      <w:r>
        <w:instrText xml:space="preserve"> ADDIN ZOTERO_ITEM CSL_CITATION {"citationID":"Qu2TtSct","properties":{"formattedCitation":"[2]","plainCitation":"[2]","noteIndex":0},"citationItems":[{"id":3827,"uris":["http://zotero.org/groups/4514912/items/LB74K8KI"],"itemData":{"id":3827,"type":"document","title":"Assessment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BA5788">
        <w:rPr>
          <w:color w:val="000000"/>
        </w:rPr>
        <w:t xml:space="preserve">. </w:t>
      </w:r>
    </w:p>
    <w:p w14:paraId="17320000" w14:textId="77777777" w:rsidR="00C34E4A" w:rsidRDefault="00C34E4A">
      <w:pPr>
        <w:spacing w:after="0" w:line="240" w:lineRule="auto"/>
        <w:ind w:firstLine="709"/>
        <w:rPr>
          <w:color w:val="000000"/>
        </w:rPr>
      </w:pPr>
      <w:r w:rsidRPr="00BA5788">
        <w:rPr>
          <w:color w:val="000000"/>
        </w:rPr>
        <w:t xml:space="preserve">По состоянию на 13 февраля 2021 года 6 женщин забеременели во время участия в исследовании </w:t>
      </w:r>
      <w:r>
        <w:rPr>
          <w:color w:val="000000"/>
        </w:rPr>
        <w:t>О</w:t>
      </w:r>
      <w:r w:rsidRPr="00BA5788">
        <w:rPr>
          <w:color w:val="000000"/>
        </w:rPr>
        <w:t xml:space="preserve">А. Исходы включали: 1 плановое прерывание беременности, 1 самопроизвольный аборт, 1 замершую беременность и 3 </w:t>
      </w:r>
      <w:r>
        <w:rPr>
          <w:color w:val="000000"/>
        </w:rPr>
        <w:t xml:space="preserve">развивающиеся </w:t>
      </w:r>
      <w:r w:rsidRPr="00BA5788">
        <w:rPr>
          <w:color w:val="000000"/>
        </w:rPr>
        <w:t xml:space="preserve">беременности </w:t>
      </w:r>
      <w:r>
        <w:rPr>
          <w:color w:val="000000"/>
        </w:rPr>
        <w:t>на момент предоставления данных</w:t>
      </w:r>
      <w:r w:rsidRPr="00BA5788">
        <w:rPr>
          <w:color w:val="000000"/>
        </w:rPr>
        <w:t>. У партнер</w:t>
      </w:r>
      <w:r>
        <w:rPr>
          <w:color w:val="000000"/>
        </w:rPr>
        <w:t>ш</w:t>
      </w:r>
      <w:r w:rsidRPr="00BA5788">
        <w:rPr>
          <w:color w:val="000000"/>
        </w:rPr>
        <w:t xml:space="preserve"> пациентов муж</w:t>
      </w:r>
      <w:r>
        <w:rPr>
          <w:color w:val="000000"/>
        </w:rPr>
        <w:t>чин</w:t>
      </w:r>
      <w:r w:rsidRPr="00BA5788">
        <w:rPr>
          <w:color w:val="000000"/>
        </w:rPr>
        <w:t xml:space="preserve">, получавших барицитиниб во время участия в исследовании </w:t>
      </w:r>
      <w:r>
        <w:rPr>
          <w:color w:val="000000"/>
        </w:rPr>
        <w:t>О</w:t>
      </w:r>
      <w:r w:rsidRPr="00BA5788">
        <w:rPr>
          <w:color w:val="000000"/>
        </w:rPr>
        <w:t xml:space="preserve">А, не было беременностей. При трех </w:t>
      </w:r>
      <w:r w:rsidRPr="00BA5788">
        <w:rPr>
          <w:color w:val="000000"/>
        </w:rPr>
        <w:lastRenderedPageBreak/>
        <w:t xml:space="preserve">преждевременно закончившихся беременностях не было зарегистрировано врожденных аномалий; у двух женщин, перенесших самопроизвольный аборт, имелся предрасполагающий анамнез. Случаев применения барицитиниба во время грудного вскармливания в клинических исследованиях </w:t>
      </w:r>
      <w:r>
        <w:rPr>
          <w:color w:val="000000"/>
        </w:rPr>
        <w:t>О</w:t>
      </w:r>
      <w:r w:rsidRPr="00BA5788">
        <w:rPr>
          <w:color w:val="000000"/>
        </w:rPr>
        <w:t>А не сообщалось</w:t>
      </w:r>
      <w:r>
        <w:rPr>
          <w:color w:val="000000"/>
        </w:rPr>
        <w:t xml:space="preserve"> </w:t>
      </w:r>
      <w:r>
        <w:fldChar w:fldCharType="begin"/>
      </w:r>
      <w:r>
        <w:instrText xml:space="preserve"> ADDIN ZOTERO_ITEM CSL_CITATION {"citationID":"khHQBXCy","properties":{"formattedCitation":"[2]","plainCitation":"[2]","noteIndex":0},"citationItems":[{"id":3827,"uris":["http://zotero.org/groups/4514912/items/LB74K8KI"],"itemData":{"id":3827,"type":"document","title":"Assessment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BA5788">
        <w:rPr>
          <w:color w:val="000000"/>
        </w:rPr>
        <w:t>.</w:t>
      </w:r>
    </w:p>
    <w:p w14:paraId="7436BF50" w14:textId="77777777" w:rsidR="00C34E4A" w:rsidRDefault="00C34E4A">
      <w:pPr>
        <w:spacing w:after="0" w:line="240" w:lineRule="auto"/>
        <w:ind w:firstLine="709"/>
        <w:rPr>
          <w:color w:val="000000"/>
        </w:rPr>
      </w:pPr>
    </w:p>
    <w:p w14:paraId="73564C8E" w14:textId="77777777" w:rsidR="00C34E4A" w:rsidRDefault="00C34E4A">
      <w:pPr>
        <w:pStyle w:val="4"/>
        <w:spacing w:before="0"/>
        <w:rPr>
          <w:color w:val="000000"/>
        </w:rPr>
      </w:pPr>
      <w:bookmarkStart w:id="187" w:name="_Toc120288179"/>
      <w:r w:rsidRPr="00A52ED4">
        <w:rPr>
          <w:szCs w:val="24"/>
        </w:rPr>
        <w:t>4.3.2.</w:t>
      </w:r>
      <w:r w:rsidRPr="004A533D">
        <w:rPr>
          <w:szCs w:val="24"/>
        </w:rPr>
        <w:t>3</w:t>
      </w:r>
      <w:r w:rsidRPr="00A52ED4">
        <w:rPr>
          <w:szCs w:val="24"/>
        </w:rPr>
        <w:t xml:space="preserve">. Безопасность пациентов с </w:t>
      </w:r>
      <w:r>
        <w:rPr>
          <w:szCs w:val="24"/>
        </w:rPr>
        <w:t>атопическим дерматитом</w:t>
      </w:r>
      <w:bookmarkEnd w:id="187"/>
    </w:p>
    <w:p w14:paraId="1BE9A98B" w14:textId="77777777" w:rsidR="006E1535" w:rsidRDefault="006E1535">
      <w:pPr>
        <w:spacing w:after="0" w:line="240" w:lineRule="auto"/>
        <w:ind w:firstLine="709"/>
        <w:rPr>
          <w:color w:val="000000"/>
        </w:rPr>
      </w:pPr>
    </w:p>
    <w:p w14:paraId="50C3E463" w14:textId="77777777" w:rsidR="00C34E4A" w:rsidRDefault="00C34E4A">
      <w:pPr>
        <w:spacing w:after="0" w:line="240" w:lineRule="auto"/>
        <w:ind w:firstLine="709"/>
        <w:rPr>
          <w:color w:val="000000"/>
        </w:rPr>
      </w:pPr>
      <w:r w:rsidRPr="00485970">
        <w:rPr>
          <w:color w:val="000000"/>
        </w:rPr>
        <w:t>Были собраны данные о 2531 пациенте, получавшем барицитиниб в течение 2247 пациенто-лет (средняя продолжительность 310 дней).</w:t>
      </w:r>
    </w:p>
    <w:p w14:paraId="061D8D19" w14:textId="77777777" w:rsidR="00C34E4A" w:rsidRDefault="00C34E4A">
      <w:pPr>
        <w:spacing w:after="0" w:line="240" w:lineRule="auto"/>
        <w:ind w:firstLine="709"/>
        <w:rPr>
          <w:color w:val="000000"/>
        </w:rPr>
      </w:pPr>
      <w:r w:rsidRPr="00485970">
        <w:rPr>
          <w:color w:val="000000"/>
        </w:rPr>
        <w:t xml:space="preserve">На исходном уровне характеристики заболевания и предшествующая терапия </w:t>
      </w:r>
      <w:r>
        <w:rPr>
          <w:color w:val="000000"/>
        </w:rPr>
        <w:t>АД</w:t>
      </w:r>
      <w:r w:rsidRPr="00485970">
        <w:rPr>
          <w:color w:val="000000"/>
        </w:rPr>
        <w:t xml:space="preserve"> в анамнезе были сходными между </w:t>
      </w:r>
      <w:r>
        <w:rPr>
          <w:color w:val="000000"/>
        </w:rPr>
        <w:t>группами</w:t>
      </w:r>
      <w:r w:rsidRPr="00485970">
        <w:rPr>
          <w:color w:val="000000"/>
        </w:rPr>
        <w:t xml:space="preserve"> барицитиниба и плацебо, а также во всех наборах данных; примерно у 47% пациентов была тяжелая форма </w:t>
      </w:r>
      <w:r>
        <w:rPr>
          <w:color w:val="000000"/>
        </w:rPr>
        <w:t>АД</w:t>
      </w:r>
      <w:r w:rsidRPr="00485970">
        <w:rPr>
          <w:color w:val="000000"/>
        </w:rPr>
        <w:t xml:space="preserve">. В </w:t>
      </w:r>
      <w:r>
        <w:rPr>
          <w:color w:val="000000"/>
        </w:rPr>
        <w:t xml:space="preserve">объединенном анализе данных </w:t>
      </w:r>
      <w:r w:rsidRPr="00485970">
        <w:rPr>
          <w:color w:val="000000"/>
        </w:rPr>
        <w:t xml:space="preserve">2531 пациент получил ≥1 разовую дозу барицитиниба, а 42% пациентов принимали барицитиниб ≥1 год; в частности, 14%, 29% и 51% пациентов, получавших барицитиниб в дозах 1 мг, 2 мг и 4 мг соответственно, подвергались воздействию </w:t>
      </w:r>
      <w:r w:rsidRPr="00D21480">
        <w:rPr>
          <w:color w:val="000000"/>
        </w:rPr>
        <w:t xml:space="preserve">≥1 </w:t>
      </w:r>
      <w:r w:rsidRPr="00485970">
        <w:rPr>
          <w:color w:val="000000"/>
        </w:rPr>
        <w:t>года</w:t>
      </w:r>
      <w:r w:rsidRPr="00D21480">
        <w:rPr>
          <w:color w:val="000000"/>
        </w:rPr>
        <w:t xml:space="preserve">. </w:t>
      </w:r>
      <w:r w:rsidRPr="006D54B4">
        <w:rPr>
          <w:color w:val="000000"/>
        </w:rPr>
        <w:fldChar w:fldCharType="begin"/>
      </w:r>
      <w:r w:rsidRPr="006D54B4">
        <w:rPr>
          <w:color w:val="000000"/>
        </w:rPr>
        <w:instrText xml:space="preserve"> ADDIN ZOTERO_ITEM CSL_CITATION {"citationID":"VtUtGjhp","properties":{"formattedCitation":"[12]","plainCitation":"[12]","noteIndex":0},"citationItems":[{"id":3874,"uris":["http://zotero.org/groups/4514912/items/8SJZNJ3U"],"itemData":{"id":3874,"type":"article-journal","title":"Bieber T, Thyssen JP, Reich K, Simpson EL, Katoh N, Torrelo A, De Bruin-Weller M, Thaci D, Bissonnette R, Gooderham M, Weisman J, Nunes F, Brinker D, Issa M, Holzwarth K, Gamalo M, Riedl E, Janes J. Pooled safety analysis of baricitinib in adult patients with atopic dermatitis from 8 randomized clinical trials. J Eur Acad Dermatol Venereol. 2021 Feb;35(2):476-485. doi: 10.1111/jdv.16948. Epub 2020 Oct 6. PMID: 32926462."}}],"schema":"https://github.com/citation-style-language/schema/raw/master/csl-citation.json"} </w:instrText>
      </w:r>
      <w:r w:rsidRPr="006D54B4">
        <w:rPr>
          <w:color w:val="000000"/>
        </w:rPr>
        <w:fldChar w:fldCharType="separate"/>
      </w:r>
      <w:r w:rsidRPr="006D54B4">
        <w:t>[12]</w:t>
      </w:r>
      <w:r w:rsidRPr="006D54B4">
        <w:rPr>
          <w:color w:val="000000"/>
        </w:rPr>
        <w:fldChar w:fldCharType="end"/>
      </w:r>
    </w:p>
    <w:p w14:paraId="36BAB779" w14:textId="77777777" w:rsidR="00C34E4A" w:rsidRPr="00485970" w:rsidRDefault="00C34E4A">
      <w:pPr>
        <w:spacing w:after="0" w:line="240" w:lineRule="auto"/>
        <w:ind w:firstLine="709"/>
        <w:rPr>
          <w:color w:val="000000"/>
        </w:rPr>
      </w:pPr>
    </w:p>
    <w:p w14:paraId="341D6A0F" w14:textId="2D8E66A1" w:rsidR="00C34E4A" w:rsidRPr="006E1535" w:rsidRDefault="006E1535">
      <w:pPr>
        <w:spacing w:after="0" w:line="240" w:lineRule="auto"/>
        <w:rPr>
          <w:b/>
          <w:iCs/>
          <w:color w:val="000000"/>
        </w:rPr>
      </w:pPr>
      <w:r w:rsidRPr="006E1535">
        <w:rPr>
          <w:b/>
        </w:rPr>
        <w:t xml:space="preserve">4.3.2.3.1. </w:t>
      </w:r>
      <w:r w:rsidRPr="006E1535">
        <w:rPr>
          <w:b/>
          <w:iCs/>
          <w:color w:val="000000"/>
        </w:rPr>
        <w:t>Нежелательные явления</w:t>
      </w:r>
    </w:p>
    <w:p w14:paraId="4B03FA51" w14:textId="77777777" w:rsidR="006E1535" w:rsidRDefault="006E1535">
      <w:pPr>
        <w:spacing w:after="0" w:line="240" w:lineRule="auto"/>
        <w:ind w:firstLine="709"/>
        <w:rPr>
          <w:color w:val="000000"/>
        </w:rPr>
      </w:pPr>
    </w:p>
    <w:p w14:paraId="677A97C4" w14:textId="77777777" w:rsidR="00C34E4A" w:rsidRDefault="00C34E4A">
      <w:pPr>
        <w:spacing w:after="0" w:line="240" w:lineRule="auto"/>
        <w:ind w:firstLine="709"/>
        <w:rPr>
          <w:color w:val="000000"/>
        </w:rPr>
      </w:pPr>
      <w:r w:rsidRPr="00485970">
        <w:rPr>
          <w:color w:val="000000"/>
        </w:rPr>
        <w:t xml:space="preserve">В плацебо-контролируемом наборе данных 43%, 49% и 51% пациентов в группах плацебо, 2 мг и 4 мг, соответственно, сообщили о ≥1 TEAE; большинство из них были легкой или средней степени тяжести. Инфекции были наиболее распространенными TEAE, большинство из которых были легкой или средней степени тяжести и были в основном инфекциями верхних дыхательных путей и простым герпесом. В плацебо-контролируемом периоде частота инфекций была выше в группах барицитиниба по сравнению с плацебо, но различий в дозах не отмечалось. Частота СНЯ в группах плацебо, 2 мг и 4 мг составила 2,3%, 1,4% и 2,3% соответственно. В расширенном наборе данных TEAE снижались в обеих дозах барицитиниба. Одна смерть, зарегистрированная </w:t>
      </w:r>
      <w:r>
        <w:rPr>
          <w:color w:val="000000"/>
        </w:rPr>
        <w:t>при обобщенном анализе данных</w:t>
      </w:r>
      <w:r w:rsidRPr="00485970">
        <w:rPr>
          <w:color w:val="000000"/>
        </w:rPr>
        <w:t xml:space="preserve"> после более чем 12-месячного лечения барицитинибом, была вызвана желудочно-кишечным кровотечением у пациента, рандомизированного для получения 1 мг в исходном исследовании, затем 4 мг в </w:t>
      </w:r>
      <w:r>
        <w:rPr>
          <w:color w:val="000000"/>
        </w:rPr>
        <w:t>исследовании длительного приема</w:t>
      </w:r>
      <w:r w:rsidRPr="00485970">
        <w:rPr>
          <w:color w:val="000000"/>
        </w:rPr>
        <w:t xml:space="preserve">, и получавшего </w:t>
      </w:r>
      <w:r>
        <w:rPr>
          <w:color w:val="000000"/>
        </w:rPr>
        <w:t xml:space="preserve">2 мг </w:t>
      </w:r>
      <w:r w:rsidRPr="00485970">
        <w:rPr>
          <w:color w:val="000000"/>
        </w:rPr>
        <w:t>барицитиниба из-за снижения скорости клубочковой фильтрации</w:t>
      </w:r>
      <w:r>
        <w:rPr>
          <w:color w:val="000000"/>
        </w:rPr>
        <w:t xml:space="preserve"> </w:t>
      </w:r>
      <w:r>
        <w:fldChar w:fldCharType="begin"/>
      </w:r>
      <w:r>
        <w:instrText xml:space="preserve"> ADDIN ZOTERO_ITEM CSL_CITATION {"citationID":"5y7jYJWg","properties":{"formattedCitation":"[2]","plainCitation":"[2]","noteIndex":0},"citationItems":[{"id":3827,"uris":["http://zotero.org/groups/4514912/items/LB74K8KI"],"itemData":{"id":3827,"type":"document","title":"Assessment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85970">
        <w:rPr>
          <w:color w:val="000000"/>
        </w:rPr>
        <w:t>.</w:t>
      </w:r>
    </w:p>
    <w:p w14:paraId="651D1DA2" w14:textId="77777777" w:rsidR="00C34E4A" w:rsidRPr="00485970" w:rsidRDefault="00C34E4A">
      <w:pPr>
        <w:spacing w:after="0" w:line="240" w:lineRule="auto"/>
        <w:ind w:firstLine="709"/>
        <w:rPr>
          <w:color w:val="000000"/>
        </w:rPr>
      </w:pPr>
    </w:p>
    <w:p w14:paraId="2906AB1E" w14:textId="50906D24" w:rsidR="00C34E4A" w:rsidRPr="006E1535" w:rsidRDefault="006E1535">
      <w:pPr>
        <w:spacing w:after="0" w:line="240" w:lineRule="auto"/>
        <w:rPr>
          <w:b/>
          <w:iCs/>
          <w:color w:val="000000"/>
        </w:rPr>
      </w:pPr>
      <w:r w:rsidRPr="006E1535">
        <w:rPr>
          <w:b/>
        </w:rPr>
        <w:t xml:space="preserve">4.3.2.3.2. </w:t>
      </w:r>
      <w:r w:rsidRPr="006E1535">
        <w:rPr>
          <w:b/>
          <w:iCs/>
          <w:color w:val="000000"/>
        </w:rPr>
        <w:t>Нежелательные явления</w:t>
      </w:r>
      <w:r w:rsidR="00C34E4A" w:rsidRPr="006E1535">
        <w:rPr>
          <w:b/>
          <w:iCs/>
          <w:color w:val="000000"/>
        </w:rPr>
        <w:t>, представляющие особый интерес</w:t>
      </w:r>
    </w:p>
    <w:p w14:paraId="096377AE" w14:textId="77777777" w:rsidR="006E1535" w:rsidRDefault="006E1535">
      <w:pPr>
        <w:spacing w:after="0" w:line="240" w:lineRule="auto"/>
        <w:ind w:firstLine="709"/>
        <w:rPr>
          <w:i/>
          <w:iCs/>
          <w:color w:val="000000"/>
        </w:rPr>
      </w:pPr>
    </w:p>
    <w:p w14:paraId="7FDF5A83" w14:textId="77777777" w:rsidR="00C34E4A" w:rsidRPr="00BE0BE9" w:rsidRDefault="00C34E4A" w:rsidP="00AB1FF1">
      <w:pPr>
        <w:spacing w:after="0" w:line="240" w:lineRule="auto"/>
        <w:rPr>
          <w:b/>
          <w:color w:val="000000"/>
        </w:rPr>
      </w:pPr>
      <w:r w:rsidRPr="00BE0BE9">
        <w:rPr>
          <w:b/>
          <w:i/>
          <w:iCs/>
          <w:color w:val="000000"/>
        </w:rPr>
        <w:t>Инфекции</w:t>
      </w:r>
      <w:r w:rsidRPr="00BE0BE9">
        <w:rPr>
          <w:b/>
          <w:color w:val="000000"/>
        </w:rPr>
        <w:t xml:space="preserve"> </w:t>
      </w:r>
    </w:p>
    <w:p w14:paraId="32DBF012" w14:textId="77777777" w:rsidR="0029110D" w:rsidRDefault="0029110D">
      <w:pPr>
        <w:spacing w:after="0" w:line="240" w:lineRule="auto"/>
        <w:ind w:firstLine="709"/>
        <w:rPr>
          <w:color w:val="000000"/>
        </w:rPr>
      </w:pPr>
    </w:p>
    <w:p w14:paraId="36A051C5" w14:textId="52481860" w:rsidR="00C34E4A" w:rsidRPr="00485970" w:rsidRDefault="00C34E4A">
      <w:pPr>
        <w:spacing w:after="0" w:line="240" w:lineRule="auto"/>
        <w:ind w:firstLine="709"/>
        <w:rPr>
          <w:color w:val="000000"/>
        </w:rPr>
      </w:pPr>
      <w:r w:rsidRPr="00485970">
        <w:rPr>
          <w:color w:val="000000"/>
        </w:rPr>
        <w:t xml:space="preserve">Частота серьезных инфекций в плацебо-контролируемом наборе данных была низкой и одинаковой в группах лечения. Наиболее частыми серьезными инфекциями в </w:t>
      </w:r>
      <w:r>
        <w:rPr>
          <w:color w:val="000000"/>
        </w:rPr>
        <w:t xml:space="preserve">расширенном наборе данных </w:t>
      </w:r>
      <w:r w:rsidRPr="00485970">
        <w:rPr>
          <w:color w:val="000000"/>
        </w:rPr>
        <w:t>были герпетическая экзема (n=11), флегмона (n=6) и пневмония (n=3). С</w:t>
      </w:r>
      <w:r>
        <w:rPr>
          <w:color w:val="000000"/>
        </w:rPr>
        <w:t xml:space="preserve">опоставимое количество </w:t>
      </w:r>
      <w:r w:rsidRPr="00485970">
        <w:rPr>
          <w:color w:val="000000"/>
        </w:rPr>
        <w:t>пациентов в группах плацебо (4,4%) и 2 мг (4,8%) и меньшая доля в группе 4 мг (3,4%) сообщили об инфекциях кожи, требующих лечения антибиотиками. В кластере кожных инфекций более частыми у пациентов, получавших барицитиниб, были фолликулит, флегмона и импетиго</w:t>
      </w:r>
      <w:r>
        <w:rPr>
          <w:color w:val="000000"/>
        </w:rPr>
        <w:t xml:space="preserve"> </w:t>
      </w:r>
      <w:r>
        <w:fldChar w:fldCharType="begin"/>
      </w:r>
      <w:r>
        <w:instrText xml:space="preserve"> ADDIN ZOTERO_ITEM CSL_CITATION {"citationID":"tzIcZtFW","properties":{"formattedCitation":"[2]","plainCitation":"[2]","noteIndex":0},"citationItems":[{"id":3827,"uris":["http://zotero.org/groups/4514912/items/LB74K8KI"],"itemData":{"id":3827,"type":"document","title":"Assessment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85970">
        <w:rPr>
          <w:color w:val="000000"/>
        </w:rPr>
        <w:t>.</w:t>
      </w:r>
    </w:p>
    <w:p w14:paraId="3F6DC7E9" w14:textId="411FD4DC" w:rsidR="00C34E4A" w:rsidRDefault="00C34E4A">
      <w:pPr>
        <w:spacing w:after="0" w:line="240" w:lineRule="auto"/>
        <w:ind w:firstLine="709"/>
        <w:rPr>
          <w:color w:val="000000"/>
        </w:rPr>
      </w:pPr>
      <w:r w:rsidRPr="00485970">
        <w:rPr>
          <w:color w:val="000000"/>
        </w:rPr>
        <w:t xml:space="preserve">Сообщений о туберкулезе не было. </w:t>
      </w:r>
      <w:r>
        <w:rPr>
          <w:color w:val="000000"/>
        </w:rPr>
        <w:t>ОИ</w:t>
      </w:r>
      <w:r w:rsidRPr="00485970">
        <w:rPr>
          <w:color w:val="000000"/>
        </w:rPr>
        <w:t xml:space="preserve"> возникали нечасто, различий между группами не было. В плацебо-контролируемом наборе данных были рассмотрены 2 оппортунистические инфекции: глазная </w:t>
      </w:r>
      <w:r w:rsidR="004A6E00" w:rsidRPr="00485970">
        <w:rPr>
          <w:color w:val="000000"/>
        </w:rPr>
        <w:t>токсоплазм</w:t>
      </w:r>
      <w:r w:rsidR="004A6E00">
        <w:rPr>
          <w:color w:val="000000"/>
        </w:rPr>
        <w:t>озная</w:t>
      </w:r>
      <w:r w:rsidR="004A6E00" w:rsidRPr="00485970">
        <w:rPr>
          <w:color w:val="000000"/>
        </w:rPr>
        <w:t xml:space="preserve"> </w:t>
      </w:r>
      <w:r w:rsidRPr="00485970">
        <w:rPr>
          <w:color w:val="000000"/>
        </w:rPr>
        <w:t xml:space="preserve">инфекция (плацебо) и полидерматомный опоясывающий герпес (2 мг). В </w:t>
      </w:r>
      <w:r>
        <w:rPr>
          <w:color w:val="000000"/>
        </w:rPr>
        <w:t xml:space="preserve">расширенном </w:t>
      </w:r>
      <w:r w:rsidRPr="00485970">
        <w:rPr>
          <w:color w:val="000000"/>
        </w:rPr>
        <w:t xml:space="preserve">наборе данных все </w:t>
      </w:r>
      <w:r w:rsidRPr="00485970">
        <w:rPr>
          <w:color w:val="000000"/>
        </w:rPr>
        <w:lastRenderedPageBreak/>
        <w:t>признанные оппортунистические инфекции были опоясывающим герпесом: 2 дополнительно с мультидерматомным опоясывающим герпесом (4 мг); 1 пациент с рецидивом</w:t>
      </w:r>
      <w:r>
        <w:rPr>
          <w:color w:val="000000"/>
        </w:rPr>
        <w:t xml:space="preserve"> </w:t>
      </w:r>
      <w:r w:rsidRPr="00485970">
        <w:rPr>
          <w:color w:val="000000"/>
        </w:rPr>
        <w:t>опоясывающ</w:t>
      </w:r>
      <w:r>
        <w:rPr>
          <w:color w:val="000000"/>
        </w:rPr>
        <w:t>его</w:t>
      </w:r>
      <w:r w:rsidRPr="00485970">
        <w:rPr>
          <w:color w:val="000000"/>
        </w:rPr>
        <w:t xml:space="preserve"> герпес</w:t>
      </w:r>
      <w:r>
        <w:rPr>
          <w:color w:val="000000"/>
        </w:rPr>
        <w:t>а</w:t>
      </w:r>
      <w:r w:rsidRPr="00485970">
        <w:rPr>
          <w:color w:val="000000"/>
        </w:rPr>
        <w:t xml:space="preserve"> (2 мг). Доля пациентов, сообщающих о простом герпесе, была выше в группах 4 мг (6,1%) по сравнению с плацебо (2,7%) и 2 мг (3,6%). В </w:t>
      </w:r>
      <w:r w:rsidRPr="005F35D8">
        <w:rPr>
          <w:color w:val="000000"/>
        </w:rPr>
        <w:t xml:space="preserve">расширенном наборе данных </w:t>
      </w:r>
      <w:r w:rsidRPr="00485970">
        <w:rPr>
          <w:color w:val="000000"/>
        </w:rPr>
        <w:t xml:space="preserve">простого герпеса </w:t>
      </w:r>
      <w:r>
        <w:rPr>
          <w:color w:val="000000"/>
        </w:rPr>
        <w:t>уровень заболеваемости</w:t>
      </w:r>
      <w:r w:rsidRPr="00485970">
        <w:rPr>
          <w:color w:val="000000"/>
        </w:rPr>
        <w:t xml:space="preserve"> составил 10,3 (n=224); 93% были легкой или средней степени тяжести; наиболее распространенными были </w:t>
      </w:r>
      <w:r>
        <w:rPr>
          <w:color w:val="000000"/>
        </w:rPr>
        <w:t>лабиальный</w:t>
      </w:r>
      <w:r w:rsidRPr="00485970">
        <w:rPr>
          <w:color w:val="000000"/>
        </w:rPr>
        <w:t xml:space="preserve"> герпес (n=110), простой герпес (n=91) и герпетическая экзема (n=32). Из 43 пациентов с герпетической экземой или ветряной оспой Капоши у большинства (67,5%) заболевание контролировалось плохо (IGA 3 или 4). Эта связь не наблюдалась для начальных эпизодов </w:t>
      </w:r>
      <w:r w:rsidRPr="0023594B">
        <w:rPr>
          <w:color w:val="000000"/>
        </w:rPr>
        <w:t>лабиальн</w:t>
      </w:r>
      <w:r>
        <w:rPr>
          <w:color w:val="000000"/>
        </w:rPr>
        <w:t>ого</w:t>
      </w:r>
      <w:r w:rsidRPr="0023594B">
        <w:rPr>
          <w:color w:val="000000"/>
        </w:rPr>
        <w:t xml:space="preserve"> </w:t>
      </w:r>
      <w:r w:rsidRPr="00485970">
        <w:rPr>
          <w:color w:val="000000"/>
        </w:rPr>
        <w:t>герпеса, когда 52,7% пациентов имели IGA 0, 1 или 2 до заражения</w:t>
      </w:r>
      <w:r>
        <w:rPr>
          <w:color w:val="000000"/>
        </w:rPr>
        <w:t xml:space="preserve"> </w:t>
      </w:r>
      <w:r>
        <w:fldChar w:fldCharType="begin"/>
      </w:r>
      <w:r>
        <w:instrText xml:space="preserve"> ADDIN ZOTERO_ITEM CSL_CITATION {"citationID":"0sVvczvY","properties":{"formattedCitation":"[2]","plainCitation":"[2]","noteIndex":0},"citationItems":[{"id":3827,"uris":["http://zotero.org/groups/4514912/items/LB74K8KI"],"itemData":{"id":3827,"type":"document","title":"Assessment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85970">
        <w:rPr>
          <w:color w:val="000000"/>
        </w:rPr>
        <w:t>.</w:t>
      </w:r>
    </w:p>
    <w:p w14:paraId="719B0B36" w14:textId="77777777" w:rsidR="00C34E4A" w:rsidRPr="00485970" w:rsidRDefault="00C34E4A">
      <w:pPr>
        <w:spacing w:after="0" w:line="240" w:lineRule="auto"/>
        <w:ind w:firstLine="709"/>
        <w:rPr>
          <w:color w:val="000000"/>
        </w:rPr>
      </w:pPr>
    </w:p>
    <w:p w14:paraId="640A0117" w14:textId="77777777" w:rsidR="00C34E4A" w:rsidRPr="00BE0BE9" w:rsidRDefault="00C34E4A" w:rsidP="00AB1FF1">
      <w:pPr>
        <w:spacing w:after="0" w:line="240" w:lineRule="auto"/>
        <w:rPr>
          <w:b/>
          <w:i/>
          <w:iCs/>
          <w:color w:val="000000"/>
        </w:rPr>
      </w:pPr>
      <w:r w:rsidRPr="00BE0BE9">
        <w:rPr>
          <w:b/>
          <w:i/>
          <w:iCs/>
          <w:color w:val="000000"/>
        </w:rPr>
        <w:t>Сердечно-сосудистые события</w:t>
      </w:r>
    </w:p>
    <w:p w14:paraId="66B573F0" w14:textId="77777777" w:rsidR="0029110D" w:rsidRDefault="0029110D">
      <w:pPr>
        <w:spacing w:after="0" w:line="240" w:lineRule="auto"/>
        <w:ind w:firstLine="709"/>
        <w:rPr>
          <w:color w:val="000000"/>
        </w:rPr>
      </w:pPr>
    </w:p>
    <w:p w14:paraId="6ED8AD8A" w14:textId="28ABED25" w:rsidR="00C34E4A" w:rsidRPr="00485970" w:rsidRDefault="00C34E4A">
      <w:pPr>
        <w:spacing w:after="0" w:line="240" w:lineRule="auto"/>
        <w:ind w:firstLine="709"/>
        <w:rPr>
          <w:color w:val="000000"/>
        </w:rPr>
      </w:pPr>
      <w:r w:rsidRPr="00485970">
        <w:rPr>
          <w:color w:val="000000"/>
        </w:rPr>
        <w:t>Не было сообщений о положительно оцененных MACE или других сердечно-сосудистых событиях в течение плацебо-контролируемого периода. Один инфаркт миокарда был расценен как MACE в группе 2</w:t>
      </w:r>
      <w:r>
        <w:rPr>
          <w:color w:val="000000"/>
        </w:rPr>
        <w:t xml:space="preserve"> </w:t>
      </w:r>
      <w:r w:rsidRPr="00485970">
        <w:rPr>
          <w:color w:val="000000"/>
        </w:rPr>
        <w:t xml:space="preserve">мг </w:t>
      </w:r>
      <w:r>
        <w:rPr>
          <w:color w:val="000000"/>
        </w:rPr>
        <w:t xml:space="preserve">при анализе </w:t>
      </w:r>
      <w:r w:rsidRPr="00485970">
        <w:rPr>
          <w:color w:val="000000"/>
        </w:rPr>
        <w:t>расширенного набора данных (</w:t>
      </w:r>
      <w:r>
        <w:rPr>
          <w:color w:val="000000"/>
        </w:rPr>
        <w:t>уровень заболеваемости</w:t>
      </w:r>
      <w:r w:rsidRPr="00485970">
        <w:rPr>
          <w:color w:val="000000"/>
        </w:rPr>
        <w:t xml:space="preserve"> 0,17); факторы риска включали возраст, историю курения, гипертонию, ожирение, высокий уровень холестерина и ранее существовавший РА. В дополнение к этому пациенту, у 1 пациента в </w:t>
      </w:r>
      <w:r>
        <w:rPr>
          <w:color w:val="000000"/>
        </w:rPr>
        <w:t>расширенном анализе данных</w:t>
      </w:r>
      <w:r w:rsidRPr="00485970">
        <w:rPr>
          <w:color w:val="000000"/>
        </w:rPr>
        <w:t xml:space="preserve"> (</w:t>
      </w:r>
      <w:r>
        <w:rPr>
          <w:color w:val="000000"/>
        </w:rPr>
        <w:t>уровень заболеваемости</w:t>
      </w:r>
      <w:r w:rsidRPr="00485970">
        <w:rPr>
          <w:color w:val="000000"/>
        </w:rPr>
        <w:t xml:space="preserve"> 0,09), который был рандомизирован в группу плацебо в исходном исследовании и переведен на 2 мг в </w:t>
      </w:r>
      <w:r>
        <w:rPr>
          <w:color w:val="000000"/>
        </w:rPr>
        <w:t>исследовании длительного приема</w:t>
      </w:r>
      <w:r w:rsidRPr="00485970">
        <w:rPr>
          <w:color w:val="000000"/>
        </w:rPr>
        <w:t>, был разрыв церебральной аневризмы, который был положительно расценен как геморрагический инсульт.</w:t>
      </w:r>
      <w:r>
        <w:rPr>
          <w:color w:val="000000"/>
        </w:rPr>
        <w:t xml:space="preserve"> </w:t>
      </w:r>
      <w:r w:rsidRPr="00485970">
        <w:rPr>
          <w:color w:val="000000"/>
        </w:rPr>
        <w:t xml:space="preserve">О перфорациях </w:t>
      </w:r>
      <w:r>
        <w:rPr>
          <w:color w:val="000000"/>
        </w:rPr>
        <w:t>ЖКТ</w:t>
      </w:r>
      <w:r w:rsidRPr="00485970">
        <w:rPr>
          <w:color w:val="000000"/>
        </w:rPr>
        <w:t xml:space="preserve"> не сообщалось</w:t>
      </w:r>
      <w:r>
        <w:rPr>
          <w:color w:val="000000"/>
        </w:rPr>
        <w:t xml:space="preserve"> </w:t>
      </w:r>
      <w:r>
        <w:fldChar w:fldCharType="begin"/>
      </w:r>
      <w:r>
        <w:instrText xml:space="preserve"> ADDIN ZOTERO_ITEM CSL_CITATION {"citationID":"l5yBhTjN","properties":{"formattedCitation":"[2]","plainCitation":"[2]","noteIndex":0},"citationItems":[{"id":3827,"uris":["http://zotero.org/groups/4514912/items/LB74K8KI"],"itemData":{"id":3827,"type":"document","title":"Assessment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85970">
        <w:rPr>
          <w:color w:val="000000"/>
        </w:rPr>
        <w:t>.</w:t>
      </w:r>
    </w:p>
    <w:p w14:paraId="09866D57" w14:textId="3740AE51" w:rsidR="00C34E4A" w:rsidRDefault="00C34E4A">
      <w:pPr>
        <w:spacing w:after="0" w:line="240" w:lineRule="auto"/>
        <w:ind w:firstLine="709"/>
        <w:rPr>
          <w:color w:val="000000"/>
        </w:rPr>
      </w:pPr>
      <w:r w:rsidRPr="00485970">
        <w:rPr>
          <w:color w:val="000000"/>
        </w:rPr>
        <w:t>В течение плацебо-контролируемого периода произош</w:t>
      </w:r>
      <w:r>
        <w:rPr>
          <w:color w:val="000000"/>
        </w:rPr>
        <w:t>ел</w:t>
      </w:r>
      <w:r w:rsidRPr="00485970">
        <w:rPr>
          <w:color w:val="000000"/>
        </w:rPr>
        <w:t xml:space="preserve"> 1</w:t>
      </w:r>
      <w:r>
        <w:rPr>
          <w:color w:val="000000"/>
        </w:rPr>
        <w:t xml:space="preserve"> случай ВТЭ и </w:t>
      </w:r>
      <w:r w:rsidRPr="00485970">
        <w:rPr>
          <w:color w:val="000000"/>
        </w:rPr>
        <w:t>ТЭЛА у 51-летней женщины, получавшей 4 мг. Факторы риска включали одновременный прием оральных контрацептивов и кур</w:t>
      </w:r>
      <w:r>
        <w:rPr>
          <w:color w:val="000000"/>
        </w:rPr>
        <w:t>ение в анамнезе</w:t>
      </w:r>
      <w:r w:rsidRPr="00485970">
        <w:rPr>
          <w:color w:val="000000"/>
        </w:rPr>
        <w:t>. Пациент прекратил лечение и выздоровел. В расширенном наборе данных</w:t>
      </w:r>
      <w:r>
        <w:rPr>
          <w:color w:val="000000"/>
        </w:rPr>
        <w:t xml:space="preserve"> регистрировали </w:t>
      </w:r>
      <w:r w:rsidRPr="00485970">
        <w:rPr>
          <w:color w:val="000000"/>
        </w:rPr>
        <w:t>1 дополнительный случай ТЭЛА в группе 4 мг (</w:t>
      </w:r>
      <w:r w:rsidRPr="0023594B">
        <w:rPr>
          <w:color w:val="000000"/>
        </w:rPr>
        <w:t>уровень заболеваемости</w:t>
      </w:r>
      <w:r w:rsidRPr="00485970">
        <w:rPr>
          <w:color w:val="000000"/>
        </w:rPr>
        <w:t xml:space="preserve"> 0,40) у 61-летнего мужчины без явных факторов риска, кроме возраста</w:t>
      </w:r>
      <w:r>
        <w:rPr>
          <w:color w:val="000000"/>
        </w:rPr>
        <w:t>.</w:t>
      </w:r>
      <w:r w:rsidRPr="00485970">
        <w:rPr>
          <w:color w:val="000000"/>
        </w:rPr>
        <w:t xml:space="preserve"> Лечение барицитинибом было прекращено, пациент </w:t>
      </w:r>
      <w:r w:rsidR="007F72CA" w:rsidRPr="00485970">
        <w:rPr>
          <w:color w:val="000000"/>
        </w:rPr>
        <w:t>выздор</w:t>
      </w:r>
      <w:r w:rsidR="007F72CA">
        <w:rPr>
          <w:color w:val="000000"/>
        </w:rPr>
        <w:t>о</w:t>
      </w:r>
      <w:r w:rsidR="007F72CA" w:rsidRPr="00485970">
        <w:rPr>
          <w:color w:val="000000"/>
        </w:rPr>
        <w:t>в</w:t>
      </w:r>
      <w:r w:rsidR="007F72CA">
        <w:rPr>
          <w:color w:val="000000"/>
        </w:rPr>
        <w:t>е</w:t>
      </w:r>
      <w:r w:rsidR="007F72CA" w:rsidRPr="00485970">
        <w:rPr>
          <w:color w:val="000000"/>
        </w:rPr>
        <w:t>л</w:t>
      </w:r>
      <w:r w:rsidRPr="00485970">
        <w:rPr>
          <w:color w:val="000000"/>
        </w:rPr>
        <w:t>. В группе 2</w:t>
      </w:r>
      <w:r>
        <w:rPr>
          <w:color w:val="000000"/>
        </w:rPr>
        <w:t xml:space="preserve"> </w:t>
      </w:r>
      <w:r w:rsidRPr="00485970">
        <w:rPr>
          <w:color w:val="000000"/>
        </w:rPr>
        <w:t>мг расширенного набора данных было 1 событие, расцененное как тромбоз периферических вен</w:t>
      </w:r>
      <w:r>
        <w:rPr>
          <w:color w:val="000000"/>
        </w:rPr>
        <w:t xml:space="preserve"> </w:t>
      </w:r>
      <w:r>
        <w:fldChar w:fldCharType="begin"/>
      </w:r>
      <w:r>
        <w:instrText xml:space="preserve"> ADDIN ZOTERO_ITEM CSL_CITATION {"citationID":"onc5n1DP","properties":{"formattedCitation":"[2]","plainCitation":"[2]","noteIndex":0},"citationItems":[{"id":3827,"uris":["http://zotero.org/groups/4514912/items/LB74K8KI"],"itemData":{"id":3827,"type":"document","title":"Assessment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85970">
        <w:rPr>
          <w:color w:val="000000"/>
        </w:rPr>
        <w:t>.</w:t>
      </w:r>
    </w:p>
    <w:p w14:paraId="051D4CCB" w14:textId="77777777" w:rsidR="00C34E4A" w:rsidRDefault="00C34E4A">
      <w:pPr>
        <w:spacing w:after="0" w:line="240" w:lineRule="auto"/>
        <w:ind w:firstLine="709"/>
        <w:rPr>
          <w:color w:val="000000"/>
        </w:rPr>
      </w:pPr>
    </w:p>
    <w:p w14:paraId="5017C556" w14:textId="77777777" w:rsidR="00C34E4A" w:rsidRPr="00BE0BE9" w:rsidRDefault="00C34E4A" w:rsidP="00AB1FF1">
      <w:pPr>
        <w:spacing w:after="0" w:line="240" w:lineRule="auto"/>
        <w:rPr>
          <w:b/>
          <w:i/>
          <w:iCs/>
          <w:color w:val="000000"/>
        </w:rPr>
      </w:pPr>
      <w:r w:rsidRPr="00BE0BE9">
        <w:rPr>
          <w:b/>
          <w:i/>
          <w:iCs/>
          <w:color w:val="000000"/>
        </w:rPr>
        <w:t>Злокачественные новообразования</w:t>
      </w:r>
    </w:p>
    <w:p w14:paraId="713E1AAC" w14:textId="77777777" w:rsidR="0029110D" w:rsidRDefault="0029110D">
      <w:pPr>
        <w:spacing w:after="0" w:line="240" w:lineRule="auto"/>
        <w:ind w:firstLine="709"/>
        <w:rPr>
          <w:color w:val="000000"/>
        </w:rPr>
      </w:pPr>
    </w:p>
    <w:p w14:paraId="3AFA59EC" w14:textId="6E348E25" w:rsidR="00C34E4A" w:rsidRDefault="00C34E4A">
      <w:pPr>
        <w:spacing w:after="0" w:line="240" w:lineRule="auto"/>
        <w:ind w:firstLine="709"/>
        <w:rPr>
          <w:color w:val="000000"/>
        </w:rPr>
      </w:pPr>
      <w:r w:rsidRPr="005F35D8">
        <w:rPr>
          <w:color w:val="000000"/>
        </w:rPr>
        <w:t>Ни в группе барицитиниба, ни в плацебо-контролируемых, ни в расширенных наборах данных не было зарегистрировано злокачественных новообразований. В группе плацебо возникло два злокачественных новообразования, отличных от НМРК (</w:t>
      </w:r>
      <w:r>
        <w:rPr>
          <w:color w:val="000000"/>
        </w:rPr>
        <w:t>уровень заболеваемости</w:t>
      </w:r>
      <w:r w:rsidRPr="00485970">
        <w:rPr>
          <w:color w:val="000000"/>
        </w:rPr>
        <w:t xml:space="preserve"> </w:t>
      </w:r>
      <w:r w:rsidRPr="005F35D8">
        <w:rPr>
          <w:color w:val="000000"/>
        </w:rPr>
        <w:t>0,66), 1 рак молочной железы и 1 папиллярный рак щитовидной железы. Был 1 НМРК (болезнь Боуэна) у пациента, получавшего плацебо (</w:t>
      </w:r>
      <w:r>
        <w:rPr>
          <w:color w:val="000000"/>
        </w:rPr>
        <w:t>уровень заболеваемости</w:t>
      </w:r>
      <w:r w:rsidRPr="005F35D8">
        <w:rPr>
          <w:color w:val="000000"/>
        </w:rPr>
        <w:t xml:space="preserve"> 0,68). В </w:t>
      </w:r>
      <w:r>
        <w:rPr>
          <w:color w:val="000000"/>
        </w:rPr>
        <w:t>расширенном наборе данных</w:t>
      </w:r>
      <w:r w:rsidRPr="005F35D8">
        <w:rPr>
          <w:color w:val="000000"/>
        </w:rPr>
        <w:t xml:space="preserve"> сообщалось о 5 злокачественных опухолях, отличных от НМРК (</w:t>
      </w:r>
      <w:r>
        <w:rPr>
          <w:color w:val="000000"/>
        </w:rPr>
        <w:t>уровень заболеваемости</w:t>
      </w:r>
      <w:r w:rsidRPr="00485970">
        <w:rPr>
          <w:color w:val="000000"/>
        </w:rPr>
        <w:t xml:space="preserve"> </w:t>
      </w:r>
      <w:r w:rsidRPr="005F35D8">
        <w:rPr>
          <w:color w:val="000000"/>
        </w:rPr>
        <w:t>0,22), по 1 пациенту с анапластической крупноклеточной лимфомой Т- и нуль-клеточного типа, В-клеточной лимфомой (симптомы появились во время приема плацебо), диффузной крупноклеточн</w:t>
      </w:r>
      <w:r>
        <w:rPr>
          <w:color w:val="000000"/>
        </w:rPr>
        <w:t>ой</w:t>
      </w:r>
      <w:r w:rsidRPr="005F35D8">
        <w:rPr>
          <w:color w:val="000000"/>
        </w:rPr>
        <w:t xml:space="preserve"> В-клеточн</w:t>
      </w:r>
      <w:r>
        <w:rPr>
          <w:color w:val="000000"/>
        </w:rPr>
        <w:t>ой</w:t>
      </w:r>
      <w:r w:rsidRPr="005F35D8">
        <w:rPr>
          <w:color w:val="000000"/>
        </w:rPr>
        <w:t xml:space="preserve"> лимфом</w:t>
      </w:r>
      <w:r>
        <w:rPr>
          <w:color w:val="000000"/>
        </w:rPr>
        <w:t>ы</w:t>
      </w:r>
      <w:r w:rsidRPr="005F35D8">
        <w:rPr>
          <w:color w:val="000000"/>
        </w:rPr>
        <w:t xml:space="preserve">, рак предстательной железы и рак прямой кишки (все 2 мг, кроме пациента с анапластической крупноклеточной лимфомой, который получил 4 мг). В </w:t>
      </w:r>
      <w:r>
        <w:rPr>
          <w:color w:val="000000"/>
        </w:rPr>
        <w:t>расширенном анализе данных</w:t>
      </w:r>
      <w:r w:rsidRPr="005F35D8">
        <w:rPr>
          <w:color w:val="000000"/>
        </w:rPr>
        <w:t xml:space="preserve"> было зарегистрировано 6 НМРК (</w:t>
      </w:r>
      <w:r w:rsidRPr="0023594B">
        <w:rPr>
          <w:color w:val="000000"/>
        </w:rPr>
        <w:t>уровень заболеваемости</w:t>
      </w:r>
      <w:r w:rsidRPr="005F35D8">
        <w:rPr>
          <w:color w:val="000000"/>
        </w:rPr>
        <w:t xml:space="preserve"> </w:t>
      </w:r>
      <w:r w:rsidRPr="005F35D8">
        <w:rPr>
          <w:color w:val="000000"/>
        </w:rPr>
        <w:lastRenderedPageBreak/>
        <w:t>0,26</w:t>
      </w:r>
      <w:r w:rsidR="00153559">
        <w:rPr>
          <w:color w:val="000000"/>
        </w:rPr>
        <w:t>): базально</w:t>
      </w:r>
      <w:r w:rsidRPr="005F35D8">
        <w:rPr>
          <w:color w:val="000000"/>
        </w:rPr>
        <w:t>клеточная карцинома (n=3, все 2 мг), болезнь Боуэна (n=2, 4 мг) и кератоакантома (n=1, 4</w:t>
      </w:r>
      <w:r>
        <w:rPr>
          <w:color w:val="000000"/>
        </w:rPr>
        <w:t xml:space="preserve"> </w:t>
      </w:r>
      <w:r w:rsidRPr="005F35D8">
        <w:rPr>
          <w:color w:val="000000"/>
        </w:rPr>
        <w:t>мг)</w:t>
      </w:r>
      <w:r>
        <w:rPr>
          <w:color w:val="000000"/>
        </w:rPr>
        <w:t xml:space="preserve"> </w:t>
      </w:r>
      <w:r>
        <w:fldChar w:fldCharType="begin"/>
      </w:r>
      <w:r>
        <w:instrText xml:space="preserve"> ADDIN ZOTERO_ITEM CSL_CITATION {"citationID":"5zX8fKPR","properties":{"formattedCitation":"[2]","plainCitation":"[2]","noteIndex":0},"citationItems":[{"id":3827,"uris":["http://zotero.org/groups/4514912/items/LB74K8KI"],"itemData":{"id":3827,"type":"document","title":"Assessment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5F35D8">
        <w:rPr>
          <w:color w:val="000000"/>
        </w:rPr>
        <w:t xml:space="preserve">. </w:t>
      </w:r>
    </w:p>
    <w:p w14:paraId="315878DE" w14:textId="77777777" w:rsidR="00C34E4A" w:rsidRPr="005F35D8" w:rsidRDefault="00C34E4A">
      <w:pPr>
        <w:spacing w:after="0" w:line="240" w:lineRule="auto"/>
        <w:ind w:firstLine="709"/>
        <w:rPr>
          <w:color w:val="000000"/>
        </w:rPr>
      </w:pPr>
    </w:p>
    <w:p w14:paraId="2A21B717" w14:textId="77777777" w:rsidR="00C34E4A" w:rsidRPr="00BE0BE9" w:rsidRDefault="00C34E4A" w:rsidP="00AB1FF1">
      <w:pPr>
        <w:spacing w:after="0" w:line="240" w:lineRule="auto"/>
        <w:rPr>
          <w:b/>
          <w:i/>
          <w:iCs/>
          <w:color w:val="000000"/>
        </w:rPr>
      </w:pPr>
      <w:r w:rsidRPr="00BE0BE9">
        <w:rPr>
          <w:b/>
          <w:i/>
          <w:iCs/>
          <w:color w:val="000000"/>
        </w:rPr>
        <w:t>Конъюнктивальные нарушения</w:t>
      </w:r>
    </w:p>
    <w:p w14:paraId="58920D29" w14:textId="77777777" w:rsidR="0029110D" w:rsidRDefault="0029110D">
      <w:pPr>
        <w:spacing w:after="0" w:line="240" w:lineRule="auto"/>
        <w:ind w:firstLine="709"/>
        <w:rPr>
          <w:color w:val="000000"/>
        </w:rPr>
      </w:pPr>
    </w:p>
    <w:p w14:paraId="6A79AA0C" w14:textId="0D38D6B8" w:rsidR="00C34E4A" w:rsidRDefault="00C34E4A">
      <w:pPr>
        <w:spacing w:after="0" w:line="240" w:lineRule="auto"/>
        <w:ind w:firstLine="709"/>
        <w:rPr>
          <w:color w:val="000000"/>
        </w:rPr>
      </w:pPr>
      <w:r w:rsidRPr="005F35D8">
        <w:rPr>
          <w:color w:val="000000"/>
        </w:rPr>
        <w:t>В кластере заболеваний конъюнктивы в плацебо-контролируемом наборе данных 1,6% и 1,2% пациентов в группах 2</w:t>
      </w:r>
      <w:r>
        <w:rPr>
          <w:color w:val="000000"/>
        </w:rPr>
        <w:t xml:space="preserve"> </w:t>
      </w:r>
      <w:r w:rsidRPr="005F35D8">
        <w:rPr>
          <w:color w:val="000000"/>
        </w:rPr>
        <w:t>мг и 4</w:t>
      </w:r>
      <w:r>
        <w:rPr>
          <w:color w:val="000000"/>
        </w:rPr>
        <w:t xml:space="preserve"> </w:t>
      </w:r>
      <w:r w:rsidRPr="005F35D8">
        <w:rPr>
          <w:color w:val="000000"/>
        </w:rPr>
        <w:t xml:space="preserve">мг, соответственно, сообщили о событиях по сравнению с 2,1% в группе плацебо. В расширенном наборе данных </w:t>
      </w:r>
      <w:r w:rsidRPr="0023594B">
        <w:rPr>
          <w:color w:val="000000"/>
        </w:rPr>
        <w:t>уровень заболеваемости</w:t>
      </w:r>
      <w:r w:rsidRPr="005F35D8">
        <w:rPr>
          <w:color w:val="000000"/>
        </w:rPr>
        <w:t xml:space="preserve"> были сходными между дозами (2</w:t>
      </w:r>
      <w:r>
        <w:rPr>
          <w:color w:val="000000"/>
        </w:rPr>
        <w:t xml:space="preserve"> </w:t>
      </w:r>
      <w:r w:rsidRPr="005F35D8">
        <w:rPr>
          <w:color w:val="000000"/>
        </w:rPr>
        <w:t>мг = 4,9; 4</w:t>
      </w:r>
      <w:r>
        <w:rPr>
          <w:color w:val="000000"/>
        </w:rPr>
        <w:t xml:space="preserve"> </w:t>
      </w:r>
      <w:r w:rsidRPr="005F35D8">
        <w:rPr>
          <w:color w:val="000000"/>
        </w:rPr>
        <w:t xml:space="preserve">мг = 4,6) и аналогичны </w:t>
      </w:r>
      <w:r>
        <w:rPr>
          <w:color w:val="000000"/>
        </w:rPr>
        <w:t>в расширенном наборе данных</w:t>
      </w:r>
      <w:r w:rsidRPr="005F35D8">
        <w:rPr>
          <w:color w:val="000000"/>
        </w:rPr>
        <w:t xml:space="preserve"> (4,3). Наиболее частыми </w:t>
      </w:r>
      <w:r>
        <w:rPr>
          <w:color w:val="000000"/>
        </w:rPr>
        <w:t>НЯ</w:t>
      </w:r>
      <w:r w:rsidRPr="005F35D8">
        <w:rPr>
          <w:color w:val="000000"/>
        </w:rPr>
        <w:t xml:space="preserve"> были конъюнктивит (41%) и аллергический конъюнктивит (35%)</w:t>
      </w:r>
      <w:r>
        <w:rPr>
          <w:color w:val="000000"/>
        </w:rPr>
        <w:t xml:space="preserve"> </w:t>
      </w:r>
      <w:r>
        <w:fldChar w:fldCharType="begin"/>
      </w:r>
      <w:r>
        <w:instrText xml:space="preserve"> ADDIN ZOTERO_ITEM CSL_CITATION {"citationID":"yWLOwBJ1","properties":{"formattedCitation":"[2]","plainCitation":"[2]","noteIndex":0},"citationItems":[{"id":3827,"uris":["http://zotero.org/groups/4514912/items/LB74K8KI"],"itemData":{"id":3827,"type":"document","title":"Assessment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Pr>
          <w:color w:val="000000"/>
        </w:rPr>
        <w:t>.</w:t>
      </w:r>
    </w:p>
    <w:p w14:paraId="587D6D24" w14:textId="77777777" w:rsidR="00C34E4A" w:rsidRPr="005F35D8" w:rsidRDefault="00C34E4A">
      <w:pPr>
        <w:spacing w:after="0" w:line="240" w:lineRule="auto"/>
        <w:ind w:firstLine="709"/>
        <w:rPr>
          <w:color w:val="000000"/>
        </w:rPr>
      </w:pPr>
    </w:p>
    <w:p w14:paraId="5ED0F5AA" w14:textId="78260661" w:rsidR="00C34E4A" w:rsidRPr="006E1535" w:rsidRDefault="006E1535">
      <w:pPr>
        <w:spacing w:after="0" w:line="240" w:lineRule="auto"/>
        <w:rPr>
          <w:b/>
          <w:iCs/>
          <w:color w:val="000000"/>
        </w:rPr>
      </w:pPr>
      <w:r w:rsidRPr="006E1535">
        <w:rPr>
          <w:b/>
        </w:rPr>
        <w:t xml:space="preserve">4.3.2.3.3. </w:t>
      </w:r>
      <w:r w:rsidR="00C34E4A" w:rsidRPr="006E1535">
        <w:rPr>
          <w:b/>
          <w:iCs/>
          <w:color w:val="000000"/>
        </w:rPr>
        <w:t>Лабораторные данные</w:t>
      </w:r>
    </w:p>
    <w:p w14:paraId="65CFB903" w14:textId="77777777" w:rsidR="006E1535" w:rsidRDefault="006E1535">
      <w:pPr>
        <w:spacing w:after="0" w:line="240" w:lineRule="auto"/>
        <w:ind w:firstLine="709"/>
        <w:rPr>
          <w:color w:val="000000"/>
        </w:rPr>
      </w:pPr>
    </w:p>
    <w:p w14:paraId="116D50B4" w14:textId="77777777" w:rsidR="00C34E4A" w:rsidRPr="005F35D8" w:rsidRDefault="00C34E4A">
      <w:pPr>
        <w:spacing w:after="0" w:line="240" w:lineRule="auto"/>
        <w:ind w:firstLine="709"/>
        <w:rPr>
          <w:color w:val="000000"/>
        </w:rPr>
      </w:pPr>
      <w:r w:rsidRPr="005F35D8">
        <w:rPr>
          <w:color w:val="000000"/>
        </w:rPr>
        <w:t>Повышение сывороточной креатинфосфокиназы по крайней мере до степени 1 (до 2,5x ВГН) было наиболее частым лабораторным изменением и было зарегистрировано у 19,3% и 23,8% пациентов в дозах 2 мг и 4 мг</w:t>
      </w:r>
      <w:r>
        <w:rPr>
          <w:color w:val="000000"/>
        </w:rPr>
        <w:t xml:space="preserve"> </w:t>
      </w:r>
      <w:r w:rsidRPr="005F35D8">
        <w:rPr>
          <w:color w:val="000000"/>
        </w:rPr>
        <w:t xml:space="preserve">соответственно против 10,3% в группе плацебо; частоты также были выше в группах барицитиниба по сравнению с плацебо для повышения </w:t>
      </w:r>
      <w:r>
        <w:rPr>
          <w:color w:val="000000"/>
        </w:rPr>
        <w:t>креатинфосфокиназы</w:t>
      </w:r>
      <w:r w:rsidRPr="005F35D8">
        <w:rPr>
          <w:color w:val="000000"/>
        </w:rPr>
        <w:t xml:space="preserve"> как минимум до степени 2 и 3. Ни в одном наборе данных не было изменений уровня </w:t>
      </w:r>
      <w:r>
        <w:rPr>
          <w:color w:val="000000"/>
          <w:lang w:val="en-US"/>
        </w:rPr>
        <w:t>Hb</w:t>
      </w:r>
      <w:r w:rsidRPr="005F35D8">
        <w:rPr>
          <w:color w:val="000000"/>
        </w:rPr>
        <w:t xml:space="preserve"> 3 (&lt;8 мг/дл) или выше при любой дозе барицитиниба. У нескольких пациентов было количество лимфоцитов &lt;500 кл/мм</w:t>
      </w:r>
      <w:r w:rsidRPr="002949FA">
        <w:rPr>
          <w:color w:val="000000"/>
          <w:vertAlign w:val="superscript"/>
        </w:rPr>
        <w:t>3</w:t>
      </w:r>
      <w:r w:rsidRPr="005F35D8">
        <w:rPr>
          <w:color w:val="000000"/>
        </w:rPr>
        <w:t xml:space="preserve"> или количество нейтрофилов &lt;1000 кл/мм</w:t>
      </w:r>
      <w:r w:rsidRPr="002949FA">
        <w:rPr>
          <w:color w:val="000000"/>
          <w:vertAlign w:val="superscript"/>
        </w:rPr>
        <w:t>3</w:t>
      </w:r>
      <w:r>
        <w:rPr>
          <w:color w:val="000000"/>
          <w:vertAlign w:val="superscript"/>
        </w:rPr>
        <w:t xml:space="preserve"> </w:t>
      </w:r>
      <w:r>
        <w:fldChar w:fldCharType="begin"/>
      </w:r>
      <w:r>
        <w:instrText xml:space="preserve"> ADDIN ZOTERO_ITEM CSL_CITATION {"citationID":"wE3fkQYj","properties":{"formattedCitation":"[2]","plainCitation":"[2]","noteIndex":0},"citationItems":[{"id":3827,"uris":["http://zotero.org/groups/4514912/items/LB74K8KI"],"itemData":{"id":3827,"type":"document","title":"Assessment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5F35D8">
        <w:rPr>
          <w:color w:val="000000"/>
        </w:rPr>
        <w:t>.</w:t>
      </w:r>
    </w:p>
    <w:p w14:paraId="29BDC9FB" w14:textId="77777777" w:rsidR="00C34E4A" w:rsidRDefault="00C34E4A">
      <w:pPr>
        <w:spacing w:after="0" w:line="240" w:lineRule="auto"/>
        <w:ind w:firstLine="709"/>
        <w:rPr>
          <w:color w:val="000000"/>
        </w:rPr>
      </w:pPr>
      <w:r w:rsidRPr="005F35D8">
        <w:rPr>
          <w:color w:val="000000"/>
        </w:rPr>
        <w:t>Снижение числа нейтрофилов до &lt;1000 кл/мм</w:t>
      </w:r>
      <w:r w:rsidRPr="002949FA">
        <w:rPr>
          <w:color w:val="000000"/>
          <w:vertAlign w:val="superscript"/>
        </w:rPr>
        <w:t>3</w:t>
      </w:r>
      <w:r w:rsidRPr="005F35D8">
        <w:rPr>
          <w:color w:val="000000"/>
        </w:rPr>
        <w:t xml:space="preserve"> не было связано с серьезными инфекциями и не приводило к отмене исследуемого препарата. Увеличение количества тромбоцитов до &gt;600x10</w:t>
      </w:r>
      <w:r w:rsidRPr="002949FA">
        <w:rPr>
          <w:color w:val="000000"/>
          <w:vertAlign w:val="superscript"/>
        </w:rPr>
        <w:t>9</w:t>
      </w:r>
      <w:r w:rsidRPr="005F35D8">
        <w:rPr>
          <w:color w:val="000000"/>
        </w:rPr>
        <w:t xml:space="preserve">/л наблюдалось у большего количества пациентов в группах 2 мг (1,2%) и 4 мг (0,6%) по сравнению с плацебо (0%); пропорции были аналогичными в расширенном наборе данных. У большей доли пациентов в группах барицитиниба по сравнению с плацебо было увеличение ЛПНП и ЛПВП; учитывая низкую частоту MACE или сердечно-сосудистых событий, эти данные не указывают на повышенный риск. Во всех наборах данных несколько пациентов имели ≥3x или ≥5x </w:t>
      </w:r>
      <w:r>
        <w:rPr>
          <w:color w:val="000000"/>
        </w:rPr>
        <w:t>ВГН</w:t>
      </w:r>
      <w:r w:rsidRPr="005F35D8">
        <w:rPr>
          <w:color w:val="000000"/>
        </w:rPr>
        <w:t xml:space="preserve"> для </w:t>
      </w:r>
      <w:r>
        <w:rPr>
          <w:color w:val="000000"/>
        </w:rPr>
        <w:t>АЛТ</w:t>
      </w:r>
      <w:r w:rsidRPr="005F35D8">
        <w:rPr>
          <w:color w:val="000000"/>
        </w:rPr>
        <w:t xml:space="preserve">, и только у 1 пациента в </w:t>
      </w:r>
      <w:r>
        <w:rPr>
          <w:color w:val="000000"/>
        </w:rPr>
        <w:t>расширенном наборе данных</w:t>
      </w:r>
      <w:r w:rsidRPr="005F35D8">
        <w:rPr>
          <w:color w:val="000000"/>
        </w:rPr>
        <w:t xml:space="preserve"> наблюдалось ≥10x </w:t>
      </w:r>
      <w:r>
        <w:rPr>
          <w:color w:val="000000"/>
        </w:rPr>
        <w:t>ВГН АЛТ</w:t>
      </w:r>
      <w:r w:rsidRPr="005F35D8">
        <w:rPr>
          <w:color w:val="000000"/>
        </w:rPr>
        <w:t xml:space="preserve">. Не было доказательств того, что лечение барицитинибом ассоциировалось с повышенным риском связанных с печенью TEAE или </w:t>
      </w:r>
      <w:r>
        <w:rPr>
          <w:color w:val="000000"/>
        </w:rPr>
        <w:t>СНЯ</w:t>
      </w:r>
      <w:r w:rsidRPr="005F35D8">
        <w:rPr>
          <w:color w:val="000000"/>
        </w:rPr>
        <w:t>, приводящих к временному прерыванию или постоянному прекращению приема исследуемого препарата</w:t>
      </w:r>
      <w:r>
        <w:rPr>
          <w:color w:val="000000"/>
        </w:rPr>
        <w:t xml:space="preserve"> </w:t>
      </w:r>
      <w:r>
        <w:fldChar w:fldCharType="begin"/>
      </w:r>
      <w:r>
        <w:instrText xml:space="preserve"> ADDIN ZOTERO_ITEM CSL_CITATION {"citationID":"hgaiQObk","properties":{"formattedCitation":"[2]","plainCitation":"[2]","noteIndex":0},"citationItems":[{"id":3827,"uris":["http://zotero.org/groups/4514912/items/LB74K8KI"],"itemData":{"id":3827,"type":"document","title":"Assessment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5F35D8">
        <w:rPr>
          <w:color w:val="000000"/>
        </w:rPr>
        <w:t xml:space="preserve">. </w:t>
      </w:r>
    </w:p>
    <w:p w14:paraId="70FA6BB0" w14:textId="77777777" w:rsidR="00C34E4A" w:rsidRPr="0040387A" w:rsidRDefault="00C34E4A">
      <w:pPr>
        <w:spacing w:after="0" w:line="240" w:lineRule="auto"/>
        <w:rPr>
          <w:color w:val="000000"/>
        </w:rPr>
      </w:pPr>
    </w:p>
    <w:p w14:paraId="5202200B" w14:textId="77777777" w:rsidR="00C34E4A" w:rsidRPr="00A52ED4" w:rsidRDefault="00C34E4A">
      <w:pPr>
        <w:pStyle w:val="4"/>
        <w:spacing w:before="0"/>
        <w:rPr>
          <w:szCs w:val="24"/>
        </w:rPr>
      </w:pPr>
      <w:bookmarkStart w:id="188" w:name="_Toc120288180"/>
      <w:r w:rsidRPr="00A52ED4">
        <w:rPr>
          <w:szCs w:val="24"/>
        </w:rPr>
        <w:t>4.3.2.</w:t>
      </w:r>
      <w:r>
        <w:rPr>
          <w:szCs w:val="24"/>
        </w:rPr>
        <w:t>4</w:t>
      </w:r>
      <w:r w:rsidRPr="00A52ED4">
        <w:rPr>
          <w:szCs w:val="24"/>
        </w:rPr>
        <w:t xml:space="preserve">. Безопасность пациентов с </w:t>
      </w:r>
      <w:r>
        <w:rPr>
          <w:szCs w:val="24"/>
          <w:lang w:val="en-US"/>
        </w:rPr>
        <w:t>COVID</w:t>
      </w:r>
      <w:r>
        <w:rPr>
          <w:szCs w:val="24"/>
        </w:rPr>
        <w:t>-19</w:t>
      </w:r>
      <w:bookmarkEnd w:id="188"/>
      <w:r w:rsidRPr="00A52ED4">
        <w:rPr>
          <w:szCs w:val="24"/>
        </w:rPr>
        <w:t xml:space="preserve"> </w:t>
      </w:r>
    </w:p>
    <w:p w14:paraId="36942F6C" w14:textId="77777777" w:rsidR="00C34E4A" w:rsidRPr="004A533D" w:rsidRDefault="00C34E4A">
      <w:pPr>
        <w:spacing w:after="0" w:line="240" w:lineRule="auto"/>
        <w:ind w:firstLine="709"/>
        <w:rPr>
          <w:color w:val="000000"/>
          <w:highlight w:val="yellow"/>
        </w:rPr>
      </w:pPr>
    </w:p>
    <w:p w14:paraId="6DEC0B83" w14:textId="77777777" w:rsidR="00C34E4A" w:rsidRPr="004A533D" w:rsidRDefault="00C34E4A">
      <w:pPr>
        <w:spacing w:after="0" w:line="240" w:lineRule="auto"/>
        <w:ind w:firstLine="709"/>
        <w:rPr>
          <w:color w:val="000000"/>
        </w:rPr>
      </w:pPr>
      <w:r w:rsidRPr="004A533D">
        <w:rPr>
          <w:color w:val="000000"/>
        </w:rPr>
        <w:t xml:space="preserve">Анализы безопасности включали всех случайно распределенных участников, получивших хотя бы одну дозу </w:t>
      </w:r>
      <w:r>
        <w:rPr>
          <w:color w:val="000000"/>
        </w:rPr>
        <w:t>барицитиниба</w:t>
      </w:r>
      <w:r w:rsidRPr="004A533D">
        <w:rPr>
          <w:color w:val="000000"/>
        </w:rPr>
        <w:t xml:space="preserve">. </w:t>
      </w:r>
      <w:r>
        <w:rPr>
          <w:color w:val="000000"/>
        </w:rPr>
        <w:t xml:space="preserve">НЯ оценивали в ходе </w:t>
      </w:r>
      <w:r w:rsidRPr="004A533D">
        <w:rPr>
          <w:color w:val="000000"/>
        </w:rPr>
        <w:t>28-дневн</w:t>
      </w:r>
      <w:r>
        <w:rPr>
          <w:color w:val="000000"/>
        </w:rPr>
        <w:t>ого</w:t>
      </w:r>
      <w:r w:rsidRPr="004A533D">
        <w:rPr>
          <w:color w:val="000000"/>
        </w:rPr>
        <w:t xml:space="preserve"> период</w:t>
      </w:r>
      <w:r>
        <w:rPr>
          <w:color w:val="000000"/>
        </w:rPr>
        <w:t>а</w:t>
      </w:r>
      <w:r w:rsidRPr="004A533D">
        <w:rPr>
          <w:color w:val="000000"/>
        </w:rPr>
        <w:t xml:space="preserve"> </w:t>
      </w:r>
      <w:r w:rsidRPr="006D54B4">
        <w:rPr>
          <w:color w:val="000000"/>
        </w:rPr>
        <w:t xml:space="preserve">лечения </w:t>
      </w:r>
      <w:r w:rsidRPr="006D54B4">
        <w:rPr>
          <w:color w:val="000000"/>
        </w:rPr>
        <w:fldChar w:fldCharType="begin"/>
      </w:r>
      <w:r w:rsidRPr="006D54B4">
        <w:rPr>
          <w:color w:val="000000"/>
        </w:rPr>
        <w:instrText xml:space="preserve"> ADDIN ZOTERO_ITEM CSL_CITATION {"citationID":"zgiknEFE","properties":{"formattedCitation":"[11]","plainCitation":"[11]","noteIndex":0},"citationItems":[{"id":3870,"uris":["http://zotero.org/groups/4514912/items/H25JHMYF"],"itemData":{"id":3870,"type":"document","title":"Marconi VC, Ramanan AV, de Bono S, Kartman CE, Krishnan V, Liao R, Piruzeli MLB, Goldman JD, Alatorre-Alexander J, de Cassia Pellegrini R, Estrada V, Som M, Cardoso A, Chakladar S, Crowe B, Reis P, Zhang X, Adams DH, Ely EW; COV-BARRIER Study Group. Efficacy and safety of baricitinib for the treatment of hospitalised adults with COVID-19 (COV-BARRIER): a randomised, double-blind, parallel-group, placebo-controlled phase 3 trial. Lancet Respir Med. 2021 Dec;9(12):1407-1418. doi: 10.1016/S2213-2600(21)00331-3. Epub 2021 Sep 1. Erratum in: Lancet Respir Med. 2021 Oct;9(10):e102. PMID: 34480861; PMCID: PMC8409066."}}],"schema":"https://github.com/citation-style-language/schema/raw/master/csl-citation.json"} </w:instrText>
      </w:r>
      <w:r w:rsidRPr="006D54B4">
        <w:rPr>
          <w:color w:val="000000"/>
        </w:rPr>
        <w:fldChar w:fldCharType="separate"/>
      </w:r>
      <w:r w:rsidRPr="006D54B4">
        <w:t>[11]</w:t>
      </w:r>
      <w:r w:rsidRPr="006D54B4">
        <w:rPr>
          <w:color w:val="000000"/>
        </w:rPr>
        <w:fldChar w:fldCharType="end"/>
      </w:r>
      <w:r w:rsidRPr="006D54B4">
        <w:rPr>
          <w:color w:val="000000"/>
        </w:rPr>
        <w:t>.</w:t>
      </w:r>
    </w:p>
    <w:p w14:paraId="13829329" w14:textId="77777777" w:rsidR="00C34E4A" w:rsidRPr="004A533D" w:rsidRDefault="00C34E4A">
      <w:pPr>
        <w:spacing w:after="0" w:line="240" w:lineRule="auto"/>
        <w:ind w:firstLine="709"/>
        <w:rPr>
          <w:color w:val="000000"/>
        </w:rPr>
      </w:pPr>
      <w:r w:rsidRPr="004A533D">
        <w:rPr>
          <w:color w:val="000000"/>
        </w:rPr>
        <w:t xml:space="preserve">В период с 11 июня 2020 г. по 15 января 2021 г. 1630 участников прошли скрининг на соответствие требованиям, и 1525 (93,6%) были случайным образом распределены для получения либо барицитиниба 4 мг один раз в день </w:t>
      </w:r>
      <w:r>
        <w:rPr>
          <w:color w:val="000000"/>
        </w:rPr>
        <w:t>+</w:t>
      </w:r>
      <w:r w:rsidRPr="004A533D">
        <w:rPr>
          <w:color w:val="000000"/>
        </w:rPr>
        <w:t xml:space="preserve"> стандартная терапия (</w:t>
      </w:r>
      <w:r w:rsidRPr="004A533D">
        <w:rPr>
          <w:color w:val="000000"/>
          <w:lang w:val="en-US"/>
        </w:rPr>
        <w:t>n</w:t>
      </w:r>
      <w:r w:rsidRPr="004A533D">
        <w:rPr>
          <w:color w:val="000000"/>
        </w:rPr>
        <w:t xml:space="preserve">=764), либо плацебо плюс </w:t>
      </w:r>
      <w:r>
        <w:rPr>
          <w:color w:val="000000"/>
        </w:rPr>
        <w:t>+</w:t>
      </w:r>
      <w:r w:rsidRPr="004A533D">
        <w:rPr>
          <w:color w:val="000000"/>
        </w:rPr>
        <w:t xml:space="preserve"> терапия (</w:t>
      </w:r>
      <w:r w:rsidRPr="004A533D">
        <w:rPr>
          <w:color w:val="000000"/>
          <w:lang w:val="en-US"/>
        </w:rPr>
        <w:t>n</w:t>
      </w:r>
      <w:r w:rsidRPr="004A533D">
        <w:rPr>
          <w:color w:val="000000"/>
        </w:rPr>
        <w:t xml:space="preserve">=761). </w:t>
      </w:r>
      <w:r>
        <w:rPr>
          <w:color w:val="000000"/>
        </w:rPr>
        <w:t xml:space="preserve">Двадцать три </w:t>
      </w:r>
      <w:r w:rsidRPr="004A533D">
        <w:rPr>
          <w:color w:val="000000"/>
        </w:rPr>
        <w:t>(1,5%) участника не получали дозы ни барицитиниба, ни плацебо, либо выбыли из наблюдения до первого контрольного визита и, следовательно, были исключены из анализа безопасности. Из оставшихся 1502 участников 1248 (83,1%) завершили 28-дневный период лечения и 254 (16,9%) прекратили лечение в течение этого периода, из которых 159 (62,6%) умерли</w:t>
      </w:r>
      <w:r>
        <w:rPr>
          <w:color w:val="000000"/>
        </w:rPr>
        <w:t xml:space="preserve"> </w:t>
      </w:r>
      <w:r w:rsidRPr="006D54B4">
        <w:rPr>
          <w:color w:val="000000"/>
        </w:rPr>
        <w:fldChar w:fldCharType="begin"/>
      </w:r>
      <w:r>
        <w:rPr>
          <w:color w:val="000000"/>
        </w:rPr>
        <w:instrText xml:space="preserve"> ADDIN ZOTERO_ITEM CSL_CITATION {"citationID":"JLaDazd2","properties":{"formattedCitation":"[11]","plainCitation":"[11]","noteIndex":0},"citationItems":[{"id":3870,"uris":["http://zotero.org/groups/4514912/items/H25JHMYF"],"itemData":{"id":3870,"type":"document","title":"Marconi VC, Ramanan AV, de Bono S, Kartman CE, Krishnan V, Liao R, Piruzeli MLB, Goldman JD, Alatorre-Alexander J, de Cassia Pellegrini R, Estrada V, Som M, Cardoso A, Chakladar S, Crowe B, Reis P, Zhang X, Adams DH, Ely EW; COV-BARRIER Study Group. Efficacy and safety of baricitinib for the treatment of hospitalised adults with COVID-19 (COV-BARRIER): a randomised, double-blind, parallel-group, placebo-controlled phase 3 trial. Lancet Respir Med. 2021 Dec;9(12):1407-1418. doi: 10.1016/S2213-2600(21)00331-3. Epub 2021 Sep 1. Erratum in: Lancet Respir Med. 2021 Oct;9(10):e102. PMID: 34480861; PMCID: PMC8409066."}}],"schema":"https://github.com/citation-style-language/schema/raw/master/csl-citation.json"} </w:instrText>
      </w:r>
      <w:r w:rsidRPr="006D54B4">
        <w:rPr>
          <w:color w:val="000000"/>
        </w:rPr>
        <w:fldChar w:fldCharType="separate"/>
      </w:r>
      <w:r w:rsidRPr="006D54B4">
        <w:t>[11]</w:t>
      </w:r>
      <w:r w:rsidRPr="006D54B4">
        <w:rPr>
          <w:color w:val="000000"/>
        </w:rPr>
        <w:fldChar w:fldCharType="end"/>
      </w:r>
      <w:r w:rsidRPr="004A533D">
        <w:rPr>
          <w:color w:val="000000"/>
        </w:rPr>
        <w:t xml:space="preserve">. </w:t>
      </w:r>
    </w:p>
    <w:p w14:paraId="13543509" w14:textId="77777777" w:rsidR="00C34E4A" w:rsidRDefault="00C34E4A">
      <w:pPr>
        <w:spacing w:after="0" w:line="240" w:lineRule="auto"/>
        <w:ind w:firstLine="709"/>
        <w:rPr>
          <w:color w:val="000000"/>
        </w:rPr>
      </w:pPr>
      <w:r w:rsidRPr="004A533D">
        <w:rPr>
          <w:color w:val="000000"/>
        </w:rPr>
        <w:lastRenderedPageBreak/>
        <w:t xml:space="preserve">В группе барицитиниба 334 (45%) из 750 участников и 334 (44%) из 752 в группе плацебо имели по крайней мере одно </w:t>
      </w:r>
      <w:r>
        <w:rPr>
          <w:color w:val="000000"/>
        </w:rPr>
        <w:t>НЯ</w:t>
      </w:r>
      <w:r w:rsidRPr="004A533D">
        <w:rPr>
          <w:color w:val="000000"/>
        </w:rPr>
        <w:t xml:space="preserve">, возникшее во время лечения, а </w:t>
      </w:r>
      <w:r>
        <w:rPr>
          <w:color w:val="000000"/>
        </w:rPr>
        <w:t>СНЯ</w:t>
      </w:r>
      <w:r w:rsidRPr="004A533D">
        <w:rPr>
          <w:color w:val="000000"/>
        </w:rPr>
        <w:t xml:space="preserve"> наблюдались у 110 (15%) участников в группе барицитиниба. группе и 135 (18%) в группе плацебо. Наиболее распространенные </w:t>
      </w:r>
      <w:r>
        <w:rPr>
          <w:color w:val="000000"/>
        </w:rPr>
        <w:t>СНЯ (барицитиниб против плацебо): инфекции и инвазии (</w:t>
      </w:r>
      <w:r>
        <w:rPr>
          <w:color w:val="000000"/>
          <w:lang w:val="en-US"/>
        </w:rPr>
        <w:t>n</w:t>
      </w:r>
      <w:r w:rsidRPr="002949FA">
        <w:rPr>
          <w:color w:val="000000"/>
        </w:rPr>
        <w:t>=64 [8.5%]</w:t>
      </w:r>
      <w:r>
        <w:rPr>
          <w:color w:val="000000"/>
        </w:rPr>
        <w:t xml:space="preserve"> против 74 </w:t>
      </w:r>
      <w:r w:rsidRPr="002949FA">
        <w:rPr>
          <w:color w:val="000000"/>
        </w:rPr>
        <w:t>[</w:t>
      </w:r>
      <w:r>
        <w:rPr>
          <w:color w:val="000000"/>
        </w:rPr>
        <w:t>9,8</w:t>
      </w:r>
      <w:r w:rsidRPr="002949FA">
        <w:rPr>
          <w:color w:val="000000"/>
        </w:rPr>
        <w:t>]</w:t>
      </w:r>
      <w:r>
        <w:rPr>
          <w:color w:val="000000"/>
        </w:rPr>
        <w:t xml:space="preserve">); </w:t>
      </w:r>
      <w:r>
        <w:rPr>
          <w:color w:val="000000"/>
          <w:lang w:val="en-US"/>
        </w:rPr>
        <w:t>COVID</w:t>
      </w:r>
      <w:r w:rsidRPr="002949FA">
        <w:rPr>
          <w:color w:val="000000"/>
        </w:rPr>
        <w:t>-19</w:t>
      </w:r>
      <w:r>
        <w:rPr>
          <w:color w:val="000000"/>
        </w:rPr>
        <w:t xml:space="preserve">-ассоциированная пневмония 21 </w:t>
      </w:r>
      <w:r w:rsidRPr="00CC6AB9">
        <w:rPr>
          <w:color w:val="000000"/>
        </w:rPr>
        <w:t xml:space="preserve">[2.8] </w:t>
      </w:r>
      <w:r>
        <w:rPr>
          <w:color w:val="000000"/>
        </w:rPr>
        <w:t xml:space="preserve">против 20 </w:t>
      </w:r>
      <w:r w:rsidRPr="00CC6AB9">
        <w:rPr>
          <w:color w:val="000000"/>
        </w:rPr>
        <w:t xml:space="preserve">[2.7]; </w:t>
      </w:r>
      <w:r>
        <w:rPr>
          <w:color w:val="000000"/>
        </w:rPr>
        <w:t xml:space="preserve">септический шок 13 </w:t>
      </w:r>
      <w:r w:rsidRPr="00CC6AB9">
        <w:rPr>
          <w:color w:val="000000"/>
        </w:rPr>
        <w:t>[</w:t>
      </w:r>
      <w:r>
        <w:rPr>
          <w:color w:val="000000"/>
        </w:rPr>
        <w:t>1,7</w:t>
      </w:r>
      <w:r w:rsidRPr="00CC6AB9">
        <w:rPr>
          <w:color w:val="000000"/>
        </w:rPr>
        <w:t>]</w:t>
      </w:r>
      <w:r>
        <w:rPr>
          <w:color w:val="000000"/>
        </w:rPr>
        <w:t xml:space="preserve"> против 24 </w:t>
      </w:r>
      <w:r w:rsidRPr="00CC6AB9">
        <w:rPr>
          <w:color w:val="000000"/>
        </w:rPr>
        <w:t>[</w:t>
      </w:r>
      <w:r>
        <w:rPr>
          <w:color w:val="000000"/>
        </w:rPr>
        <w:t>3,2</w:t>
      </w:r>
      <w:r w:rsidRPr="00CC6AB9">
        <w:rPr>
          <w:color w:val="000000"/>
        </w:rPr>
        <w:t>]</w:t>
      </w:r>
      <w:r>
        <w:rPr>
          <w:color w:val="000000"/>
        </w:rPr>
        <w:t xml:space="preserve">; заболевания органов дыхания и средостения 43 </w:t>
      </w:r>
      <w:r w:rsidRPr="00CC6AB9">
        <w:rPr>
          <w:color w:val="000000"/>
        </w:rPr>
        <w:t>[</w:t>
      </w:r>
      <w:r>
        <w:rPr>
          <w:color w:val="000000"/>
        </w:rPr>
        <w:t>5,7</w:t>
      </w:r>
      <w:r w:rsidRPr="00CC6AB9">
        <w:rPr>
          <w:color w:val="000000"/>
        </w:rPr>
        <w:t>]</w:t>
      </w:r>
      <w:r>
        <w:rPr>
          <w:color w:val="000000"/>
        </w:rPr>
        <w:t xml:space="preserve"> против 60 </w:t>
      </w:r>
      <w:r w:rsidRPr="00CC6AB9">
        <w:rPr>
          <w:color w:val="000000"/>
        </w:rPr>
        <w:t>[</w:t>
      </w:r>
      <w:r>
        <w:rPr>
          <w:color w:val="000000"/>
        </w:rPr>
        <w:t>8,0</w:t>
      </w:r>
      <w:r w:rsidRPr="00CC6AB9">
        <w:rPr>
          <w:color w:val="000000"/>
        </w:rPr>
        <w:t>]</w:t>
      </w:r>
      <w:r>
        <w:rPr>
          <w:color w:val="000000"/>
        </w:rPr>
        <w:t>; острая дыхательная недостаточность 17</w:t>
      </w:r>
      <w:r w:rsidRPr="00CC6AB9">
        <w:rPr>
          <w:color w:val="000000"/>
        </w:rPr>
        <w:t>[</w:t>
      </w:r>
      <w:r>
        <w:rPr>
          <w:color w:val="000000"/>
        </w:rPr>
        <w:t>2,3</w:t>
      </w:r>
      <w:r w:rsidRPr="00CC6AB9">
        <w:rPr>
          <w:color w:val="000000"/>
        </w:rPr>
        <w:t>]</w:t>
      </w:r>
      <w:r>
        <w:rPr>
          <w:color w:val="000000"/>
        </w:rPr>
        <w:t xml:space="preserve"> против 29 </w:t>
      </w:r>
      <w:r w:rsidRPr="00CC6AB9">
        <w:rPr>
          <w:color w:val="000000"/>
        </w:rPr>
        <w:t>[</w:t>
      </w:r>
      <w:r>
        <w:rPr>
          <w:color w:val="000000"/>
        </w:rPr>
        <w:t>3,9</w:t>
      </w:r>
      <w:r w:rsidRPr="00CC6AB9">
        <w:rPr>
          <w:color w:val="000000"/>
        </w:rPr>
        <w:t>]</w:t>
      </w:r>
      <w:r>
        <w:rPr>
          <w:color w:val="000000"/>
        </w:rPr>
        <w:t xml:space="preserve">; дыхательная недостаточность 10 </w:t>
      </w:r>
      <w:r w:rsidRPr="00CC6AB9">
        <w:rPr>
          <w:color w:val="000000"/>
        </w:rPr>
        <w:t>[</w:t>
      </w:r>
      <w:r>
        <w:rPr>
          <w:color w:val="000000"/>
        </w:rPr>
        <w:t>1,3</w:t>
      </w:r>
      <w:r w:rsidRPr="00CC6AB9">
        <w:rPr>
          <w:color w:val="000000"/>
        </w:rPr>
        <w:t>]</w:t>
      </w:r>
      <w:r>
        <w:rPr>
          <w:color w:val="000000"/>
        </w:rPr>
        <w:t xml:space="preserve"> против 17 </w:t>
      </w:r>
      <w:r w:rsidRPr="00CC6AB9">
        <w:rPr>
          <w:color w:val="000000"/>
        </w:rPr>
        <w:t>[2.</w:t>
      </w:r>
      <w:r>
        <w:rPr>
          <w:color w:val="000000"/>
        </w:rPr>
        <w:t>3</w:t>
      </w:r>
      <w:r w:rsidRPr="00CC6AB9">
        <w:rPr>
          <w:color w:val="000000"/>
        </w:rPr>
        <w:t>]</w:t>
      </w:r>
      <w:r>
        <w:rPr>
          <w:color w:val="000000"/>
        </w:rPr>
        <w:t xml:space="preserve"> </w:t>
      </w:r>
      <w:r w:rsidRPr="006D54B4">
        <w:rPr>
          <w:color w:val="000000"/>
        </w:rPr>
        <w:fldChar w:fldCharType="begin"/>
      </w:r>
      <w:r>
        <w:rPr>
          <w:color w:val="000000"/>
        </w:rPr>
        <w:instrText xml:space="preserve"> ADDIN ZOTERO_ITEM CSL_CITATION {"citationID":"nbmCUy5V","properties":{"formattedCitation":"[11]","plainCitation":"[11]","noteIndex":0},"citationItems":[{"id":3870,"uris":["http://zotero.org/groups/4514912/items/H25JHMYF"],"itemData":{"id":3870,"type":"document","title":"Marconi VC, Ramanan AV, de Bono S, Kartman CE, Krishnan V, Liao R, Piruzeli MLB, Goldman JD, Alatorre-Alexander J, de Cassia Pellegrini R, Estrada V, Som M, Cardoso A, Chakladar S, Crowe B, Reis P, Zhang X, Adams DH, Ely EW; COV-BARRIER Study Group. Efficacy and safety of baricitinib for the treatment of hospitalised adults with COVID-19 (COV-BARRIER): a randomised, double-blind, parallel-group, placebo-controlled phase 3 trial. Lancet Respir Med. 2021 Dec;9(12):1407-1418. doi: 10.1016/S2213-2600(21)00331-3. Epub 2021 Sep 1. Erratum in: Lancet Respir Med. 2021 Oct;9(10):e102. PMID: 34480861; PMCID: PMC8409066."}}],"schema":"https://github.com/citation-style-language/schema/raw/master/csl-citation.json"} </w:instrText>
      </w:r>
      <w:r w:rsidRPr="006D54B4">
        <w:rPr>
          <w:color w:val="000000"/>
        </w:rPr>
        <w:fldChar w:fldCharType="separate"/>
      </w:r>
      <w:r w:rsidRPr="006D54B4">
        <w:t>[11]</w:t>
      </w:r>
      <w:r w:rsidRPr="006D54B4">
        <w:rPr>
          <w:color w:val="000000"/>
        </w:rPr>
        <w:fldChar w:fldCharType="end"/>
      </w:r>
      <w:r w:rsidRPr="004A533D">
        <w:rPr>
          <w:color w:val="000000"/>
        </w:rPr>
        <w:t>.</w:t>
      </w:r>
    </w:p>
    <w:p w14:paraId="20834308" w14:textId="423BFB4D" w:rsidR="00C34E4A" w:rsidRDefault="00C34E4A">
      <w:pPr>
        <w:spacing w:after="0" w:line="240" w:lineRule="auto"/>
        <w:ind w:firstLine="709"/>
        <w:rPr>
          <w:color w:val="000000"/>
        </w:rPr>
      </w:pPr>
      <w:r w:rsidRPr="004A533D">
        <w:rPr>
          <w:color w:val="000000"/>
        </w:rPr>
        <w:t xml:space="preserve">Частота смертей, о которых сообщалось, в связи с побочными эффектами (не </w:t>
      </w:r>
      <w:r>
        <w:rPr>
          <w:color w:val="000000"/>
        </w:rPr>
        <w:t xml:space="preserve">связанная с </w:t>
      </w:r>
      <w:r w:rsidRPr="004A533D">
        <w:rPr>
          <w:color w:val="000000"/>
        </w:rPr>
        <w:t>прогрессированием заболевания, 12 [2%] участников в группе барицитиниба против 31 [4%] в группе плацебо) и прекращение исследуемого лечения из-за побочных эффектов (56 [7%] против 70 [9%]) были численно ниже в группе барицитиниба, чем в группе плацебо. Серьезные инфекции были зарегистрированы у 64 (9%) участников, получавших барицитиниб, и у 74 (10%) участников, получавших плацебо. Среди участников, принимавших кортикостероиды в начале исследования, серьезные инфекции возникали с одинаковой частотой между группами (58 [10%] из 605 против 63 [11%] из 590</w:t>
      </w:r>
      <w:r>
        <w:rPr>
          <w:color w:val="000000"/>
        </w:rPr>
        <w:t xml:space="preserve"> в группах барицитиниба и плацебо соответственно)</w:t>
      </w:r>
      <w:r w:rsidRPr="004A533D">
        <w:rPr>
          <w:color w:val="000000"/>
        </w:rPr>
        <w:t xml:space="preserve">. В группах барицитиниба и плацебо наблюдалось аналогичное распределение подтвержденных случаев венозной тромбоэмболии (20 [3%] против 19 [3%]) и </w:t>
      </w:r>
      <w:r>
        <w:rPr>
          <w:color w:val="000000"/>
        </w:rPr>
        <w:t>МАСЕ</w:t>
      </w:r>
      <w:r w:rsidRPr="004A533D">
        <w:rPr>
          <w:color w:val="000000"/>
        </w:rPr>
        <w:t xml:space="preserve"> (</w:t>
      </w:r>
      <w:r>
        <w:rPr>
          <w:color w:val="000000"/>
        </w:rPr>
        <w:t>8</w:t>
      </w:r>
      <w:r w:rsidRPr="004A533D">
        <w:rPr>
          <w:color w:val="000000"/>
        </w:rPr>
        <w:t xml:space="preserve"> [1%] против </w:t>
      </w:r>
      <w:r>
        <w:rPr>
          <w:color w:val="000000"/>
        </w:rPr>
        <w:t>9</w:t>
      </w:r>
      <w:r w:rsidRPr="004A533D">
        <w:rPr>
          <w:color w:val="000000"/>
        </w:rPr>
        <w:t xml:space="preserve"> [1%])</w:t>
      </w:r>
      <w:r>
        <w:rPr>
          <w:color w:val="000000"/>
        </w:rPr>
        <w:t xml:space="preserve">, не регистрировали </w:t>
      </w:r>
      <w:r w:rsidRPr="004A533D">
        <w:rPr>
          <w:color w:val="000000"/>
        </w:rPr>
        <w:t xml:space="preserve">перфораций </w:t>
      </w:r>
      <w:r>
        <w:rPr>
          <w:color w:val="000000"/>
        </w:rPr>
        <w:t xml:space="preserve">ЖКТ </w:t>
      </w:r>
      <w:r w:rsidRPr="006D54B4">
        <w:rPr>
          <w:color w:val="000000"/>
        </w:rPr>
        <w:fldChar w:fldCharType="begin"/>
      </w:r>
      <w:r>
        <w:rPr>
          <w:color w:val="000000"/>
        </w:rPr>
        <w:instrText xml:space="preserve"> ADDIN ZOTERO_ITEM CSL_CITATION {"citationID":"HWdrleq7","properties":{"formattedCitation":"[11]","plainCitation":"[11]","noteIndex":0},"citationItems":[{"id":3870,"uris":["http://zotero.org/groups/4514912/items/H25JHMYF"],"itemData":{"id":3870,"type":"document","title":"Marconi VC, Ramanan AV, de Bono S, Kartman CE, Krishnan V, Liao R, Piruzeli MLB, Goldman JD, Alatorre-Alexander J, de Cassia Pellegrini R, Estrada V, Som M, Cardoso A, Chakladar S, Crowe B, Reis P, Zhang X, Adams DH, Ely EW; COV-BARRIER Study Group. Efficacy and safety of baricitinib for the treatment of hospitalised adults with COVID-19 (COV-BARRIER): a randomised, double-blind, parallel-group, placebo-controlled phase 3 trial. Lancet Respir Med. 2021 Dec;9(12):1407-1418. doi: 10.1016/S2213-2600(21)00331-3. Epub 2021 Sep 1. Erratum in: Lancet Respir Med. 2021 Oct;9(10):e102. PMID: 34480861; PMCID: PMC8409066."}}],"schema":"https://github.com/citation-style-language/schema/raw/master/csl-citation.json"} </w:instrText>
      </w:r>
      <w:r w:rsidRPr="006D54B4">
        <w:rPr>
          <w:color w:val="000000"/>
        </w:rPr>
        <w:fldChar w:fldCharType="separate"/>
      </w:r>
      <w:r w:rsidRPr="006D54B4">
        <w:t>[11]</w:t>
      </w:r>
      <w:r w:rsidRPr="006D54B4">
        <w:rPr>
          <w:color w:val="000000"/>
        </w:rPr>
        <w:fldChar w:fldCharType="end"/>
      </w:r>
      <w:r>
        <w:rPr>
          <w:color w:val="000000"/>
        </w:rPr>
        <w:t>.</w:t>
      </w:r>
    </w:p>
    <w:p w14:paraId="0A63ABBE" w14:textId="77777777" w:rsidR="00BE0BE9" w:rsidRDefault="00BE0BE9" w:rsidP="00BE0BE9">
      <w:pPr>
        <w:spacing w:after="0" w:line="240" w:lineRule="auto"/>
        <w:ind w:firstLine="709"/>
        <w:rPr>
          <w:color w:val="000000"/>
          <w:highlight w:val="yellow"/>
        </w:rPr>
      </w:pPr>
    </w:p>
    <w:p w14:paraId="66AF5C8D" w14:textId="4FBCF849" w:rsidR="00C34E4A" w:rsidRDefault="007D730B" w:rsidP="00AB1FF1">
      <w:pPr>
        <w:pStyle w:val="4"/>
        <w:spacing w:before="0" w:after="240"/>
        <w:rPr>
          <w:b w:val="0"/>
          <w:lang w:eastAsia="ru-RU"/>
        </w:rPr>
      </w:pPr>
      <w:bookmarkStart w:id="189" w:name="_Toc120288181"/>
      <w:r>
        <w:rPr>
          <w:color w:val="000000" w:themeColor="text1"/>
          <w:szCs w:val="24"/>
        </w:rPr>
        <w:t>4.3.2.5</w:t>
      </w:r>
      <w:r w:rsidR="00C34E4A" w:rsidRPr="008C2014">
        <w:rPr>
          <w:color w:val="000000" w:themeColor="text1"/>
          <w:szCs w:val="24"/>
        </w:rPr>
        <w:t>. Степень воздействия на пациентов</w:t>
      </w:r>
      <w:bookmarkEnd w:id="184"/>
      <w:bookmarkEnd w:id="189"/>
    </w:p>
    <w:p w14:paraId="707E7479" w14:textId="77777777" w:rsidR="00C34E4A" w:rsidRDefault="00C34E4A">
      <w:pPr>
        <w:spacing w:after="0" w:line="240" w:lineRule="auto"/>
        <w:ind w:firstLine="709"/>
      </w:pPr>
      <w:r>
        <w:t xml:space="preserve">В общей сложности 3464 пациента получали барицитиниб в исследованиях РА, что составляет 4214,1 </w:t>
      </w:r>
      <w:r w:rsidRPr="00973A5A">
        <w:t>пациенто-лет воздействия;</w:t>
      </w:r>
      <w:r>
        <w:t xml:space="preserve"> 2166 пациентов (62,5%) подвергались воздействию в течение ≥52 недель, а 467 пациентов (13,5%) подвергались воздействию в течение ≥104 недель </w:t>
      </w:r>
      <w:r>
        <w:fldChar w:fldCharType="begin"/>
      </w:r>
      <w:r>
        <w:instrText xml:space="preserve"> ADDIN ZOTERO_ITEM CSL_CITATION {"citationID":"TwWLwOG7","properties":{"formattedCitation":"[1]","plainCitation":"[1]","noteIndex":0},"citationItems":[{"id":3826,"uris":["http://zotero.org/groups/4514912/items/UB7ESC4C"],"itemData":{"id":3826,"type":"document","title":"Assessment report. Olumiant International non-proprietary name: baricitinib. Procedure No. EMEA/H/C/004085/0000. 2016"}}],"schema":"https://github.com/citation-style-language/schema/raw/master/csl-citation.json"} </w:instrText>
      </w:r>
      <w:r>
        <w:fldChar w:fldCharType="separate"/>
      </w:r>
      <w:r w:rsidRPr="006D54B4">
        <w:t>[1]</w:t>
      </w:r>
      <w:r>
        <w:fldChar w:fldCharType="end"/>
      </w:r>
      <w:r>
        <w:t>.</w:t>
      </w:r>
    </w:p>
    <w:p w14:paraId="3E472B56" w14:textId="77777777" w:rsidR="00C34E4A" w:rsidRDefault="00C34E4A">
      <w:pPr>
        <w:tabs>
          <w:tab w:val="left" w:pos="2730"/>
        </w:tabs>
        <w:spacing w:after="0" w:line="240" w:lineRule="auto"/>
        <w:ind w:firstLine="709"/>
      </w:pPr>
      <w:r>
        <w:t>По состоянию на дату окончания сбора данных 31 марта 2021 г. база данных по безопасности ОА включала 1244 пациента, принимавших барицитиниб в любой дозе. Общая экспозиция составила 1362 пациенто-года. База данных включала 845 (68%) пациентов с кумулятивным приемом барицитиниба в любой дозе не менее 52 недель и 516 (55%) пациентов, принимавших барицитиниб в дозе 4 мг, завершивших курс лечения не менее 52 недель.  В общей сложности 28 пациентов получали барицитиниб в дозе 1 мг во время исследования JAHO</w:t>
      </w:r>
      <w:r w:rsidRPr="004F5F4B">
        <w:t xml:space="preserve"> </w:t>
      </w:r>
      <w:r>
        <w:t>(</w:t>
      </w:r>
      <w:r>
        <w:rPr>
          <w:lang w:val="en-US"/>
        </w:rPr>
        <w:t>II</w:t>
      </w:r>
      <w:r>
        <w:t xml:space="preserve"> фаза). В общей сложности 564 пациента получали барицитиниб в дозе 2 мг в течение 488,9 ч/л, а 938 пациентов получали барицитиниб в дозе 4 мг в течение 858,9 ч/л. Пациенты с 52-недельным воздействием (не менее 358 дней): 317 пациентов (барицитиниб 2 мг) и 516 пациентов (барицитиниб 4 мг). В анализе безопасности при приеме в течение 36-недель изучали данные 371 пациент, получавшего плацебо, 365 пациентов, получавших барицитиниб в дозе 2 мг, и 540 пациентов, получавших барицитиниб в дозе 4 мг. Около 90% во всех трех группах лечения подвергались воздействию в течение не менее 36 недель и около 87% подвергались воздействию барицитиниба в течение не менее 52 недель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4B5652F1" w14:textId="77777777" w:rsidR="00C34E4A" w:rsidRDefault="00C34E4A">
      <w:pPr>
        <w:spacing w:after="0" w:line="240" w:lineRule="auto"/>
        <w:ind w:firstLine="709"/>
      </w:pPr>
      <w:r>
        <w:t>При оценке безопасности применения барицитиниба у пациентов с АД бы</w:t>
      </w:r>
      <w:r w:rsidRPr="00485970">
        <w:t>ли собраны данные о 2531 пациенте, получавшем барицитиниб в течение 2247 пациенто-лет (средняя продолжительность 310 дней)</w:t>
      </w:r>
      <w: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485970">
        <w:t>.</w:t>
      </w:r>
    </w:p>
    <w:p w14:paraId="49B8B314" w14:textId="77777777" w:rsidR="00C34E4A" w:rsidRDefault="00C34E4A">
      <w:pPr>
        <w:spacing w:after="0" w:line="240" w:lineRule="auto"/>
        <w:ind w:firstLine="709"/>
        <w:contextualSpacing/>
      </w:pPr>
      <w:r>
        <w:t xml:space="preserve">В ходе изучения эффективности барицитиниба в отношении </w:t>
      </w:r>
      <w:r>
        <w:rPr>
          <w:lang w:val="en-US"/>
        </w:rPr>
        <w:t>COVID</w:t>
      </w:r>
      <w:r w:rsidRPr="00074A7A">
        <w:t>-19</w:t>
      </w:r>
      <w:r>
        <w:t xml:space="preserve"> в исследование включили 1033 пациента, 516 из которых получали барицитиниб + ремдесивир. В исследовании </w:t>
      </w:r>
      <w:r w:rsidRPr="00735D21">
        <w:t xml:space="preserve">COV-BARRIER </w:t>
      </w:r>
      <w:r>
        <w:t xml:space="preserve">для оценки эффективности монотерапии </w:t>
      </w:r>
      <w:r>
        <w:lastRenderedPageBreak/>
        <w:t xml:space="preserve">барицитинибом включили 1525 пациентов, из которых 764 получали барицитиниб + ремдесевир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 xml:space="preserve">. </w:t>
      </w:r>
    </w:p>
    <w:p w14:paraId="4DBAE3B3" w14:textId="77777777" w:rsidR="00C34E4A" w:rsidRDefault="00C34E4A">
      <w:pPr>
        <w:spacing w:after="0" w:line="240" w:lineRule="auto"/>
        <w:contextualSpacing/>
        <w:rPr>
          <w:iCs/>
        </w:rPr>
      </w:pPr>
    </w:p>
    <w:p w14:paraId="15BE3747" w14:textId="231D3EFB" w:rsidR="00C34E4A" w:rsidRPr="00CC6AB9" w:rsidRDefault="00C34E4A" w:rsidP="00AB1FF1">
      <w:pPr>
        <w:pStyle w:val="4"/>
        <w:spacing w:before="0" w:after="240"/>
        <w:contextualSpacing/>
        <w:rPr>
          <w:color w:val="000000" w:themeColor="text1"/>
          <w:szCs w:val="24"/>
        </w:rPr>
      </w:pPr>
      <w:bookmarkStart w:id="190" w:name="_Toc120288182"/>
      <w:r w:rsidRPr="008C2014">
        <w:rPr>
          <w:color w:val="000000" w:themeColor="text1"/>
          <w:szCs w:val="24"/>
        </w:rPr>
        <w:t>4.3.2.</w:t>
      </w:r>
      <w:r w:rsidR="007D730B">
        <w:rPr>
          <w:color w:val="000000" w:themeColor="text1"/>
          <w:szCs w:val="24"/>
        </w:rPr>
        <w:t>6</w:t>
      </w:r>
      <w:r w:rsidRPr="008C2014">
        <w:rPr>
          <w:color w:val="000000" w:themeColor="text1"/>
          <w:szCs w:val="24"/>
        </w:rPr>
        <w:t xml:space="preserve">. </w:t>
      </w:r>
      <w:r>
        <w:rPr>
          <w:color w:val="000000" w:themeColor="text1"/>
          <w:szCs w:val="24"/>
        </w:rPr>
        <w:t>О</w:t>
      </w:r>
      <w:r w:rsidRPr="00CC6AB9">
        <w:rPr>
          <w:color w:val="000000" w:themeColor="text1"/>
          <w:szCs w:val="24"/>
        </w:rPr>
        <w:t>бъединенные данные</w:t>
      </w:r>
      <w:r>
        <w:rPr>
          <w:color w:val="000000" w:themeColor="text1"/>
          <w:szCs w:val="24"/>
        </w:rPr>
        <w:t xml:space="preserve"> по безопасности</w:t>
      </w:r>
      <w:bookmarkEnd w:id="190"/>
    </w:p>
    <w:p w14:paraId="3D5B4BD3" w14:textId="77777777" w:rsidR="00C34E4A" w:rsidRPr="00CC6AB9" w:rsidRDefault="00C34E4A">
      <w:pPr>
        <w:tabs>
          <w:tab w:val="left" w:pos="2730"/>
        </w:tabs>
        <w:spacing w:after="0" w:line="240" w:lineRule="auto"/>
        <w:ind w:firstLine="709"/>
        <w:contextualSpacing/>
      </w:pPr>
      <w:r w:rsidRPr="00CC6AB9">
        <w:t>В объединенных данных клинических исследований РА, АД, ОА большинство инфекций были легкой или средней степени тяжести. В исследованиях, которые включали обе дозы, инфекции были зарегистрированы у 31,0%, 25,7% и 26,7% пациентов в группах 4 мг, 2 мг и плацебо соответственно. В клинических исследованиях РА комбинация с МТХ приводила к увеличению частоты возникновения инфекций по сравнению с монотерапией барицитинибом. Часто возникновения опоясывающего герпеса характеризовалась как «часто» при РА, «очень редко» при АД и «редко» при ОА. В клинических исследования АД при лечении барицитинибом было меньше кожных инфекций, требующих лечения антибиотиками, чем при применении плацебо</w:t>
      </w:r>
      <w: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 xml:space="preserve"> </w:t>
      </w:r>
      <w:r w:rsidRPr="00CC6AB9">
        <w:t>.</w:t>
      </w:r>
    </w:p>
    <w:p w14:paraId="7278BDDC" w14:textId="77777777" w:rsidR="00C34E4A" w:rsidRPr="00CC6AB9" w:rsidRDefault="00C34E4A">
      <w:pPr>
        <w:tabs>
          <w:tab w:val="left" w:pos="2730"/>
        </w:tabs>
        <w:spacing w:after="0" w:line="240" w:lineRule="auto"/>
        <w:ind w:firstLine="709"/>
      </w:pPr>
      <w:r w:rsidRPr="00CC6AB9">
        <w:t xml:space="preserve">Частота серьезных инфекций при применении барицитиниба была аналогична таковой при применении плацебо. Заболеваемость серьезными инфекциями оставалась стабильной при длительном воздействии. Общая частота развития серьезных инфекций в клинических </w:t>
      </w:r>
      <w:r>
        <w:t>и</w:t>
      </w:r>
      <w:r w:rsidRPr="00CC6AB9">
        <w:t>сследованиях составила 3,2 на 100 пациенто-лет при РА, 2,1 при АД и 0,8 при ОА</w:t>
      </w:r>
      <w: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CC6AB9">
        <w:t>.</w:t>
      </w:r>
    </w:p>
    <w:p w14:paraId="1D188374" w14:textId="72F68E03" w:rsidR="00C34E4A" w:rsidRPr="00CC6AB9" w:rsidRDefault="00714857">
      <w:pPr>
        <w:spacing w:after="0" w:line="240" w:lineRule="auto"/>
        <w:ind w:firstLine="709"/>
      </w:pPr>
      <w:r>
        <w:t>Нежелательные явления, вызывающие</w:t>
      </w:r>
      <w:r w:rsidR="00C34E4A" w:rsidRPr="00CC6AB9">
        <w:t xml:space="preserve"> особый интерес, были выделены на основе установленного профиля безопасности при показаниях для барицитиниба при РА и АД в исследованиях </w:t>
      </w:r>
      <w:r w:rsidR="00C34E4A" w:rsidRPr="00CC6AB9">
        <w:rPr>
          <w:lang w:val="en-US"/>
        </w:rPr>
        <w:t>III</w:t>
      </w:r>
      <w:r w:rsidR="00C34E4A" w:rsidRPr="00CC6AB9">
        <w:t xml:space="preserve"> фазы, данных клинического исследования </w:t>
      </w:r>
      <w:r w:rsidR="00C34E4A" w:rsidRPr="00CC6AB9">
        <w:rPr>
          <w:lang w:val="en-US"/>
        </w:rPr>
        <w:t>II</w:t>
      </w:r>
      <w:r w:rsidR="00C34E4A" w:rsidRPr="00CC6AB9">
        <w:t xml:space="preserve"> фазы барицитиниба при ОА, механизме действия барицитиниба и информации из литературы</w:t>
      </w:r>
      <w:r w:rsidR="00C34E4A">
        <w:t xml:space="preserve"> </w:t>
      </w:r>
      <w:r w:rsidR="00C34E4A">
        <w:fldChar w:fldCharType="begin"/>
      </w:r>
      <w:r w:rsidR="00C34E4A">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00C34E4A">
        <w:fldChar w:fldCharType="separate"/>
      </w:r>
      <w:r w:rsidR="00C34E4A" w:rsidRPr="006D54B4">
        <w:t>[2]</w:t>
      </w:r>
      <w:r w:rsidR="00C34E4A">
        <w:fldChar w:fldCharType="end"/>
      </w:r>
      <w:r w:rsidR="00C34E4A" w:rsidRPr="00CC6AB9">
        <w:t>.</w:t>
      </w:r>
    </w:p>
    <w:p w14:paraId="5077CD96" w14:textId="32B0707D" w:rsidR="00C34E4A" w:rsidRPr="00CC6AB9" w:rsidRDefault="00714857">
      <w:pPr>
        <w:spacing w:after="0" w:line="240" w:lineRule="auto"/>
        <w:ind w:firstLine="709"/>
      </w:pPr>
      <w:r>
        <w:t>Нежелательные явления, вызывающие</w:t>
      </w:r>
      <w:r w:rsidR="00C34E4A" w:rsidRPr="00CC6AB9">
        <w:t xml:space="preserve"> особый интерес, включают: инфекции, изменения гематологических параметров, повышение липидов, MACE, венозный и артериальный тробмоэмболизм, повышение креатинфосфокиназы и мышечные симптомы, НМРК и злокачественные новообразования, отличные от НМРК, аномальные значения активности печеночных трансаминаз, влияние или нарушение функции почек, перфорация ЖКТ, депрессия и суицидальные наклонности, аллергические реакции или гиперчувствительность и реакции фоточувствительности</w:t>
      </w:r>
      <w:r w:rsidR="00C34E4A">
        <w:t xml:space="preserve"> </w:t>
      </w:r>
      <w:r w:rsidR="00C34E4A">
        <w:fldChar w:fldCharType="begin"/>
      </w:r>
      <w:r w:rsidR="00C34E4A">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00C34E4A">
        <w:fldChar w:fldCharType="separate"/>
      </w:r>
      <w:r w:rsidR="00C34E4A" w:rsidRPr="006D54B4">
        <w:t>[2]</w:t>
      </w:r>
      <w:r w:rsidR="00C34E4A">
        <w:fldChar w:fldCharType="end"/>
      </w:r>
      <w:r w:rsidR="00C34E4A" w:rsidRPr="00CC6AB9">
        <w:t>.</w:t>
      </w:r>
    </w:p>
    <w:p w14:paraId="1F16C22B" w14:textId="77777777" w:rsidR="00C34E4A" w:rsidRPr="00CC6AB9" w:rsidRDefault="00C34E4A">
      <w:pPr>
        <w:spacing w:after="0" w:line="240" w:lineRule="auto"/>
        <w:ind w:firstLine="709"/>
      </w:pPr>
      <w:r w:rsidRPr="00CC6AB9">
        <w:t>В исследованиях по оценке эффективности и безопасности при АД и РА, когда восстановление волосяного фолликула не играет роли, частота фолликулита была одинаковой у пациентов, получавших барицитиниб и плацебо, и не было отмечено дозозависимой реакции</w:t>
      </w:r>
      <w: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CC6AB9">
        <w:t>.</w:t>
      </w:r>
    </w:p>
    <w:p w14:paraId="4723BAD2" w14:textId="12E70625" w:rsidR="00C34E4A" w:rsidRPr="00CC6AB9" w:rsidRDefault="00C34E4A">
      <w:pPr>
        <w:spacing w:after="0" w:line="240" w:lineRule="auto"/>
        <w:ind w:firstLine="709"/>
      </w:pPr>
      <w:r w:rsidRPr="00CC6AB9">
        <w:t>В течение 36-недельного плацебо-контролируемого периода исследований JAHO и JAIR о вульвовагинальном кандидозе и микотических инфекциях чаще сообщалось при применении барицитиниба в дозе 2 мг и барицитиниба в дозе 4 мг по сравнению с плацебо: 0,5% (n=1) против 3,0% (n=7) против 3,0% (n=7). Все пациенты, кроме 1, выздоровели, ни один пациент не прерывал или не прекращал прием исследуемого препарата из-за НЯ. При рассмотрении данных по популяциям больных АД и РА ни у одной пациентки с АД не было зарегистрировано вульвовагинального кандидоза в течение 16-недельного плацебо-контролируемого периода в группах барицитиниба по сравнению с 1 пациенткой в группе плацебо. В течение 16-недельного плацебо-контролируемого периода при РА частота вульвовагинального кандидоза была выше при приеме барицитиниба (2 мг: 0,8%, 4 мг: 0,5%) по сравнению с плацебо (0%), но в целом была низкой. Частота вульвовагинальной грибковой инфекции не была выше при приеме барицитиниба (2 мг: 0,3%, 4 мг: 0,1%) по сравнению с плацебо (0,5%)</w:t>
      </w:r>
      <w: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CC6AB9">
        <w:t>.</w:t>
      </w:r>
    </w:p>
    <w:p w14:paraId="40C2E3E7" w14:textId="77777777" w:rsidR="00C34E4A" w:rsidRPr="00CC6AB9" w:rsidRDefault="00C34E4A">
      <w:pPr>
        <w:spacing w:after="0" w:line="240" w:lineRule="auto"/>
        <w:rPr>
          <w:rStyle w:val="tlid-translation"/>
          <w:b/>
        </w:rPr>
      </w:pPr>
    </w:p>
    <w:p w14:paraId="0FADF80D" w14:textId="77777777" w:rsidR="00C34E4A" w:rsidRPr="00BE0BE9" w:rsidRDefault="00C34E4A" w:rsidP="00AB1FF1">
      <w:pPr>
        <w:spacing w:after="0" w:line="240" w:lineRule="auto"/>
        <w:rPr>
          <w:b/>
          <w:i/>
          <w:iCs/>
          <w:color w:val="000000"/>
        </w:rPr>
      </w:pPr>
      <w:r w:rsidRPr="00BE0BE9">
        <w:rPr>
          <w:b/>
          <w:i/>
          <w:iCs/>
          <w:color w:val="000000"/>
        </w:rPr>
        <w:lastRenderedPageBreak/>
        <w:t>Основные неблагоприятные сердечно-сосудистые события (MACE)</w:t>
      </w:r>
    </w:p>
    <w:p w14:paraId="189A9A09" w14:textId="77777777" w:rsidR="0029110D" w:rsidRDefault="0029110D">
      <w:pPr>
        <w:spacing w:after="0" w:line="240" w:lineRule="auto"/>
        <w:ind w:firstLine="709"/>
        <w:rPr>
          <w:color w:val="000000"/>
        </w:rPr>
      </w:pPr>
    </w:p>
    <w:p w14:paraId="2011CA1D" w14:textId="2B272A9D" w:rsidR="00C34E4A" w:rsidRPr="00CC6AB9" w:rsidRDefault="00C34E4A">
      <w:pPr>
        <w:spacing w:after="0" w:line="240" w:lineRule="auto"/>
        <w:ind w:firstLine="709"/>
        <w:rPr>
          <w:color w:val="000000"/>
        </w:rPr>
      </w:pPr>
      <w:r w:rsidRPr="00CC6AB9">
        <w:rPr>
          <w:color w:val="000000"/>
        </w:rPr>
        <w:t>К МАСЕ относились: сердечно-сосудистая смерть, инфаркт миокарда и инсульт, другие сердечно-сосудистые события (транзиторная ишемическая атака, госпитализация по поводу нестабильной стенокардии, госпитализация по поводу сердечной недостаточности, серьезная аритмия, необходимость реанимационных меропри</w:t>
      </w:r>
      <w:r>
        <w:rPr>
          <w:color w:val="000000"/>
        </w:rPr>
        <w:t>я</w:t>
      </w:r>
      <w:r w:rsidRPr="00CC6AB9">
        <w:rPr>
          <w:color w:val="000000"/>
        </w:rPr>
        <w:t>тий, внезапная смерть, кардиогенный шок и необходимость коронарной реваскуляризации), венозные и артериальные тромбоэмболические осложнения</w:t>
      </w:r>
      <w:r>
        <w:rPr>
          <w:color w:val="000000"/>
        </w:rP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CC6AB9">
        <w:rPr>
          <w:color w:val="000000"/>
        </w:rPr>
        <w:t>.</w:t>
      </w:r>
    </w:p>
    <w:p w14:paraId="658387A2" w14:textId="77777777" w:rsidR="00C34E4A" w:rsidRPr="00CC6AB9" w:rsidRDefault="00C34E4A">
      <w:pPr>
        <w:spacing w:after="0" w:line="240" w:lineRule="auto"/>
        <w:ind w:firstLine="709"/>
        <w:rPr>
          <w:color w:val="000000"/>
        </w:rPr>
      </w:pPr>
      <w:r w:rsidRPr="00CC6AB9">
        <w:rPr>
          <w:color w:val="000000"/>
        </w:rPr>
        <w:t>В плацебо-контролируемом периоде в группе барицитиниба 2 мг произошел 1 случай MACE</w:t>
      </w:r>
      <w:r>
        <w:rPr>
          <w:color w:val="000000"/>
        </w:rP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CC6AB9">
        <w:rPr>
          <w:color w:val="000000"/>
        </w:rPr>
        <w:t>.</w:t>
      </w:r>
    </w:p>
    <w:p w14:paraId="01F74E89" w14:textId="77777777" w:rsidR="00C34E4A" w:rsidRPr="00CC6AB9" w:rsidRDefault="00C34E4A">
      <w:pPr>
        <w:spacing w:after="0" w:line="240" w:lineRule="auto"/>
        <w:ind w:firstLine="709"/>
        <w:rPr>
          <w:color w:val="000000"/>
        </w:rPr>
      </w:pPr>
      <w:r w:rsidRPr="00CC6AB9">
        <w:rPr>
          <w:color w:val="000000"/>
        </w:rPr>
        <w:t>• Сообщение об остром инфаркте миокарда примерно через 9 месяцев после начала лечения барицитинибом в дозе 2 мг. У пациента были множественные факторы риска, такие как текущее употребление табака, ожирение (ИМТ 34 кг/м</w:t>
      </w:r>
      <w:r w:rsidRPr="00CC6AB9">
        <w:rPr>
          <w:color w:val="000000"/>
          <w:vertAlign w:val="superscript"/>
        </w:rPr>
        <w:t>2</w:t>
      </w:r>
      <w:r w:rsidRPr="00CC6AB9">
        <w:rPr>
          <w:color w:val="000000"/>
        </w:rPr>
        <w:t xml:space="preserve"> на исходном уровне), гиперхолестеринемия, мерцательная аритмия и артериальная гипертензия (терапия лизиноприлом). На момент начала исследования у пациента был низкий уровень холестерина ЛПВП и высокий уровень триглицеридов. Прием препарата был прерван на 4 дня, пока пациенту выполнялась процедура реваскуляризации коронарных артерий (зарегистрировано как другое сердечно-сосудистое событие), затем прием препарата возобновили. Пациент выздоровел. </w:t>
      </w:r>
    </w:p>
    <w:p w14:paraId="078C9AD7" w14:textId="77777777" w:rsidR="00C34E4A" w:rsidRPr="00CC6AB9" w:rsidRDefault="00C34E4A">
      <w:pPr>
        <w:spacing w:after="0" w:line="240" w:lineRule="auto"/>
        <w:ind w:firstLine="709"/>
        <w:rPr>
          <w:color w:val="000000"/>
        </w:rPr>
      </w:pPr>
      <w:r w:rsidRPr="00CC6AB9">
        <w:rPr>
          <w:color w:val="000000"/>
        </w:rPr>
        <w:t>Было 2 других сердечно-сосудистых события, оба серьезные аритмии.</w:t>
      </w:r>
    </w:p>
    <w:p w14:paraId="381CDF02" w14:textId="00AFCD38" w:rsidR="00C34E4A" w:rsidRPr="00CC6AB9" w:rsidRDefault="00C34E4A">
      <w:pPr>
        <w:spacing w:after="0" w:line="240" w:lineRule="auto"/>
        <w:ind w:firstLine="709"/>
        <w:rPr>
          <w:color w:val="000000"/>
        </w:rPr>
      </w:pPr>
      <w:r w:rsidRPr="00CC6AB9">
        <w:rPr>
          <w:color w:val="000000"/>
        </w:rPr>
        <w:t>• Сообщалось об одном случае желудочковой тахикардии у пациента с ожирением (ИМТ 32 кг/м</w:t>
      </w:r>
      <w:r w:rsidRPr="00CC6AB9">
        <w:rPr>
          <w:color w:val="000000"/>
          <w:vertAlign w:val="superscript"/>
        </w:rPr>
        <w:t>2</w:t>
      </w:r>
      <w:r w:rsidRPr="00CC6AB9">
        <w:rPr>
          <w:color w:val="000000"/>
        </w:rPr>
        <w:t xml:space="preserve"> на исходном уровне) через 15 недель после начала приема барицитиниба, почечная недостаточность (СКФ &lt;60 мл/мин/1,73 м</w:t>
      </w:r>
      <w:r w:rsidRPr="00CC6AB9">
        <w:rPr>
          <w:color w:val="000000"/>
          <w:vertAlign w:val="superscript"/>
        </w:rPr>
        <w:t>2</w:t>
      </w:r>
      <w:r w:rsidRPr="00CC6AB9">
        <w:rPr>
          <w:color w:val="000000"/>
        </w:rPr>
        <w:t xml:space="preserve">). У пациента в анамнезе: гиперлипидемия и тахикардия, сопутствующий прием фексофенадина. Пациент сообщил о НЯ в виде синусовой тахикардии и учащенного сердцебиения через 9 недель исследования, которые </w:t>
      </w:r>
      <w:r w:rsidR="00714857" w:rsidRPr="00CC6AB9">
        <w:rPr>
          <w:color w:val="000000"/>
        </w:rPr>
        <w:t>продолжал</w:t>
      </w:r>
      <w:r w:rsidR="00714857">
        <w:rPr>
          <w:color w:val="000000"/>
        </w:rPr>
        <w:t>а</w:t>
      </w:r>
      <w:r w:rsidR="00714857" w:rsidRPr="00CC6AB9">
        <w:rPr>
          <w:color w:val="000000"/>
        </w:rPr>
        <w:t xml:space="preserve">сь </w:t>
      </w:r>
      <w:r w:rsidRPr="00CC6AB9">
        <w:rPr>
          <w:color w:val="000000"/>
        </w:rPr>
        <w:t>во время СНЯ в виде желудочковой тахикардии. Пациент прекратил прием исследуемого препарата из-за СНЯ, а затем прекратил участие в исследовании. Пациент выздоровел.</w:t>
      </w:r>
    </w:p>
    <w:p w14:paraId="46A42356" w14:textId="77777777" w:rsidR="00C34E4A" w:rsidRDefault="00C34E4A">
      <w:pPr>
        <w:spacing w:after="0" w:line="240" w:lineRule="auto"/>
        <w:ind w:firstLine="709"/>
        <w:rPr>
          <w:color w:val="000000"/>
        </w:rPr>
      </w:pPr>
      <w:r w:rsidRPr="00CC6AB9">
        <w:rPr>
          <w:color w:val="000000"/>
        </w:rPr>
        <w:t xml:space="preserve">• Сообщалось об одном случае желудочковой экстрасистолии у пациента с избыточной массой тела через 18 недель после начала лечения барицитинибом в дозе 4 мг. В анамнезе: заболевания сердца отсутствуют. О СНЯ сообщили через 1 неделю после прекращения приема барицитиниба. </w:t>
      </w:r>
    </w:p>
    <w:p w14:paraId="21EC8012" w14:textId="77777777" w:rsidR="00C34E4A" w:rsidRPr="00CC6AB9" w:rsidRDefault="00C34E4A">
      <w:pPr>
        <w:spacing w:after="0" w:line="240" w:lineRule="auto"/>
        <w:ind w:firstLine="709"/>
        <w:rPr>
          <w:color w:val="000000"/>
        </w:rPr>
      </w:pPr>
    </w:p>
    <w:p w14:paraId="08FA069D" w14:textId="77777777" w:rsidR="00C34E4A" w:rsidRPr="00BE0BE9" w:rsidRDefault="00C34E4A" w:rsidP="00AB1FF1">
      <w:pPr>
        <w:spacing w:after="0" w:line="240" w:lineRule="auto"/>
        <w:rPr>
          <w:b/>
          <w:i/>
          <w:iCs/>
          <w:color w:val="000000"/>
        </w:rPr>
      </w:pPr>
      <w:r w:rsidRPr="00BE0BE9">
        <w:rPr>
          <w:b/>
          <w:i/>
          <w:iCs/>
          <w:color w:val="000000"/>
        </w:rPr>
        <w:t xml:space="preserve">Лабораторные параметры </w:t>
      </w:r>
    </w:p>
    <w:p w14:paraId="775CC362" w14:textId="77777777" w:rsidR="0029110D" w:rsidRDefault="0029110D">
      <w:pPr>
        <w:spacing w:after="0" w:line="240" w:lineRule="auto"/>
        <w:ind w:firstLine="709"/>
        <w:rPr>
          <w:color w:val="000000"/>
        </w:rPr>
      </w:pPr>
    </w:p>
    <w:p w14:paraId="7ADC60DD" w14:textId="2E686E50" w:rsidR="00C34E4A" w:rsidRPr="00CC6AB9" w:rsidRDefault="00C34E4A">
      <w:pPr>
        <w:spacing w:after="0" w:line="240" w:lineRule="auto"/>
        <w:ind w:firstLine="709"/>
        <w:rPr>
          <w:color w:val="000000"/>
        </w:rPr>
      </w:pPr>
      <w:r w:rsidRPr="00CC6AB9">
        <w:rPr>
          <w:color w:val="000000"/>
        </w:rPr>
        <w:t>Повышение АЛТ и АСТ в 3 и более раз по сравнению с ВГН признается нежелательной реакцией на барицитиниб; при этом гепатотоксичность является важным потенциальным риском для барицитиниба</w:t>
      </w:r>
      <w:r>
        <w:rPr>
          <w:color w:val="000000"/>
        </w:rP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CC6AB9">
        <w:rPr>
          <w:color w:val="000000"/>
        </w:rPr>
        <w:t>.</w:t>
      </w:r>
    </w:p>
    <w:p w14:paraId="737D0873" w14:textId="77777777" w:rsidR="00C34E4A" w:rsidRDefault="00C34E4A">
      <w:pPr>
        <w:spacing w:after="0" w:line="240" w:lineRule="auto"/>
        <w:ind w:firstLine="709"/>
        <w:rPr>
          <w:color w:val="000000"/>
        </w:rPr>
      </w:pPr>
    </w:p>
    <w:p w14:paraId="1EBA21E2" w14:textId="77777777" w:rsidR="00C34E4A" w:rsidRPr="00BE0BE9" w:rsidRDefault="00C34E4A" w:rsidP="00AB1FF1">
      <w:pPr>
        <w:spacing w:after="0" w:line="240" w:lineRule="auto"/>
        <w:rPr>
          <w:b/>
          <w:i/>
          <w:iCs/>
          <w:color w:val="000000"/>
        </w:rPr>
      </w:pPr>
      <w:r w:rsidRPr="00BE0BE9">
        <w:rPr>
          <w:b/>
          <w:i/>
          <w:iCs/>
          <w:color w:val="000000"/>
        </w:rPr>
        <w:t>Беременность</w:t>
      </w:r>
    </w:p>
    <w:p w14:paraId="1FB41AE9" w14:textId="77777777" w:rsidR="0029110D" w:rsidRDefault="0029110D">
      <w:pPr>
        <w:spacing w:after="0" w:line="240" w:lineRule="auto"/>
        <w:ind w:firstLine="709"/>
        <w:rPr>
          <w:color w:val="000000"/>
        </w:rPr>
      </w:pPr>
    </w:p>
    <w:p w14:paraId="65B2A98D" w14:textId="047BE2B0" w:rsidR="00C34E4A" w:rsidRPr="00CC6AB9" w:rsidRDefault="00C34E4A">
      <w:pPr>
        <w:spacing w:after="0" w:line="240" w:lineRule="auto"/>
        <w:ind w:firstLine="709"/>
        <w:rPr>
          <w:color w:val="000000"/>
        </w:rPr>
      </w:pPr>
      <w:r w:rsidRPr="00CC6AB9">
        <w:rPr>
          <w:color w:val="000000"/>
        </w:rPr>
        <w:t>В утвержденных ОХЛП по РА и АД барицитиниб противопоказан при беременности.</w:t>
      </w:r>
    </w:p>
    <w:p w14:paraId="121F66E2" w14:textId="77777777" w:rsidR="00C34E4A" w:rsidRPr="00CC6AB9" w:rsidRDefault="00C34E4A">
      <w:pPr>
        <w:spacing w:after="0" w:line="240" w:lineRule="auto"/>
        <w:ind w:firstLine="709"/>
        <w:rPr>
          <w:color w:val="000000"/>
        </w:rPr>
      </w:pPr>
      <w:r w:rsidRPr="00CC6AB9">
        <w:rPr>
          <w:color w:val="000000"/>
        </w:rPr>
        <w:t>Беременность являлась критерием для окончательного прекращения приема исследуемого препарата во всех исследованиях барицитиниба.</w:t>
      </w:r>
    </w:p>
    <w:p w14:paraId="59BAABB7" w14:textId="65D9F251" w:rsidR="00C34E4A" w:rsidRDefault="00C34E4A">
      <w:pPr>
        <w:spacing w:after="0" w:line="240" w:lineRule="auto"/>
        <w:ind w:firstLine="709"/>
        <w:rPr>
          <w:color w:val="000000"/>
        </w:rPr>
      </w:pPr>
      <w:r w:rsidRPr="00CC6AB9">
        <w:rPr>
          <w:color w:val="000000"/>
        </w:rPr>
        <w:t>По состоянию на 13 февраля 2021 г. 56 женщин забеременели, и 11 беременностей были зарегистрированы у партнерш пациентов-мужчин, принимавших участие в клинических исследованиях барицитиниба (РА, АД, ОА)</w:t>
      </w:r>
      <w:r>
        <w:rPr>
          <w:color w:val="000000"/>
        </w:rP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CC6AB9">
        <w:rPr>
          <w:color w:val="000000"/>
        </w:rPr>
        <w:t>.</w:t>
      </w:r>
    </w:p>
    <w:p w14:paraId="75320635" w14:textId="77777777" w:rsidR="00BE0BE9" w:rsidRPr="00E532B4" w:rsidRDefault="00BE0BE9" w:rsidP="00BE0BE9">
      <w:pPr>
        <w:spacing w:after="0" w:line="240" w:lineRule="auto"/>
        <w:ind w:firstLine="709"/>
        <w:rPr>
          <w:rStyle w:val="tlid-translation"/>
          <w:color w:val="000000"/>
        </w:rPr>
      </w:pPr>
    </w:p>
    <w:p w14:paraId="695A6D7C" w14:textId="002CFBE9" w:rsidR="00C34E4A" w:rsidRDefault="00C34E4A" w:rsidP="00AB1FF1">
      <w:pPr>
        <w:pStyle w:val="4"/>
        <w:spacing w:before="0" w:after="240"/>
        <w:rPr>
          <w:color w:val="000000" w:themeColor="text1"/>
          <w:szCs w:val="24"/>
        </w:rPr>
      </w:pPr>
      <w:bookmarkStart w:id="191" w:name="_Toc120288183"/>
      <w:bookmarkStart w:id="192" w:name="_Toc52190606"/>
      <w:r w:rsidRPr="00B30F15">
        <w:rPr>
          <w:color w:val="000000" w:themeColor="text1"/>
          <w:szCs w:val="24"/>
        </w:rPr>
        <w:t>4.3.</w:t>
      </w:r>
      <w:r w:rsidR="007D730B">
        <w:rPr>
          <w:color w:val="000000" w:themeColor="text1"/>
          <w:szCs w:val="24"/>
        </w:rPr>
        <w:t>2.7</w:t>
      </w:r>
      <w:r w:rsidRPr="00B30F15">
        <w:rPr>
          <w:color w:val="000000" w:themeColor="text1"/>
          <w:szCs w:val="24"/>
        </w:rPr>
        <w:t>. Безопасность, связанная с лекарственными взаимодействиями и другими взаимодействиями</w:t>
      </w:r>
      <w:bookmarkEnd w:id="191"/>
    </w:p>
    <w:p w14:paraId="4D271E5D" w14:textId="77777777" w:rsidR="00C34E4A" w:rsidRDefault="00C34E4A">
      <w:pPr>
        <w:spacing w:after="0" w:line="240" w:lineRule="auto"/>
        <w:ind w:firstLine="708"/>
      </w:pPr>
      <w:r w:rsidRPr="0052493C">
        <w:t xml:space="preserve">Никаких дополнительных исследований </w:t>
      </w:r>
      <w:r>
        <w:t>лекарственных взаимодействий в ходе клинических исследований эффективности и безопасности барицитиниба у пациентов с ОА не проводили</w:t>
      </w:r>
      <w:r w:rsidRPr="0052493C">
        <w:t>. Барицитиниб не влияет на ферменты CYP P450 или ингибиторы субстрата CYP3A. Единственн</w:t>
      </w:r>
      <w:r>
        <w:t>ое</w:t>
      </w:r>
      <w:r w:rsidRPr="0052493C">
        <w:t xml:space="preserve"> известн</w:t>
      </w:r>
      <w:r>
        <w:t xml:space="preserve">ое клинически значимое взаимодействие </w:t>
      </w:r>
      <w:r w:rsidRPr="0052493C">
        <w:t>для барицитиниба</w:t>
      </w:r>
      <w:r>
        <w:t xml:space="preserve"> это </w:t>
      </w:r>
      <w:r w:rsidRPr="0052493C">
        <w:t>связ</w:t>
      </w:r>
      <w:r>
        <w:t xml:space="preserve">ь </w:t>
      </w:r>
      <w:r w:rsidRPr="0052493C">
        <w:t>с пробенецид</w:t>
      </w:r>
      <w:r>
        <w:t xml:space="preserve">ом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70C4BA56" w14:textId="77777777" w:rsidR="00C34E4A" w:rsidRPr="00E962D2" w:rsidRDefault="00C34E4A">
      <w:pPr>
        <w:spacing w:after="0" w:line="240" w:lineRule="auto"/>
        <w:ind w:firstLine="708"/>
      </w:pPr>
    </w:p>
    <w:p w14:paraId="462D6C4E" w14:textId="46E6B331" w:rsidR="00C34E4A" w:rsidRPr="00B30F15" w:rsidRDefault="00C34E4A" w:rsidP="00AB1FF1">
      <w:pPr>
        <w:pStyle w:val="4"/>
        <w:spacing w:before="0" w:after="240"/>
        <w:rPr>
          <w:color w:val="000000" w:themeColor="text1"/>
          <w:szCs w:val="24"/>
        </w:rPr>
      </w:pPr>
      <w:bookmarkStart w:id="193" w:name="_Toc120288184"/>
      <w:r w:rsidRPr="00B30F15">
        <w:rPr>
          <w:color w:val="000000" w:themeColor="text1"/>
          <w:szCs w:val="24"/>
        </w:rPr>
        <w:t>4.3.</w:t>
      </w:r>
      <w:r w:rsidR="007D730B">
        <w:rPr>
          <w:color w:val="000000" w:themeColor="text1"/>
          <w:szCs w:val="24"/>
        </w:rPr>
        <w:t>2.8</w:t>
      </w:r>
      <w:r w:rsidRPr="00B30F15">
        <w:rPr>
          <w:color w:val="000000" w:themeColor="text1"/>
          <w:szCs w:val="24"/>
        </w:rPr>
        <w:t>. Прерывание терапии в связи с нежелательными явлениями</w:t>
      </w:r>
      <w:bookmarkEnd w:id="192"/>
      <w:bookmarkEnd w:id="193"/>
    </w:p>
    <w:p w14:paraId="57A0B7F0" w14:textId="77777777" w:rsidR="00C34E4A" w:rsidRDefault="00C34E4A">
      <w:pPr>
        <w:tabs>
          <w:tab w:val="left" w:pos="2730"/>
        </w:tabs>
        <w:spacing w:after="0" w:line="240" w:lineRule="auto"/>
        <w:ind w:firstLine="709"/>
      </w:pPr>
      <w:r>
        <w:t xml:space="preserve">Доза 4 мг приводила к увеличению частоты возникновения СНЯ и временному прекращению лечения по сравнению с дозой 2 мг в исследованиях JADX и JADW у пациентов с РА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4BBD5697" w14:textId="409E68F3" w:rsidR="00C34E4A" w:rsidRDefault="00C34E4A">
      <w:pPr>
        <w:tabs>
          <w:tab w:val="left" w:pos="2730"/>
        </w:tabs>
        <w:spacing w:after="0" w:line="240" w:lineRule="auto"/>
        <w:ind w:firstLine="709"/>
      </w:pPr>
      <w:r>
        <w:t xml:space="preserve">По сравнению с активными препаратами сравнения монотерапия барицитинибом в целом переносилась так же, как и монотерапия МТХ у пациентов, ранее не получавших </w:t>
      </w:r>
      <w:r>
        <w:rPr>
          <w:rFonts w:eastAsia="Times New Roman"/>
          <w:iCs/>
          <w:lang w:eastAsia="ru-RU"/>
        </w:rPr>
        <w:t>БМАРП</w:t>
      </w:r>
      <w:r>
        <w:t>, за исключением более высокой частоты инфекций (43,3% против 38,1%) и опоясывающего герпеса (2,5% против 1,0%), не в пользу барицитиниб</w:t>
      </w:r>
      <w:r w:rsidR="00E070C6">
        <w:t>а</w:t>
      </w:r>
      <w:r>
        <w:t xml:space="preserve">. При этом комбинация барицитиниб+МТХ плохо переносилась пациентами, ранее не получавшими БМАРП, с высокой частотой СНЯ (16,3%), прекращением лечения (10,7%) или перерывами (20%) из-за НЯ, что было в 2 раза выше по сравнению с монотерапией. Барицитиниб в дозе 4 мг также хуже переносился, чем </w:t>
      </w:r>
      <w:r>
        <w:rPr>
          <w:lang w:val="en-US"/>
        </w:rPr>
        <w:t>ADA</w:t>
      </w:r>
      <w:r>
        <w:t xml:space="preserve"> (исследование JADV). Показатель выбывания составил 7,4% против 3,9% для барицитиниба и </w:t>
      </w:r>
      <w:r w:rsidRPr="00A52ED4">
        <w:t xml:space="preserve">ADA </w:t>
      </w:r>
      <w:r>
        <w:t xml:space="preserve">соответственно через 52 недели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t>.</w:t>
      </w:r>
    </w:p>
    <w:p w14:paraId="33765F83" w14:textId="17DDB909" w:rsidR="008934AA" w:rsidRDefault="00C34E4A">
      <w:pPr>
        <w:tabs>
          <w:tab w:val="left" w:pos="2730"/>
        </w:tabs>
        <w:spacing w:after="0" w:line="240" w:lineRule="auto"/>
        <w:ind w:firstLine="709"/>
        <w:contextualSpacing/>
      </w:pPr>
      <w:r w:rsidRPr="006E1535">
        <w:t xml:space="preserve">В ходе исследований по оценке эффективности барицитиниба у пациентов с ОА прекращение приема барицитиниба в ходе 3-недельногоплацебо контролируемого </w:t>
      </w:r>
      <w:r w:rsidR="000866A4" w:rsidRPr="006E1535">
        <w:t>периода</w:t>
      </w:r>
      <w:r w:rsidRPr="006E1535">
        <w:t xml:space="preserve"> из-за НЯ потребовалось у 8 (2.2%) пациентов, получавших 2 мг и 12 (2.2), получавших 4 мг. В расширенном анализе данных параметры составили 9 (2.5) и 19 (3.5) для 2 и 4 мг барицитиниба соответственно </w:t>
      </w:r>
      <w:r w:rsidRPr="006E1535">
        <w:fldChar w:fldCharType="begin"/>
      </w:r>
      <w:r w:rsidRPr="006E1535">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rsidRPr="006E1535">
        <w:fldChar w:fldCharType="separate"/>
      </w:r>
      <w:r w:rsidRPr="006E1535">
        <w:t>[2]</w:t>
      </w:r>
      <w:r w:rsidRPr="006E1535">
        <w:fldChar w:fldCharType="end"/>
      </w:r>
      <w:r w:rsidRPr="006E1535">
        <w:t>.</w:t>
      </w:r>
    </w:p>
    <w:p w14:paraId="6A904F26" w14:textId="77777777" w:rsidR="008934AA" w:rsidRDefault="008934AA">
      <w:pPr>
        <w:tabs>
          <w:tab w:val="left" w:pos="2730"/>
        </w:tabs>
        <w:spacing w:after="0" w:line="240" w:lineRule="auto"/>
        <w:ind w:firstLine="709"/>
        <w:contextualSpacing/>
      </w:pPr>
    </w:p>
    <w:p w14:paraId="2797BBF5" w14:textId="77777777" w:rsidR="00C34E4A" w:rsidRDefault="00C34E4A" w:rsidP="00AB1FF1">
      <w:pPr>
        <w:pStyle w:val="3"/>
        <w:spacing w:before="0"/>
        <w:contextualSpacing/>
        <w:rPr>
          <w:lang w:eastAsia="en-US"/>
        </w:rPr>
      </w:pPr>
      <w:bookmarkStart w:id="194" w:name="_Toc120288185"/>
      <w:r w:rsidRPr="00620389">
        <w:rPr>
          <w:lang w:eastAsia="en-US"/>
        </w:rPr>
        <w:t>4.</w:t>
      </w:r>
      <w:r>
        <w:rPr>
          <w:lang w:eastAsia="en-US"/>
        </w:rPr>
        <w:t>3.3. Пострегистрационный опыт применения</w:t>
      </w:r>
      <w:bookmarkEnd w:id="194"/>
    </w:p>
    <w:p w14:paraId="4C34D06B" w14:textId="77777777" w:rsidR="008934AA" w:rsidRDefault="008934AA">
      <w:pPr>
        <w:pStyle w:val="ab"/>
        <w:shd w:val="clear" w:color="auto" w:fill="FFFFFF"/>
        <w:spacing w:before="0" w:beforeAutospacing="0" w:after="0" w:afterAutospacing="0"/>
        <w:ind w:firstLine="708"/>
        <w:contextualSpacing/>
        <w:jc w:val="both"/>
        <w:rPr>
          <w:color w:val="000000"/>
        </w:rPr>
      </w:pPr>
    </w:p>
    <w:p w14:paraId="03125C55" w14:textId="77777777" w:rsidR="00C34E4A" w:rsidRDefault="00C34E4A">
      <w:pPr>
        <w:pStyle w:val="ab"/>
        <w:shd w:val="clear" w:color="auto" w:fill="FFFFFF"/>
        <w:spacing w:before="0" w:beforeAutospacing="0" w:after="0" w:afterAutospacing="0"/>
        <w:ind w:firstLine="708"/>
        <w:contextualSpacing/>
        <w:jc w:val="both"/>
        <w:rPr>
          <w:color w:val="000000"/>
        </w:rPr>
      </w:pPr>
      <w:r w:rsidRPr="008B7EDF">
        <w:rPr>
          <w:color w:val="000000"/>
        </w:rPr>
        <w:t xml:space="preserve">Наиболее частыми побочными реакциями при применении барицитиниба являются повышение уровня холестерина ЛПНП (26,0%), инфекции верхних дыхательных путей (16,9%), головная боль (5,2%), простой герпес (3,2%) и инфекции мочевыводящих путей (2,9%). Серьезная пневмония и тяжелый опоясывающий герпес редко встречались у пациентов с </w:t>
      </w:r>
      <w:r>
        <w:rPr>
          <w:color w:val="000000"/>
        </w:rPr>
        <w:t xml:space="preserve">РА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B7EDF">
        <w:rPr>
          <w:color w:val="000000"/>
        </w:rPr>
        <w:t>.</w:t>
      </w:r>
    </w:p>
    <w:p w14:paraId="726CD070" w14:textId="0848689F" w:rsidR="00C34E4A" w:rsidRDefault="00C34E4A">
      <w:pPr>
        <w:pStyle w:val="ab"/>
        <w:shd w:val="clear" w:color="auto" w:fill="FFFFFF"/>
        <w:spacing w:before="0" w:beforeAutospacing="0" w:after="0" w:afterAutospacing="0"/>
        <w:ind w:firstLine="708"/>
        <w:contextualSpacing/>
        <w:jc w:val="both"/>
        <w:rPr>
          <w:color w:val="000000"/>
        </w:rPr>
      </w:pPr>
      <w:r w:rsidRPr="00955A79">
        <w:rPr>
          <w:color w:val="000000"/>
        </w:rPr>
        <w:t xml:space="preserve">Нежелательные явления перечислены ниже </w:t>
      </w:r>
      <w:r w:rsidR="006E1535">
        <w:rPr>
          <w:color w:val="000000"/>
        </w:rPr>
        <w:t>(Таблица 4-18</w:t>
      </w:r>
      <w:r w:rsidRPr="002B7989">
        <w:rPr>
          <w:color w:val="000000"/>
        </w:rPr>
        <w:t>)</w:t>
      </w:r>
      <w:r w:rsidRPr="00955A79">
        <w:rPr>
          <w:color w:val="000000"/>
        </w:rPr>
        <w:t xml:space="preserve"> по системно-органным классам и частоте. Частоты определены как: очень часто (≥1/10); часто (≥1/100 - &lt;1/10); нечасто (≥1/1000 - &lt;1/100); редко (≥1/10000- &lt;1/1000); очень редко (&lt;1/10000) и частота не установлена (нельзя установить на основании доступных данных)</w:t>
      </w:r>
      <w:r>
        <w:rPr>
          <w:color w:val="000000"/>
        </w:rPr>
        <w:t>.</w:t>
      </w:r>
      <w:r w:rsidRPr="008B7EDF">
        <w:rPr>
          <w:color w:val="000000"/>
        </w:rPr>
        <w:t xml:space="preserve"> Частоты в </w:t>
      </w:r>
      <w:r>
        <w:rPr>
          <w:color w:val="000000"/>
        </w:rPr>
        <w:t>Т</w:t>
      </w:r>
      <w:r w:rsidRPr="008B7EDF">
        <w:rPr>
          <w:color w:val="000000"/>
        </w:rPr>
        <w:t xml:space="preserve">аблице </w:t>
      </w:r>
      <w:r w:rsidR="00DB46DB">
        <w:rPr>
          <w:color w:val="000000"/>
        </w:rPr>
        <w:t>4-18</w:t>
      </w:r>
      <w:r w:rsidR="00DB46DB" w:rsidRPr="008B7EDF">
        <w:rPr>
          <w:color w:val="000000"/>
        </w:rPr>
        <w:t xml:space="preserve"> </w:t>
      </w:r>
      <w:r w:rsidRPr="008B7EDF">
        <w:rPr>
          <w:color w:val="000000"/>
        </w:rPr>
        <w:t xml:space="preserve">основаны на объединенных данных клинических испытаний и/или пострегистрационных данных по </w:t>
      </w:r>
      <w:r>
        <w:rPr>
          <w:color w:val="000000"/>
        </w:rPr>
        <w:t>РА</w:t>
      </w:r>
      <w:r w:rsidRPr="008B7EDF">
        <w:rPr>
          <w:color w:val="000000"/>
        </w:rPr>
        <w:t>,</w:t>
      </w:r>
      <w:r>
        <w:rPr>
          <w:color w:val="000000"/>
        </w:rPr>
        <w:t xml:space="preserve"> </w:t>
      </w:r>
      <w:r w:rsidRPr="008B7EDF">
        <w:rPr>
          <w:color w:val="000000"/>
        </w:rPr>
        <w:t xml:space="preserve">признаки </w:t>
      </w:r>
      <w:r>
        <w:rPr>
          <w:color w:val="000000"/>
        </w:rPr>
        <w:t>АД</w:t>
      </w:r>
      <w:r w:rsidRPr="008B7EDF">
        <w:rPr>
          <w:color w:val="000000"/>
        </w:rPr>
        <w:t xml:space="preserve"> и </w:t>
      </w:r>
      <w:r>
        <w:rPr>
          <w:color w:val="000000"/>
        </w:rPr>
        <w:t>ОА</w:t>
      </w:r>
      <w:r w:rsidRPr="008B7EDF">
        <w:rPr>
          <w:color w:val="000000"/>
        </w:rPr>
        <w:t>, если не указано иное; в тех случаях, когда наблюдаются заметные различия в частоте показаний, они представлены в сносках под таблицей</w:t>
      </w:r>
      <w:r>
        <w:rPr>
          <w:color w:val="000000"/>
        </w:rP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8B7EDF">
        <w:rPr>
          <w:color w:val="000000"/>
        </w:rPr>
        <w:t>.</w:t>
      </w:r>
    </w:p>
    <w:p w14:paraId="5385554B" w14:textId="77777777" w:rsidR="00C34E4A" w:rsidRPr="00955A79" w:rsidRDefault="00C34E4A">
      <w:pPr>
        <w:pStyle w:val="ab"/>
        <w:shd w:val="clear" w:color="auto" w:fill="FFFFFF"/>
        <w:spacing w:before="0" w:beforeAutospacing="0" w:after="0" w:afterAutospacing="0"/>
        <w:jc w:val="both"/>
        <w:rPr>
          <w:color w:val="000000"/>
        </w:rPr>
      </w:pPr>
    </w:p>
    <w:p w14:paraId="3D2611B6" w14:textId="1A59CD40" w:rsidR="00C34E4A" w:rsidRPr="002B7989" w:rsidRDefault="00C34E4A">
      <w:pPr>
        <w:pStyle w:val="ab"/>
        <w:shd w:val="clear" w:color="auto" w:fill="FFFFFF"/>
        <w:spacing w:before="0" w:beforeAutospacing="0" w:after="0" w:afterAutospacing="0"/>
        <w:jc w:val="both"/>
        <w:rPr>
          <w:color w:val="000000"/>
        </w:rPr>
      </w:pPr>
      <w:bookmarkStart w:id="195" w:name="_Toc80034731"/>
      <w:r w:rsidRPr="002B7989">
        <w:rPr>
          <w:b/>
          <w:bCs/>
        </w:rPr>
        <w:lastRenderedPageBreak/>
        <w:t>Таблица 4-1</w:t>
      </w:r>
      <w:r w:rsidR="006E1535">
        <w:rPr>
          <w:b/>
          <w:bCs/>
        </w:rPr>
        <w:t>8</w:t>
      </w:r>
      <w:r w:rsidRPr="002B7989">
        <w:rPr>
          <w:b/>
          <w:bCs/>
        </w:rPr>
        <w:t xml:space="preserve">. </w:t>
      </w:r>
      <w:r w:rsidRPr="006E1535">
        <w:rPr>
          <w:bCs/>
          <w:color w:val="000000"/>
        </w:rPr>
        <w:t>Частота нежелательных явлений, выявленных в ходе контролируемых клинических исследованиях бар</w:t>
      </w:r>
      <w:r w:rsidR="004029E9">
        <w:rPr>
          <w:bCs/>
          <w:color w:val="000000"/>
        </w:rPr>
        <w:t>и</w:t>
      </w:r>
      <w:r w:rsidRPr="006E1535">
        <w:rPr>
          <w:bCs/>
          <w:color w:val="000000"/>
        </w:rPr>
        <w:t>цитиниба и при пострегистрационном наблюдении</w:t>
      </w:r>
      <w:r w:rsidRPr="006E1535">
        <w:rPr>
          <w:color w:val="000000"/>
        </w:rPr>
        <w:t>.</w:t>
      </w:r>
      <w:bookmarkEnd w:id="195"/>
    </w:p>
    <w:tbl>
      <w:tblPr>
        <w:tblW w:w="4992" w:type="pct"/>
        <w:tblInd w:w="10" w:type="dxa"/>
        <w:tblLayout w:type="fixed"/>
        <w:tblCellMar>
          <w:left w:w="0" w:type="dxa"/>
          <w:right w:w="0" w:type="dxa"/>
        </w:tblCellMar>
        <w:tblLook w:val="04A0" w:firstRow="1" w:lastRow="0" w:firstColumn="1" w:lastColumn="0" w:noHBand="0" w:noVBand="1"/>
      </w:tblPr>
      <w:tblGrid>
        <w:gridCol w:w="2474"/>
        <w:gridCol w:w="2348"/>
        <w:gridCol w:w="2337"/>
        <w:gridCol w:w="2197"/>
      </w:tblGrid>
      <w:tr w:rsidR="00C34E4A" w:rsidRPr="00C34E4A" w14:paraId="378A9544" w14:textId="77777777" w:rsidTr="0029110D">
        <w:trPr>
          <w:trHeight w:val="20"/>
          <w:tblHeader/>
        </w:trPr>
        <w:tc>
          <w:tcPr>
            <w:tcW w:w="13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 w:type="dxa"/>
              <w:bottom w:w="0" w:type="dxa"/>
              <w:right w:w="10" w:type="dxa"/>
            </w:tcMar>
            <w:vAlign w:val="center"/>
          </w:tcPr>
          <w:p w14:paraId="7882496E" w14:textId="77777777" w:rsidR="00C34E4A" w:rsidRPr="006A5654" w:rsidRDefault="00C34E4A" w:rsidP="0029110D">
            <w:pPr>
              <w:spacing w:after="0" w:line="240" w:lineRule="auto"/>
              <w:jc w:val="center"/>
              <w:rPr>
                <w:rFonts w:eastAsia="Times New Roman"/>
                <w:b/>
                <w:bCs/>
                <w:lang w:eastAsia="ru-RU"/>
              </w:rPr>
            </w:pPr>
            <w:r w:rsidRPr="006A5654">
              <w:rPr>
                <w:rFonts w:eastAsia="Times New Roman"/>
                <w:b/>
                <w:bCs/>
                <w:lang w:eastAsia="ru-RU"/>
              </w:rPr>
              <w:t>Системно органный класс</w:t>
            </w:r>
          </w:p>
        </w:tc>
        <w:tc>
          <w:tcPr>
            <w:tcW w:w="1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480AC1" w14:textId="77777777" w:rsidR="00C34E4A" w:rsidRPr="006A5654" w:rsidRDefault="00C34E4A" w:rsidP="0029110D">
            <w:pPr>
              <w:spacing w:after="0" w:line="240" w:lineRule="auto"/>
              <w:jc w:val="center"/>
              <w:rPr>
                <w:rFonts w:eastAsia="Times New Roman"/>
                <w:b/>
                <w:bCs/>
                <w:lang w:eastAsia="ru-RU"/>
              </w:rPr>
            </w:pPr>
            <w:r w:rsidRPr="006A5654">
              <w:rPr>
                <w:rFonts w:eastAsia="Times New Roman"/>
                <w:b/>
                <w:bCs/>
                <w:lang w:eastAsia="ru-RU"/>
              </w:rPr>
              <w:t>Очень часто</w:t>
            </w:r>
          </w:p>
        </w:tc>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D16974" w14:textId="77777777" w:rsidR="00C34E4A" w:rsidRPr="006A5654" w:rsidRDefault="00C34E4A" w:rsidP="0029110D">
            <w:pPr>
              <w:spacing w:after="0" w:line="240" w:lineRule="auto"/>
              <w:jc w:val="center"/>
              <w:rPr>
                <w:rFonts w:eastAsia="Times New Roman"/>
                <w:b/>
                <w:bCs/>
                <w:lang w:eastAsia="ru-RU"/>
              </w:rPr>
            </w:pPr>
            <w:r w:rsidRPr="006A5654">
              <w:rPr>
                <w:rFonts w:eastAsia="Times New Roman"/>
                <w:b/>
                <w:bCs/>
                <w:lang w:eastAsia="ru-RU"/>
              </w:rPr>
              <w:t>Часто</w:t>
            </w:r>
          </w:p>
        </w:tc>
        <w:tc>
          <w:tcPr>
            <w:tcW w:w="117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C74ABA" w14:textId="77777777" w:rsidR="00C34E4A" w:rsidRPr="006A5654" w:rsidRDefault="00C34E4A" w:rsidP="0029110D">
            <w:pPr>
              <w:spacing w:after="0" w:line="240" w:lineRule="auto"/>
              <w:jc w:val="center"/>
              <w:rPr>
                <w:rFonts w:eastAsia="Times New Roman"/>
                <w:b/>
                <w:bCs/>
                <w:lang w:eastAsia="ru-RU"/>
              </w:rPr>
            </w:pPr>
            <w:r w:rsidRPr="006A5654">
              <w:rPr>
                <w:rFonts w:eastAsia="Times New Roman"/>
                <w:b/>
                <w:bCs/>
                <w:lang w:eastAsia="ru-RU"/>
              </w:rPr>
              <w:t>Не часто</w:t>
            </w:r>
          </w:p>
        </w:tc>
      </w:tr>
      <w:tr w:rsidR="00C34E4A" w:rsidRPr="00C34E4A" w14:paraId="2C7142A0"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5A8D276B"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Инфекции и инвазии</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742E2C47"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Инфекции верхних дыхательных путей</w:t>
            </w: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2A659C07"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Простой герпес, опоясывающий герпес, Энтерит, инфекции мочевыделительной системы, пневмония</w:t>
            </w:r>
            <w:r w:rsidRPr="006E1535">
              <w:rPr>
                <w:rFonts w:eastAsia="Times New Roman"/>
                <w:vertAlign w:val="superscript"/>
                <w:lang w:val="en-US" w:eastAsia="ru-RU"/>
              </w:rPr>
              <w:t>d</w:t>
            </w:r>
            <w:r w:rsidRPr="006E1535">
              <w:rPr>
                <w:rFonts w:eastAsia="Times New Roman"/>
                <w:lang w:eastAsia="ru-RU"/>
              </w:rPr>
              <w:t>, фолликулит</w:t>
            </w:r>
            <w:r w:rsidRPr="006E1535">
              <w:rPr>
                <w:rFonts w:eastAsia="Times New Roman"/>
                <w:vertAlign w:val="superscript"/>
                <w:lang w:val="en-US" w:eastAsia="ru-RU"/>
              </w:rPr>
              <w:t>g</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171F7251" w14:textId="77777777" w:rsidR="00C34E4A" w:rsidRPr="006E1535" w:rsidRDefault="00C34E4A">
            <w:pPr>
              <w:spacing w:after="0" w:line="240" w:lineRule="auto"/>
              <w:jc w:val="left"/>
              <w:rPr>
                <w:rFonts w:eastAsia="Times New Roman"/>
                <w:lang w:eastAsia="ru-RU"/>
              </w:rPr>
            </w:pPr>
          </w:p>
        </w:tc>
      </w:tr>
      <w:tr w:rsidR="00C34E4A" w:rsidRPr="00C34E4A" w14:paraId="7310B1B5"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1015CC9E"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Нарушения со стороны крови и лимфатической системы</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2F5790BB"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4D582CC6" w14:textId="77777777" w:rsidR="00C34E4A" w:rsidRPr="006E1535" w:rsidRDefault="00C34E4A">
            <w:pPr>
              <w:spacing w:after="0" w:line="240" w:lineRule="auto"/>
              <w:jc w:val="left"/>
              <w:rPr>
                <w:rFonts w:eastAsia="Times New Roman"/>
                <w:vertAlign w:val="superscript"/>
                <w:lang w:eastAsia="ru-RU"/>
              </w:rPr>
            </w:pPr>
            <w:r w:rsidRPr="006E1535">
              <w:rPr>
                <w:rFonts w:eastAsia="Times New Roman"/>
                <w:lang w:eastAsia="ru-RU"/>
              </w:rPr>
              <w:t>Тромбоцитоз &gt;600*10</w:t>
            </w:r>
            <w:r w:rsidRPr="006E1535">
              <w:rPr>
                <w:rFonts w:eastAsia="Times New Roman"/>
                <w:vertAlign w:val="superscript"/>
                <w:lang w:eastAsia="ru-RU"/>
              </w:rPr>
              <w:t>9</w:t>
            </w:r>
            <w:r w:rsidRPr="006E1535">
              <w:rPr>
                <w:rFonts w:eastAsia="Times New Roman"/>
                <w:lang w:eastAsia="ru-RU"/>
              </w:rPr>
              <w:t xml:space="preserve"> кл/л </w:t>
            </w:r>
            <w:r w:rsidRPr="006E1535">
              <w:rPr>
                <w:rFonts w:eastAsia="Times New Roman"/>
                <w:vertAlign w:val="superscript"/>
                <w:lang w:val="en-US" w:eastAsia="ru-RU"/>
              </w:rPr>
              <w:t>a</w:t>
            </w:r>
            <w:r w:rsidRPr="006E1535">
              <w:rPr>
                <w:rFonts w:eastAsia="Times New Roman"/>
                <w:vertAlign w:val="superscript"/>
                <w:lang w:eastAsia="ru-RU"/>
              </w:rPr>
              <w:t xml:space="preserve">, </w:t>
            </w:r>
            <w:r w:rsidRPr="006E1535">
              <w:rPr>
                <w:rFonts w:eastAsia="Times New Roman"/>
                <w:vertAlign w:val="superscript"/>
                <w:lang w:val="en-US" w:eastAsia="ru-RU"/>
              </w:rPr>
              <w:t>d</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4ABA95C6" w14:textId="2BEC5882" w:rsidR="00C34E4A" w:rsidRPr="006E1535" w:rsidRDefault="00C34E4A">
            <w:pPr>
              <w:spacing w:after="0" w:line="240" w:lineRule="auto"/>
              <w:jc w:val="left"/>
              <w:rPr>
                <w:rFonts w:eastAsia="Times New Roman"/>
                <w:lang w:eastAsia="ru-RU"/>
              </w:rPr>
            </w:pPr>
            <w:r w:rsidRPr="006E1535">
              <w:rPr>
                <w:rFonts w:eastAsia="Times New Roman"/>
                <w:lang w:eastAsia="ru-RU"/>
              </w:rPr>
              <w:t>Нейтропения ˂1*10</w:t>
            </w:r>
            <w:r w:rsidRPr="006E1535">
              <w:rPr>
                <w:rFonts w:eastAsia="Times New Roman"/>
                <w:vertAlign w:val="superscript"/>
                <w:lang w:eastAsia="ru-RU"/>
              </w:rPr>
              <w:t>9</w:t>
            </w:r>
            <w:r w:rsidRPr="006E1535">
              <w:rPr>
                <w:rFonts w:eastAsia="Times New Roman"/>
                <w:lang w:eastAsia="ru-RU"/>
              </w:rPr>
              <w:t xml:space="preserve"> кл/л </w:t>
            </w:r>
            <w:r w:rsidRPr="006E1535">
              <w:rPr>
                <w:rFonts w:eastAsia="Times New Roman"/>
                <w:vertAlign w:val="superscript"/>
                <w:lang w:val="en-US" w:eastAsia="ru-RU"/>
              </w:rPr>
              <w:t>a</w:t>
            </w:r>
          </w:p>
        </w:tc>
      </w:tr>
      <w:tr w:rsidR="00C34E4A" w:rsidRPr="00C34E4A" w14:paraId="47772DB9"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627E525B"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Нарушения со стороны иммунной системы</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232A5297"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29AF230E" w14:textId="77777777" w:rsidR="00C34E4A" w:rsidRPr="006E1535" w:rsidRDefault="00C34E4A">
            <w:pPr>
              <w:spacing w:after="0" w:line="240" w:lineRule="auto"/>
              <w:jc w:val="left"/>
              <w:rPr>
                <w:rFonts w:eastAsia="Times New Roman"/>
                <w:lang w:eastAsia="ru-RU"/>
              </w:rPr>
            </w:pP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3EE08C67"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Отек лица, крапивница</w:t>
            </w:r>
          </w:p>
        </w:tc>
      </w:tr>
      <w:tr w:rsidR="00C34E4A" w:rsidRPr="00C34E4A" w14:paraId="1005738A"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4221F809"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Нарушения со стороны обмена веществ и питания</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2C354557" w14:textId="77777777" w:rsidR="00C34E4A" w:rsidRPr="006E1535" w:rsidRDefault="00C34E4A">
            <w:pPr>
              <w:spacing w:after="0" w:line="240" w:lineRule="auto"/>
              <w:jc w:val="left"/>
              <w:rPr>
                <w:rFonts w:eastAsia="Times New Roman"/>
                <w:vertAlign w:val="superscript"/>
                <w:lang w:eastAsia="ru-RU"/>
              </w:rPr>
            </w:pPr>
            <w:r w:rsidRPr="006E1535">
              <w:rPr>
                <w:rFonts w:eastAsia="Times New Roman"/>
                <w:lang w:eastAsia="ru-RU"/>
              </w:rPr>
              <w:t>Гиперхолестеринемия</w:t>
            </w:r>
            <w:r w:rsidRPr="006E1535">
              <w:rPr>
                <w:rFonts w:eastAsia="Times New Roman"/>
                <w:vertAlign w:val="superscript"/>
                <w:lang w:val="en-US" w:eastAsia="ru-RU"/>
              </w:rPr>
              <w:t>a</w:t>
            </w: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12B1ECCE" w14:textId="77777777" w:rsidR="00C34E4A" w:rsidRPr="006E1535" w:rsidRDefault="00C34E4A">
            <w:pPr>
              <w:spacing w:after="0" w:line="240" w:lineRule="auto"/>
              <w:jc w:val="left"/>
              <w:rPr>
                <w:rFonts w:eastAsia="Times New Roman"/>
                <w:lang w:eastAsia="ru-RU"/>
              </w:rPr>
            </w:pP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4ED65847"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Гиперхолестеринемия</w:t>
            </w:r>
            <w:r w:rsidRPr="006E1535">
              <w:rPr>
                <w:rFonts w:eastAsia="Times New Roman"/>
                <w:vertAlign w:val="superscript"/>
                <w:lang w:val="en-US" w:eastAsia="ru-RU"/>
              </w:rPr>
              <w:t>a</w:t>
            </w:r>
          </w:p>
        </w:tc>
      </w:tr>
      <w:tr w:rsidR="00C34E4A" w:rsidRPr="00C34E4A" w14:paraId="5FB98299"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3C2E1D25"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Нарушения со стороны нервной системы</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5020EE21"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1A5C5217"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Головная боль</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62C5F79F" w14:textId="77777777" w:rsidR="00C34E4A" w:rsidRPr="006E1535" w:rsidRDefault="00C34E4A">
            <w:pPr>
              <w:spacing w:after="0" w:line="240" w:lineRule="auto"/>
              <w:jc w:val="left"/>
              <w:rPr>
                <w:rFonts w:eastAsia="Times New Roman"/>
                <w:lang w:eastAsia="ru-RU"/>
              </w:rPr>
            </w:pPr>
          </w:p>
        </w:tc>
      </w:tr>
      <w:tr w:rsidR="00C34E4A" w:rsidRPr="00C34E4A" w14:paraId="7A1B9442"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6AD420BD"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Нарушения со стороны сосудов</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66F8E7D9"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75E34CF7" w14:textId="77777777" w:rsidR="00C34E4A" w:rsidRPr="006E1535" w:rsidRDefault="00C34E4A">
            <w:pPr>
              <w:spacing w:after="0" w:line="240" w:lineRule="auto"/>
              <w:jc w:val="left"/>
              <w:rPr>
                <w:rFonts w:eastAsia="Times New Roman"/>
                <w:lang w:eastAsia="ru-RU"/>
              </w:rPr>
            </w:pP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2C0C9778" w14:textId="77777777" w:rsidR="00C34E4A" w:rsidRPr="006E1535" w:rsidRDefault="00C34E4A">
            <w:pPr>
              <w:spacing w:after="0" w:line="240" w:lineRule="auto"/>
              <w:jc w:val="left"/>
              <w:rPr>
                <w:rFonts w:eastAsia="Times New Roman"/>
                <w:vertAlign w:val="superscript"/>
                <w:lang w:eastAsia="ru-RU"/>
              </w:rPr>
            </w:pPr>
            <w:r w:rsidRPr="006E1535">
              <w:rPr>
                <w:rFonts w:eastAsia="Times New Roman"/>
                <w:lang w:eastAsia="ru-RU"/>
              </w:rPr>
              <w:t>Тромбоз глубоких вен</w:t>
            </w:r>
            <w:r w:rsidRPr="006E1535">
              <w:rPr>
                <w:rFonts w:eastAsia="Times New Roman"/>
                <w:vertAlign w:val="superscript"/>
                <w:lang w:val="en-US" w:eastAsia="ru-RU"/>
              </w:rPr>
              <w:t>b</w:t>
            </w:r>
          </w:p>
        </w:tc>
      </w:tr>
      <w:tr w:rsidR="00C34E4A" w:rsidRPr="00C34E4A" w14:paraId="096DEB18"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0F1394A0"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Нарушения со стороны дыхательной системы и органов средостения</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7D398049"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21FB5945" w14:textId="77777777" w:rsidR="00C34E4A" w:rsidRPr="006E1535" w:rsidRDefault="00C34E4A">
            <w:pPr>
              <w:spacing w:after="0" w:line="240" w:lineRule="auto"/>
              <w:jc w:val="left"/>
              <w:rPr>
                <w:rFonts w:eastAsia="Times New Roman"/>
                <w:lang w:eastAsia="ru-RU"/>
              </w:rPr>
            </w:pP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429C8382"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Тромбоз легких</w:t>
            </w:r>
            <w:r w:rsidRPr="006E1535">
              <w:rPr>
                <w:rFonts w:eastAsia="Times New Roman"/>
                <w:vertAlign w:val="superscript"/>
                <w:lang w:val="en-US" w:eastAsia="ru-RU"/>
              </w:rPr>
              <w:t>f</w:t>
            </w:r>
          </w:p>
        </w:tc>
      </w:tr>
      <w:tr w:rsidR="00C34E4A" w:rsidRPr="00C34E4A" w14:paraId="68D896F5"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58E0BB87"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Желудочно-кишечные нарушения</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408712A5"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18E30D4D"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Тошнота</w:t>
            </w:r>
            <w:r w:rsidRPr="006E1535">
              <w:rPr>
                <w:rFonts w:eastAsia="Times New Roman"/>
                <w:vertAlign w:val="superscript"/>
                <w:lang w:val="en-US" w:eastAsia="ru-RU"/>
              </w:rPr>
              <w:t>d</w:t>
            </w:r>
            <w:r w:rsidRPr="006E1535">
              <w:rPr>
                <w:rFonts w:eastAsia="Times New Roman"/>
                <w:lang w:eastAsia="ru-RU"/>
              </w:rPr>
              <w:t>, боль в животе</w:t>
            </w:r>
            <w:r w:rsidRPr="006E1535">
              <w:rPr>
                <w:rFonts w:eastAsia="Times New Roman"/>
                <w:vertAlign w:val="superscript"/>
                <w:lang w:val="en-US" w:eastAsia="ru-RU"/>
              </w:rPr>
              <w:t>d</w:t>
            </w:r>
            <w:r w:rsidRPr="006E1535">
              <w:rPr>
                <w:rFonts w:eastAsia="Times New Roman"/>
                <w:lang w:eastAsia="ru-RU"/>
              </w:rPr>
              <w:t xml:space="preserve"> </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5981EFC7" w14:textId="30D8885F" w:rsidR="00C34E4A" w:rsidRPr="006E1535" w:rsidRDefault="000866A4">
            <w:pPr>
              <w:spacing w:after="0" w:line="240" w:lineRule="auto"/>
              <w:jc w:val="left"/>
              <w:rPr>
                <w:rFonts w:eastAsia="Times New Roman"/>
                <w:lang w:eastAsia="ru-RU"/>
              </w:rPr>
            </w:pPr>
            <w:r w:rsidRPr="006E1535">
              <w:rPr>
                <w:rFonts w:eastAsia="Times New Roman"/>
                <w:lang w:eastAsia="ru-RU"/>
              </w:rPr>
              <w:t>Дивер</w:t>
            </w:r>
            <w:r>
              <w:rPr>
                <w:rFonts w:eastAsia="Times New Roman"/>
                <w:lang w:eastAsia="ru-RU"/>
              </w:rPr>
              <w:t>т</w:t>
            </w:r>
            <w:r w:rsidRPr="006E1535">
              <w:rPr>
                <w:rFonts w:eastAsia="Times New Roman"/>
                <w:lang w:eastAsia="ru-RU"/>
              </w:rPr>
              <w:t xml:space="preserve">икулит </w:t>
            </w:r>
          </w:p>
        </w:tc>
      </w:tr>
      <w:tr w:rsidR="00C34E4A" w:rsidRPr="00C34E4A" w14:paraId="654F7B8B"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582423E6"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Гепатобилиарные нарушения</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7D8201CC"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7F8BE7BE"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АЛТ увеличивается ≥3*ВГН</w:t>
            </w:r>
            <w:r w:rsidRPr="006E1535">
              <w:rPr>
                <w:rFonts w:eastAsia="Times New Roman"/>
                <w:vertAlign w:val="superscript"/>
                <w:lang w:eastAsia="ru-RU"/>
              </w:rPr>
              <w:t xml:space="preserve"> </w:t>
            </w:r>
            <w:r w:rsidRPr="006E1535">
              <w:rPr>
                <w:rFonts w:eastAsia="Times New Roman"/>
                <w:vertAlign w:val="superscript"/>
                <w:lang w:val="en-US" w:eastAsia="ru-RU"/>
              </w:rPr>
              <w:t>a</w:t>
            </w:r>
            <w:r w:rsidRPr="006E1535">
              <w:rPr>
                <w:rFonts w:eastAsia="Times New Roman"/>
                <w:vertAlign w:val="superscript"/>
                <w:lang w:eastAsia="ru-RU"/>
              </w:rPr>
              <w:t xml:space="preserve">, </w:t>
            </w:r>
            <w:r w:rsidRPr="006E1535">
              <w:rPr>
                <w:rFonts w:eastAsia="Times New Roman"/>
                <w:vertAlign w:val="superscript"/>
                <w:lang w:val="en-US" w:eastAsia="ru-RU"/>
              </w:rPr>
              <w:t>d</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35464EF2"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АСТ увеличивается ≥3*ВГН</w:t>
            </w:r>
            <w:r w:rsidRPr="006E1535">
              <w:rPr>
                <w:rFonts w:eastAsia="Times New Roman"/>
                <w:vertAlign w:val="superscript"/>
                <w:lang w:eastAsia="ru-RU"/>
              </w:rPr>
              <w:t xml:space="preserve"> </w:t>
            </w:r>
            <w:r w:rsidRPr="006E1535">
              <w:rPr>
                <w:rFonts w:eastAsia="Times New Roman"/>
                <w:vertAlign w:val="superscript"/>
                <w:lang w:val="en-US" w:eastAsia="ru-RU"/>
              </w:rPr>
              <w:t>a</w:t>
            </w:r>
            <w:r w:rsidRPr="006E1535">
              <w:rPr>
                <w:rFonts w:eastAsia="Times New Roman"/>
                <w:vertAlign w:val="superscript"/>
                <w:lang w:eastAsia="ru-RU"/>
              </w:rPr>
              <w:t xml:space="preserve">, </w:t>
            </w:r>
            <w:r w:rsidRPr="006E1535">
              <w:rPr>
                <w:rFonts w:eastAsia="Times New Roman"/>
                <w:vertAlign w:val="superscript"/>
                <w:lang w:val="en-US" w:eastAsia="ru-RU"/>
              </w:rPr>
              <w:t>e</w:t>
            </w:r>
          </w:p>
        </w:tc>
      </w:tr>
      <w:tr w:rsidR="00C34E4A" w:rsidRPr="00C34E4A" w14:paraId="18A508F4"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35437756"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Нарушения со стороны скелетно-мышечной и соединительной ткани</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7845F109"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2E3CDB75"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Сыпь, акне</w:t>
            </w:r>
            <w:r w:rsidRPr="006E1535">
              <w:rPr>
                <w:rFonts w:eastAsia="Times New Roman"/>
                <w:vertAlign w:val="superscript"/>
                <w:lang w:val="en-US" w:eastAsia="ru-RU"/>
              </w:rPr>
              <w:t>c</w:t>
            </w:r>
            <w:r w:rsidRPr="006E1535">
              <w:rPr>
                <w:rFonts w:eastAsia="Times New Roman"/>
                <w:lang w:eastAsia="ru-RU"/>
              </w:rPr>
              <w:t xml:space="preserve"> </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6FBBF4A3" w14:textId="77777777" w:rsidR="00C34E4A" w:rsidRPr="006E1535" w:rsidRDefault="00C34E4A">
            <w:pPr>
              <w:spacing w:after="0" w:line="240" w:lineRule="auto"/>
              <w:jc w:val="left"/>
              <w:rPr>
                <w:rFonts w:eastAsia="Times New Roman"/>
                <w:lang w:eastAsia="ru-RU"/>
              </w:rPr>
            </w:pPr>
          </w:p>
        </w:tc>
      </w:tr>
      <w:tr w:rsidR="00C34E4A" w:rsidRPr="00C34E4A" w14:paraId="00D2AF40"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0E55364F" w14:textId="2B66EFB3" w:rsidR="00C34E4A" w:rsidRPr="006E1535" w:rsidRDefault="00714857">
            <w:pPr>
              <w:spacing w:after="0" w:line="240" w:lineRule="auto"/>
              <w:jc w:val="left"/>
              <w:rPr>
                <w:rFonts w:eastAsia="Times New Roman"/>
                <w:lang w:eastAsia="ru-RU"/>
              </w:rPr>
            </w:pPr>
            <w:r>
              <w:rPr>
                <w:rFonts w:eastAsia="Times New Roman"/>
                <w:lang w:eastAsia="ru-RU"/>
              </w:rPr>
              <w:t>Лабораторные и инструментальные данные</w:t>
            </w:r>
          </w:p>
        </w:tc>
        <w:tc>
          <w:tcPr>
            <w:tcW w:w="1255" w:type="pct"/>
            <w:tcBorders>
              <w:top w:val="single" w:sz="4" w:space="0" w:color="auto"/>
              <w:left w:val="single" w:sz="4" w:space="0" w:color="auto"/>
              <w:bottom w:val="single" w:sz="4" w:space="0" w:color="auto"/>
              <w:right w:val="single" w:sz="4" w:space="0" w:color="auto"/>
            </w:tcBorders>
            <w:shd w:val="clear" w:color="auto" w:fill="auto"/>
          </w:tcPr>
          <w:p w14:paraId="76113AFB" w14:textId="77777777" w:rsidR="00C34E4A" w:rsidRPr="006E1535" w:rsidRDefault="00C34E4A">
            <w:pPr>
              <w:spacing w:after="0" w:line="240" w:lineRule="auto"/>
              <w:jc w:val="left"/>
              <w:rPr>
                <w:rFonts w:eastAsia="Times New Roman"/>
                <w:lang w:eastAsia="ru-RU"/>
              </w:rPr>
            </w:pPr>
          </w:p>
        </w:tc>
        <w:tc>
          <w:tcPr>
            <w:tcW w:w="1249" w:type="pct"/>
            <w:tcBorders>
              <w:top w:val="single" w:sz="4" w:space="0" w:color="auto"/>
              <w:left w:val="single" w:sz="4" w:space="0" w:color="auto"/>
              <w:bottom w:val="single" w:sz="4" w:space="0" w:color="auto"/>
              <w:right w:val="single" w:sz="4" w:space="0" w:color="auto"/>
            </w:tcBorders>
            <w:shd w:val="clear" w:color="auto" w:fill="auto"/>
          </w:tcPr>
          <w:p w14:paraId="0E109790"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Увеличение креатинфосфокиназы &gt;5*ВГН</w:t>
            </w:r>
            <w:r w:rsidRPr="006E1535">
              <w:rPr>
                <w:rFonts w:eastAsia="Times New Roman"/>
                <w:vertAlign w:val="superscript"/>
                <w:lang w:eastAsia="ru-RU"/>
              </w:rPr>
              <w:t xml:space="preserve"> </w:t>
            </w:r>
            <w:r w:rsidRPr="006E1535">
              <w:rPr>
                <w:rFonts w:eastAsia="Times New Roman"/>
                <w:vertAlign w:val="superscript"/>
                <w:lang w:val="en-US" w:eastAsia="ru-RU"/>
              </w:rPr>
              <w:t>a</w:t>
            </w:r>
            <w:r w:rsidRPr="006E1535">
              <w:rPr>
                <w:rFonts w:eastAsia="Times New Roman"/>
                <w:vertAlign w:val="superscript"/>
                <w:lang w:eastAsia="ru-RU"/>
              </w:rPr>
              <w:t>, с</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2D9323D7" w14:textId="77777777" w:rsidR="00C34E4A" w:rsidRPr="006E1535" w:rsidRDefault="00C34E4A">
            <w:pPr>
              <w:spacing w:after="0" w:line="240" w:lineRule="auto"/>
              <w:jc w:val="left"/>
              <w:rPr>
                <w:rFonts w:eastAsia="Times New Roman"/>
                <w:lang w:eastAsia="ru-RU"/>
              </w:rPr>
            </w:pPr>
            <w:r w:rsidRPr="006E1535">
              <w:rPr>
                <w:rFonts w:eastAsia="Times New Roman"/>
                <w:lang w:eastAsia="ru-RU"/>
              </w:rPr>
              <w:t>Увеличение массы тела</w:t>
            </w:r>
          </w:p>
        </w:tc>
      </w:tr>
      <w:tr w:rsidR="00C34E4A" w:rsidRPr="00C34E4A" w14:paraId="7FE51C62" w14:textId="77777777" w:rsidTr="0029110D">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2D99C9F2" w14:textId="7691F46D" w:rsidR="00C34E4A" w:rsidRPr="006E1535" w:rsidRDefault="006E1535">
            <w:pPr>
              <w:spacing w:after="0" w:line="240" w:lineRule="auto"/>
              <w:rPr>
                <w:rFonts w:eastAsia="Times New Roman"/>
                <w:sz w:val="20"/>
                <w:szCs w:val="20"/>
                <w:lang w:eastAsia="ru-RU"/>
              </w:rPr>
            </w:pPr>
            <w:r w:rsidRPr="006E1535">
              <w:rPr>
                <w:rFonts w:eastAsia="Times New Roman"/>
                <w:b/>
                <w:sz w:val="20"/>
                <w:szCs w:val="20"/>
                <w:lang w:eastAsia="ru-RU"/>
              </w:rPr>
              <w:t>Примечание:</w:t>
            </w:r>
            <w:r>
              <w:rPr>
                <w:rFonts w:eastAsia="Times New Roman"/>
                <w:sz w:val="20"/>
                <w:szCs w:val="20"/>
                <w:lang w:eastAsia="ru-RU"/>
              </w:rPr>
              <w:br/>
            </w:r>
            <w:r w:rsidR="00C34E4A" w:rsidRPr="006E1535">
              <w:rPr>
                <w:rFonts w:eastAsia="Times New Roman"/>
                <w:sz w:val="20"/>
                <w:szCs w:val="20"/>
                <w:lang w:eastAsia="ru-RU"/>
              </w:rPr>
              <w:t xml:space="preserve">а – Включает изменения, обнаруженные во время лабораторных исследований; </w:t>
            </w:r>
            <w:r w:rsidR="00C34E4A" w:rsidRPr="006E1535">
              <w:rPr>
                <w:rFonts w:eastAsia="Times New Roman"/>
                <w:sz w:val="20"/>
                <w:szCs w:val="20"/>
                <w:lang w:val="en-US" w:eastAsia="ru-RU"/>
              </w:rPr>
              <w:t>b</w:t>
            </w:r>
            <w:r w:rsidR="00C34E4A" w:rsidRPr="006E1535">
              <w:rPr>
                <w:rFonts w:eastAsia="Times New Roman"/>
                <w:sz w:val="20"/>
                <w:szCs w:val="20"/>
                <w:lang w:eastAsia="ru-RU"/>
              </w:rPr>
              <w:t xml:space="preserve"> – частота случаев опоясывающего герпеса и тромбоза глубоких вен основана на клинических исследованиях по показанию ревматоидный артрит; с – в клинических исследованиях по показанию ревматоидный артрит случаи развития акне и повышения концентрации креатинфосфокиназы &gt;5хВГН встречались нечасто; </w:t>
            </w:r>
            <w:r w:rsidR="00C34E4A" w:rsidRPr="006E1535">
              <w:rPr>
                <w:rFonts w:eastAsia="Times New Roman"/>
                <w:sz w:val="20"/>
                <w:szCs w:val="20"/>
                <w:lang w:val="en-US" w:eastAsia="ru-RU"/>
              </w:rPr>
              <w:t>d</w:t>
            </w:r>
            <w:r w:rsidR="00C34E4A" w:rsidRPr="006E1535">
              <w:rPr>
                <w:rFonts w:eastAsia="Times New Roman"/>
                <w:sz w:val="20"/>
                <w:szCs w:val="20"/>
                <w:lang w:eastAsia="ru-RU"/>
              </w:rPr>
              <w:t xml:space="preserve"> – в клинических исследованиях по показанию атопический дерматит тошнота и повышение АЛТ≥ х 3 ВГН встречались нечасто. В клинических исследованиях по показанию очаговая алопеция боль в животе встречалась нечасто. В клинических исследованиях по показаниям атопический дерматит и очаговая алопеция случаи развития пневмонии и тромбоцитоза &gt;600х10</w:t>
            </w:r>
            <w:r w:rsidR="00C34E4A" w:rsidRPr="006E1535">
              <w:rPr>
                <w:rFonts w:eastAsia="Times New Roman"/>
                <w:sz w:val="20"/>
                <w:szCs w:val="20"/>
                <w:vertAlign w:val="superscript"/>
                <w:lang w:eastAsia="ru-RU"/>
              </w:rPr>
              <w:t>9</w:t>
            </w:r>
            <w:r w:rsidR="00C34E4A" w:rsidRPr="006E1535">
              <w:rPr>
                <w:rFonts w:eastAsia="Times New Roman"/>
                <w:sz w:val="20"/>
                <w:szCs w:val="20"/>
                <w:lang w:eastAsia="ru-RU"/>
              </w:rPr>
              <w:t xml:space="preserve"> клеток/л встречались нечасто; </w:t>
            </w:r>
            <w:r w:rsidR="00C34E4A" w:rsidRPr="006E1535">
              <w:rPr>
                <w:rFonts w:eastAsia="Times New Roman"/>
                <w:sz w:val="20"/>
                <w:szCs w:val="20"/>
                <w:lang w:val="en-US" w:eastAsia="ru-RU"/>
              </w:rPr>
              <w:t>e</w:t>
            </w:r>
            <w:r w:rsidR="00C34E4A" w:rsidRPr="006E1535">
              <w:rPr>
                <w:rFonts w:eastAsia="Times New Roman"/>
                <w:sz w:val="20"/>
                <w:szCs w:val="20"/>
                <w:lang w:eastAsia="ru-RU"/>
              </w:rPr>
              <w:t xml:space="preserve"> – в клинических исследованиях по показанию очаговая алопеция повышение АСТ≥ х 3 ВГН встречалось часто; </w:t>
            </w:r>
            <w:r w:rsidR="00C34E4A" w:rsidRPr="006E1535">
              <w:rPr>
                <w:rFonts w:eastAsia="Times New Roman"/>
                <w:sz w:val="20"/>
                <w:szCs w:val="20"/>
                <w:lang w:val="en-US" w:eastAsia="ru-RU"/>
              </w:rPr>
              <w:t>f</w:t>
            </w:r>
            <w:r w:rsidR="00C34E4A" w:rsidRPr="006E1535">
              <w:rPr>
                <w:rFonts w:eastAsia="Times New Roman"/>
                <w:sz w:val="20"/>
                <w:szCs w:val="20"/>
                <w:lang w:eastAsia="ru-RU"/>
              </w:rPr>
              <w:t xml:space="preserve"> – частота случаев развития легочной эмболии основана на данных исследований по показаниям ревматоидный артрит и атопический дерматит; </w:t>
            </w:r>
            <w:r w:rsidR="00C34E4A" w:rsidRPr="006E1535">
              <w:rPr>
                <w:rFonts w:eastAsia="Times New Roman"/>
                <w:sz w:val="20"/>
                <w:szCs w:val="20"/>
                <w:lang w:val="en-US" w:eastAsia="ru-RU"/>
              </w:rPr>
              <w:t>g</w:t>
            </w:r>
            <w:r w:rsidR="00C34E4A" w:rsidRPr="006E1535">
              <w:rPr>
                <w:rFonts w:eastAsia="Times New Roman"/>
                <w:sz w:val="20"/>
                <w:szCs w:val="20"/>
                <w:lang w:eastAsia="ru-RU"/>
              </w:rPr>
              <w:t xml:space="preserve"> – у пациентов, получавших барицитиниб в ходе клинических исследований по показанию </w:t>
            </w:r>
            <w:r w:rsidR="00C34E4A" w:rsidRPr="006E1535">
              <w:rPr>
                <w:rFonts w:eastAsia="Times New Roman"/>
                <w:sz w:val="20"/>
                <w:szCs w:val="20"/>
                <w:lang w:val="en-US" w:eastAsia="ru-RU"/>
              </w:rPr>
              <w:t>COVID</w:t>
            </w:r>
            <w:r w:rsidR="00C34E4A" w:rsidRPr="006E1535">
              <w:rPr>
                <w:rFonts w:eastAsia="Times New Roman"/>
                <w:sz w:val="20"/>
                <w:szCs w:val="20"/>
                <w:lang w:eastAsia="ru-RU"/>
              </w:rPr>
              <w:t xml:space="preserve">-19 такие нежелательные реакции как повышение АЛТ≥ 3 х ВГН, АСТ≥ 3 х ВГН встречались очень часто (&gt;1/10), а такие нежелательные реакции как легочная </w:t>
            </w:r>
            <w:r w:rsidR="00C34E4A" w:rsidRPr="006E1535">
              <w:rPr>
                <w:rFonts w:eastAsia="Times New Roman"/>
                <w:sz w:val="20"/>
                <w:szCs w:val="20"/>
                <w:lang w:eastAsia="ru-RU"/>
              </w:rPr>
              <w:lastRenderedPageBreak/>
              <w:t>эмболия, тромбоз глубоких вен и нейтропения &lt;1х10</w:t>
            </w:r>
            <w:r w:rsidR="00C34E4A" w:rsidRPr="006E1535">
              <w:rPr>
                <w:rFonts w:eastAsia="Times New Roman"/>
                <w:sz w:val="20"/>
                <w:szCs w:val="20"/>
                <w:vertAlign w:val="superscript"/>
                <w:lang w:eastAsia="ru-RU"/>
              </w:rPr>
              <w:t>9</w:t>
            </w:r>
            <w:r w:rsidR="00C34E4A" w:rsidRPr="006E1535">
              <w:rPr>
                <w:rFonts w:eastAsia="Times New Roman"/>
                <w:sz w:val="20"/>
                <w:szCs w:val="20"/>
                <w:lang w:eastAsia="ru-RU"/>
              </w:rPr>
              <w:t xml:space="preserve"> клеток/л встречались часто (от &gt;1/100 до &lt;1/10).</w:t>
            </w:r>
          </w:p>
        </w:tc>
      </w:tr>
    </w:tbl>
    <w:p w14:paraId="137ECE48" w14:textId="77777777" w:rsidR="00C34E4A" w:rsidRDefault="00C34E4A">
      <w:pPr>
        <w:shd w:val="clear" w:color="auto" w:fill="FFFFFF"/>
        <w:spacing w:after="0" w:line="240" w:lineRule="auto"/>
        <w:rPr>
          <w:rFonts w:eastAsia="Times New Roman"/>
          <w:color w:val="000000"/>
          <w:lang w:eastAsia="ru-RU"/>
        </w:rPr>
      </w:pPr>
      <w:bookmarkStart w:id="196" w:name="bookmark45"/>
      <w:bookmarkStart w:id="197" w:name="bookmark44"/>
      <w:bookmarkEnd w:id="196"/>
      <w:bookmarkEnd w:id="197"/>
    </w:p>
    <w:p w14:paraId="02BC66F8" w14:textId="77777777" w:rsidR="00C34E4A" w:rsidRPr="002B7989" w:rsidRDefault="00C34E4A">
      <w:pPr>
        <w:shd w:val="clear" w:color="auto" w:fill="FFFFFF"/>
        <w:spacing w:after="0" w:line="240" w:lineRule="auto"/>
        <w:ind w:firstLine="708"/>
        <w:rPr>
          <w:rFonts w:eastAsia="Times New Roman"/>
          <w:color w:val="000000"/>
          <w:lang w:eastAsia="ru-RU"/>
        </w:rPr>
      </w:pPr>
      <w:r w:rsidRPr="002B7989">
        <w:rPr>
          <w:rFonts w:eastAsia="Times New Roman"/>
          <w:color w:val="000000"/>
          <w:lang w:eastAsia="ru-RU"/>
        </w:rPr>
        <w:t xml:space="preserve">Данные о мировых продажах барицитиниба были собраны за совокупный период времени, закончившийся 13 февраля 2021 г. Поскольку данные о продажах доступны только за полные месяцы, данные отражают совокупный период времени, закончившийся 31 января 2021 г. В совокупности по состоянию на 31 января 2021 г., по оценкам, 232 500 пациентов подверглись воздействию барицитиниба и 138 600 PYE. Приблизительно 180 пациентов (0,08%) получали барицитиниб в дозе 1 мг, 60 400 пациентов (26,0%) </w:t>
      </w:r>
      <w:r>
        <w:rPr>
          <w:rFonts w:eastAsia="Times New Roman"/>
          <w:color w:val="000000"/>
          <w:lang w:eastAsia="ru-RU"/>
        </w:rPr>
        <w:t>–</w:t>
      </w:r>
      <w:r w:rsidRPr="002B7989">
        <w:rPr>
          <w:rFonts w:eastAsia="Times New Roman"/>
          <w:color w:val="000000"/>
          <w:lang w:eastAsia="ru-RU"/>
        </w:rPr>
        <w:t xml:space="preserve"> барицитиниб в дозе 2 мг и примерно 171 900 пациентов (73,9%) </w:t>
      </w:r>
      <w:r>
        <w:rPr>
          <w:rFonts w:eastAsia="Times New Roman"/>
          <w:color w:val="000000"/>
          <w:lang w:eastAsia="ru-RU"/>
        </w:rPr>
        <w:t>–</w:t>
      </w:r>
      <w:r w:rsidRPr="002B7989">
        <w:rPr>
          <w:rFonts w:eastAsia="Times New Roman"/>
          <w:color w:val="000000"/>
          <w:lang w:eastAsia="ru-RU"/>
        </w:rPr>
        <w:t xml:space="preserve"> барицитиниб в дозе 4 мг. </w:t>
      </w:r>
    </w:p>
    <w:p w14:paraId="10C6DE29" w14:textId="77777777" w:rsidR="00C34E4A" w:rsidRPr="002B7989" w:rsidRDefault="00C34E4A">
      <w:pPr>
        <w:shd w:val="clear" w:color="auto" w:fill="FFFFFF"/>
        <w:spacing w:after="0" w:line="240" w:lineRule="auto"/>
        <w:ind w:firstLine="709"/>
        <w:rPr>
          <w:rFonts w:eastAsia="Times New Roman"/>
          <w:color w:val="000000"/>
          <w:lang w:eastAsia="ru-RU"/>
        </w:rPr>
      </w:pPr>
      <w:r>
        <w:rPr>
          <w:rFonts w:eastAsia="Times New Roman"/>
          <w:color w:val="000000"/>
          <w:lang w:eastAsia="ru-RU"/>
        </w:rPr>
        <w:t xml:space="preserve">Сообщается, что </w:t>
      </w:r>
      <w:r w:rsidRPr="002B7989">
        <w:rPr>
          <w:rFonts w:eastAsia="Times New Roman"/>
          <w:color w:val="000000"/>
          <w:lang w:eastAsia="ru-RU"/>
        </w:rPr>
        <w:t xml:space="preserve">данные, полученные из пострегистрационных источников, не содержат никакой новой информации. Спонтанные сообщения о </w:t>
      </w:r>
      <w:r>
        <w:rPr>
          <w:rFonts w:eastAsia="Times New Roman"/>
          <w:color w:val="000000"/>
          <w:lang w:eastAsia="ru-RU"/>
        </w:rPr>
        <w:t>НЯ</w:t>
      </w:r>
      <w:r w:rsidRPr="002B7989">
        <w:rPr>
          <w:rFonts w:eastAsia="Times New Roman"/>
          <w:color w:val="000000"/>
          <w:lang w:eastAsia="ru-RU"/>
        </w:rPr>
        <w:t xml:space="preserve"> после регистрации соответствуют установленному профилю безопасности барицитиниба.</w:t>
      </w:r>
    </w:p>
    <w:p w14:paraId="384588DD" w14:textId="77777777" w:rsidR="00C34E4A" w:rsidRPr="002B7989" w:rsidRDefault="00C34E4A">
      <w:pPr>
        <w:shd w:val="clear" w:color="auto" w:fill="FFFFFF"/>
        <w:spacing w:after="0" w:line="240" w:lineRule="auto"/>
        <w:ind w:firstLine="708"/>
        <w:rPr>
          <w:rFonts w:eastAsia="Times New Roman"/>
          <w:color w:val="000000"/>
          <w:lang w:eastAsia="ru-RU"/>
        </w:rPr>
      </w:pPr>
      <w:r w:rsidRPr="002B7989">
        <w:rPr>
          <w:rFonts w:eastAsia="Times New Roman"/>
          <w:color w:val="000000"/>
          <w:lang w:eastAsia="ru-RU"/>
        </w:rPr>
        <w:t xml:space="preserve">Большинство случаев </w:t>
      </w:r>
      <w:r>
        <w:rPr>
          <w:rFonts w:eastAsia="Times New Roman"/>
          <w:color w:val="000000"/>
          <w:lang w:eastAsia="ru-RU"/>
        </w:rPr>
        <w:t>ОИ</w:t>
      </w:r>
      <w:r w:rsidRPr="002B7989">
        <w:rPr>
          <w:rFonts w:eastAsia="Times New Roman"/>
          <w:color w:val="000000"/>
          <w:lang w:eastAsia="ru-RU"/>
        </w:rPr>
        <w:t xml:space="preserve"> было зарегистрировано у пожилых пациентов, 36,2% </w:t>
      </w:r>
      <w:r>
        <w:rPr>
          <w:rFonts w:eastAsia="Times New Roman"/>
          <w:color w:val="000000"/>
          <w:lang w:eastAsia="ru-RU"/>
        </w:rPr>
        <w:t>–</w:t>
      </w:r>
      <w:r w:rsidRPr="002B7989">
        <w:rPr>
          <w:rFonts w:eastAsia="Times New Roman"/>
          <w:color w:val="000000"/>
          <w:lang w:eastAsia="ru-RU"/>
        </w:rPr>
        <w:t xml:space="preserve"> при одновременном применении </w:t>
      </w:r>
      <w:r>
        <w:rPr>
          <w:rFonts w:eastAsia="Times New Roman"/>
          <w:color w:val="000000"/>
          <w:lang w:eastAsia="ru-RU"/>
        </w:rPr>
        <w:t>БМАРП</w:t>
      </w:r>
      <w:r w:rsidRPr="002B7989">
        <w:rPr>
          <w:rFonts w:eastAsia="Times New Roman"/>
          <w:color w:val="000000"/>
          <w:lang w:eastAsia="ru-RU"/>
        </w:rPr>
        <w:t xml:space="preserve">, и 32,3% </w:t>
      </w:r>
      <w:r>
        <w:rPr>
          <w:rFonts w:eastAsia="Times New Roman"/>
          <w:color w:val="000000"/>
          <w:lang w:eastAsia="ru-RU"/>
        </w:rPr>
        <w:t>–</w:t>
      </w:r>
      <w:r w:rsidRPr="002B7989">
        <w:rPr>
          <w:rFonts w:eastAsia="Times New Roman"/>
          <w:color w:val="000000"/>
          <w:lang w:eastAsia="ru-RU"/>
        </w:rPr>
        <w:t xml:space="preserve"> при одновременном применении кортикостероидов. Гематологические явления были в основном несерьезными (84,8%) и включали анемию и снижение количества лейкоцитов как наиболее часто сообщаемые явления. Сообщалось о двух серьезных случаях агранулоцитоза</w:t>
      </w:r>
      <w:r>
        <w:rPr>
          <w:rFonts w:eastAsia="Times New Roman"/>
          <w:color w:val="000000"/>
          <w:lang w:eastAsia="ru-RU"/>
        </w:rP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2B7989">
        <w:rPr>
          <w:rFonts w:eastAsia="Times New Roman"/>
          <w:color w:val="000000"/>
          <w:lang w:eastAsia="ru-RU"/>
        </w:rPr>
        <w:t>.</w:t>
      </w:r>
    </w:p>
    <w:p w14:paraId="5EA05914" w14:textId="77777777" w:rsidR="00C34E4A" w:rsidRDefault="00C34E4A">
      <w:pPr>
        <w:shd w:val="clear" w:color="auto" w:fill="FFFFFF"/>
        <w:spacing w:after="0" w:line="240" w:lineRule="auto"/>
        <w:ind w:firstLine="708"/>
        <w:rPr>
          <w:rFonts w:eastAsia="Times New Roman"/>
          <w:color w:val="000000"/>
          <w:lang w:eastAsia="ru-RU"/>
        </w:rPr>
      </w:pPr>
      <w:r w:rsidRPr="002B7989">
        <w:rPr>
          <w:rFonts w:eastAsia="Times New Roman"/>
          <w:color w:val="000000"/>
          <w:lang w:eastAsia="ru-RU"/>
        </w:rPr>
        <w:t xml:space="preserve">Потенциальные MACE (139 случаев) были зарегистрированы нечасто (коэффициент регистрации 0,06, 0,10 на 100 PYE), при этом 49,0% случаев сообщали об инфаркте миокарда/остром инфаркте миокарда, 28,8% сообщали об инсульте и 22,3% сообщали о смерти от сердечно-сосудистых заболеваний. Большинство событий было у пожилых пациентов с сопутствующими сердечно-сосудистыми заболеваниями и факторами риска. </w:t>
      </w:r>
      <w:r>
        <w:rPr>
          <w:rFonts w:eastAsia="Times New Roman"/>
          <w:color w:val="000000"/>
          <w:lang w:eastAsia="ru-RU"/>
        </w:rPr>
        <w:t>ТГВ</w:t>
      </w:r>
      <w:r w:rsidRPr="002B7989">
        <w:rPr>
          <w:rFonts w:eastAsia="Times New Roman"/>
          <w:color w:val="000000"/>
          <w:lang w:eastAsia="ru-RU"/>
        </w:rPr>
        <w:t xml:space="preserve"> и ТЭЛА регистрировались нечасто (коэффициент регистрации 0,11, 0,19 на 100 PYE). Из 261 ВТЭ 51,7% были ТЭЛА, 36,8% были ТГВ, а 11,5% сообщали о ТЭЛА и ТГВ. Пять случаев закончились летальным исходом и были зарегистрированы у пожилых пациентов с множественными факторами риска. Большинство пациентов, сообщающих о ВТЭ, имели факторы риска, включая возраст старше 50 лет, наличие ВТЭ в анамнезе, отсутствие подвижности и ожирение. Из зарегистрированных случаев ВТЭ около 58% были у пациентов, получавших барицитиниб в дозе 4 мг, и 21 % </w:t>
      </w:r>
      <w:r>
        <w:rPr>
          <w:rFonts w:eastAsia="Times New Roman"/>
          <w:color w:val="000000"/>
          <w:lang w:eastAsia="ru-RU"/>
        </w:rPr>
        <w:t>–</w:t>
      </w:r>
      <w:r w:rsidRPr="002B7989">
        <w:rPr>
          <w:rFonts w:eastAsia="Times New Roman"/>
          <w:color w:val="000000"/>
          <w:lang w:eastAsia="ru-RU"/>
        </w:rPr>
        <w:t xml:space="preserve"> у пациентов, получавших барицитиниб в дозе 2 мг, 21% не сообщали о дозе. О перфорациях </w:t>
      </w:r>
      <w:r>
        <w:rPr>
          <w:rFonts w:eastAsia="Times New Roman"/>
          <w:color w:val="000000"/>
          <w:lang w:eastAsia="ru-RU"/>
        </w:rPr>
        <w:t>ЖКТ</w:t>
      </w:r>
      <w:r w:rsidRPr="002B7989">
        <w:rPr>
          <w:rFonts w:eastAsia="Times New Roman"/>
          <w:color w:val="000000"/>
          <w:lang w:eastAsia="ru-RU"/>
        </w:rPr>
        <w:t xml:space="preserve"> сообщалось редко (частота сообщений 0,017%), и большинство сообщений касались перфорации толстой кишки или перитонита. Летальных исходов было 4 (1 перфорация тонкой кишки, 1 перитонит, 1 перфорация кишки и 1 перфорация толстой кишки). О повышении уровня </w:t>
      </w:r>
      <w:r>
        <w:rPr>
          <w:rFonts w:eastAsia="Times New Roman"/>
          <w:color w:val="000000"/>
          <w:lang w:eastAsia="ru-RU"/>
        </w:rPr>
        <w:t>креатинфосфокиназы</w:t>
      </w:r>
      <w:r w:rsidRPr="002B7989">
        <w:rPr>
          <w:rFonts w:eastAsia="Times New Roman"/>
          <w:color w:val="000000"/>
          <w:lang w:eastAsia="ru-RU"/>
        </w:rPr>
        <w:t xml:space="preserve"> сообщалось нечасто (коэффициент сообщения 0,08%). Кроме того, было зарегистрировано 4 случая (коэффициент регистрации 0,0017%) рабдомиолиза; однако это не были подтвержденные сообщения. О злокачественных новообразованиях сообщалось нечасто (коэффициент регистрации 0,14%, 0,24 на 100 PYE), чаще всего сообщалось об новообразованиях легких (14,0% случаев злокачественных новообразований), что является известным риском для населения с РА. Другие часто сообщаемые злокачественные новообразования включали новообразования кожи (10,9%), рак молочной железы (9,8%) и лимфому (9,2%). Из всех случаев злокачественных новообразований 11% имели летальные исходы, которые в основном были связаны с прогрессированием злокачественного новообразования или метастазами. О нарушениях со стороны печени сообщалось нечасто (коэффициент регистрации 0,35%), 89,7% были несерьезными, и большинство из них были связаны с повышением уровня </w:t>
      </w:r>
      <w:r w:rsidRPr="002B7989">
        <w:rPr>
          <w:rFonts w:eastAsia="Times New Roman"/>
          <w:color w:val="000000"/>
          <w:lang w:eastAsia="ru-RU"/>
        </w:rPr>
        <w:lastRenderedPageBreak/>
        <w:t xml:space="preserve">АЛТ и АСТ. Зафиксировано 4 летальных случая со следующими нарушениями функции печени: 1 случай гепатоцеллюлярного повреждения и метастазов в печень, 1 случай печеночной недостаточности и печеночной энцефалопатии с наличием в анамнезе </w:t>
      </w:r>
      <w:r>
        <w:rPr>
          <w:rFonts w:eastAsia="Times New Roman"/>
          <w:color w:val="000000"/>
          <w:lang w:eastAsia="ru-RU"/>
        </w:rPr>
        <w:t xml:space="preserve">гепатита </w:t>
      </w:r>
      <w:r w:rsidRPr="002B7989">
        <w:rPr>
          <w:rFonts w:eastAsia="Times New Roman"/>
          <w:color w:val="000000"/>
          <w:lang w:eastAsia="ru-RU"/>
        </w:rPr>
        <w:t>В и положительными антителами, 1 случай печеночной недостаточности у пациента, принимавшего барицитиниб не по назначению</w:t>
      </w:r>
      <w:r>
        <w:rPr>
          <w:rFonts w:eastAsia="Times New Roman"/>
          <w:color w:val="000000"/>
          <w:lang w:eastAsia="ru-RU"/>
        </w:rPr>
        <w:t xml:space="preserve"> </w:t>
      </w:r>
      <w:r w:rsidRPr="002B7989">
        <w:rPr>
          <w:rFonts w:eastAsia="Times New Roman"/>
          <w:color w:val="000000"/>
          <w:lang w:eastAsia="ru-RU"/>
        </w:rPr>
        <w:t xml:space="preserve">и 1 случай портальной гипертензии, злоупотребление алкоголем в анамнезе. Среди этих пациентов, у которых развились печеночные явления, связанное с барицитинибом </w:t>
      </w:r>
      <w:r>
        <w:rPr>
          <w:rFonts w:eastAsia="Times New Roman"/>
          <w:color w:val="000000"/>
          <w:lang w:eastAsia="ru-RU"/>
        </w:rPr>
        <w:t>ЛПП</w:t>
      </w:r>
      <w:r w:rsidRPr="002B7989">
        <w:rPr>
          <w:rFonts w:eastAsia="Times New Roman"/>
          <w:color w:val="000000"/>
          <w:lang w:eastAsia="ru-RU"/>
        </w:rPr>
        <w:t xml:space="preserve"> не могло быть ни подтверждено, ни казалось вероятным на основании имеющейся информации</w:t>
      </w:r>
      <w:r>
        <w:rPr>
          <w:rFonts w:eastAsia="Times New Roman"/>
          <w:color w:val="000000"/>
          <w:lang w:eastAsia="ru-RU"/>
        </w:rPr>
        <w:t xml:space="preserve"> </w:t>
      </w:r>
      <w:r>
        <w:fldChar w:fldCharType="begin"/>
      </w:r>
      <w:r>
        <w:instrText xml:space="preserve"> ADDIN ZOTERO_ITEM CSL_CITATION {"citationID":"pCZ1lX1k","properties":{"formattedCitation":"[2]","plainCitation":"[2]","noteIndex":0},"citationItems":[{"id":3827,"uris":["http://zotero.org/groups/4514912/items/LB74K8KI"],"itemData":{"id":3827,"type":"document","title":"Assessment report. Olumiant. International non-proprietary name: baricitinib. Procedure No. EMEA/H/C/004085/II/0029/G. 2022"}}],"schema":"https://github.com/citation-style-language/schema/raw/master/csl-citation.json"} </w:instrText>
      </w:r>
      <w:r>
        <w:fldChar w:fldCharType="separate"/>
      </w:r>
      <w:r w:rsidRPr="006D54B4">
        <w:t>[2]</w:t>
      </w:r>
      <w:r>
        <w:fldChar w:fldCharType="end"/>
      </w:r>
      <w:r w:rsidRPr="002B7989">
        <w:rPr>
          <w:rFonts w:eastAsia="Times New Roman"/>
          <w:color w:val="000000"/>
          <w:lang w:eastAsia="ru-RU"/>
        </w:rPr>
        <w:t>.</w:t>
      </w:r>
    </w:p>
    <w:p w14:paraId="48864974" w14:textId="77777777" w:rsidR="00C34E4A" w:rsidRPr="002F4447" w:rsidRDefault="00C34E4A" w:rsidP="00C34E4A">
      <w:pPr>
        <w:pStyle w:val="2"/>
        <w:spacing w:line="240" w:lineRule="auto"/>
        <w:rPr>
          <w:color w:val="000000" w:themeColor="text1"/>
          <w:szCs w:val="24"/>
          <w:lang w:val="en-US"/>
        </w:rPr>
      </w:pPr>
      <w:bookmarkStart w:id="198" w:name="_Toc120288186"/>
      <w:r>
        <w:rPr>
          <w:color w:val="000000" w:themeColor="text1"/>
          <w:szCs w:val="24"/>
        </w:rPr>
        <w:t>Список</w:t>
      </w:r>
      <w:r w:rsidRPr="002F4447">
        <w:rPr>
          <w:color w:val="000000" w:themeColor="text1"/>
          <w:szCs w:val="24"/>
          <w:lang w:val="en-US"/>
        </w:rPr>
        <w:t xml:space="preserve"> </w:t>
      </w:r>
      <w:r>
        <w:rPr>
          <w:color w:val="000000" w:themeColor="text1"/>
          <w:szCs w:val="24"/>
        </w:rPr>
        <w:t>литературы</w:t>
      </w:r>
      <w:bookmarkEnd w:id="198"/>
    </w:p>
    <w:p w14:paraId="62BCC446" w14:textId="77777777" w:rsidR="00C34E4A" w:rsidRPr="006D54B4" w:rsidRDefault="00C34E4A" w:rsidP="00C34E4A">
      <w:pPr>
        <w:pStyle w:val="afff2"/>
        <w:rPr>
          <w:lang w:val="en-US"/>
        </w:rPr>
      </w:pPr>
      <w:r>
        <w:fldChar w:fldCharType="begin"/>
      </w:r>
      <w:r w:rsidRPr="002F4447">
        <w:rPr>
          <w:lang w:val="en-US"/>
        </w:rPr>
        <w:instrText xml:space="preserve"> ADDIN ZOTERO_BIBL {"uncited":[],"omitted":[],"custom":[]} CSL_BIBLIOGRAPHY </w:instrText>
      </w:r>
      <w:r>
        <w:fldChar w:fldCharType="separate"/>
      </w:r>
      <w:r w:rsidRPr="006D54B4">
        <w:rPr>
          <w:lang w:val="en-US"/>
        </w:rPr>
        <w:t>1.</w:t>
      </w:r>
      <w:r w:rsidRPr="006D54B4">
        <w:rPr>
          <w:lang w:val="en-US"/>
        </w:rPr>
        <w:tab/>
        <w:t>Assessment report. Olumiant International non-proprietary name: baricitinib. Procedure No. EMEA/H/C/004085/0000. 2016.</w:t>
      </w:r>
    </w:p>
    <w:p w14:paraId="7EC2A929" w14:textId="77777777" w:rsidR="00C34E4A" w:rsidRPr="00C34E4A" w:rsidRDefault="00C34E4A" w:rsidP="00C34E4A">
      <w:pPr>
        <w:pStyle w:val="afff2"/>
        <w:rPr>
          <w:lang w:val="en-US"/>
        </w:rPr>
      </w:pPr>
      <w:r w:rsidRPr="006D54B4">
        <w:rPr>
          <w:lang w:val="en-US"/>
        </w:rPr>
        <w:t>2.</w:t>
      </w:r>
      <w:r w:rsidRPr="006D54B4">
        <w:rPr>
          <w:lang w:val="en-US"/>
        </w:rPr>
        <w:tab/>
        <w:t xml:space="preserve">Assessment report. Olumiant. International non-proprietary name: baricitinib. </w:t>
      </w:r>
      <w:r w:rsidRPr="00C34E4A">
        <w:rPr>
          <w:lang w:val="en-US"/>
        </w:rPr>
        <w:t>Procedure No. EMEA/H/C/004085/II/0029/G. 2022.</w:t>
      </w:r>
    </w:p>
    <w:p w14:paraId="0CE09424" w14:textId="77777777" w:rsidR="00C34E4A" w:rsidRPr="006D54B4" w:rsidRDefault="00C34E4A" w:rsidP="00C34E4A">
      <w:pPr>
        <w:pStyle w:val="afff2"/>
        <w:rPr>
          <w:lang w:val="en-US"/>
        </w:rPr>
      </w:pPr>
      <w:r w:rsidRPr="006D54B4">
        <w:rPr>
          <w:lang w:val="en-US"/>
        </w:rPr>
        <w:t>3.</w:t>
      </w:r>
      <w:r w:rsidRPr="006D54B4">
        <w:rPr>
          <w:lang w:val="en-US"/>
        </w:rPr>
        <w:tab/>
        <w:t>Australian Public Assessment Report for Baricitinib. Proprietary Product Name: Olumiant. Sponsor: Eli Lilly Australia Pty Ltd. 2019.</w:t>
      </w:r>
    </w:p>
    <w:p w14:paraId="1E9FE180" w14:textId="77777777" w:rsidR="00C34E4A" w:rsidRPr="006D54B4" w:rsidRDefault="00C34E4A" w:rsidP="00C34E4A">
      <w:pPr>
        <w:pStyle w:val="afff2"/>
      </w:pPr>
      <w:r w:rsidRPr="006D54B4">
        <w:t>4.</w:t>
      </w:r>
      <w:r w:rsidRPr="006D54B4">
        <w:tab/>
        <w:t>Инструкция по медицинскому применению препарата Олюмиант. 2022.</w:t>
      </w:r>
    </w:p>
    <w:p w14:paraId="769ABCB8" w14:textId="77777777" w:rsidR="00C34E4A" w:rsidRPr="006D54B4" w:rsidRDefault="00C34E4A" w:rsidP="00C34E4A">
      <w:pPr>
        <w:pStyle w:val="afff2"/>
        <w:rPr>
          <w:lang w:val="en-US"/>
        </w:rPr>
      </w:pPr>
      <w:r w:rsidRPr="006D54B4">
        <w:rPr>
          <w:lang w:val="en-US"/>
        </w:rPr>
        <w:t>5.</w:t>
      </w:r>
      <w:r w:rsidRPr="006D54B4">
        <w:rPr>
          <w:lang w:val="en-US"/>
        </w:rPr>
        <w:tab/>
        <w:t>Lin Z, Niu J, Xu Y, Qin L, Ding J, Zhou L. Clinical efficacy and adverse events of baricitinib treatment for coronavirus disease-2019 (COVID-19): A systematic review and meta-analysis. J Med Virol. 2022 Apr;94(4):1523-1534. doi: 10.1002/jmv.27482. Epub 2021 Dec 13. PMID: 34846766; PMCID: PMC9015594.</w:t>
      </w:r>
    </w:p>
    <w:p w14:paraId="2946DB27" w14:textId="77777777" w:rsidR="00C34E4A" w:rsidRPr="006D54B4" w:rsidRDefault="00C34E4A" w:rsidP="00C34E4A">
      <w:pPr>
        <w:pStyle w:val="afff2"/>
        <w:rPr>
          <w:lang w:val="en-US"/>
        </w:rPr>
      </w:pPr>
      <w:r w:rsidRPr="006D54B4">
        <w:rPr>
          <w:lang w:val="en-US"/>
        </w:rPr>
        <w:t>6.</w:t>
      </w:r>
      <w:r w:rsidRPr="006D54B4">
        <w:rPr>
          <w:lang w:val="en-US"/>
        </w:rPr>
        <w:tab/>
        <w:t>Summary of product characteristics. Olumiant.</w:t>
      </w:r>
    </w:p>
    <w:p w14:paraId="1E5227D5" w14:textId="77777777" w:rsidR="00C34E4A" w:rsidRPr="006D54B4" w:rsidRDefault="00C34E4A" w:rsidP="00C34E4A">
      <w:pPr>
        <w:pStyle w:val="afff2"/>
        <w:rPr>
          <w:lang w:val="en-US"/>
        </w:rPr>
      </w:pPr>
      <w:r w:rsidRPr="006D54B4">
        <w:rPr>
          <w:lang w:val="en-US"/>
        </w:rPr>
        <w:t>7.</w:t>
      </w:r>
      <w:r w:rsidRPr="006D54B4">
        <w:rPr>
          <w:lang w:val="en-US"/>
        </w:rPr>
        <w:tab/>
        <w:t>Ely EW, Ramanan AV, Kartman CE, de Bono S, Liao R, Piruzeli MLB, Goldman JD, Saraiva JFK, Chakladar S, Marconi VC; COV-BARRIER Study Group. Efficacy and safety of baricitinib plus standard of care for the treatment of critically ill hospitalised adults with COVID-19 on invasive mechanical ventilation or extracorporeal membrane oxygenation: an exploratory, randomised, placebo-controlled trial. Lancet Respir Med. 2022 Apr;10(4):327-336. doi: 10.1016/S2213-2600(22)00006-6. Epub 2022 Feb 3. Erratum in: Lancet Respir Med. 2022 Feb 11;: PMID: 35123660; PMCID: PMC8813065.</w:t>
      </w:r>
    </w:p>
    <w:p w14:paraId="50CEE6DA" w14:textId="77777777" w:rsidR="00C34E4A" w:rsidRPr="006D54B4" w:rsidRDefault="00C34E4A" w:rsidP="00C34E4A">
      <w:pPr>
        <w:pStyle w:val="afff2"/>
        <w:rPr>
          <w:lang w:val="en-US"/>
        </w:rPr>
      </w:pPr>
      <w:r w:rsidRPr="006D54B4">
        <w:rPr>
          <w:lang w:val="en-US"/>
        </w:rPr>
        <w:t>8.</w:t>
      </w:r>
      <w:r w:rsidRPr="006D54B4">
        <w:rPr>
          <w:lang w:val="en-US"/>
        </w:rPr>
        <w:tab/>
        <w:t>Sarah C.J. Jorgensen Christopher L.Y. Tse,Lisa Burry, and Linda D. Dresser. Baricitinib: A Review of Pharmacology, Safety, and Emerging Clinical Experience in COVID-19. Pharmacotherapy 2020;40(8):843–856) doi: 10.1002/phar.2438.</w:t>
      </w:r>
    </w:p>
    <w:p w14:paraId="2C7B162F" w14:textId="77777777" w:rsidR="00C34E4A" w:rsidRPr="006D54B4" w:rsidRDefault="00C34E4A" w:rsidP="00C34E4A">
      <w:pPr>
        <w:pStyle w:val="afff2"/>
        <w:rPr>
          <w:lang w:val="en-US"/>
        </w:rPr>
      </w:pPr>
      <w:r w:rsidRPr="006D54B4">
        <w:rPr>
          <w:lang w:val="en-US"/>
        </w:rPr>
        <w:t>9.</w:t>
      </w:r>
      <w:r w:rsidRPr="006D54B4">
        <w:rPr>
          <w:lang w:val="en-US"/>
        </w:rPr>
        <w:tab/>
        <w:t>Yasuda Y, Hirayama Y, Uemasu K, Arasawa S, Iwashima D, Takahashi KI. Efficacy of the combination of baricitinib, remdesivir, and dexamethasone in hypoxic adults with COVID-19: A retrospective study. Respir Med Res. 2022 May;81:100903. doi: 10.1016/j.resmer.2022.100903. Epub 2022 Mar 19. PMID: 35316675; PMCID: PMC8933643.</w:t>
      </w:r>
    </w:p>
    <w:p w14:paraId="090ECC83" w14:textId="77777777" w:rsidR="00C34E4A" w:rsidRPr="006D54B4" w:rsidRDefault="00C34E4A" w:rsidP="00C34E4A">
      <w:pPr>
        <w:pStyle w:val="afff2"/>
        <w:rPr>
          <w:lang w:val="en-US"/>
        </w:rPr>
      </w:pPr>
      <w:r w:rsidRPr="006D54B4">
        <w:rPr>
          <w:lang w:val="en-US"/>
        </w:rPr>
        <w:t>10.</w:t>
      </w:r>
      <w:r w:rsidRPr="006D54B4">
        <w:rPr>
          <w:lang w:val="en-US"/>
        </w:rPr>
        <w:tab/>
        <w:t>Thoms BL, Gosselin J, Libman B, Littenberg B, Budd RC. Efficacy of Combination Therapy with the JAK Inhibitor Baricitinib in the Treatment of COVID-19. SN Compr Clin Med. 2022;4(1):42. doi: 10.1007/s42399-022-01121-4. Epub 2022 Jan 21. PMID: 35079694; PMCID: PMC8776555.</w:t>
      </w:r>
    </w:p>
    <w:p w14:paraId="17C8835A" w14:textId="77777777" w:rsidR="00C34E4A" w:rsidRPr="006D54B4" w:rsidRDefault="00C34E4A" w:rsidP="00C34E4A">
      <w:pPr>
        <w:pStyle w:val="afff2"/>
        <w:rPr>
          <w:lang w:val="en-US"/>
        </w:rPr>
      </w:pPr>
      <w:r w:rsidRPr="006D54B4">
        <w:rPr>
          <w:lang w:val="en-US"/>
        </w:rPr>
        <w:t>11.</w:t>
      </w:r>
      <w:r w:rsidRPr="006D54B4">
        <w:rPr>
          <w:lang w:val="en-US"/>
        </w:rPr>
        <w:tab/>
        <w:t xml:space="preserve">Marconi VC, Ramanan AV, de Bono S, Kartman CE, Krishnan V, Liao R, Piruzeli MLB, Goldman JD, Alatorre-Alexander J, de Cassia Pellegrini R, Estrada V, Som M, Cardoso A, Chakladar S, Crowe B, Reis P, Zhang X, Adams DH, Ely EW; COV-BARRIER Study Group. Efficacy and safety of baricitinib for the treatment of hospitalised adults with COVID-19 (COV-BARRIER): a randomised, double-blind, parallel-group, placebo-controlled phase 3 trial. Lancet Respir Med. 2021 Dec;9(12):1407-1418. doi: </w:t>
      </w:r>
      <w:r w:rsidRPr="006D54B4">
        <w:rPr>
          <w:lang w:val="en-US"/>
        </w:rPr>
        <w:lastRenderedPageBreak/>
        <w:t>10.1016/S2213-2600(21)00331-3. Epub 2021 Sep 1. Erratum in: Lancet Respir Med. 2021 Oct;9(10):e102. PMID: 34480861; PMCID: PMC8409066.</w:t>
      </w:r>
    </w:p>
    <w:p w14:paraId="0263CB4C" w14:textId="77777777" w:rsidR="00C34E4A" w:rsidRPr="006D54B4" w:rsidRDefault="00C34E4A" w:rsidP="00C34E4A">
      <w:pPr>
        <w:pStyle w:val="afff2"/>
      </w:pPr>
      <w:r w:rsidRPr="006D54B4">
        <w:rPr>
          <w:lang w:val="en-US"/>
        </w:rPr>
        <w:t>12.</w:t>
      </w:r>
      <w:r w:rsidRPr="006D54B4">
        <w:rPr>
          <w:lang w:val="en-US"/>
        </w:rPr>
        <w:tab/>
        <w:t xml:space="preserve">Bieber T, Thyssen JP, Reich K, Simpson EL, Katoh N, Torrelo A, De Bruin-Weller M, Thaci D, Bissonnette R, Gooderham M, Weisman J, Nunes F, Brinker D, Issa M, Holzwarth K, Gamalo M, Riedl E, Janes J. Pooled safety analysis of baricitinib in adult patients with atopic dermatitis from 8 randomized clinical trials. J Eur Acad Dermatol Venereol. 2021 Feb;35(2):476-485. doi: 10.1111/jdv.16948. Epub 2020 Oct 6. </w:t>
      </w:r>
      <w:r w:rsidRPr="006D54B4">
        <w:t>PMID: 32926462.</w:t>
      </w:r>
    </w:p>
    <w:p w14:paraId="02DCD565" w14:textId="77777777" w:rsidR="0029110D" w:rsidRDefault="00C34E4A" w:rsidP="0029110D">
      <w:pPr>
        <w:spacing w:after="0" w:line="240" w:lineRule="auto"/>
      </w:pPr>
      <w:r>
        <w:fldChar w:fldCharType="end"/>
      </w:r>
      <w:bookmarkEnd w:id="134"/>
    </w:p>
    <w:p w14:paraId="22D4B455" w14:textId="25D0DDD2" w:rsidR="008B7FBF" w:rsidRPr="0029110D" w:rsidRDefault="008B7FBF" w:rsidP="0029110D">
      <w:pPr>
        <w:pStyle w:val="12"/>
        <w:spacing w:line="240" w:lineRule="auto"/>
        <w:rPr>
          <w:rFonts w:cs="Times New Roman"/>
          <w:color w:val="000000" w:themeColor="text1"/>
        </w:rPr>
      </w:pPr>
      <w:bookmarkStart w:id="199" w:name="_Toc120288187"/>
      <w:r w:rsidRPr="0029110D">
        <w:rPr>
          <w:rFonts w:cs="Times New Roman"/>
        </w:rPr>
        <w:t>5. ОБСУЖДЕНИЕ ДАННЫХ И ИНСТРУКЦИИ ДЛЯ ИССЛЕДОВАТЕЛЯ</w:t>
      </w:r>
      <w:bookmarkEnd w:id="199"/>
    </w:p>
    <w:p w14:paraId="5516EB6E" w14:textId="77777777" w:rsidR="008B7FBF" w:rsidRPr="00095D49" w:rsidRDefault="008B7FBF" w:rsidP="0066562E">
      <w:pPr>
        <w:pStyle w:val="2"/>
        <w:spacing w:line="240" w:lineRule="auto"/>
        <w:rPr>
          <w:color w:val="000000" w:themeColor="text1"/>
          <w:szCs w:val="24"/>
        </w:rPr>
      </w:pPr>
      <w:bookmarkStart w:id="200" w:name="_Toc120288188"/>
      <w:r w:rsidRPr="00095D49">
        <w:rPr>
          <w:color w:val="000000" w:themeColor="text1"/>
          <w:szCs w:val="24"/>
        </w:rPr>
        <w:t>5.1. Обсуждение данных доклинических исследований</w:t>
      </w:r>
      <w:bookmarkEnd w:id="200"/>
    </w:p>
    <w:p w14:paraId="4BC26C40" w14:textId="2ABEA6E5" w:rsidR="006A5654" w:rsidRPr="007F4B68" w:rsidRDefault="0051605E" w:rsidP="006A5654">
      <w:pPr>
        <w:spacing w:after="0" w:line="240" w:lineRule="auto"/>
        <w:ind w:firstLine="709"/>
        <w:rPr>
          <w:bCs/>
          <w:color w:val="000000" w:themeColor="text1"/>
          <w:lang w:bidi="ru-RU"/>
        </w:rPr>
      </w:pPr>
      <w:bookmarkStart w:id="201" w:name="_Hlk484355353"/>
      <w:r>
        <w:rPr>
          <w:rFonts w:eastAsia="Calibri"/>
          <w:color w:val="000000" w:themeColor="text1"/>
        </w:rPr>
        <w:t xml:space="preserve">Так как препарат </w:t>
      </w:r>
      <w:r>
        <w:rPr>
          <w:lang w:val="en-US" w:eastAsia="ru-RU"/>
        </w:rPr>
        <w:t>D</w:t>
      </w:r>
      <w:r>
        <w:rPr>
          <w:lang w:eastAsia="ru-RU"/>
        </w:rPr>
        <w:t>T-</w:t>
      </w:r>
      <w:r>
        <w:rPr>
          <w:lang w:val="en-US"/>
        </w:rPr>
        <w:t>BRC</w:t>
      </w:r>
      <w:r>
        <w:rPr>
          <w:rFonts w:eastAsia="Calibri"/>
        </w:rPr>
        <w:t xml:space="preserve"> (АО «Р-Фарм», Россия) представляет собой воспроизведенный препарат </w:t>
      </w:r>
      <w:r>
        <w:t>барицитиниба</w:t>
      </w:r>
      <w:r>
        <w:rPr>
          <w:rFonts w:eastAsia="Calibri"/>
        </w:rPr>
        <w:t xml:space="preserve">, который </w:t>
      </w:r>
      <w:r>
        <w:rPr>
          <w:color w:val="000000"/>
        </w:rPr>
        <w:t xml:space="preserve">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00DB46DB">
        <w:rPr>
          <w:color w:val="000000"/>
        </w:rPr>
        <w:t>барицитиниба</w:t>
      </w:r>
      <w:r>
        <w:rPr>
          <w:color w:val="000000"/>
        </w:rPr>
        <w:t xml:space="preserve"> </w:t>
      </w:r>
      <w:r>
        <w:rPr>
          <w:color w:val="000000" w:themeColor="text1"/>
        </w:rPr>
        <w:t>Олумиант</w:t>
      </w:r>
      <w:r w:rsidRPr="00AB1FF1">
        <w:rPr>
          <w:color w:val="000000" w:themeColor="text1"/>
          <w:vertAlign w:val="superscript"/>
        </w:rPr>
        <w:t>®</w:t>
      </w:r>
      <w:r w:rsidRPr="00937079">
        <w:rPr>
          <w:color w:val="000000" w:themeColor="text1"/>
        </w:rPr>
        <w:t>, таблетки,</w:t>
      </w:r>
      <w:r>
        <w:rPr>
          <w:color w:val="000000" w:themeColor="text1"/>
        </w:rPr>
        <w:t xml:space="preserve"> покрытые пленочной оболочкой,</w:t>
      </w:r>
      <w:r w:rsidRPr="00937079">
        <w:rPr>
          <w:color w:val="000000" w:themeColor="text1"/>
        </w:rPr>
        <w:t xml:space="preserve"> </w:t>
      </w:r>
      <w:r>
        <w:rPr>
          <w:color w:val="000000" w:themeColor="text1"/>
        </w:rPr>
        <w:t>4</w:t>
      </w:r>
      <w:r w:rsidRPr="00937079">
        <w:rPr>
          <w:color w:val="000000" w:themeColor="text1"/>
        </w:rPr>
        <w:t xml:space="preserve"> мг (</w:t>
      </w:r>
      <w:r>
        <w:rPr>
          <w:rFonts w:eastAsia="Calibri"/>
          <w:bCs/>
        </w:rPr>
        <w:t>Эли Лилли Восток С.А., Швейцария</w:t>
      </w:r>
      <w:r w:rsidRPr="00937079">
        <w:rPr>
          <w:color w:val="000000" w:themeColor="text1"/>
        </w:rPr>
        <w:t>)</w:t>
      </w:r>
      <w:r w:rsidRPr="00937079">
        <w:t>,</w:t>
      </w:r>
      <w:r w:rsidRPr="00974DEA">
        <w:t xml:space="preserve"> </w:t>
      </w:r>
      <w:r>
        <w:t>имея отличия в количественном и качественном составе оболочки таблетки,</w:t>
      </w:r>
      <w:r w:rsidRPr="00937079">
        <w:t xml:space="preserve"> </w:t>
      </w:r>
      <w:r w:rsidRPr="00707D60">
        <w:t>ожидается, что его свойства</w:t>
      </w:r>
      <w:r>
        <w:rPr>
          <w:rFonts w:eastAsia="Calibri"/>
        </w:rPr>
        <w:t xml:space="preserve"> будут идентичны свойствам оригинального препарата. </w:t>
      </w:r>
      <w:r>
        <w:t xml:space="preserve">Для прогнозирования токсического действия, планируемого к регистрации и коммерческому выпуску препарата </w:t>
      </w:r>
      <w:r>
        <w:rPr>
          <w:lang w:val="en-US" w:eastAsia="ru-RU"/>
        </w:rPr>
        <w:t>D</w:t>
      </w:r>
      <w:r>
        <w:rPr>
          <w:lang w:eastAsia="ru-RU"/>
        </w:rPr>
        <w:t>T-</w:t>
      </w:r>
      <w:r>
        <w:rPr>
          <w:lang w:val="en-US"/>
        </w:rPr>
        <w:t>BRC</w:t>
      </w:r>
      <w:r w:rsidRPr="00DC0423">
        <w:t>,</w:t>
      </w:r>
      <w:r>
        <w:rPr>
          <w:rFonts w:eastAsia="Calibri"/>
        </w:rPr>
        <w:t xml:space="preserve"> </w:t>
      </w:r>
      <w:r>
        <w:t xml:space="preserve">были проанализированы данные исследований по изучению фармакологии и токсикологии оригинального препарата барицитиниба. Поскольку лекарственный препарат </w:t>
      </w:r>
      <w:r>
        <w:rPr>
          <w:lang w:val="en-US" w:eastAsia="ru-RU"/>
        </w:rPr>
        <w:t>D</w:t>
      </w:r>
      <w:r>
        <w:rPr>
          <w:lang w:eastAsia="ru-RU"/>
        </w:rPr>
        <w:t>T-</w:t>
      </w:r>
      <w:r>
        <w:rPr>
          <w:lang w:val="en-US"/>
        </w:rPr>
        <w:t>BRC</w:t>
      </w:r>
      <w:r>
        <w:rPr>
          <w:rFonts w:eastAsia="Calibri"/>
        </w:rPr>
        <w:t xml:space="preserve"> </w:t>
      </w:r>
      <w:r>
        <w:t>является воспроизведенным препаратом, собственные доклинические исследования не проводились</w:t>
      </w:r>
      <w:r w:rsidR="006A5654" w:rsidRPr="007F4B68">
        <w:t>.</w:t>
      </w:r>
    </w:p>
    <w:p w14:paraId="5BA70F81" w14:textId="3AC7A172" w:rsidR="001B62FA" w:rsidRPr="007F4B68" w:rsidRDefault="001B62FA" w:rsidP="001B62FA">
      <w:pPr>
        <w:autoSpaceDE w:val="0"/>
        <w:autoSpaceDN w:val="0"/>
        <w:adjustRightInd w:val="0"/>
        <w:spacing w:after="0" w:line="240" w:lineRule="auto"/>
        <w:ind w:firstLine="708"/>
        <w:rPr>
          <w:lang w:eastAsia="en-US"/>
        </w:rPr>
      </w:pPr>
      <w:r w:rsidRPr="007F4B68">
        <w:rPr>
          <w:bCs/>
          <w:color w:val="000000" w:themeColor="text1"/>
          <w:lang w:bidi="ru-RU"/>
        </w:rPr>
        <w:t xml:space="preserve">Программа фармакологических исследований </w:t>
      </w:r>
      <w:r>
        <w:t>барицитиниба</w:t>
      </w:r>
      <w:r w:rsidRPr="007F4B68">
        <w:rPr>
          <w:bCs/>
          <w:color w:val="000000" w:themeColor="text1"/>
          <w:lang w:bidi="ru-RU"/>
        </w:rPr>
        <w:t xml:space="preserve"> включала исследования первичной фармакодинамики, вторичной фармакодинамики и фармакодинамических взаимодействий.</w:t>
      </w:r>
    </w:p>
    <w:p w14:paraId="330A9F02" w14:textId="77777777" w:rsidR="001B62FA" w:rsidRDefault="001B62FA" w:rsidP="001B62FA">
      <w:pPr>
        <w:spacing w:after="0" w:line="240" w:lineRule="auto"/>
        <w:ind w:firstLine="708"/>
      </w:pPr>
      <w:r>
        <w:t xml:space="preserve">Ингибирующая активность барицитиниба для JAK1, JAK2, тирозинкиназы 2 и JAK3 </w:t>
      </w:r>
      <w:r w:rsidRPr="00394F18">
        <w:t>составила IC</w:t>
      </w:r>
      <w:r w:rsidRPr="00A11971">
        <w:rPr>
          <w:vertAlign w:val="subscript"/>
        </w:rPr>
        <w:t>50</w:t>
      </w:r>
      <w:r>
        <w:t xml:space="preserve"> 5,7; 5,9; 53 и 400 нмоль/л соответственно. Исследования показали, что барицитиниб, вводимый при ≤ максимальной суточной дозе для человека, может ингибировать опосредованную IL-6/IL-2/IL-12/IL-23 активацию путей JAK1/JAK2-JAK2/STAT в Т-клетках человека, а так </w:t>
      </w:r>
      <w:r w:rsidRPr="00394F18">
        <w:t>же IFN-γ,</w:t>
      </w:r>
      <w:r>
        <w:t xml:space="preserve"> IL-17, IL-22 и MCP-1. Это вызывает IL-23-опосредованную дифференцировку наивных CD4+ Т-клеток, в </w:t>
      </w:r>
      <w:r w:rsidRPr="00394F18">
        <w:t>Т-хелперные клетки типа 17 (Th17)</w:t>
      </w:r>
      <w:r>
        <w:t xml:space="preserve"> и IFN-γ</w:t>
      </w:r>
      <w:r w:rsidRPr="00A11971">
        <w:t xml:space="preserve">. </w:t>
      </w:r>
      <w:r>
        <w:t>В ходе исследований с использованием мононуклеарных клеток периферической крови человека установили, что барицитиниб ингибирует передачу сигналов цитокинов наиболее сильно в отношении интерферонов и наименее эффективно в отношении цитокинов, зависимых от передачи сигналов IL-10 и JAK1/3, включая IL-4, IL-15 и IL-21; значения IC</w:t>
      </w:r>
      <w:r w:rsidRPr="00A11971">
        <w:rPr>
          <w:vertAlign w:val="subscript"/>
        </w:rPr>
        <w:t>50</w:t>
      </w:r>
      <w:r>
        <w:t xml:space="preserve"> барицитиниба в целом сопоставимы со значениями тофацитиниба для стимуляции IL-6, IL-10, IFN-α и IFN-γ. Барицитиниб является более мощным ингибитором передачи сигналов через г</w:t>
      </w:r>
      <w:r w:rsidRPr="00394F18">
        <w:t>ранулоцитарно-макрофагальный колониестимулирующий фактор</w:t>
      </w:r>
      <w:r>
        <w:t xml:space="preserve"> по сравнению с тофацитинибом. </w:t>
      </w:r>
    </w:p>
    <w:p w14:paraId="3982CCB8" w14:textId="77777777" w:rsidR="001B62FA" w:rsidRDefault="001B62FA" w:rsidP="001B62FA">
      <w:pPr>
        <w:autoSpaceDE w:val="0"/>
        <w:autoSpaceDN w:val="0"/>
        <w:adjustRightInd w:val="0"/>
        <w:spacing w:after="0" w:line="240" w:lineRule="auto"/>
        <w:ind w:firstLine="708"/>
      </w:pPr>
      <w:r>
        <w:t>На модели артрита у мышей, индуцированного бычьим коллагеном II</w:t>
      </w:r>
      <w:r w:rsidRPr="00814CD9">
        <w:t xml:space="preserve"> </w:t>
      </w:r>
      <w:r>
        <w:t xml:space="preserve">типа, введение барицитиниба вызывало дозозависимое снижение клинической тяжести заболевания без влияния на уровень антител к коллагену в сыворотке. На модели артрита у мышей с антителами против коллагена II типа введение барицитиниба приводило к улучшению клинических признаков заболевания на 13% и 56% соответственно по </w:t>
      </w:r>
      <w:r>
        <w:lastRenderedPageBreak/>
        <w:t>сравнению с контрольной группой. В модели адъювантного артрита у крыс введение барицитиниба приводило к значительному дозозависимому снижению показателей заболевания (≥ 24%) в течение 2 дней после начала лечения.</w:t>
      </w:r>
    </w:p>
    <w:p w14:paraId="69F48323" w14:textId="77777777" w:rsidR="001B62FA" w:rsidRDefault="001B62FA" w:rsidP="001B62FA">
      <w:pPr>
        <w:autoSpaceDE w:val="0"/>
        <w:autoSpaceDN w:val="0"/>
        <w:adjustRightInd w:val="0"/>
        <w:spacing w:after="0" w:line="240" w:lineRule="auto"/>
        <w:ind w:firstLine="708"/>
      </w:pPr>
      <w:r>
        <w:t>Барицитиниб не проявлял фармакологически значимых взаимодействий в стандартной валидированной батарее контролируемых клеточных тестов, которая включала широкий спектр рецепторов, ионных каналов и транспортеров.</w:t>
      </w:r>
    </w:p>
    <w:p w14:paraId="6457BCD0" w14:textId="77777777" w:rsidR="001B62FA" w:rsidRDefault="001B62FA" w:rsidP="001B62FA">
      <w:pPr>
        <w:spacing w:after="0" w:line="240" w:lineRule="auto"/>
        <w:ind w:firstLine="709"/>
        <w:rPr>
          <w:lang w:eastAsia="en-US"/>
        </w:rPr>
      </w:pPr>
      <w:r>
        <w:rPr>
          <w:lang w:eastAsia="en-US"/>
        </w:rPr>
        <w:t xml:space="preserve">В ходе исследований фармакологической безопасности регистрировали влияние барицитиниба на двигательную активность у крыс при введении доз превышающих рекомендованные для человека в 23 раза. Риск удлинения интервала QT за счет ингибирования калиевых каналов барицитинибом минимален. В токсикологических исследованиях многократного введения барицитиниба собакам не выявили неблагоприятного воздействия на параметры </w:t>
      </w:r>
      <w:r w:rsidRPr="00AB4460">
        <w:rPr>
          <w:lang w:eastAsia="en-US"/>
        </w:rPr>
        <w:t>электрокардиограммы</w:t>
      </w:r>
      <w:r>
        <w:rPr>
          <w:lang w:eastAsia="en-US"/>
        </w:rPr>
        <w:t>.</w:t>
      </w:r>
      <w:r w:rsidRPr="00AB4460">
        <w:rPr>
          <w:lang w:eastAsia="en-US"/>
        </w:rPr>
        <w:t xml:space="preserve"> </w:t>
      </w:r>
      <w:r>
        <w:rPr>
          <w:lang w:eastAsia="en-US"/>
        </w:rPr>
        <w:t>Не зарегистрировали влияния на функциональную активность дыхательной системы крыс при внутрижелудочном введении барицитиниба.</w:t>
      </w:r>
    </w:p>
    <w:p w14:paraId="14F3755F" w14:textId="2B293AE5" w:rsidR="001B62FA" w:rsidRDefault="001B62FA" w:rsidP="001B62FA">
      <w:pPr>
        <w:spacing w:after="0" w:line="240" w:lineRule="auto"/>
        <w:ind w:firstLine="708"/>
      </w:pPr>
      <w:r w:rsidRPr="00CC2CC0">
        <w:t xml:space="preserve">На основании исследований </w:t>
      </w:r>
      <w:r w:rsidRPr="009868BC">
        <w:rPr>
          <w:i/>
          <w:iCs/>
        </w:rPr>
        <w:t>in vitro</w:t>
      </w:r>
      <w:r w:rsidRPr="00CC2CC0">
        <w:t xml:space="preserve"> на клетках </w:t>
      </w:r>
      <w:r>
        <w:t>С</w:t>
      </w:r>
      <w:r w:rsidRPr="00CC2CC0">
        <w:t xml:space="preserve">aco-2 барицитиниб имел кажущийся коэффициент проницаемости </w:t>
      </w:r>
      <w:r>
        <w:t xml:space="preserve">в </w:t>
      </w:r>
      <w:r w:rsidRPr="00CC2CC0">
        <w:t>апикально-баз</w:t>
      </w:r>
      <w:r>
        <w:t xml:space="preserve">альном направлении </w:t>
      </w:r>
      <w:r w:rsidRPr="00CC2CC0">
        <w:t>энтеро</w:t>
      </w:r>
      <w:r>
        <w:t xml:space="preserve">цитов </w:t>
      </w:r>
      <w:r w:rsidRPr="00CC2CC0">
        <w:t>от низкого до умеренного.</w:t>
      </w:r>
      <w:r>
        <w:t xml:space="preserve"> </w:t>
      </w:r>
      <w:r w:rsidRPr="00F24A13">
        <w:t xml:space="preserve">Фармакокинетика </w:t>
      </w:r>
      <w:r>
        <w:t>бар</w:t>
      </w:r>
      <w:r w:rsidR="004029E9">
        <w:t>и</w:t>
      </w:r>
      <w:r>
        <w:t xml:space="preserve">цитиниба при </w:t>
      </w:r>
      <w:r w:rsidRPr="00F24A13">
        <w:t>внутривенно</w:t>
      </w:r>
      <w:r>
        <w:t>м</w:t>
      </w:r>
      <w:r w:rsidRPr="00F24A13">
        <w:t xml:space="preserve"> введени</w:t>
      </w:r>
      <w:r>
        <w:t>и</w:t>
      </w:r>
      <w:r w:rsidRPr="00F24A13">
        <w:t xml:space="preserve"> характеризовалась умеренными значениями плазменного </w:t>
      </w:r>
      <w:r w:rsidRPr="00C01A66">
        <w:t xml:space="preserve">клиренса </w:t>
      </w:r>
      <w:r w:rsidRPr="00F24A13">
        <w:t>у крыс (1,3–4,4 л/ч</w:t>
      </w:r>
      <w:r>
        <w:t>*</w:t>
      </w:r>
      <w:r w:rsidRPr="00F24A13">
        <w:t>кг) с более низкими значениями у собак (0,40 л/ч</w:t>
      </w:r>
      <w:r>
        <w:t>*</w:t>
      </w:r>
      <w:r w:rsidRPr="00F24A13">
        <w:t>кг), обезьян (0,36 л/ч</w:t>
      </w:r>
      <w:r>
        <w:t>*</w:t>
      </w:r>
      <w:r w:rsidRPr="00F24A13">
        <w:t>кг) и человека (0,21 л/ч</w:t>
      </w:r>
      <w:r>
        <w:t>*</w:t>
      </w:r>
      <w:r w:rsidRPr="00F24A13">
        <w:t xml:space="preserve">кг). </w:t>
      </w:r>
      <w:r w:rsidRPr="00C01A66">
        <w:t xml:space="preserve">Объем распределения в равновесном состоянии </w:t>
      </w:r>
      <w:r w:rsidRPr="00F24A13">
        <w:t>был умеренным у всех видов со значениями от 1,1 л/кг (обезьяна и человек), 1,4 л/кг у собак до 2,1–6,2 л/кг у крыс. Пероральная биодоступность</w:t>
      </w:r>
      <w:r>
        <w:t xml:space="preserve"> барицитиниба при введении в составе</w:t>
      </w:r>
      <w:r w:rsidRPr="00F24A13">
        <w:t xml:space="preserve"> 0,5% водного раствора метилцеллюлозы была высокой и колебалась от 48% до 54% у собак и крыс, 47–68% у обезьян и 79% у человека. Всасывание при пероральном приеме было относительно быстрым у всех видов</w:t>
      </w:r>
      <w:r>
        <w:t xml:space="preserve">. У разных видов барицитиниб связывается с белками </w:t>
      </w:r>
      <w:r w:rsidRPr="00F24A13">
        <w:rPr>
          <w:i/>
          <w:iCs/>
        </w:rPr>
        <w:t>in vitro</w:t>
      </w:r>
      <w:r>
        <w:t xml:space="preserve"> и </w:t>
      </w:r>
      <w:r w:rsidRPr="00F24A13">
        <w:rPr>
          <w:i/>
          <w:iCs/>
        </w:rPr>
        <w:t>ex vivo</w:t>
      </w:r>
      <w:r>
        <w:t xml:space="preserve"> примерно на 50% (в диапазоне от 33 до 60%). Относительные уровни радиоактивности, связанной с лекарственным средством, у крыс в тканях были следующими: тонкая кишка &gt; корковый слой почек &gt; толстая кишка &gt; печень &gt; кожа &gt; слепая кишка &gt; аорта. Распределение в содержимом кишечника, желчи и моче отражало пути воздействия и основные пути выведения. Низкие концентрации были обнаружены в </w:t>
      </w:r>
      <w:r w:rsidRPr="00C01A66">
        <w:t>центральной нервной системе</w:t>
      </w:r>
      <w:r>
        <w:t>, костях и глазах. Клинически значимое сохранение радиоактивности, связанной с лекарственным средством, не наблюдалось через &gt; 168 ч. Барицитиниб проникает через плаценту</w:t>
      </w:r>
      <w:r w:rsidRPr="00214796">
        <w:t xml:space="preserve">. Уровни </w:t>
      </w:r>
      <w:r w:rsidRPr="00214796">
        <w:rPr>
          <w:vertAlign w:val="superscript"/>
        </w:rPr>
        <w:t>14</w:t>
      </w:r>
      <w:r w:rsidRPr="00214796">
        <w:rPr>
          <w:lang w:val="en-US"/>
        </w:rPr>
        <w:t>C</w:t>
      </w:r>
      <w:r w:rsidRPr="00214796">
        <w:t>-барицитиниба в крови плода были примерно в 2,2 раза ниже, чем в крови матери</w:t>
      </w:r>
      <w:r>
        <w:t xml:space="preserve">. После однократного внутрижелудочного/перорального введения </w:t>
      </w:r>
      <w:r w:rsidRPr="00117EBC">
        <w:rPr>
          <w:vertAlign w:val="superscript"/>
        </w:rPr>
        <w:t>14</w:t>
      </w:r>
      <w:r>
        <w:t xml:space="preserve">C-барицитиниба, метаболизм </w:t>
      </w:r>
      <w:r w:rsidRPr="00117EBC">
        <w:rPr>
          <w:i/>
          <w:iCs/>
        </w:rPr>
        <w:t>in vivo</w:t>
      </w:r>
      <w:r>
        <w:t xml:space="preserve"> был минимальным и что исходное соединение было основным циркулирующим компонентом в плазме, а также основным компонентом, выделяемым как с мочой, так и с фекалиями у всех видов, включая человека.</w:t>
      </w:r>
    </w:p>
    <w:p w14:paraId="5AEA7003" w14:textId="7EDD4026" w:rsidR="001B62FA" w:rsidRDefault="001B62FA" w:rsidP="001B62FA">
      <w:pPr>
        <w:spacing w:after="0" w:line="240" w:lineRule="auto"/>
        <w:ind w:firstLine="708"/>
      </w:pPr>
      <w:r>
        <w:t xml:space="preserve">Биотрансформация барицитиниба у животных (мышь CD1, крыса Sprague-Dawley, новозеландский белый кролик, собака бигль) и человека была представлена моноокислением (М9, М10) и бис-окислением (М22) либо в пиразольном, либо в пиримидиновом кольце, окислительное раскрытие пиррольного кольца (М13, М3, М12) и глюкуронирование (М6). Кроме того, у этих видов также было идентифицировано несколько второстепенных окислительных метаболитов. В плазме животных барицитиниб был основным компонентом у мышей (81–92%), крыс (79–93%), кроликов (95%) и собак (84–96%). Кроме того, в плазме животных было идентифицировано около 9 метаболитов, каждый из которых составлял менее 10%. Эти метаболиты были обнаружены у мышей (М3, М6, М9, М10, М22), крыс (М13), кроликов (М7, М17) и собак (М2) </w:t>
      </w:r>
    </w:p>
    <w:p w14:paraId="6ED80D43" w14:textId="77777777" w:rsidR="001B62FA" w:rsidRDefault="001B62FA" w:rsidP="001B62FA">
      <w:pPr>
        <w:spacing w:after="0" w:line="240" w:lineRule="auto"/>
        <w:ind w:firstLine="708"/>
      </w:pPr>
      <w:r>
        <w:lastRenderedPageBreak/>
        <w:t xml:space="preserve">По данным исследований биоматериалов человека </w:t>
      </w:r>
      <w:r w:rsidRPr="00117EBC">
        <w:rPr>
          <w:i/>
          <w:iCs/>
        </w:rPr>
        <w:t>in vitro</w:t>
      </w:r>
      <w:r>
        <w:t xml:space="preserve">, барицитиниб подвергается ограниченному (от 10 до 16%) окислению, опосредованному изоферментом CYP3A4 </w:t>
      </w:r>
      <w:r w:rsidRPr="00EA1331">
        <w:t>цитохрома Р450 (</w:t>
      </w:r>
      <w:r w:rsidRPr="00EA1331">
        <w:rPr>
          <w:lang w:val="en-US"/>
        </w:rPr>
        <w:t>CYP</w:t>
      </w:r>
      <w:r>
        <w:t>), до 3 основных метаболитов: М3, М4 и М10. Аналогичные результаты наблюдались в моделях биоматериалов, отличных от человека; однако низкие уровни (от 0,1 до 0,6% от исходного) специфического для животных окисленного метаболита (M1) наблюдались в препаратах крыс, собак и обезьян (токсикологические корреляции отсутствуют).</w:t>
      </w:r>
    </w:p>
    <w:p w14:paraId="7181ABF0" w14:textId="77777777" w:rsidR="001B62FA" w:rsidRDefault="001B62FA" w:rsidP="001B62FA">
      <w:pPr>
        <w:spacing w:after="0" w:line="240" w:lineRule="auto"/>
        <w:ind w:firstLine="708"/>
        <w:rPr>
          <w:b/>
          <w:color w:val="000000" w:themeColor="text1"/>
        </w:rPr>
      </w:pPr>
      <w:r w:rsidRPr="00CC2CC0">
        <w:t xml:space="preserve">У всех видов барицитиниб выводился в основном в неизмененном виде. Присутствовали межвидовые различия в экскреторных путях (основные пути: люди </w:t>
      </w:r>
      <w:r>
        <w:t>–</w:t>
      </w:r>
      <w:r w:rsidRPr="00CC2CC0">
        <w:t xml:space="preserve"> моча, грызуны </w:t>
      </w:r>
      <w:r>
        <w:t>–</w:t>
      </w:r>
      <w:r w:rsidRPr="00CC2CC0">
        <w:t xml:space="preserve"> фекалии, собаки </w:t>
      </w:r>
      <w:r>
        <w:t>–</w:t>
      </w:r>
      <w:r w:rsidRPr="00CC2CC0">
        <w:t xml:space="preserve"> моча и фекалии). </w:t>
      </w:r>
    </w:p>
    <w:p w14:paraId="16AE05E9" w14:textId="41FDFB43" w:rsidR="001B62FA" w:rsidRDefault="001B62FA" w:rsidP="001B62FA">
      <w:pPr>
        <w:spacing w:after="0" w:line="240" w:lineRule="auto"/>
        <w:ind w:firstLine="709"/>
      </w:pPr>
      <w:r>
        <w:t xml:space="preserve">В ходе исследований на животных установили, что клинически значимые конкурентные взаимодействия между лекарственными средствами маловероятны в следующих транспортных системах: </w:t>
      </w:r>
      <w:r w:rsidRPr="004B58CB">
        <w:t>OAT1 (транспортер органических анионов 1), транспортер органических катионов (OCT) 1</w:t>
      </w:r>
      <w:r>
        <w:t xml:space="preserve"> и </w:t>
      </w:r>
      <w:r w:rsidRPr="004B58CB">
        <w:t>2, ингибитор</w:t>
      </w:r>
      <w:r>
        <w:t>ы</w:t>
      </w:r>
      <w:r w:rsidRPr="004B58CB">
        <w:t xml:space="preserve"> полипептидов 1B1 и 1B3, переносящих органические анионы</w:t>
      </w:r>
      <w:r>
        <w:t xml:space="preserve"> (</w:t>
      </w:r>
      <w:r w:rsidRPr="004B58CB">
        <w:t>OATP1B1, OATP1B3</w:t>
      </w:r>
      <w:r>
        <w:t>)</w:t>
      </w:r>
      <w:r w:rsidRPr="004B58CB">
        <w:t xml:space="preserve"> и</w:t>
      </w:r>
      <w:r>
        <w:t xml:space="preserve"> </w:t>
      </w:r>
      <w:r w:rsidRPr="004B58CB">
        <w:t>мультирезистентный и токсина экструзии белок (MATE)</w:t>
      </w:r>
      <w:r>
        <w:t xml:space="preserve"> 1. Низкий риск конкурентных взаимодействий возможен в следующих транспортных системах: ОАТ3, Р-гликопротеине и МАТЕ2-К. Установили, что двукратное увеличение AUC происходило при одновременном ингибировании ОАТ3 пробенецидом, что коррелировало со снижением почечного </w:t>
      </w:r>
      <w:r w:rsidR="008F28F6">
        <w:rPr>
          <w:lang w:val="en-US"/>
        </w:rPr>
        <w:t>CL</w:t>
      </w:r>
      <w:r>
        <w:t xml:space="preserve"> барицитиниба на 70%. </w:t>
      </w:r>
    </w:p>
    <w:p w14:paraId="2D256887" w14:textId="77777777" w:rsidR="001B62FA" w:rsidRPr="001B62FA" w:rsidRDefault="001B62FA" w:rsidP="001B62FA">
      <w:pPr>
        <w:spacing w:after="0" w:line="240" w:lineRule="auto"/>
        <w:ind w:firstLine="709"/>
        <w:rPr>
          <w:highlight w:val="yellow"/>
          <w:lang w:eastAsia="en-US"/>
        </w:rPr>
      </w:pPr>
      <w:r>
        <w:t xml:space="preserve">В ходе исследований </w:t>
      </w:r>
      <w:r w:rsidRPr="00013904">
        <w:rPr>
          <w:i/>
          <w:iCs/>
          <w:lang w:val="en-US"/>
        </w:rPr>
        <w:t>in</w:t>
      </w:r>
      <w:r w:rsidRPr="00013904">
        <w:rPr>
          <w:i/>
          <w:iCs/>
        </w:rPr>
        <w:t xml:space="preserve"> </w:t>
      </w:r>
      <w:r w:rsidRPr="00013904">
        <w:rPr>
          <w:i/>
          <w:iCs/>
          <w:lang w:val="en-US"/>
        </w:rPr>
        <w:t>vitro</w:t>
      </w:r>
      <w:r>
        <w:t xml:space="preserve"> установили низкую вероятность лекарственных взаимодействий</w:t>
      </w:r>
      <w:r w:rsidRPr="00013904">
        <w:t xml:space="preserve"> </w:t>
      </w:r>
      <w:r>
        <w:t xml:space="preserve">барицитиниба с препаратами, ингибирующими изоферменты: CYP3A4, CYP2D6, CYP2C19, CYP2C9, CYP2C8, CYP2B6 или CYP1A2. </w:t>
      </w:r>
    </w:p>
    <w:p w14:paraId="0F27D551" w14:textId="051CDB96" w:rsidR="001B62FA" w:rsidRPr="00A566FF" w:rsidRDefault="001B62FA" w:rsidP="001B62FA">
      <w:pPr>
        <w:spacing w:after="0" w:line="240" w:lineRule="auto"/>
        <w:ind w:firstLine="709"/>
        <w:rPr>
          <w:bCs/>
          <w:color w:val="000000" w:themeColor="text1"/>
          <w:lang w:bidi="ru-RU"/>
        </w:rPr>
      </w:pPr>
      <w:r w:rsidRPr="00A566FF">
        <w:rPr>
          <w:bCs/>
          <w:color w:val="000000" w:themeColor="text1"/>
          <w:lang w:bidi="ru-RU"/>
        </w:rPr>
        <w:t xml:space="preserve">Токсикологическая программа исследования </w:t>
      </w:r>
      <w:r w:rsidR="000866A4" w:rsidRPr="00A566FF">
        <w:rPr>
          <w:bCs/>
          <w:color w:val="000000" w:themeColor="text1"/>
          <w:lang w:bidi="ru-RU"/>
        </w:rPr>
        <w:t>барицитиниба</w:t>
      </w:r>
      <w:r w:rsidRPr="00A566FF">
        <w:rPr>
          <w:bCs/>
          <w:color w:val="000000" w:themeColor="text1"/>
          <w:lang w:bidi="ru-RU"/>
        </w:rPr>
        <w:t xml:space="preserve"> 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062F48D7" w14:textId="77777777" w:rsidR="001B62FA" w:rsidRDefault="001B62FA" w:rsidP="001B62FA">
      <w:pPr>
        <w:autoSpaceDE w:val="0"/>
        <w:autoSpaceDN w:val="0"/>
        <w:adjustRightInd w:val="0"/>
        <w:spacing w:after="0" w:line="240" w:lineRule="auto"/>
        <w:ind w:firstLine="708"/>
      </w:pPr>
      <w:r w:rsidRPr="00A566FF">
        <w:t xml:space="preserve">Исследования однократной дозы </w:t>
      </w:r>
      <w:r>
        <w:t>барицитиниба</w:t>
      </w:r>
      <w:r w:rsidRPr="00A566FF">
        <w:t xml:space="preserve"> проводились на мышах</w:t>
      </w:r>
      <w:r>
        <w:t xml:space="preserve">, </w:t>
      </w:r>
      <w:r w:rsidRPr="00A566FF">
        <w:t>крысах</w:t>
      </w:r>
      <w:r>
        <w:t xml:space="preserve"> и собаках</w:t>
      </w:r>
      <w:r w:rsidRPr="00A566FF">
        <w:t xml:space="preserve">. Самая высокая нелетальная доза для мышей составила </w:t>
      </w:r>
      <w:r>
        <w:t xml:space="preserve">&gt;1200 </w:t>
      </w:r>
      <w:r w:rsidRPr="00A566FF">
        <w:t>мг/кг</w:t>
      </w:r>
      <w:r>
        <w:t>, у</w:t>
      </w:r>
      <w:r w:rsidRPr="00A566FF">
        <w:t xml:space="preserve"> крыс самая высокая нелетальная доза составила </w:t>
      </w:r>
      <w:r>
        <w:t>&gt;600</w:t>
      </w:r>
      <w:r w:rsidRPr="00A566FF">
        <w:t xml:space="preserve"> мг/кг</w:t>
      </w:r>
      <w:r>
        <w:t>,</w:t>
      </w:r>
      <w:r w:rsidRPr="00A566FF">
        <w:t xml:space="preserve"> для </w:t>
      </w:r>
      <w:r>
        <w:t xml:space="preserve">собак &gt;40 </w:t>
      </w:r>
      <w:r w:rsidRPr="00A566FF">
        <w:t>мг/кг</w:t>
      </w:r>
    </w:p>
    <w:p w14:paraId="5F0A0D5C" w14:textId="77777777" w:rsidR="001B62FA" w:rsidRPr="00A566FF" w:rsidRDefault="001B62FA" w:rsidP="001B62FA">
      <w:pPr>
        <w:autoSpaceDE w:val="0"/>
        <w:autoSpaceDN w:val="0"/>
        <w:adjustRightInd w:val="0"/>
        <w:spacing w:after="0" w:line="240" w:lineRule="auto"/>
        <w:ind w:firstLine="708"/>
      </w:pPr>
      <w:r w:rsidRPr="00A566FF">
        <w:t xml:space="preserve">Исследования токсичности при повторном введении были выполнены на мышах (до </w:t>
      </w:r>
      <w:r>
        <w:t>26 недель</w:t>
      </w:r>
      <w:r w:rsidRPr="00A566FF">
        <w:t xml:space="preserve">), крысах (до </w:t>
      </w:r>
      <w:r>
        <w:t>90 недель</w:t>
      </w:r>
      <w:r w:rsidRPr="00A566FF">
        <w:t xml:space="preserve">) и собаках (до </w:t>
      </w:r>
      <w:r>
        <w:t>39 недель</w:t>
      </w:r>
      <w:r w:rsidRPr="00A566FF">
        <w:t xml:space="preserve">). </w:t>
      </w:r>
      <w:r>
        <w:t>Токсические эффекты при многократном введении были опосредованы фармакодинамическим действием барицитиниба и включали оппортунистические инфекции у собак (пиодемодекоз, межпальцевая гранулема) и повышение активности трансаминаз печени.</w:t>
      </w:r>
    </w:p>
    <w:p w14:paraId="1FAF7789" w14:textId="77777777" w:rsidR="001B62FA" w:rsidRDefault="001B62FA" w:rsidP="001B62FA">
      <w:pPr>
        <w:spacing w:after="0" w:line="240" w:lineRule="auto"/>
        <w:ind w:firstLine="708"/>
      </w:pPr>
      <w:r w:rsidRPr="00A566FF">
        <w:rPr>
          <w:lang w:eastAsia="en-US"/>
        </w:rPr>
        <w:t xml:space="preserve">В доклинических исследованиях не было продемонстрировано генотоксичности и канцерогенности </w:t>
      </w:r>
      <w:r>
        <w:rPr>
          <w:lang w:eastAsia="en-US"/>
        </w:rPr>
        <w:t>барицитиниба (мыши, крысы)</w:t>
      </w:r>
      <w:r w:rsidRPr="00A566FF">
        <w:rPr>
          <w:lang w:eastAsia="en-US"/>
        </w:rPr>
        <w:t xml:space="preserve">. </w:t>
      </w:r>
    </w:p>
    <w:p w14:paraId="298998F0" w14:textId="77777777" w:rsidR="001B62FA" w:rsidRPr="004634EA" w:rsidRDefault="001B62FA" w:rsidP="001B62FA">
      <w:pPr>
        <w:autoSpaceDE w:val="0"/>
        <w:autoSpaceDN w:val="0"/>
        <w:adjustRightInd w:val="0"/>
        <w:spacing w:after="0" w:line="240" w:lineRule="auto"/>
        <w:ind w:firstLine="708"/>
        <w:rPr>
          <w:color w:val="000000" w:themeColor="text1"/>
        </w:rPr>
      </w:pPr>
      <w:r>
        <w:t>В ходе исследования влияния барицитиниба на фертильность и ранее эмбриональное развитие животных установили, снижение общей способности к спариванию, снижение индекса копуляции самцов, дозозависимую тенденцию к снижению индекса фертильности самцов. Введение барицитиниба также значительно снижало индекс зачатия у самок. У самок крыс наблюдалось уменьшение количества желтых тел и мест имплантации, увеличение предимплантационных потерь, увеличение числа ранних внутриутробных смертей и увеличение комбинированной ранней и поздней внутриутробной смертности.</w:t>
      </w:r>
    </w:p>
    <w:p w14:paraId="1EBD04AF" w14:textId="77777777" w:rsidR="001B62FA" w:rsidRPr="004634EA" w:rsidRDefault="001B62FA" w:rsidP="001B62FA">
      <w:pPr>
        <w:spacing w:after="0" w:line="240" w:lineRule="auto"/>
        <w:ind w:firstLine="709"/>
        <w:rPr>
          <w:color w:val="000000" w:themeColor="text1"/>
        </w:rPr>
      </w:pPr>
      <w:r>
        <w:t xml:space="preserve">В исследовании эмбриофетального развития крыс внутрижелудочное введение барицитиниба в течение 6–17 дней беременности вызывало повышение частоты неблагоприятных пороков развития костей конечностей и увеличение частоты развития пороков ребер. Барицитиниб также вызывал искривление седьмого ребра и искривления </w:t>
      </w:r>
      <w:r>
        <w:lastRenderedPageBreak/>
        <w:t xml:space="preserve">других ребер плодов. Пероральное введение барицитиниба кроликам не вызывало пороков развития плода, несмотря на наличие материнской смертности. </w:t>
      </w:r>
    </w:p>
    <w:p w14:paraId="54696AB7" w14:textId="77777777" w:rsidR="001B62FA" w:rsidRPr="00EC08FF" w:rsidRDefault="001B62FA" w:rsidP="001B62FA">
      <w:pPr>
        <w:spacing w:after="0" w:line="240" w:lineRule="auto"/>
        <w:ind w:firstLine="708"/>
      </w:pPr>
      <w:r>
        <w:t>В исследовании токсичности барицитиниба в отношении пре- и постнатального развития на крысах установили негативное воздействие на животных F</w:t>
      </w:r>
      <w:r w:rsidRPr="002D0549">
        <w:rPr>
          <w:vertAlign w:val="subscript"/>
        </w:rPr>
        <w:t>1</w:t>
      </w:r>
      <w:r>
        <w:t>, полученных от материнских особей, получавших барицитиниб. Неблагоприятные эффекты в отношении следующих поколений маловероятны.</w:t>
      </w:r>
    </w:p>
    <w:p w14:paraId="21B99F18" w14:textId="6B2FD0B6" w:rsidR="00644839" w:rsidRPr="002B7989" w:rsidRDefault="001B62FA" w:rsidP="001B62FA">
      <w:pPr>
        <w:autoSpaceDE w:val="0"/>
        <w:autoSpaceDN w:val="0"/>
        <w:adjustRightInd w:val="0"/>
        <w:spacing w:after="0" w:line="240" w:lineRule="auto"/>
        <w:ind w:firstLine="708"/>
        <w:rPr>
          <w:highlight w:val="yellow"/>
          <w:lang w:eastAsia="en-US"/>
        </w:rPr>
      </w:pPr>
      <w:r>
        <w:t xml:space="preserve">Барицитиниб не вызывал раздражения слизистой глаз, не выявили местно-раздражающего действия барицитиниба при нанесении на кожу кроликов. В токсикологических исследованиях при однократном или многократном введениях не было выявлено побочных эффектов со стороны ЖКТ. У барицитиниба отсутствует какой-либо фототоксический </w:t>
      </w:r>
      <w:r w:rsidRPr="001B62FA">
        <w:t>потенциал</w:t>
      </w:r>
      <w:r w:rsidR="00644839" w:rsidRPr="001B62FA">
        <w:rPr>
          <w:lang w:eastAsia="en-US"/>
        </w:rPr>
        <w:t>.</w:t>
      </w:r>
    </w:p>
    <w:p w14:paraId="6919144A" w14:textId="77777777" w:rsidR="008B7FBF" w:rsidRPr="001B62FA" w:rsidRDefault="008B7FBF" w:rsidP="008B7FBF">
      <w:pPr>
        <w:pStyle w:val="2"/>
        <w:spacing w:line="240" w:lineRule="auto"/>
        <w:rPr>
          <w:color w:val="000000" w:themeColor="text1"/>
          <w:szCs w:val="24"/>
        </w:rPr>
      </w:pPr>
      <w:bookmarkStart w:id="202" w:name="_Toc120288189"/>
      <w:r w:rsidRPr="001B62FA">
        <w:rPr>
          <w:color w:val="000000" w:themeColor="text1"/>
          <w:szCs w:val="24"/>
        </w:rPr>
        <w:t>5.2. Обсуждение данных клинических исследований</w:t>
      </w:r>
      <w:bookmarkEnd w:id="202"/>
    </w:p>
    <w:p w14:paraId="3FE0BC4F" w14:textId="77777777" w:rsidR="001B62FA" w:rsidRDefault="001B62FA" w:rsidP="001B62FA">
      <w:pPr>
        <w:autoSpaceDE w:val="0"/>
        <w:autoSpaceDN w:val="0"/>
        <w:adjustRightInd w:val="0"/>
        <w:spacing w:after="0" w:line="240" w:lineRule="auto"/>
        <w:ind w:firstLine="708"/>
        <w:rPr>
          <w:highlight w:val="yellow"/>
          <w:lang w:eastAsia="en-US"/>
        </w:rPr>
      </w:pPr>
      <w:bookmarkStart w:id="203" w:name="_Toc301482877"/>
      <w:bookmarkStart w:id="204" w:name="_Toc298775567"/>
      <w:bookmarkEnd w:id="201"/>
      <w:r w:rsidRPr="005D5965">
        <w:t xml:space="preserve">Впервые барицитиниб был одобрен в качестве </w:t>
      </w:r>
      <w:r>
        <w:t xml:space="preserve">средства для лечения РА умеренной и тяжелой степени </w:t>
      </w:r>
      <w:r w:rsidRPr="005D5965">
        <w:t>в 20</w:t>
      </w:r>
      <w:r>
        <w:t>18</w:t>
      </w:r>
      <w:r w:rsidRPr="005D5965">
        <w:t xml:space="preserve"> г. В России препарат был зарегистрирован в </w:t>
      </w:r>
      <w:r>
        <w:t>2018</w:t>
      </w:r>
      <w:r w:rsidRPr="005D5965">
        <w:t xml:space="preserve"> г. </w:t>
      </w:r>
      <w:r>
        <w:t xml:space="preserve">Барицитиниб является препаратом последнего поколения для лечения РА, АД, ОА и </w:t>
      </w:r>
      <w:r w:rsidRPr="00494670">
        <w:rPr>
          <w:lang w:val="en-US" w:eastAsia="ru-RU"/>
        </w:rPr>
        <w:t>COVID</w:t>
      </w:r>
      <w:r w:rsidRPr="00494670">
        <w:rPr>
          <w:lang w:eastAsia="ru-RU"/>
        </w:rPr>
        <w:t>-19</w:t>
      </w:r>
      <w:r>
        <w:t>, имеет</w:t>
      </w:r>
      <w:r w:rsidRPr="005D5965">
        <w:t xml:space="preserve"> обширн</w:t>
      </w:r>
      <w:r>
        <w:t xml:space="preserve">ую </w:t>
      </w:r>
      <w:r w:rsidRPr="005D5965">
        <w:t>доказательн</w:t>
      </w:r>
      <w:r>
        <w:t xml:space="preserve">ую </w:t>
      </w:r>
      <w:r w:rsidRPr="005D5965">
        <w:t>баз</w:t>
      </w:r>
      <w:r>
        <w:t xml:space="preserve">у, подтверждающую высокую эффективность. </w:t>
      </w:r>
    </w:p>
    <w:p w14:paraId="7CBFB8A0" w14:textId="1D225984" w:rsidR="006A5654" w:rsidRPr="007F4B68" w:rsidRDefault="0051605E" w:rsidP="006A5654">
      <w:pPr>
        <w:spacing w:after="0" w:line="240" w:lineRule="auto"/>
        <w:ind w:firstLine="709"/>
        <w:rPr>
          <w:bCs/>
          <w:color w:val="000000" w:themeColor="text1"/>
          <w:lang w:bidi="ru-RU"/>
        </w:rPr>
      </w:pPr>
      <w:r>
        <w:t>К</w:t>
      </w:r>
      <w:r>
        <w:t xml:space="preserve">линических </w:t>
      </w:r>
      <w:r w:rsidRPr="007F4B68">
        <w:t xml:space="preserve">исследований препарата </w:t>
      </w:r>
      <w:r w:rsidRPr="00D6050D">
        <w:rPr>
          <w:color w:val="000000" w:themeColor="text1"/>
          <w:lang w:val="en-US"/>
        </w:rPr>
        <w:t>DT</w:t>
      </w:r>
      <w:r w:rsidRPr="00D6050D">
        <w:rPr>
          <w:color w:val="000000" w:themeColor="text1"/>
        </w:rPr>
        <w:t>-</w:t>
      </w:r>
      <w:r>
        <w:rPr>
          <w:lang w:val="en-US"/>
        </w:rPr>
        <w:t>BRC</w:t>
      </w:r>
      <w:r w:rsidRPr="00D6050D">
        <w:rPr>
          <w:color w:val="000000" w:themeColor="text1"/>
        </w:rPr>
        <w:t xml:space="preserve"> </w:t>
      </w:r>
      <w:r w:rsidRPr="007F4B68">
        <w:t xml:space="preserve">таблетки, покрытые пленочной оболочкой, </w:t>
      </w:r>
      <w:r>
        <w:t>4 мг</w:t>
      </w:r>
      <w:r w:rsidRPr="007F4B68">
        <w:t xml:space="preserve"> (</w:t>
      </w:r>
      <w:r w:rsidRPr="00D93386">
        <w:t>АО «Р-Фарм», Россия</w:t>
      </w:r>
      <w:r w:rsidRPr="007F4B68">
        <w:t xml:space="preserve">) не проводилось. Так как препарат </w:t>
      </w:r>
      <w:r w:rsidRPr="00D6050D">
        <w:rPr>
          <w:color w:val="000000" w:themeColor="text1"/>
          <w:lang w:val="en-US"/>
        </w:rPr>
        <w:t>DT</w:t>
      </w:r>
      <w:r w:rsidRPr="00D6050D">
        <w:rPr>
          <w:color w:val="000000" w:themeColor="text1"/>
        </w:rPr>
        <w:t>-</w:t>
      </w:r>
      <w:r>
        <w:rPr>
          <w:lang w:val="en-US"/>
        </w:rPr>
        <w:t>BRC</w:t>
      </w:r>
      <w:r w:rsidRPr="007F4B68">
        <w:t xml:space="preserve"> </w:t>
      </w:r>
      <w:r>
        <w:t>производства</w:t>
      </w:r>
      <w:r w:rsidRPr="007F4B68">
        <w:t xml:space="preserve"> </w:t>
      </w:r>
      <w:r w:rsidRPr="007F4B68">
        <w:t>АО «</w:t>
      </w:r>
      <w:r>
        <w:t>ОРТАТ</w:t>
      </w:r>
      <w:r w:rsidRPr="007F4B68">
        <w:t xml:space="preserve">», Россия, представляет собой воспроизведенный препарат </w:t>
      </w:r>
      <w:r>
        <w:t>барицитиниба</w:t>
      </w:r>
      <w:r w:rsidRPr="007F4B68">
        <w:t xml:space="preserve">, ожидается, что его свойства будут идентичны свойствам оригинального препарата </w:t>
      </w:r>
      <w:r>
        <w:rPr>
          <w:lang w:eastAsia="ru-RU"/>
        </w:rPr>
        <w:t>Олумиант</w:t>
      </w:r>
      <w:r w:rsidRPr="00A129EA">
        <w:rPr>
          <w:vertAlign w:val="superscript"/>
          <w:lang w:eastAsia="ru-RU"/>
        </w:rPr>
        <w:t>®</w:t>
      </w:r>
      <w:r>
        <w:rPr>
          <w:lang w:eastAsia="ru-RU"/>
        </w:rPr>
        <w:t xml:space="preserve">, </w:t>
      </w:r>
      <w:r w:rsidRPr="007F4B68">
        <w:t xml:space="preserve">таблетки, покрытые пленочной оболочкой, </w:t>
      </w:r>
      <w:r>
        <w:t>4 мг</w:t>
      </w:r>
      <w:r w:rsidRPr="00A129EA">
        <w:rPr>
          <w:rFonts w:eastAsia="Calibri"/>
        </w:rPr>
        <w:t xml:space="preserve"> </w:t>
      </w:r>
      <w:r w:rsidRPr="00A129EA">
        <w:rPr>
          <w:color w:val="000000"/>
        </w:rPr>
        <w:t>(</w:t>
      </w:r>
      <w:r>
        <w:rPr>
          <w:color w:val="000000"/>
        </w:rPr>
        <w:t xml:space="preserve">производитель </w:t>
      </w:r>
      <w:r>
        <w:rPr>
          <w:rFonts w:eastAsia="Calibri"/>
          <w:bCs/>
        </w:rPr>
        <w:t>Лилли дель Карибе, Инк., Пуэрто-Рико</w:t>
      </w:r>
      <w:r w:rsidRPr="005F2B08">
        <w:rPr>
          <w:rFonts w:eastAsia="Calibri"/>
          <w:bCs/>
        </w:rPr>
        <w:t xml:space="preserve">; </w:t>
      </w:r>
      <w:r>
        <w:rPr>
          <w:rFonts w:eastAsia="Calibri"/>
          <w:bCs/>
        </w:rPr>
        <w:t>держатель</w:t>
      </w:r>
      <w:r w:rsidRPr="005F2B08">
        <w:rPr>
          <w:rFonts w:eastAsia="Calibri"/>
          <w:bCs/>
        </w:rPr>
        <w:t xml:space="preserve"> РУ: </w:t>
      </w:r>
      <w:r>
        <w:rPr>
          <w:rFonts w:eastAsia="Calibri"/>
          <w:bCs/>
        </w:rPr>
        <w:t>Эли Лилли Восток С.А., Швейцария</w:t>
      </w:r>
      <w:r w:rsidRPr="00A129EA">
        <w:rPr>
          <w:color w:val="000000"/>
        </w:rPr>
        <w:t>)</w:t>
      </w:r>
      <w:r w:rsidRPr="007F4B68">
        <w:t xml:space="preserve">, которому </w:t>
      </w:r>
      <w:r w:rsidRPr="00D6050D">
        <w:rPr>
          <w:color w:val="000000" w:themeColor="text1"/>
          <w:lang w:val="en-US"/>
        </w:rPr>
        <w:t>DT</w:t>
      </w:r>
      <w:r w:rsidRPr="00D6050D">
        <w:rPr>
          <w:color w:val="000000" w:themeColor="text1"/>
        </w:rPr>
        <w:t>-</w:t>
      </w:r>
      <w:r>
        <w:rPr>
          <w:lang w:val="en-US"/>
        </w:rPr>
        <w:t>BRC</w:t>
      </w:r>
      <w:r w:rsidRPr="007F4B68">
        <w:t xml:space="preserve"> полностью соответствует по качественному и количественному составу действующих и качественному составу вспомогательных веществ, а также по лекарственной форме и дозировке</w:t>
      </w:r>
      <w:r>
        <w:t>, имея отличия в количественном и качественном составе оболочки таблетки</w:t>
      </w:r>
      <w:r w:rsidRPr="007F4B68">
        <w:t xml:space="preserve">. В связи с этим ниже приводятся данные </w:t>
      </w:r>
      <w:r>
        <w:t xml:space="preserve">клинических </w:t>
      </w:r>
      <w:r w:rsidRPr="007F4B68">
        <w:t xml:space="preserve">исследований оригинального препарата </w:t>
      </w:r>
      <w:r>
        <w:t>барицитиниба</w:t>
      </w:r>
      <w:r w:rsidR="006A5654" w:rsidRPr="007F4B68">
        <w:t>.</w:t>
      </w:r>
    </w:p>
    <w:p w14:paraId="1B21F921" w14:textId="14DF58B8" w:rsidR="001B231E" w:rsidRPr="00DE4B82" w:rsidRDefault="001B62FA" w:rsidP="001B231E">
      <w:pPr>
        <w:spacing w:after="0" w:line="240" w:lineRule="auto"/>
        <w:ind w:firstLine="709"/>
        <w:rPr>
          <w:color w:val="000000"/>
        </w:rPr>
      </w:pPr>
      <w:r w:rsidRPr="005E7F5E">
        <w:rPr>
          <w:color w:val="000000"/>
        </w:rPr>
        <w:t xml:space="preserve">Клиническая эффективность при первичной регистрации </w:t>
      </w:r>
      <w:r>
        <w:rPr>
          <w:color w:val="000000"/>
        </w:rPr>
        <w:t>барицитиниба</w:t>
      </w:r>
      <w:r w:rsidRPr="005E7F5E">
        <w:rPr>
          <w:color w:val="000000"/>
        </w:rPr>
        <w:t xml:space="preserve"> была изучена в 4 исследованиях II</w:t>
      </w:r>
      <w:r>
        <w:rPr>
          <w:color w:val="000000"/>
          <w:lang w:val="en-US"/>
        </w:rPr>
        <w:t>I</w:t>
      </w:r>
      <w:r w:rsidRPr="005E7F5E">
        <w:rPr>
          <w:color w:val="000000"/>
        </w:rPr>
        <w:t xml:space="preserve"> фазы</w:t>
      </w:r>
      <w:r>
        <w:rPr>
          <w:color w:val="000000"/>
        </w:rPr>
        <w:t xml:space="preserve"> (</w:t>
      </w:r>
      <w:r>
        <w:t>JADZ, 52 недели; JADV, 52 недели; JADX, 24 недели; JADW, 24 недели).</w:t>
      </w:r>
      <w:r w:rsidRPr="005E7F5E">
        <w:rPr>
          <w:color w:val="000000"/>
        </w:rPr>
        <w:t xml:space="preserve"> </w:t>
      </w:r>
      <w:r>
        <w:t>В общей сложности 3464 пациента получали барицитиниб в исследованиях РА, что составляет 4214,1 пациенто-лет воздействия; 2166 пациентов (62,5%) подвергались воздействию в течение ≥52 недель, а 467 пациентов (13,5%) подвергались воздействию в течение ≥104 недель.</w:t>
      </w:r>
      <w:r w:rsidR="001B231E">
        <w:t xml:space="preserve"> В ходе исследован</w:t>
      </w:r>
      <w:r w:rsidR="001B231E" w:rsidRPr="001B231E">
        <w:t xml:space="preserve">ия JADZ </w:t>
      </w:r>
      <w:r w:rsidR="001B231E" w:rsidRPr="00710D59">
        <w:rPr>
          <w:color w:val="000000"/>
        </w:rPr>
        <w:t xml:space="preserve">было показано превосходство </w:t>
      </w:r>
      <w:r w:rsidR="001B231E">
        <w:rPr>
          <w:color w:val="000000"/>
        </w:rPr>
        <w:t xml:space="preserve">при применении только </w:t>
      </w:r>
      <w:r w:rsidR="001B231E" w:rsidRPr="00710D59">
        <w:rPr>
          <w:color w:val="000000"/>
        </w:rPr>
        <w:t xml:space="preserve">барицитиниба или комбинации </w:t>
      </w:r>
      <w:r w:rsidR="001B231E">
        <w:rPr>
          <w:color w:val="000000"/>
        </w:rPr>
        <w:t>барицитиниб</w:t>
      </w:r>
      <w:r w:rsidR="001B231E" w:rsidRPr="00710D59">
        <w:rPr>
          <w:color w:val="000000"/>
        </w:rPr>
        <w:t xml:space="preserve">+MTX по сравнению с </w:t>
      </w:r>
      <w:r w:rsidR="001B231E">
        <w:rPr>
          <w:color w:val="000000"/>
        </w:rPr>
        <w:t>монотерапией</w:t>
      </w:r>
      <w:r w:rsidR="001B231E" w:rsidRPr="00710D59">
        <w:rPr>
          <w:color w:val="000000"/>
        </w:rPr>
        <w:t xml:space="preserve"> MTX</w:t>
      </w:r>
      <w:r w:rsidR="001B231E" w:rsidRPr="001B231E">
        <w:rPr>
          <w:color w:val="000000"/>
        </w:rPr>
        <w:t xml:space="preserve"> </w:t>
      </w:r>
      <w:r w:rsidR="001B231E" w:rsidRPr="00710D59">
        <w:rPr>
          <w:color w:val="000000"/>
        </w:rPr>
        <w:t>для первичн</w:t>
      </w:r>
      <w:r w:rsidR="001B231E">
        <w:rPr>
          <w:color w:val="000000"/>
        </w:rPr>
        <w:t xml:space="preserve">ой конечной точки – </w:t>
      </w:r>
      <w:r w:rsidR="001B231E" w:rsidRPr="00710D59">
        <w:rPr>
          <w:color w:val="000000"/>
        </w:rPr>
        <w:t>ACR20.</w:t>
      </w:r>
      <w:r w:rsidR="001B231E">
        <w:rPr>
          <w:color w:val="000000"/>
        </w:rPr>
        <w:t xml:space="preserve"> Также б</w:t>
      </w:r>
      <w:r w:rsidR="001B231E" w:rsidRPr="00710D59">
        <w:rPr>
          <w:color w:val="000000"/>
        </w:rPr>
        <w:t xml:space="preserve">ыло </w:t>
      </w:r>
      <w:r w:rsidR="001B231E">
        <w:rPr>
          <w:color w:val="000000"/>
        </w:rPr>
        <w:t xml:space="preserve">доказано </w:t>
      </w:r>
      <w:r w:rsidR="001B231E" w:rsidRPr="00710D59">
        <w:rPr>
          <w:color w:val="000000"/>
        </w:rPr>
        <w:t>превосходство</w:t>
      </w:r>
      <w:r w:rsidR="001B231E">
        <w:rPr>
          <w:color w:val="000000"/>
        </w:rPr>
        <w:t xml:space="preserve"> барицитиниба в индукции ремиссии заболевания у </w:t>
      </w:r>
      <w:r w:rsidR="001B231E" w:rsidRPr="00710D59">
        <w:rPr>
          <w:color w:val="000000"/>
        </w:rPr>
        <w:t>пациентов, по различным показателям активности заболевания</w:t>
      </w:r>
      <w:r w:rsidR="001B231E">
        <w:rPr>
          <w:color w:val="000000"/>
        </w:rPr>
        <w:t xml:space="preserve">. </w:t>
      </w:r>
      <w:r w:rsidR="001B231E" w:rsidRPr="00D262F3">
        <w:rPr>
          <w:color w:val="000000"/>
        </w:rPr>
        <w:t xml:space="preserve">Статистически значимо большая доля пациентов, получавших барицитиниб в дозе 4 мг, по сравнению с плацебо или </w:t>
      </w:r>
      <w:r w:rsidR="001B231E">
        <w:rPr>
          <w:color w:val="000000"/>
        </w:rPr>
        <w:t>МТХ</w:t>
      </w:r>
      <w:r w:rsidR="001B231E" w:rsidRPr="00D262F3">
        <w:rPr>
          <w:color w:val="000000"/>
        </w:rPr>
        <w:t>, достигла ремиссии (SDAI ≤ 3,3 и CDAI</w:t>
      </w:r>
      <w:r w:rsidR="001B231E">
        <w:rPr>
          <w:color w:val="000000"/>
        </w:rPr>
        <w:t xml:space="preserve"> </w:t>
      </w:r>
      <w:r w:rsidR="001B231E" w:rsidRPr="00D262F3">
        <w:rPr>
          <w:color w:val="000000"/>
        </w:rPr>
        <w:t>≤ 2,8) или низкой активности заболевания или ремиссии (DAS28-</w:t>
      </w:r>
      <w:r w:rsidR="001B231E">
        <w:rPr>
          <w:color w:val="000000"/>
          <w:lang w:val="en-US"/>
        </w:rPr>
        <w:t>ESR</w:t>
      </w:r>
      <w:r w:rsidR="001B231E" w:rsidRPr="00D262F3">
        <w:rPr>
          <w:color w:val="000000"/>
        </w:rPr>
        <w:t xml:space="preserve"> или DAS28-</w:t>
      </w:r>
      <w:r w:rsidR="001B231E">
        <w:rPr>
          <w:color w:val="000000"/>
          <w:lang w:val="en-US"/>
        </w:rPr>
        <w:t>hsCRP</w:t>
      </w:r>
      <w:r w:rsidR="001B231E" w:rsidRPr="00D262F3">
        <w:rPr>
          <w:color w:val="000000"/>
        </w:rPr>
        <w:t xml:space="preserve">≤ 3,2 и DAS28- </w:t>
      </w:r>
      <w:r w:rsidR="001B231E">
        <w:rPr>
          <w:color w:val="000000"/>
          <w:lang w:val="en-US"/>
        </w:rPr>
        <w:t>ESR</w:t>
      </w:r>
      <w:r w:rsidR="001B231E" w:rsidRPr="00D262F3">
        <w:rPr>
          <w:color w:val="000000"/>
        </w:rPr>
        <w:t xml:space="preserve"> или DAS28</w:t>
      </w:r>
      <w:r w:rsidR="001B231E">
        <w:rPr>
          <w:color w:val="000000"/>
        </w:rPr>
        <w:t>-</w:t>
      </w:r>
      <w:r w:rsidR="001B231E">
        <w:rPr>
          <w:color w:val="000000"/>
          <w:lang w:val="en-US"/>
        </w:rPr>
        <w:t>hsCRP</w:t>
      </w:r>
      <w:r w:rsidR="001B231E" w:rsidRPr="00D262F3">
        <w:rPr>
          <w:color w:val="000000"/>
        </w:rPr>
        <w:t xml:space="preserve"> &lt; 2,6) на 12-й и 24-й неделях</w:t>
      </w:r>
      <w:r w:rsidR="001B231E">
        <w:rPr>
          <w:color w:val="000000"/>
        </w:rPr>
        <w:t xml:space="preserve">. </w:t>
      </w:r>
      <w:r w:rsidR="001B231E" w:rsidRPr="00D262F3">
        <w:rPr>
          <w:color w:val="000000"/>
        </w:rPr>
        <w:t>Уже на 4-й неделе наблюдались более высокие показатели ремиссии по сравнению с плацебо. Показатели ремиссии и низкой активности заболевания сохранялись не менее 2 лет</w:t>
      </w:r>
      <w:r w:rsidR="001B231E">
        <w:rPr>
          <w:color w:val="000000"/>
        </w:rPr>
        <w:t xml:space="preserve">. </w:t>
      </w:r>
    </w:p>
    <w:p w14:paraId="16D03FBA" w14:textId="058E1FA7" w:rsidR="001B62FA" w:rsidRDefault="001B231E" w:rsidP="001B231E">
      <w:pPr>
        <w:spacing w:after="0" w:line="240" w:lineRule="auto"/>
        <w:ind w:firstLine="708"/>
      </w:pPr>
      <w:r w:rsidRPr="001B231E">
        <w:t xml:space="preserve">В ходе исследования </w:t>
      </w:r>
      <w:r w:rsidRPr="001B231E">
        <w:rPr>
          <w:lang w:val="en-US"/>
        </w:rPr>
        <w:t>JADV</w:t>
      </w:r>
      <w:r>
        <w:t xml:space="preserve"> </w:t>
      </w:r>
      <w:r w:rsidRPr="00710D59">
        <w:rPr>
          <w:color w:val="000000"/>
        </w:rPr>
        <w:t xml:space="preserve">оценивали эффективность и безопасность </w:t>
      </w:r>
      <w:r>
        <w:rPr>
          <w:color w:val="000000"/>
        </w:rPr>
        <w:t xml:space="preserve">барицитиниба </w:t>
      </w:r>
      <w:r w:rsidRPr="00710D59">
        <w:rPr>
          <w:color w:val="000000"/>
        </w:rPr>
        <w:t xml:space="preserve">у 1307 пациентов с неадекватным ответом на </w:t>
      </w:r>
      <w:r>
        <w:rPr>
          <w:color w:val="000000"/>
        </w:rPr>
        <w:t>МТХ</w:t>
      </w:r>
      <w:r w:rsidRPr="00710D59">
        <w:rPr>
          <w:color w:val="000000"/>
        </w:rPr>
        <w:t xml:space="preserve"> и у которых имелись </w:t>
      </w:r>
      <w:r w:rsidRPr="00710D59">
        <w:rPr>
          <w:color w:val="000000"/>
        </w:rPr>
        <w:lastRenderedPageBreak/>
        <w:t>признаки нарушения функции костной ткани</w:t>
      </w:r>
      <w:r>
        <w:rPr>
          <w:color w:val="000000"/>
        </w:rPr>
        <w:t xml:space="preserve"> (</w:t>
      </w:r>
      <w:r w:rsidRPr="00710D59">
        <w:rPr>
          <w:color w:val="000000"/>
        </w:rPr>
        <w:t>эрозия сустава</w:t>
      </w:r>
      <w:r>
        <w:rPr>
          <w:color w:val="000000"/>
        </w:rPr>
        <w:t>)</w:t>
      </w:r>
      <w:r w:rsidRPr="00710D59">
        <w:rPr>
          <w:color w:val="000000"/>
        </w:rPr>
        <w:t>.</w:t>
      </w:r>
      <w:r>
        <w:rPr>
          <w:color w:val="000000"/>
        </w:rPr>
        <w:t xml:space="preserve"> Анализ результатов </w:t>
      </w:r>
      <w:r w:rsidRPr="00710D59">
        <w:rPr>
          <w:color w:val="000000"/>
        </w:rPr>
        <w:t xml:space="preserve">показал превосходство </w:t>
      </w:r>
      <w:r>
        <w:rPr>
          <w:color w:val="000000"/>
        </w:rPr>
        <w:t>барицитиниба</w:t>
      </w:r>
      <w:r w:rsidRPr="00710D59">
        <w:rPr>
          <w:color w:val="000000"/>
        </w:rPr>
        <w:t xml:space="preserve"> 4 мг как над плацебо, так и над </w:t>
      </w:r>
      <w:r w:rsidRPr="00710D59">
        <w:rPr>
          <w:color w:val="000000"/>
          <w:lang w:val="en-US"/>
        </w:rPr>
        <w:t>ADA</w:t>
      </w:r>
      <w:r w:rsidRPr="00710D59">
        <w:rPr>
          <w:color w:val="000000"/>
        </w:rPr>
        <w:t xml:space="preserve">. </w:t>
      </w:r>
      <w:r w:rsidRPr="00710D59">
        <w:rPr>
          <w:color w:val="000000"/>
          <w:lang w:val="en-US"/>
        </w:rPr>
        <w:t>ACR</w:t>
      </w:r>
      <w:r w:rsidRPr="00710D59">
        <w:rPr>
          <w:color w:val="000000"/>
        </w:rPr>
        <w:t xml:space="preserve">20 на неделе 12 составлял 69,6% для </w:t>
      </w:r>
      <w:r>
        <w:rPr>
          <w:color w:val="000000"/>
        </w:rPr>
        <w:t>барицитиниба</w:t>
      </w:r>
      <w:r w:rsidRPr="00710D59">
        <w:rPr>
          <w:color w:val="000000"/>
        </w:rPr>
        <w:t xml:space="preserve"> 4 мг, 61,2% для </w:t>
      </w:r>
      <w:r w:rsidRPr="00710D59">
        <w:rPr>
          <w:color w:val="000000"/>
          <w:lang w:val="en-US"/>
        </w:rPr>
        <w:t>ADA</w:t>
      </w:r>
      <w:r w:rsidRPr="00710D59">
        <w:rPr>
          <w:color w:val="000000"/>
        </w:rPr>
        <w:t xml:space="preserve"> и 40,2% для плацебо (разница с плацебо 29,4 (95%ДИ 23,5</w:t>
      </w:r>
      <w:r>
        <w:rPr>
          <w:color w:val="000000"/>
        </w:rPr>
        <w:t>;</w:t>
      </w:r>
      <w:r w:rsidRPr="00710D59">
        <w:rPr>
          <w:color w:val="000000"/>
        </w:rPr>
        <w:t xml:space="preserve"> 35,4) и с </w:t>
      </w:r>
      <w:r w:rsidRPr="00710D59">
        <w:rPr>
          <w:color w:val="000000"/>
          <w:lang w:val="en-US"/>
        </w:rPr>
        <w:t>ADA</w:t>
      </w:r>
      <w:r w:rsidRPr="00710D59">
        <w:rPr>
          <w:color w:val="000000"/>
        </w:rPr>
        <w:t xml:space="preserve"> (8,4 (95%ДИ 1,7</w:t>
      </w:r>
      <w:r>
        <w:rPr>
          <w:color w:val="000000"/>
        </w:rPr>
        <w:t>;</w:t>
      </w:r>
      <w:r w:rsidRPr="00710D59">
        <w:rPr>
          <w:color w:val="000000"/>
        </w:rPr>
        <w:t xml:space="preserve"> 15,1)). </w:t>
      </w:r>
      <w:r>
        <w:rPr>
          <w:color w:val="000000"/>
        </w:rPr>
        <w:t>Превосходство барицитиниба над п</w:t>
      </w:r>
      <w:r w:rsidRPr="00710D59">
        <w:rPr>
          <w:color w:val="000000"/>
        </w:rPr>
        <w:t xml:space="preserve">лацебо и </w:t>
      </w:r>
      <w:r w:rsidRPr="00710D59">
        <w:rPr>
          <w:color w:val="000000"/>
          <w:lang w:val="en-US"/>
        </w:rPr>
        <w:t>ADA</w:t>
      </w:r>
      <w:r w:rsidRPr="00710D59">
        <w:rPr>
          <w:color w:val="000000"/>
        </w:rPr>
        <w:t xml:space="preserve"> был</w:t>
      </w:r>
      <w:r>
        <w:rPr>
          <w:color w:val="000000"/>
        </w:rPr>
        <w:t>о</w:t>
      </w:r>
      <w:r w:rsidRPr="00710D59">
        <w:rPr>
          <w:color w:val="000000"/>
        </w:rPr>
        <w:t xml:space="preserve"> подтвержден</w:t>
      </w:r>
      <w:r>
        <w:rPr>
          <w:color w:val="000000"/>
        </w:rPr>
        <w:t xml:space="preserve">о также </w:t>
      </w:r>
      <w:r w:rsidRPr="00710D59">
        <w:rPr>
          <w:color w:val="000000"/>
        </w:rPr>
        <w:t xml:space="preserve">для более строгих конечных точек </w:t>
      </w:r>
      <w:r>
        <w:rPr>
          <w:color w:val="000000"/>
        </w:rPr>
        <w:t xml:space="preserve">– </w:t>
      </w:r>
      <w:r w:rsidRPr="00710D59">
        <w:rPr>
          <w:color w:val="000000"/>
          <w:lang w:val="en-US"/>
        </w:rPr>
        <w:t>ACR</w:t>
      </w:r>
      <w:r w:rsidRPr="00710D59">
        <w:rPr>
          <w:color w:val="000000"/>
        </w:rPr>
        <w:t xml:space="preserve">50 и </w:t>
      </w:r>
      <w:r w:rsidRPr="00710D59">
        <w:rPr>
          <w:color w:val="000000"/>
          <w:lang w:val="en-US"/>
        </w:rPr>
        <w:t>ACR</w:t>
      </w:r>
      <w:r w:rsidRPr="00710D59">
        <w:rPr>
          <w:color w:val="000000"/>
        </w:rPr>
        <w:t xml:space="preserve">70, </w:t>
      </w:r>
      <w:r>
        <w:rPr>
          <w:color w:val="000000"/>
        </w:rPr>
        <w:t>при этом фармакодинамический эффект барицитиниба</w:t>
      </w:r>
      <w:r w:rsidRPr="00710D59">
        <w:rPr>
          <w:color w:val="000000"/>
        </w:rPr>
        <w:t xml:space="preserve"> сохранялся до 52 недел</w:t>
      </w:r>
      <w:r>
        <w:rPr>
          <w:color w:val="000000"/>
        </w:rPr>
        <w:t xml:space="preserve">ь. В исследовании </w:t>
      </w:r>
      <w:r w:rsidRPr="001B231E">
        <w:rPr>
          <w:lang w:val="en-US"/>
        </w:rPr>
        <w:t>JADX</w:t>
      </w:r>
      <w:r w:rsidRPr="00030B0B">
        <w:rPr>
          <w:i/>
          <w:iCs/>
        </w:rPr>
        <w:t xml:space="preserve"> </w:t>
      </w:r>
      <w:r w:rsidRPr="00710D59">
        <w:rPr>
          <w:color w:val="000000"/>
        </w:rPr>
        <w:t xml:space="preserve">оценивали эффективность и безопасность </w:t>
      </w:r>
      <w:r w:rsidR="000866A4">
        <w:rPr>
          <w:color w:val="000000"/>
        </w:rPr>
        <w:t>барицитиниба</w:t>
      </w:r>
      <w:r>
        <w:rPr>
          <w:color w:val="000000"/>
        </w:rPr>
        <w:t xml:space="preserve"> </w:t>
      </w:r>
      <w:r w:rsidRPr="00710D59">
        <w:rPr>
          <w:color w:val="000000"/>
        </w:rPr>
        <w:t xml:space="preserve">у 684 пациентов с активным РА от умеренной до тяжелой степени, несмотря на предшествующее или текущее лечение </w:t>
      </w:r>
      <w:r w:rsidR="00D139A4">
        <w:rPr>
          <w:rFonts w:eastAsia="Times New Roman"/>
          <w:iCs/>
          <w:lang w:eastAsia="ru-RU"/>
        </w:rPr>
        <w:t>БМАРП</w:t>
      </w:r>
      <w:r w:rsidRPr="00710D59">
        <w:rPr>
          <w:color w:val="000000"/>
        </w:rPr>
        <w:t xml:space="preserve">. Пациентам, участвовавшим в этом исследовании, было разрешено продолжать терапию </w:t>
      </w:r>
      <w:r w:rsidR="00D139A4">
        <w:rPr>
          <w:rFonts w:eastAsia="Times New Roman"/>
          <w:iCs/>
          <w:lang w:eastAsia="ru-RU"/>
        </w:rPr>
        <w:t>БМАРП</w:t>
      </w:r>
      <w:r w:rsidRPr="00710D59">
        <w:rPr>
          <w:color w:val="000000"/>
        </w:rPr>
        <w:t xml:space="preserve"> во время исследования, если </w:t>
      </w:r>
      <w:r>
        <w:rPr>
          <w:color w:val="000000"/>
        </w:rPr>
        <w:t>она была начата до начала исследования</w:t>
      </w:r>
      <w:r w:rsidRPr="00710D59">
        <w:rPr>
          <w:color w:val="000000"/>
        </w:rPr>
        <w:t>.</w:t>
      </w:r>
      <w:r>
        <w:rPr>
          <w:color w:val="000000"/>
        </w:rPr>
        <w:t xml:space="preserve"> Прием б</w:t>
      </w:r>
      <w:r w:rsidRPr="00710D59">
        <w:rPr>
          <w:color w:val="000000"/>
        </w:rPr>
        <w:t>арицитиниб</w:t>
      </w:r>
      <w:r>
        <w:rPr>
          <w:color w:val="000000"/>
        </w:rPr>
        <w:t>а</w:t>
      </w:r>
      <w:r w:rsidRPr="00710D59">
        <w:rPr>
          <w:color w:val="000000"/>
        </w:rPr>
        <w:t xml:space="preserve"> в дозе 2 и 4 мг </w:t>
      </w:r>
      <w:r>
        <w:rPr>
          <w:color w:val="000000"/>
        </w:rPr>
        <w:t>1</w:t>
      </w:r>
      <w:r w:rsidRPr="00710D59">
        <w:rPr>
          <w:color w:val="000000"/>
        </w:rPr>
        <w:t xml:space="preserve"> р</w:t>
      </w:r>
      <w:r>
        <w:rPr>
          <w:color w:val="000000"/>
        </w:rPr>
        <w:t>/</w:t>
      </w:r>
      <w:r w:rsidRPr="00710D59">
        <w:rPr>
          <w:color w:val="000000"/>
        </w:rPr>
        <w:t xml:space="preserve">сутки </w:t>
      </w:r>
      <w:r>
        <w:rPr>
          <w:color w:val="000000"/>
        </w:rPr>
        <w:t>сопровождался развитием</w:t>
      </w:r>
      <w:r w:rsidRPr="00710D59">
        <w:rPr>
          <w:color w:val="000000"/>
        </w:rPr>
        <w:t xml:space="preserve"> клинически значимы</w:t>
      </w:r>
      <w:r>
        <w:rPr>
          <w:color w:val="000000"/>
        </w:rPr>
        <w:t>х</w:t>
      </w:r>
      <w:r w:rsidRPr="00710D59">
        <w:rPr>
          <w:color w:val="000000"/>
        </w:rPr>
        <w:t xml:space="preserve"> улучшени</w:t>
      </w:r>
      <w:r>
        <w:rPr>
          <w:color w:val="000000"/>
        </w:rPr>
        <w:t>й</w:t>
      </w:r>
      <w:r w:rsidRPr="00710D59">
        <w:rPr>
          <w:color w:val="000000"/>
        </w:rPr>
        <w:t xml:space="preserve"> по сравнению с плацебо </w:t>
      </w:r>
      <w:r>
        <w:rPr>
          <w:color w:val="000000"/>
        </w:rPr>
        <w:t xml:space="preserve">в отношении первичной конечной точки – </w:t>
      </w:r>
      <w:r w:rsidRPr="00710D59">
        <w:rPr>
          <w:color w:val="000000"/>
        </w:rPr>
        <w:t>ACR20/50/70,</w:t>
      </w:r>
      <w:r>
        <w:rPr>
          <w:color w:val="000000"/>
        </w:rPr>
        <w:t xml:space="preserve"> а также в отношении</w:t>
      </w:r>
      <w:r w:rsidRPr="00710D59">
        <w:rPr>
          <w:color w:val="000000"/>
        </w:rPr>
        <w:t xml:space="preserve"> ремиссии, физической функции, усталост</w:t>
      </w:r>
      <w:r>
        <w:rPr>
          <w:color w:val="000000"/>
        </w:rPr>
        <w:t>и</w:t>
      </w:r>
      <w:r w:rsidRPr="00710D59">
        <w:rPr>
          <w:color w:val="000000"/>
        </w:rPr>
        <w:t>, бол</w:t>
      </w:r>
      <w:r>
        <w:rPr>
          <w:color w:val="000000"/>
        </w:rPr>
        <w:t xml:space="preserve">и и показателей шкал качества жизни пациентов. </w:t>
      </w:r>
      <w:r w:rsidRPr="00710D59">
        <w:rPr>
          <w:color w:val="000000"/>
        </w:rPr>
        <w:t xml:space="preserve">Первичная конечная точка </w:t>
      </w:r>
      <w:r>
        <w:rPr>
          <w:color w:val="000000"/>
        </w:rPr>
        <w:t>–</w:t>
      </w:r>
      <w:r w:rsidRPr="00710D59">
        <w:rPr>
          <w:color w:val="000000"/>
        </w:rPr>
        <w:t xml:space="preserve"> ACR20 на неделе 12 составила 61,7% для </w:t>
      </w:r>
      <w:r>
        <w:rPr>
          <w:color w:val="000000"/>
        </w:rPr>
        <w:t>барицитиниба</w:t>
      </w:r>
      <w:r w:rsidRPr="00710D59">
        <w:rPr>
          <w:color w:val="000000"/>
        </w:rPr>
        <w:t xml:space="preserve"> 4 мг, 65,9% для </w:t>
      </w:r>
      <w:r>
        <w:rPr>
          <w:color w:val="000000"/>
        </w:rPr>
        <w:t>барицитиниба</w:t>
      </w:r>
      <w:r w:rsidRPr="00710D59">
        <w:rPr>
          <w:color w:val="000000"/>
        </w:rPr>
        <w:t xml:space="preserve"> 2 мг и 39,5% для плацебо (</w:t>
      </w:r>
      <w:r>
        <w:rPr>
          <w:color w:val="000000"/>
        </w:rPr>
        <w:t>от</w:t>
      </w:r>
      <w:r w:rsidRPr="00710D59">
        <w:rPr>
          <w:color w:val="000000"/>
        </w:rPr>
        <w:t>личия 22,2% (</w:t>
      </w:r>
      <w:r>
        <w:rPr>
          <w:color w:val="000000"/>
        </w:rPr>
        <w:t xml:space="preserve">95%ДИ </w:t>
      </w:r>
      <w:r w:rsidRPr="00710D59">
        <w:rPr>
          <w:color w:val="000000"/>
        </w:rPr>
        <w:t>13,2</w:t>
      </w:r>
      <w:r>
        <w:rPr>
          <w:color w:val="000000"/>
        </w:rPr>
        <w:t>;</w:t>
      </w:r>
      <w:r w:rsidRPr="00710D59">
        <w:rPr>
          <w:color w:val="000000"/>
        </w:rPr>
        <w:t xml:space="preserve"> 31,2) и 26,5% (</w:t>
      </w:r>
      <w:r>
        <w:rPr>
          <w:color w:val="000000"/>
        </w:rPr>
        <w:t xml:space="preserve">95%ДИ </w:t>
      </w:r>
      <w:r w:rsidRPr="00710D59">
        <w:rPr>
          <w:color w:val="000000"/>
        </w:rPr>
        <w:t>17,6</w:t>
      </w:r>
      <w:r>
        <w:rPr>
          <w:color w:val="000000"/>
        </w:rPr>
        <w:t>;</w:t>
      </w:r>
      <w:r w:rsidRPr="00710D59">
        <w:rPr>
          <w:color w:val="000000"/>
        </w:rPr>
        <w:t xml:space="preserve"> 35,3) для 4</w:t>
      </w:r>
      <w:r>
        <w:rPr>
          <w:color w:val="000000"/>
        </w:rPr>
        <w:t xml:space="preserve"> мг</w:t>
      </w:r>
      <w:r w:rsidRPr="00710D59">
        <w:rPr>
          <w:color w:val="000000"/>
        </w:rPr>
        <w:t xml:space="preserve"> и 2 мг</w:t>
      </w:r>
      <w:r>
        <w:rPr>
          <w:color w:val="000000"/>
        </w:rPr>
        <w:t xml:space="preserve"> барицитиниба</w:t>
      </w:r>
      <w:r w:rsidRPr="00710D59">
        <w:rPr>
          <w:color w:val="000000"/>
        </w:rPr>
        <w:t xml:space="preserve"> по сравнению с плацебо соответственно</w:t>
      </w:r>
      <w:r>
        <w:rPr>
          <w:color w:val="000000"/>
        </w:rPr>
        <w:t>. В и</w:t>
      </w:r>
      <w:r w:rsidRPr="00B54F1D">
        <w:rPr>
          <w:color w:val="000000"/>
        </w:rPr>
        <w:t>сследовани</w:t>
      </w:r>
      <w:r>
        <w:rPr>
          <w:color w:val="000000"/>
        </w:rPr>
        <w:t>и</w:t>
      </w:r>
      <w:r w:rsidRPr="00B54F1D">
        <w:rPr>
          <w:color w:val="000000"/>
        </w:rPr>
        <w:t xml:space="preserve"> JADW оценивали эффективность и безопасность </w:t>
      </w:r>
      <w:r>
        <w:rPr>
          <w:color w:val="000000"/>
        </w:rPr>
        <w:t xml:space="preserve">барицитиниба </w:t>
      </w:r>
      <w:r w:rsidRPr="00B54F1D">
        <w:rPr>
          <w:color w:val="000000"/>
        </w:rPr>
        <w:t xml:space="preserve">у 527 пациентов с активным РА от умеренной до тяжелой степени, </w:t>
      </w:r>
      <w:r>
        <w:rPr>
          <w:color w:val="000000"/>
        </w:rPr>
        <w:t>ранее получавшими</w:t>
      </w:r>
      <w:r w:rsidRPr="00B54F1D">
        <w:rPr>
          <w:color w:val="000000"/>
        </w:rPr>
        <w:t xml:space="preserve"> од</w:t>
      </w:r>
      <w:r>
        <w:rPr>
          <w:color w:val="000000"/>
        </w:rPr>
        <w:t xml:space="preserve">ин </w:t>
      </w:r>
      <w:r w:rsidRPr="00B54F1D">
        <w:rPr>
          <w:color w:val="000000"/>
        </w:rPr>
        <w:t>или нескольк</w:t>
      </w:r>
      <w:r>
        <w:rPr>
          <w:color w:val="000000"/>
        </w:rPr>
        <w:t>о</w:t>
      </w:r>
      <w:r w:rsidRPr="00B54F1D">
        <w:rPr>
          <w:color w:val="000000"/>
        </w:rPr>
        <w:t xml:space="preserve"> биологически</w:t>
      </w:r>
      <w:r>
        <w:rPr>
          <w:color w:val="000000"/>
        </w:rPr>
        <w:t>х</w:t>
      </w:r>
      <w:r w:rsidRPr="00B54F1D">
        <w:rPr>
          <w:color w:val="000000"/>
        </w:rPr>
        <w:t xml:space="preserve"> препарат</w:t>
      </w:r>
      <w:r>
        <w:rPr>
          <w:color w:val="000000"/>
        </w:rPr>
        <w:t xml:space="preserve">ов, </w:t>
      </w:r>
      <w:r w:rsidRPr="00B54F1D">
        <w:rPr>
          <w:color w:val="000000"/>
        </w:rPr>
        <w:t xml:space="preserve">включая по меньшей мере один ингибитор </w:t>
      </w:r>
      <w:r>
        <w:rPr>
          <w:color w:val="000000"/>
          <w:lang w:val="en-US"/>
        </w:rPr>
        <w:t>TNF</w:t>
      </w:r>
      <w:r w:rsidRPr="00B54F1D">
        <w:rPr>
          <w:color w:val="000000"/>
        </w:rPr>
        <w:t xml:space="preserve">. В </w:t>
      </w:r>
      <w:r>
        <w:rPr>
          <w:color w:val="000000"/>
        </w:rPr>
        <w:t>ходе исследования было уставлено превосходство барицитиниба над плацебо по первичной конечной точке (</w:t>
      </w:r>
      <w:r w:rsidRPr="00B54F1D">
        <w:rPr>
          <w:color w:val="000000"/>
        </w:rPr>
        <w:t>ACR20</w:t>
      </w:r>
      <w:r>
        <w:rPr>
          <w:color w:val="000000"/>
        </w:rPr>
        <w:t xml:space="preserve">) </w:t>
      </w:r>
      <w:r w:rsidRPr="00B54F1D">
        <w:rPr>
          <w:color w:val="000000"/>
        </w:rPr>
        <w:t>и дву</w:t>
      </w:r>
      <w:r>
        <w:rPr>
          <w:color w:val="000000"/>
        </w:rPr>
        <w:t>м</w:t>
      </w:r>
      <w:r w:rsidRPr="00B54F1D">
        <w:rPr>
          <w:color w:val="000000"/>
        </w:rPr>
        <w:t xml:space="preserve"> основны</w:t>
      </w:r>
      <w:r>
        <w:rPr>
          <w:color w:val="000000"/>
        </w:rPr>
        <w:t>м</w:t>
      </w:r>
      <w:r w:rsidRPr="00B54F1D">
        <w:rPr>
          <w:color w:val="000000"/>
        </w:rPr>
        <w:t xml:space="preserve"> вторичны</w:t>
      </w:r>
      <w:r>
        <w:rPr>
          <w:color w:val="000000"/>
        </w:rPr>
        <w:t>м</w:t>
      </w:r>
      <w:r w:rsidRPr="00B54F1D">
        <w:rPr>
          <w:color w:val="000000"/>
        </w:rPr>
        <w:t xml:space="preserve"> </w:t>
      </w:r>
      <w:r>
        <w:rPr>
          <w:color w:val="000000"/>
        </w:rPr>
        <w:t>точкам</w:t>
      </w:r>
      <w:r w:rsidRPr="00B54F1D">
        <w:rPr>
          <w:color w:val="000000"/>
        </w:rPr>
        <w:t xml:space="preserve"> (изменение HAQ-DI и DAS28-</w:t>
      </w:r>
      <w:r>
        <w:rPr>
          <w:color w:val="000000"/>
          <w:lang w:val="en-US"/>
        </w:rPr>
        <w:t>hsCRP</w:t>
      </w:r>
      <w:r w:rsidRPr="00B54F1D">
        <w:rPr>
          <w:color w:val="000000"/>
        </w:rPr>
        <w:t xml:space="preserve"> по сравнению с исходным уровнем).</w:t>
      </w:r>
      <w:r>
        <w:rPr>
          <w:color w:val="000000"/>
        </w:rPr>
        <w:t xml:space="preserve"> О</w:t>
      </w:r>
      <w:r w:rsidRPr="00B54F1D">
        <w:rPr>
          <w:color w:val="000000"/>
        </w:rPr>
        <w:t xml:space="preserve">твет первичной конечной точки ACR20 на неделе 12 составил 55,4% для </w:t>
      </w:r>
      <w:r>
        <w:rPr>
          <w:color w:val="000000"/>
        </w:rPr>
        <w:t>барицитиниба</w:t>
      </w:r>
      <w:r w:rsidRPr="00B54F1D">
        <w:rPr>
          <w:color w:val="000000"/>
        </w:rPr>
        <w:t xml:space="preserve"> 4 мг, 48,9% для </w:t>
      </w:r>
      <w:r>
        <w:rPr>
          <w:color w:val="000000"/>
        </w:rPr>
        <w:t>барицитиниба</w:t>
      </w:r>
      <w:r w:rsidRPr="00B54F1D">
        <w:rPr>
          <w:color w:val="000000"/>
        </w:rPr>
        <w:t xml:space="preserve"> 2 мг и 27,3% для плацебо (разница </w:t>
      </w:r>
      <w:r>
        <w:rPr>
          <w:color w:val="000000"/>
        </w:rPr>
        <w:t>барицитиниб</w:t>
      </w:r>
      <w:r w:rsidRPr="00B54F1D">
        <w:rPr>
          <w:color w:val="000000"/>
        </w:rPr>
        <w:t xml:space="preserve"> 4 мг по сравнению с плацебо 28,1% </w:t>
      </w:r>
      <w:r w:rsidRPr="00DC675E">
        <w:rPr>
          <w:color w:val="000000"/>
        </w:rPr>
        <w:t>[</w:t>
      </w:r>
      <w:r w:rsidRPr="00B54F1D">
        <w:rPr>
          <w:color w:val="000000"/>
        </w:rPr>
        <w:t>95%ДИ 18,2</w:t>
      </w:r>
      <w:r>
        <w:rPr>
          <w:color w:val="000000"/>
        </w:rPr>
        <w:t>;</w:t>
      </w:r>
      <w:r w:rsidRPr="00B54F1D">
        <w:rPr>
          <w:color w:val="000000"/>
        </w:rPr>
        <w:t xml:space="preserve"> 37,9</w:t>
      </w:r>
      <w:r w:rsidRPr="00DC675E">
        <w:rPr>
          <w:color w:val="000000"/>
        </w:rPr>
        <w:t>]</w:t>
      </w:r>
      <w:r w:rsidRPr="00B54F1D">
        <w:rPr>
          <w:color w:val="000000"/>
        </w:rPr>
        <w:t xml:space="preserve">, </w:t>
      </w:r>
      <w:r>
        <w:rPr>
          <w:color w:val="000000"/>
        </w:rPr>
        <w:t xml:space="preserve">барицитиниб </w:t>
      </w:r>
      <w:r w:rsidRPr="00B54F1D">
        <w:rPr>
          <w:color w:val="000000"/>
        </w:rPr>
        <w:t xml:space="preserve">2 мг по сравнению с плацебо 21,6 </w:t>
      </w:r>
      <w:r w:rsidRPr="00DC675E">
        <w:rPr>
          <w:color w:val="000000"/>
        </w:rPr>
        <w:t>[</w:t>
      </w:r>
      <w:r>
        <w:rPr>
          <w:color w:val="000000"/>
        </w:rPr>
        <w:t xml:space="preserve">95%ДИ </w:t>
      </w:r>
      <w:r w:rsidRPr="00B54F1D">
        <w:rPr>
          <w:color w:val="000000"/>
        </w:rPr>
        <w:t>11,7</w:t>
      </w:r>
      <w:r>
        <w:rPr>
          <w:color w:val="000000"/>
        </w:rPr>
        <w:t>;</w:t>
      </w:r>
      <w:r w:rsidRPr="00B54F1D">
        <w:rPr>
          <w:color w:val="000000"/>
        </w:rPr>
        <w:t xml:space="preserve"> 31,5</w:t>
      </w:r>
      <w:r w:rsidRPr="00DC675E">
        <w:rPr>
          <w:color w:val="000000"/>
        </w:rPr>
        <w:t>]</w:t>
      </w:r>
      <w:r w:rsidRPr="00B54F1D">
        <w:rPr>
          <w:color w:val="000000"/>
        </w:rPr>
        <w:t>).</w:t>
      </w:r>
      <w:r>
        <w:rPr>
          <w:color w:val="000000"/>
        </w:rPr>
        <w:t xml:space="preserve"> </w:t>
      </w:r>
    </w:p>
    <w:p w14:paraId="6758CDC9" w14:textId="634DC399" w:rsidR="001B231E" w:rsidRDefault="001B62FA" w:rsidP="001B62FA">
      <w:pPr>
        <w:spacing w:after="0" w:line="240" w:lineRule="auto"/>
        <w:ind w:firstLine="708"/>
      </w:pPr>
      <w:r>
        <w:t xml:space="preserve">Эффективность и безопасность барицитиниба в качестве монотерапии или в комбинации с </w:t>
      </w:r>
      <w:r w:rsidR="001B231E">
        <w:t>ТКС</w:t>
      </w:r>
      <w:r w:rsidRPr="006D538C">
        <w:t xml:space="preserve"> </w:t>
      </w:r>
      <w:r>
        <w:t>в отношении А</w:t>
      </w:r>
      <w:r w:rsidR="0039408D">
        <w:t>Д</w:t>
      </w:r>
      <w:r>
        <w:t xml:space="preserve"> оценивались в 3 рандомизированных, двойных слепых, плацебо-контролируемых исследованиях III фазы, продолжительностью 16 недель (BREEZE-AD1, -AD2 и -AD7). По состоянию на дату окончания сбора данных 31 марта 2021 г. 1244 пациента получили барицитиниб, общая экспозиция составила 1362 пациенто-года</w:t>
      </w:r>
      <w:r w:rsidR="001B231E">
        <w:t>. В ходе 16-недельной терапии изучали эффективность барицитиниба в качестве монотерапии (BREEZE-AD1, -AD2) или в комбинации с ТКС (BREEZE-AD7). Значительно большая часть пациентов, рандомизированных в группу барицитиниба в дозе 4 мг, достигла ответа IGA 0 или 1 (основной результат), улучшения по шкале EASI75 ≥ 4 балла по сравнению с плацебо на 16-й неделе. Значительно большая доля пациентов, рандомизированных в группу барицитиниба в дозе 4 мг, достигла улучшения на ≥ 4 баллов по шкале NRS по сравнению с плацебо (в течение первой недели лечения в исследовании BREEZE-AD1 и -AD2, и уже на 2-й неделе для BREEZE-AD7, p&lt;0,002). В обоих исследованиях монотерапии (BREEZE-AD1 и BREEZE-AD2) и в исследовании применения комбинации барицитиниба и ТКС (BREEZE-AD7) барицитиниб в дозе 4 мг значительно улучшал исходы, о которых сообщали пациенты, включая значения по шкале NRS, DLQI и HADS через 16 недель по сравнению с плацебо.</w:t>
      </w:r>
    </w:p>
    <w:p w14:paraId="1208457A" w14:textId="40254F68" w:rsidR="0039408D" w:rsidRDefault="001B62FA" w:rsidP="001B62FA">
      <w:pPr>
        <w:spacing w:after="0" w:line="240" w:lineRule="auto"/>
        <w:ind w:firstLine="708"/>
      </w:pPr>
      <w:r w:rsidRPr="000D2BA7">
        <w:rPr>
          <w:color w:val="000000"/>
        </w:rPr>
        <w:t xml:space="preserve">Эффективность и безопасность </w:t>
      </w:r>
      <w:r>
        <w:rPr>
          <w:color w:val="000000"/>
        </w:rPr>
        <w:t xml:space="preserve">применения </w:t>
      </w:r>
      <w:r w:rsidRPr="000D2BA7">
        <w:rPr>
          <w:color w:val="000000"/>
        </w:rPr>
        <w:t xml:space="preserve">барицитиниба </w:t>
      </w:r>
      <w:r>
        <w:rPr>
          <w:color w:val="000000"/>
        </w:rPr>
        <w:t xml:space="preserve">в отношении </w:t>
      </w:r>
      <w:r w:rsidR="0039408D">
        <w:rPr>
          <w:color w:val="000000"/>
        </w:rPr>
        <w:t>ОА</w:t>
      </w:r>
      <w:r>
        <w:rPr>
          <w:color w:val="000000"/>
        </w:rPr>
        <w:t xml:space="preserve"> </w:t>
      </w:r>
      <w:r w:rsidRPr="000D2BA7">
        <w:rPr>
          <w:color w:val="000000"/>
        </w:rPr>
        <w:t xml:space="preserve">оценивали в исследовании фазы II/III </w:t>
      </w:r>
      <w:r>
        <w:rPr>
          <w:color w:val="000000"/>
        </w:rPr>
        <w:t xml:space="preserve">с </w:t>
      </w:r>
      <w:r w:rsidRPr="000D2BA7">
        <w:rPr>
          <w:color w:val="000000"/>
        </w:rPr>
        <w:t>адаптивн</w:t>
      </w:r>
      <w:r>
        <w:rPr>
          <w:color w:val="000000"/>
        </w:rPr>
        <w:t>ы</w:t>
      </w:r>
      <w:r w:rsidRPr="000D2BA7">
        <w:rPr>
          <w:color w:val="000000"/>
        </w:rPr>
        <w:t>м</w:t>
      </w:r>
      <w:r>
        <w:rPr>
          <w:color w:val="000000"/>
        </w:rPr>
        <w:t xml:space="preserve"> дизайном</w:t>
      </w:r>
      <w:r w:rsidRPr="000D2BA7">
        <w:rPr>
          <w:color w:val="000000"/>
        </w:rPr>
        <w:t xml:space="preserve"> (BRAVE-AA1) и в исследовании III фазы (BRAVE-AA2)</w:t>
      </w:r>
      <w:r>
        <w:rPr>
          <w:color w:val="000000"/>
        </w:rPr>
        <w:t>, а также исследование</w:t>
      </w:r>
      <w:r w:rsidRPr="00CC7D8F">
        <w:rPr>
          <w:color w:val="000000"/>
        </w:rPr>
        <w:t xml:space="preserve"> BREEZE-AD4 с участием пациентов</w:t>
      </w:r>
      <w:r>
        <w:rPr>
          <w:color w:val="000000"/>
        </w:rPr>
        <w:t xml:space="preserve"> с </w:t>
      </w:r>
      <w:r w:rsidR="0039408D">
        <w:rPr>
          <w:color w:val="000000"/>
        </w:rPr>
        <w:t>ОА</w:t>
      </w:r>
      <w:r w:rsidRPr="00CC7D8F">
        <w:rPr>
          <w:color w:val="000000"/>
        </w:rPr>
        <w:t>, получавших циклоспорин или с противопоказаниями к нему</w:t>
      </w:r>
      <w:r w:rsidRPr="000D2BA7">
        <w:rPr>
          <w:color w:val="000000"/>
        </w:rPr>
        <w:t xml:space="preserve">. </w:t>
      </w:r>
      <w:r>
        <w:t xml:space="preserve">В ходе </w:t>
      </w:r>
      <w:r>
        <w:lastRenderedPageBreak/>
        <w:t>исследований были собраны данные о 2531 пациенте, получавшем барицитиниб в течение 2247 пациенто-лет (средняя продолжительность 310 дней).</w:t>
      </w:r>
      <w:r w:rsidR="0039408D">
        <w:t xml:space="preserve"> В ходе исследований </w:t>
      </w:r>
      <w:r w:rsidR="0039408D" w:rsidRPr="0039408D">
        <w:rPr>
          <w:color w:val="000000"/>
        </w:rPr>
        <w:t xml:space="preserve">BRAVE-AA1 и BRAVE-AA2 </w:t>
      </w:r>
      <w:r w:rsidR="0039408D" w:rsidRPr="000D2BA7">
        <w:rPr>
          <w:color w:val="000000"/>
        </w:rPr>
        <w:t xml:space="preserve">значительно большая часть пациентов, получавших барицитиниб в дозе 4 мг </w:t>
      </w:r>
      <w:r w:rsidR="0039408D">
        <w:rPr>
          <w:color w:val="000000"/>
        </w:rPr>
        <w:t>1</w:t>
      </w:r>
      <w:r w:rsidR="0039408D" w:rsidRPr="000D2BA7">
        <w:rPr>
          <w:color w:val="000000"/>
        </w:rPr>
        <w:t xml:space="preserve"> р</w:t>
      </w:r>
      <w:r w:rsidR="0039408D">
        <w:rPr>
          <w:color w:val="000000"/>
        </w:rPr>
        <w:t>/с</w:t>
      </w:r>
      <w:r w:rsidR="0039408D" w:rsidRPr="000D2BA7">
        <w:rPr>
          <w:color w:val="000000"/>
        </w:rPr>
        <w:t>утки, достигла SALT ≤ 20 на 36-й неделе по сравнению с плацебо, начиная с 8-й недели в исследовании BRAVE-AA1 и на 12-й неделе в исследовании BRAVE-AA2. Постоянная эффективность наблюдалась по большинству вторичных конечных точек</w:t>
      </w:r>
      <w:r w:rsidR="002E3A02">
        <w:rPr>
          <w:color w:val="000000"/>
        </w:rPr>
        <w:t xml:space="preserve">. </w:t>
      </w:r>
      <w:r w:rsidR="0039408D" w:rsidRPr="00EC0364">
        <w:rPr>
          <w:color w:val="000000"/>
        </w:rPr>
        <w:t>Доля пациентов, получавших барицитиниб, достигших SALT ≤ 20, продолжала увеличиваться после 36-й недели, достигнув 39,0% пациентов, принимавших барицитиниб в дозе 4 мг на 52-й неделе</w:t>
      </w:r>
      <w:r w:rsidR="002E3A02">
        <w:rPr>
          <w:color w:val="000000"/>
        </w:rPr>
        <w:t>.</w:t>
      </w:r>
    </w:p>
    <w:p w14:paraId="492BB7BF" w14:textId="7264283D" w:rsidR="001B62FA" w:rsidRDefault="001B62FA" w:rsidP="001B62FA">
      <w:pPr>
        <w:spacing w:after="0" w:line="240" w:lineRule="auto"/>
        <w:ind w:firstLine="709"/>
      </w:pPr>
      <w:r>
        <w:t xml:space="preserve">Эффективность и безопасность применения барицитиниба в отношении </w:t>
      </w:r>
      <w:r>
        <w:rPr>
          <w:lang w:val="en-US"/>
        </w:rPr>
        <w:t>COVID</w:t>
      </w:r>
      <w:r w:rsidRPr="00C74C24">
        <w:t xml:space="preserve">-19 </w:t>
      </w:r>
      <w:r>
        <w:t xml:space="preserve">оценивались в двух рандомизированных двойных слепых плацебо контролируемых исследованиях </w:t>
      </w:r>
      <w:r>
        <w:rPr>
          <w:lang w:val="en-US"/>
        </w:rPr>
        <w:t>III</w:t>
      </w:r>
      <w:r>
        <w:t xml:space="preserve"> фазы: в исследовании АСТТ-2 оценивали барицитиниб 4 мг в комбинации с ремдесивиром в сравнении с плацебо в комбинации с ремдесивиром; в исследовании </w:t>
      </w:r>
      <w:r>
        <w:rPr>
          <w:lang w:val="en-US"/>
        </w:rPr>
        <w:t>COV</w:t>
      </w:r>
      <w:r w:rsidRPr="00937087">
        <w:t>-</w:t>
      </w:r>
      <w:r>
        <w:rPr>
          <w:lang w:val="en-US"/>
        </w:rPr>
        <w:t>BARRIER</w:t>
      </w:r>
      <w:r>
        <w:t xml:space="preserve"> оценивали барицитиниб 4 мг в режиме монотерапии в сравнении с плацебо. Пациенты могли оставаться на стандартной терапии в соответствии с местными рекомендациями. В ходе данных исследований барицитиниб получили 1280 пациентов.</w:t>
      </w:r>
    </w:p>
    <w:p w14:paraId="370C4A2F" w14:textId="77777777" w:rsidR="002E3A02" w:rsidRDefault="002E3A02" w:rsidP="002E3A02">
      <w:pPr>
        <w:spacing w:after="0" w:line="240" w:lineRule="auto"/>
        <w:ind w:firstLine="709"/>
      </w:pPr>
      <w:r>
        <w:t>Эффективность и безопасность применения барицитиниба оценивались в двух рандомизированных двойных слепых плацебо контролируемых исследованиях III фазы: в исследовании АСТТ-2 оценивали барицитиниб 4 мг в комбинации с ремдесивиром в сравнении с плацебо в комбинации с ремдесивиром; в исследовании COV-BARRIER оценивали барицитиниб 4 мг в режиме монотерапии в сравнении с плацебо. Пациенты могли оставаться на стандартной терапии в соответствии с местными рекомендациями.</w:t>
      </w:r>
    </w:p>
    <w:p w14:paraId="0FAC1309" w14:textId="21BCAE13" w:rsidR="002E3A02" w:rsidRDefault="002E3A02" w:rsidP="002E3A02">
      <w:pPr>
        <w:spacing w:after="0" w:line="240" w:lineRule="auto"/>
        <w:ind w:firstLine="709"/>
      </w:pPr>
      <w:r>
        <w:t>В ходе исследования АСТТ-2 установили, что наибольшее преимущество от терапии барицитинибом было отмечено у пациентов, нуждающихся в низкопоточной оксигенотерапии, неинвазивной вентиляции легких или высокопоточной оксигенотерапии. У пациентов, получавших барицитиниб с ремдесивиром, была выше вероятность достижения благоприятного клинического статуса (в соответствии с 8-ми бальной порядковой шкалой) на 15-ый день терапии, чем у пациентов, получавших плацебо с ремдесивиром. Доля смертельных исходов или случаев прогрессии заболевания, приводивших к необходимости неинвазивной вентиляции легких/высокопоточной оксигенотерапии или к инвазивной вентиляции легких к 29 дню наблюдения была ниже в группе пациентов, получавших барицитиниб с ремдесивиром (23%), по сравнению группой пациентов, получавших плацебо с ремдесивиром (28%). Доля пациентов, умерших к 29 дню составила 4,9% в группе барицитиниба с ремдесивиром по сравнению с 7,8% в группе плацебо с ремдесивиром.</w:t>
      </w:r>
    </w:p>
    <w:p w14:paraId="136482A8" w14:textId="55AE1325" w:rsidR="002E3A02" w:rsidRDefault="002E3A02" w:rsidP="001B62FA">
      <w:pPr>
        <w:spacing w:after="0" w:line="240" w:lineRule="auto"/>
        <w:ind w:firstLine="709"/>
      </w:pPr>
      <w:r>
        <w:t xml:space="preserve">В ходе исследования COV-BARRIER, что наибольшее преимущество от терапии барицитинибом было отмечено у пациентов, нуждающихся в низкопоточной оксигенотерапии, неинвазивной вентиляции легких или высокопоточной оксигенотерапии. У пациентов из группы барицитиниба к 14 дню терапии чаще наблюдалось улучшение клинического статуса по сравнению с пациентами из группы плацебо. </w:t>
      </w:r>
    </w:p>
    <w:p w14:paraId="2D34E6BD" w14:textId="42867B47" w:rsidR="001B62FA" w:rsidRPr="0022557C" w:rsidRDefault="001B62FA" w:rsidP="001B62FA">
      <w:pPr>
        <w:autoSpaceDE w:val="0"/>
        <w:autoSpaceDN w:val="0"/>
        <w:adjustRightInd w:val="0"/>
        <w:spacing w:after="0" w:line="240" w:lineRule="auto"/>
        <w:ind w:firstLine="708"/>
        <w:rPr>
          <w:color w:val="000000"/>
        </w:rPr>
      </w:pPr>
      <w:r w:rsidRPr="0022557C">
        <w:rPr>
          <w:color w:val="000000"/>
        </w:rPr>
        <w:t xml:space="preserve">Влияние почечной недостаточности на фармакокинетику барицитиниба оценивали в клиническом фармакологическом исследовании JADL и последующих исследованиях </w:t>
      </w:r>
      <w:r>
        <w:rPr>
          <w:color w:val="000000"/>
          <w:lang w:val="en-US"/>
        </w:rPr>
        <w:t>II</w:t>
      </w:r>
      <w:r w:rsidRPr="003B4997">
        <w:rPr>
          <w:color w:val="000000"/>
        </w:rPr>
        <w:t xml:space="preserve"> </w:t>
      </w:r>
      <w:r>
        <w:rPr>
          <w:color w:val="000000"/>
        </w:rPr>
        <w:t xml:space="preserve">и </w:t>
      </w:r>
      <w:r>
        <w:rPr>
          <w:color w:val="000000"/>
          <w:lang w:val="en-US"/>
        </w:rPr>
        <w:t>III</w:t>
      </w:r>
      <w:r>
        <w:rPr>
          <w:color w:val="000000"/>
        </w:rPr>
        <w:t xml:space="preserve"> </w:t>
      </w:r>
      <w:r w:rsidRPr="0022557C">
        <w:rPr>
          <w:color w:val="000000"/>
        </w:rPr>
        <w:t>фазы</w:t>
      </w:r>
      <w:r>
        <w:rPr>
          <w:color w:val="000000"/>
        </w:rPr>
        <w:t xml:space="preserve">. В исследовании </w:t>
      </w:r>
      <w:r w:rsidRPr="0022557C">
        <w:rPr>
          <w:color w:val="000000"/>
        </w:rPr>
        <w:t xml:space="preserve">JADL </w:t>
      </w:r>
      <w:r>
        <w:rPr>
          <w:color w:val="000000"/>
        </w:rPr>
        <w:t>(</w:t>
      </w:r>
      <w:r w:rsidRPr="0022557C">
        <w:rPr>
          <w:color w:val="000000"/>
        </w:rPr>
        <w:t>открытое исследование фармакокинетики, фармакодинамически</w:t>
      </w:r>
      <w:r>
        <w:rPr>
          <w:color w:val="000000"/>
        </w:rPr>
        <w:t xml:space="preserve"> </w:t>
      </w:r>
      <w:r w:rsidRPr="0022557C">
        <w:rPr>
          <w:color w:val="000000"/>
        </w:rPr>
        <w:t xml:space="preserve">и безопасности однократной дозы </w:t>
      </w:r>
      <w:r>
        <w:rPr>
          <w:color w:val="000000"/>
        </w:rPr>
        <w:t xml:space="preserve">барицитиниба </w:t>
      </w:r>
      <w:r w:rsidRPr="0022557C">
        <w:rPr>
          <w:color w:val="000000"/>
        </w:rPr>
        <w:t>10 и 5 мг)</w:t>
      </w:r>
      <w:r>
        <w:rPr>
          <w:color w:val="000000"/>
        </w:rPr>
        <w:t xml:space="preserve"> участвовали </w:t>
      </w:r>
      <w:r w:rsidRPr="0022557C">
        <w:rPr>
          <w:color w:val="000000"/>
        </w:rPr>
        <w:t>субъект</w:t>
      </w:r>
      <w:r>
        <w:rPr>
          <w:color w:val="000000"/>
        </w:rPr>
        <w:t>ы</w:t>
      </w:r>
      <w:r w:rsidRPr="0022557C">
        <w:rPr>
          <w:color w:val="000000"/>
        </w:rPr>
        <w:t xml:space="preserve"> с различной степенью почечной недостаточности (легкая, умеренная, тяжелая почечная недостаточность или терминальная стадия почечной недостаточности, требующее гемодиализа</w:t>
      </w:r>
      <w:r>
        <w:rPr>
          <w:color w:val="000000"/>
        </w:rPr>
        <w:t xml:space="preserve">). </w:t>
      </w:r>
      <w:r w:rsidRPr="00C74C24">
        <w:rPr>
          <w:color w:val="000000"/>
        </w:rPr>
        <w:t xml:space="preserve">Умеренная печеночная недостаточность, </w:t>
      </w:r>
      <w:r w:rsidRPr="00C74C24">
        <w:rPr>
          <w:color w:val="000000"/>
        </w:rPr>
        <w:lastRenderedPageBreak/>
        <w:t>возраст (возрастной диапазон от 19 до 83</w:t>
      </w:r>
      <w:r w:rsidRPr="0022557C">
        <w:rPr>
          <w:color w:val="000000"/>
        </w:rPr>
        <w:t xml:space="preserve"> лет) и скорость оседания эритроцитов не оказывали клинически значимого влияния на экспозицию барицитиниба</w:t>
      </w:r>
      <w:r>
        <w:rPr>
          <w:color w:val="000000"/>
        </w:rPr>
        <w:t xml:space="preserve"> </w:t>
      </w:r>
      <w:r w:rsidRPr="0022557C">
        <w:rPr>
          <w:color w:val="000000"/>
        </w:rPr>
        <w:t xml:space="preserve">Снижение почечного </w:t>
      </w:r>
      <w:r>
        <w:t>клиренса</w:t>
      </w:r>
      <w:r w:rsidRPr="0022557C">
        <w:rPr>
          <w:color w:val="000000"/>
        </w:rPr>
        <w:t xml:space="preserve"> барицитиниба и увеличение AUC наблюдались при увеличении тяжести почечной недостаточности</w:t>
      </w:r>
      <w:r>
        <w:rPr>
          <w:color w:val="000000"/>
        </w:rPr>
        <w:t xml:space="preserve">. </w:t>
      </w:r>
      <w:r>
        <w:t xml:space="preserve">У пациентов с </w:t>
      </w:r>
      <w:r w:rsidR="008F28F6">
        <w:rPr>
          <w:lang w:val="en-US"/>
        </w:rPr>
        <w:t>CL</w:t>
      </w:r>
      <w:r>
        <w:t xml:space="preserve"> креатинина от 30 до 60 мл/мин рекомендуемая доза препарата составляет 2 мг один раз в сутки. У пациентов с СКФ от 15 до 30 мл/мин/1,73 м</w:t>
      </w:r>
      <w:r>
        <w:rPr>
          <w:vertAlign w:val="superscript"/>
        </w:rPr>
        <w:t>2</w:t>
      </w:r>
      <w:r>
        <w:t xml:space="preserve"> рекомендуемая доза препарата составляет 2 мг каждые 48 ч. Перед началом применения барицитиниба у пациентов с СКФ от 15 до 30 мл/мин/1,73 м</w:t>
      </w:r>
      <w:r>
        <w:rPr>
          <w:vertAlign w:val="superscript"/>
        </w:rPr>
        <w:t xml:space="preserve">2 </w:t>
      </w:r>
      <w:r>
        <w:t>следует оценить соотношение потенциальной пользы к возможному риску. Пациентам с СКФ менее 15 мл/мин/1,73 м</w:t>
      </w:r>
      <w:r>
        <w:rPr>
          <w:vertAlign w:val="superscript"/>
        </w:rPr>
        <w:t>2</w:t>
      </w:r>
      <w:r>
        <w:t xml:space="preserve"> (терминальная стадия почечной недостаточности) применение барицитиниба противопоказано.</w:t>
      </w:r>
    </w:p>
    <w:p w14:paraId="6184BE05" w14:textId="77777777" w:rsidR="001B62FA" w:rsidRPr="00C74C24" w:rsidRDefault="001B62FA" w:rsidP="001B62FA">
      <w:pPr>
        <w:pStyle w:val="ab"/>
        <w:shd w:val="clear" w:color="auto" w:fill="FFFFFF"/>
        <w:spacing w:before="0" w:beforeAutospacing="0" w:after="0" w:afterAutospacing="0"/>
        <w:ind w:firstLine="708"/>
        <w:jc w:val="both"/>
      </w:pPr>
      <w:r w:rsidRPr="0022557C">
        <w:rPr>
          <w:color w:val="000000"/>
        </w:rPr>
        <w:t>Клинические исследования барицитиниба у пациентов с тяжелой печеночной недостаточностью не проводились</w:t>
      </w:r>
      <w:r>
        <w:t>.</w:t>
      </w:r>
    </w:p>
    <w:p w14:paraId="3C7AAC18" w14:textId="266BE680" w:rsidR="001B62FA" w:rsidRDefault="001B62FA" w:rsidP="001B62FA">
      <w:pPr>
        <w:pStyle w:val="ab"/>
        <w:shd w:val="clear" w:color="auto" w:fill="FFFFFF"/>
        <w:spacing w:before="0" w:beforeAutospacing="0" w:after="0" w:afterAutospacing="0"/>
        <w:ind w:firstLine="708"/>
        <w:jc w:val="both"/>
      </w:pPr>
      <w:r w:rsidRPr="00915A5D">
        <w:t xml:space="preserve">Фармакокинетика барицитиниба оценивалась у небольшого числа пациентов педиатрического возраста (n=18, средний возраст 12,5 лет, вес 9,2–84,3 кг), получавших препарат в рамках благотворительной программы лечения редких аутовоспалительных заболеваний. Масса тела и функция почек значительно влияли на </w:t>
      </w:r>
      <w:r>
        <w:rPr>
          <w:lang w:val="en-US"/>
        </w:rPr>
        <w:t>Vd</w:t>
      </w:r>
      <w:r w:rsidRPr="00915A5D">
        <w:t xml:space="preserve"> и </w:t>
      </w:r>
      <w:r w:rsidR="008F28F6">
        <w:rPr>
          <w:lang w:val="en-US"/>
        </w:rPr>
        <w:t>CL</w:t>
      </w:r>
      <w:r w:rsidRPr="00915A5D">
        <w:t xml:space="preserve"> соответственно, что указывает на необходимость дозирования в зависимости от массы тела и функции почек. Важно отметить, что </w:t>
      </w:r>
      <w:r w:rsidR="008F28F6">
        <w:rPr>
          <w:lang w:val="en-US"/>
        </w:rPr>
        <w:t>T</w:t>
      </w:r>
      <w:r w:rsidRPr="00AB1FF1">
        <w:rPr>
          <w:vertAlign w:val="subscript"/>
        </w:rPr>
        <w:t xml:space="preserve">1/2 </w:t>
      </w:r>
      <w:r w:rsidRPr="00915A5D">
        <w:t xml:space="preserve">барицитиниба был значительно короче у детей, особенно среди детей с массой тела менее 40 кг, и авторы этого исследования рекомендовали детям принимать </w:t>
      </w:r>
      <w:r>
        <w:t xml:space="preserve">барицитиниба </w:t>
      </w:r>
      <w:r w:rsidRPr="00915A5D">
        <w:t>от двух до четырех раз в день в зависимости от функции почек.</w:t>
      </w:r>
      <w:r>
        <w:t xml:space="preserve"> </w:t>
      </w:r>
    </w:p>
    <w:p w14:paraId="2BF8E61C" w14:textId="735166D5" w:rsidR="001B62FA" w:rsidRPr="00CC7D8F" w:rsidRDefault="002E3A02" w:rsidP="001B62FA">
      <w:pPr>
        <w:spacing w:after="0" w:line="240" w:lineRule="auto"/>
        <w:ind w:firstLine="708"/>
      </w:pPr>
      <w:r w:rsidRPr="002E3A02">
        <w:t>Наиболее частыми побочными реакциями при применении барицитиниба являются повышение уровня холестерина ЛПНП (26,0%), инфекции верхних дыхательных путей (16,9%), головная боль (5,2%), простой герпес (3,2%) и инфекции мочевыводящих путей (2,9%).</w:t>
      </w:r>
    </w:p>
    <w:p w14:paraId="5F69BEF3" w14:textId="569E8DEE" w:rsidR="00A72CBF" w:rsidRPr="002E3A02" w:rsidRDefault="00690BDC" w:rsidP="00690BDC">
      <w:pPr>
        <w:pStyle w:val="ab"/>
        <w:shd w:val="clear" w:color="auto" w:fill="FFFFFF"/>
        <w:spacing w:before="0" w:beforeAutospacing="0" w:after="0" w:afterAutospacing="0"/>
        <w:ind w:firstLine="708"/>
        <w:jc w:val="both"/>
        <w:rPr>
          <w:color w:val="000000"/>
        </w:rPr>
      </w:pPr>
      <w:r w:rsidRPr="002E3A02">
        <w:rPr>
          <w:color w:val="000000"/>
        </w:rPr>
        <w:t>На</w:t>
      </w:r>
      <w:r w:rsidR="0066562E" w:rsidRPr="002E3A02">
        <w:rPr>
          <w:color w:val="000000"/>
        </w:rPr>
        <w:t xml:space="preserve"> </w:t>
      </w:r>
      <w:r w:rsidRPr="002E3A02">
        <w:rPr>
          <w:color w:val="000000"/>
        </w:rPr>
        <w:t xml:space="preserve">сегодняшний день </w:t>
      </w:r>
      <w:r w:rsidR="002E3A02" w:rsidRPr="002E3A02">
        <w:rPr>
          <w:color w:val="000000"/>
        </w:rPr>
        <w:t>барицитиниб</w:t>
      </w:r>
      <w:r w:rsidRPr="002E3A02">
        <w:rPr>
          <w:color w:val="000000"/>
        </w:rPr>
        <w:t xml:space="preserve"> является </w:t>
      </w:r>
      <w:r w:rsidR="002E3A02" w:rsidRPr="002E3A02">
        <w:rPr>
          <w:color w:val="000000"/>
        </w:rPr>
        <w:t xml:space="preserve">хорошо </w:t>
      </w:r>
      <w:r w:rsidRPr="002E3A02">
        <w:rPr>
          <w:color w:val="000000"/>
        </w:rPr>
        <w:t>изученным препаратом</w:t>
      </w:r>
      <w:r w:rsidR="0066562E" w:rsidRPr="002E3A02">
        <w:rPr>
          <w:color w:val="000000"/>
        </w:rPr>
        <w:t xml:space="preserve"> </w:t>
      </w:r>
      <w:r w:rsidRPr="002E3A02">
        <w:rPr>
          <w:color w:val="000000"/>
        </w:rPr>
        <w:t>группы</w:t>
      </w:r>
      <w:r w:rsidR="0066562E" w:rsidRPr="002E3A02">
        <w:rPr>
          <w:color w:val="000000"/>
        </w:rPr>
        <w:t xml:space="preserve"> </w:t>
      </w:r>
      <w:r w:rsidR="002E3A02" w:rsidRPr="002E3A02">
        <w:rPr>
          <w:color w:val="000000"/>
        </w:rPr>
        <w:t xml:space="preserve">ингибиторов </w:t>
      </w:r>
      <w:r w:rsidR="002E3A02" w:rsidRPr="002E3A02">
        <w:rPr>
          <w:color w:val="000000"/>
          <w:lang w:val="en-US"/>
        </w:rPr>
        <w:t>JAK</w:t>
      </w:r>
      <w:r w:rsidRPr="002E3A02">
        <w:rPr>
          <w:color w:val="000000"/>
        </w:rPr>
        <w:t>.</w:t>
      </w:r>
    </w:p>
    <w:p w14:paraId="1BB7C29F" w14:textId="77777777" w:rsidR="002E3A02" w:rsidRPr="002E3A02" w:rsidRDefault="002E3A02" w:rsidP="00690BDC">
      <w:pPr>
        <w:pStyle w:val="ab"/>
        <w:shd w:val="clear" w:color="auto" w:fill="FFFFFF"/>
        <w:spacing w:before="0" w:beforeAutospacing="0" w:after="0" w:afterAutospacing="0"/>
        <w:ind w:firstLine="708"/>
        <w:jc w:val="both"/>
        <w:rPr>
          <w:color w:val="000000"/>
        </w:rPr>
      </w:pPr>
    </w:p>
    <w:p w14:paraId="720EF192" w14:textId="33B488B3" w:rsidR="00A72CBF" w:rsidRPr="002E3A02" w:rsidRDefault="00A72CBF" w:rsidP="00690BDC">
      <w:pPr>
        <w:pStyle w:val="ab"/>
        <w:shd w:val="clear" w:color="auto" w:fill="FFFFFF"/>
        <w:spacing w:before="0" w:beforeAutospacing="0" w:after="0" w:afterAutospacing="0"/>
        <w:ind w:firstLine="708"/>
        <w:jc w:val="both"/>
        <w:rPr>
          <w:b/>
          <w:color w:val="000000"/>
        </w:rPr>
      </w:pPr>
      <w:r w:rsidRPr="002E3A02">
        <w:rPr>
          <w:b/>
          <w:color w:val="000000"/>
        </w:rPr>
        <w:t>Оценка пользы</w:t>
      </w:r>
    </w:p>
    <w:p w14:paraId="076AE008" w14:textId="77777777" w:rsidR="00A72CBF" w:rsidRPr="002E3A02" w:rsidRDefault="00A72CBF" w:rsidP="00A72CBF">
      <w:pPr>
        <w:spacing w:after="0" w:line="240" w:lineRule="auto"/>
        <w:ind w:firstLine="709"/>
        <w:rPr>
          <w:rFonts w:eastAsia="Calibri"/>
        </w:rPr>
      </w:pPr>
      <w:r w:rsidRPr="002E3A02">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2E3A02">
        <w:rPr>
          <w:rFonts w:eastAsia="Calibri"/>
        </w:rPr>
        <w:t xml:space="preserve"> </w:t>
      </w:r>
    </w:p>
    <w:p w14:paraId="2FED1D42" w14:textId="68D704DF" w:rsidR="00A72CBF" w:rsidRPr="002E3A02" w:rsidRDefault="00A72CBF" w:rsidP="00690BDC">
      <w:pPr>
        <w:pStyle w:val="ab"/>
        <w:shd w:val="clear" w:color="auto" w:fill="FFFFFF"/>
        <w:spacing w:before="0" w:beforeAutospacing="0" w:after="0" w:afterAutospacing="0"/>
        <w:ind w:firstLine="708"/>
        <w:jc w:val="both"/>
        <w:rPr>
          <w:b/>
          <w:color w:val="000000"/>
        </w:rPr>
      </w:pPr>
    </w:p>
    <w:p w14:paraId="35113295" w14:textId="0B2478CB" w:rsidR="00A72CBF" w:rsidRPr="002E3A02" w:rsidRDefault="00A72CBF">
      <w:pPr>
        <w:pStyle w:val="ab"/>
        <w:shd w:val="clear" w:color="auto" w:fill="FFFFFF"/>
        <w:spacing w:before="0" w:beforeAutospacing="0" w:after="0" w:afterAutospacing="0"/>
        <w:ind w:firstLine="708"/>
        <w:jc w:val="both"/>
        <w:rPr>
          <w:b/>
          <w:color w:val="000000"/>
        </w:rPr>
      </w:pPr>
      <w:r w:rsidRPr="002E3A02">
        <w:rPr>
          <w:b/>
          <w:color w:val="000000"/>
        </w:rPr>
        <w:t>Оценка риска</w:t>
      </w:r>
    </w:p>
    <w:p w14:paraId="72820776" w14:textId="27D47355" w:rsidR="00A72CBF" w:rsidRPr="002E3A02" w:rsidRDefault="00A72CBF" w:rsidP="00A72CBF">
      <w:pPr>
        <w:spacing w:after="0" w:line="240" w:lineRule="auto"/>
        <w:ind w:firstLine="709"/>
        <w:rPr>
          <w:lang w:eastAsia="ru-RU"/>
        </w:rPr>
      </w:pPr>
      <w:bookmarkStart w:id="205" w:name="_Hlk484365438"/>
      <w:bookmarkStart w:id="206" w:name="_Hlk484354093"/>
      <w:bookmarkStart w:id="207" w:name="_Hlk484365465"/>
      <w:r w:rsidRPr="002E3A02">
        <w:rPr>
          <w:lang w:eastAsia="ru-RU"/>
        </w:rPr>
        <w:t xml:space="preserve">Риск применения испытуемого препарата </w:t>
      </w:r>
      <w:r w:rsidR="00411DA1" w:rsidRPr="009333D1">
        <w:rPr>
          <w:lang w:val="en-US"/>
        </w:rPr>
        <w:t>DT</w:t>
      </w:r>
      <w:r w:rsidR="00411DA1" w:rsidRPr="009333D1">
        <w:t>-</w:t>
      </w:r>
      <w:r w:rsidR="00411DA1" w:rsidRPr="009333D1">
        <w:rPr>
          <w:lang w:val="en-US"/>
        </w:rPr>
        <w:t>BRC</w:t>
      </w:r>
      <w:r w:rsidRPr="002E3A02">
        <w:rPr>
          <w:lang w:eastAsia="ru-RU"/>
        </w:rPr>
        <w:t xml:space="preserve">, как и оригинального препарата </w:t>
      </w:r>
      <w:r w:rsidR="002E3A02">
        <w:rPr>
          <w:lang w:eastAsia="ru-RU"/>
        </w:rPr>
        <w:t>Олумиант</w:t>
      </w:r>
      <w:r w:rsidRPr="002E3A02">
        <w:rPr>
          <w:vertAlign w:val="superscript"/>
          <w:lang w:eastAsia="ru-RU"/>
        </w:rPr>
        <w:t>®</w:t>
      </w:r>
      <w:r w:rsidRPr="002E3A02">
        <w:rPr>
          <w:lang w:eastAsia="ru-RU"/>
        </w:rPr>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w:t>
      </w:r>
      <w:r w:rsidR="002E3A02">
        <w:rPr>
          <w:lang w:eastAsia="ru-RU"/>
        </w:rPr>
        <w:t>барицитиниба</w:t>
      </w:r>
      <w:r w:rsidRPr="002E3A02">
        <w:rPr>
          <w:lang w:eastAsia="ru-RU"/>
        </w:rPr>
        <w:t xml:space="preserve"> у пациентов в </w:t>
      </w:r>
      <w:r w:rsidR="000866A4" w:rsidRPr="002E3A02">
        <w:rPr>
          <w:lang w:eastAsia="ru-RU"/>
        </w:rPr>
        <w:t>монотерапии</w:t>
      </w:r>
      <w:r w:rsidRPr="002E3A02">
        <w:rPr>
          <w:lang w:eastAsia="ru-RU"/>
        </w:rPr>
        <w:t xml:space="preserve"> и при пострегистрационном наблюдении). </w:t>
      </w:r>
    </w:p>
    <w:p w14:paraId="016538BA" w14:textId="486692A6" w:rsidR="00A72CBF" w:rsidRPr="002E3A02" w:rsidRDefault="00A72CBF" w:rsidP="00A72CBF">
      <w:pPr>
        <w:spacing w:after="0" w:line="240" w:lineRule="auto"/>
        <w:ind w:firstLine="709"/>
        <w:rPr>
          <w:color w:val="000000"/>
        </w:rPr>
      </w:pPr>
      <w:r w:rsidRPr="002E3A02">
        <w:rPr>
          <w:color w:val="000000"/>
        </w:rPr>
        <w:t>Нежелательные явления перечислены ниже (Таблица 5-1) по системно-органным классам и частоте. Частоты определены как: очень часто (≥1/10); часто (≥1/100 - &lt;1/10); нечасто (≥1/1000 - &lt;1/100); редко (≥1/10000- &lt;1/1000); очень редко (&lt;1/10000) и частота не установлена (нельзя установить на основании доступных данных).</w:t>
      </w:r>
    </w:p>
    <w:p w14:paraId="233DD89E" w14:textId="77777777" w:rsidR="00A72CBF" w:rsidRPr="002E3A02" w:rsidRDefault="00A72CBF" w:rsidP="00A72CBF">
      <w:pPr>
        <w:spacing w:after="0" w:line="240" w:lineRule="auto"/>
        <w:ind w:firstLine="709"/>
        <w:rPr>
          <w:color w:val="000000"/>
        </w:rPr>
      </w:pPr>
    </w:p>
    <w:p w14:paraId="49087E84" w14:textId="77777777" w:rsidR="0051605E" w:rsidRDefault="0051605E">
      <w:pPr>
        <w:jc w:val="left"/>
        <w:rPr>
          <w:rFonts w:eastAsia="Times New Roman"/>
          <w:b/>
          <w:bCs/>
          <w:lang w:eastAsia="ru-RU"/>
        </w:rPr>
      </w:pPr>
      <w:r>
        <w:rPr>
          <w:b/>
          <w:bCs/>
        </w:rPr>
        <w:br w:type="page"/>
      </w:r>
    </w:p>
    <w:p w14:paraId="16ABDCD9" w14:textId="5DE22DEB" w:rsidR="00A72CBF" w:rsidRDefault="00A72CBF" w:rsidP="00A72CBF">
      <w:pPr>
        <w:pStyle w:val="ab"/>
        <w:shd w:val="clear" w:color="auto" w:fill="FFFFFF"/>
        <w:spacing w:before="0" w:beforeAutospacing="0" w:after="0" w:afterAutospacing="0"/>
        <w:jc w:val="both"/>
        <w:rPr>
          <w:color w:val="000000"/>
        </w:rPr>
      </w:pPr>
      <w:r w:rsidRPr="002E3A02">
        <w:rPr>
          <w:b/>
          <w:bCs/>
        </w:rPr>
        <w:lastRenderedPageBreak/>
        <w:t xml:space="preserve">Таблица </w:t>
      </w:r>
      <w:r w:rsidRPr="002E3A02">
        <w:rPr>
          <w:b/>
        </w:rPr>
        <w:t>5-1</w:t>
      </w:r>
      <w:r w:rsidRPr="002E3A02">
        <w:rPr>
          <w:b/>
          <w:bCs/>
        </w:rPr>
        <w:t xml:space="preserve">. </w:t>
      </w:r>
      <w:r w:rsidRPr="002E3A02">
        <w:rPr>
          <w:color w:val="000000"/>
        </w:rPr>
        <w:t xml:space="preserve">Частота нежелательных явлений, выявленных в контролируемых клинических исследованиях </w:t>
      </w:r>
      <w:r w:rsidR="002E3A02">
        <w:rPr>
          <w:color w:val="000000"/>
        </w:rPr>
        <w:t>барицитиниба</w:t>
      </w:r>
      <w:r w:rsidR="006A5654">
        <w:rPr>
          <w:color w:val="000000"/>
        </w:rPr>
        <w:t>.</w:t>
      </w:r>
    </w:p>
    <w:tbl>
      <w:tblPr>
        <w:tblW w:w="4989" w:type="pct"/>
        <w:tblInd w:w="10" w:type="dxa"/>
        <w:tblLayout w:type="fixed"/>
        <w:tblCellMar>
          <w:left w:w="0" w:type="dxa"/>
          <w:right w:w="0" w:type="dxa"/>
        </w:tblCellMar>
        <w:tblLook w:val="04A0" w:firstRow="1" w:lastRow="0" w:firstColumn="1" w:lastColumn="0" w:noHBand="0" w:noVBand="1"/>
      </w:tblPr>
      <w:tblGrid>
        <w:gridCol w:w="2473"/>
        <w:gridCol w:w="2350"/>
        <w:gridCol w:w="2341"/>
        <w:gridCol w:w="2191"/>
      </w:tblGrid>
      <w:tr w:rsidR="002E3A02" w:rsidRPr="0029110D" w14:paraId="50F4721E" w14:textId="77777777" w:rsidTr="0029110D">
        <w:trPr>
          <w:trHeight w:val="20"/>
          <w:tblHeader/>
        </w:trPr>
        <w:tc>
          <w:tcPr>
            <w:tcW w:w="1322" w:type="pct"/>
            <w:tcBorders>
              <w:top w:val="single" w:sz="8" w:space="0" w:color="auto"/>
              <w:left w:val="single" w:sz="8" w:space="0" w:color="auto"/>
              <w:bottom w:val="single" w:sz="4" w:space="0" w:color="auto"/>
              <w:right w:val="single" w:sz="8" w:space="0" w:color="auto"/>
            </w:tcBorders>
            <w:shd w:val="clear" w:color="auto" w:fill="D9D9D9" w:themeFill="background1" w:themeFillShade="D9"/>
            <w:tcMar>
              <w:top w:w="0" w:type="dxa"/>
              <w:left w:w="10" w:type="dxa"/>
              <w:bottom w:w="0" w:type="dxa"/>
              <w:right w:w="10" w:type="dxa"/>
            </w:tcMar>
            <w:vAlign w:val="center"/>
          </w:tcPr>
          <w:p w14:paraId="049AE489" w14:textId="77777777" w:rsidR="002E3A02" w:rsidRPr="0029110D" w:rsidRDefault="002E3A02" w:rsidP="0051605E">
            <w:pPr>
              <w:spacing w:after="0" w:line="240" w:lineRule="auto"/>
              <w:jc w:val="center"/>
              <w:rPr>
                <w:rFonts w:eastAsia="Times New Roman"/>
                <w:b/>
                <w:bCs/>
                <w:lang w:eastAsia="ru-RU"/>
              </w:rPr>
            </w:pPr>
            <w:r w:rsidRPr="0029110D">
              <w:rPr>
                <w:rFonts w:eastAsia="Times New Roman"/>
                <w:b/>
                <w:bCs/>
                <w:lang w:eastAsia="ru-RU"/>
              </w:rPr>
              <w:t>Системно органный класс</w:t>
            </w:r>
          </w:p>
        </w:tc>
        <w:tc>
          <w:tcPr>
            <w:tcW w:w="1256" w:type="pct"/>
            <w:tcBorders>
              <w:top w:val="single" w:sz="8" w:space="0" w:color="auto"/>
              <w:left w:val="single" w:sz="8" w:space="0" w:color="auto"/>
              <w:bottom w:val="single" w:sz="4" w:space="0" w:color="auto"/>
              <w:right w:val="single" w:sz="8" w:space="0" w:color="auto"/>
            </w:tcBorders>
            <w:shd w:val="clear" w:color="auto" w:fill="D9D9D9" w:themeFill="background1" w:themeFillShade="D9"/>
            <w:vAlign w:val="center"/>
          </w:tcPr>
          <w:p w14:paraId="453E0A26" w14:textId="77777777" w:rsidR="002E3A02" w:rsidRPr="0029110D" w:rsidRDefault="002E3A02" w:rsidP="0051605E">
            <w:pPr>
              <w:spacing w:after="0" w:line="240" w:lineRule="auto"/>
              <w:jc w:val="center"/>
              <w:rPr>
                <w:rFonts w:eastAsia="Times New Roman"/>
                <w:b/>
                <w:bCs/>
                <w:lang w:eastAsia="ru-RU"/>
              </w:rPr>
            </w:pPr>
            <w:r w:rsidRPr="0029110D">
              <w:rPr>
                <w:rFonts w:eastAsia="Times New Roman"/>
                <w:b/>
                <w:bCs/>
                <w:lang w:eastAsia="ru-RU"/>
              </w:rPr>
              <w:t>Очень часто</w:t>
            </w:r>
          </w:p>
        </w:tc>
        <w:tc>
          <w:tcPr>
            <w:tcW w:w="1251" w:type="pct"/>
            <w:tcBorders>
              <w:top w:val="single" w:sz="8" w:space="0" w:color="auto"/>
              <w:left w:val="single" w:sz="8" w:space="0" w:color="auto"/>
              <w:bottom w:val="single" w:sz="4" w:space="0" w:color="auto"/>
              <w:right w:val="single" w:sz="8" w:space="0" w:color="auto"/>
            </w:tcBorders>
            <w:shd w:val="clear" w:color="auto" w:fill="D9D9D9" w:themeFill="background1" w:themeFillShade="D9"/>
            <w:vAlign w:val="center"/>
          </w:tcPr>
          <w:p w14:paraId="78183E5A" w14:textId="77777777" w:rsidR="002E3A02" w:rsidRPr="0029110D" w:rsidRDefault="002E3A02" w:rsidP="0051605E">
            <w:pPr>
              <w:spacing w:after="0" w:line="240" w:lineRule="auto"/>
              <w:jc w:val="center"/>
              <w:rPr>
                <w:rFonts w:eastAsia="Times New Roman"/>
                <w:b/>
                <w:bCs/>
                <w:lang w:eastAsia="ru-RU"/>
              </w:rPr>
            </w:pPr>
            <w:r w:rsidRPr="0029110D">
              <w:rPr>
                <w:rFonts w:eastAsia="Times New Roman"/>
                <w:b/>
                <w:bCs/>
                <w:lang w:eastAsia="ru-RU"/>
              </w:rPr>
              <w:t>Часто</w:t>
            </w:r>
          </w:p>
        </w:tc>
        <w:tc>
          <w:tcPr>
            <w:tcW w:w="1171" w:type="pct"/>
            <w:tcBorders>
              <w:top w:val="single" w:sz="8" w:space="0" w:color="auto"/>
              <w:left w:val="single" w:sz="8" w:space="0" w:color="auto"/>
              <w:bottom w:val="single" w:sz="4" w:space="0" w:color="auto"/>
              <w:right w:val="single" w:sz="8" w:space="0" w:color="auto"/>
            </w:tcBorders>
            <w:shd w:val="clear" w:color="auto" w:fill="D9D9D9" w:themeFill="background1" w:themeFillShade="D9"/>
            <w:vAlign w:val="center"/>
          </w:tcPr>
          <w:p w14:paraId="551CE7C6" w14:textId="77777777" w:rsidR="002E3A02" w:rsidRPr="0029110D" w:rsidRDefault="002E3A02" w:rsidP="0051605E">
            <w:pPr>
              <w:spacing w:after="0" w:line="240" w:lineRule="auto"/>
              <w:jc w:val="center"/>
              <w:rPr>
                <w:rFonts w:eastAsia="Times New Roman"/>
                <w:b/>
                <w:bCs/>
                <w:lang w:eastAsia="ru-RU"/>
              </w:rPr>
            </w:pPr>
            <w:r w:rsidRPr="0029110D">
              <w:rPr>
                <w:rFonts w:eastAsia="Times New Roman"/>
                <w:b/>
                <w:bCs/>
                <w:lang w:eastAsia="ru-RU"/>
              </w:rPr>
              <w:t>Не часто</w:t>
            </w:r>
          </w:p>
        </w:tc>
      </w:tr>
      <w:tr w:rsidR="002E3A02" w:rsidRPr="0029110D" w14:paraId="148FBBB4"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14:paraId="4CCAC4E9"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Инфекции и инвазии</w:t>
            </w:r>
          </w:p>
        </w:tc>
        <w:tc>
          <w:tcPr>
            <w:tcW w:w="1256" w:type="pct"/>
            <w:tcBorders>
              <w:top w:val="single" w:sz="4" w:space="0" w:color="auto"/>
              <w:left w:val="single" w:sz="4" w:space="0" w:color="auto"/>
              <w:bottom w:val="single" w:sz="4" w:space="0" w:color="auto"/>
              <w:right w:val="single" w:sz="4" w:space="0" w:color="auto"/>
            </w:tcBorders>
            <w:shd w:val="clear" w:color="auto" w:fill="auto"/>
            <w:vAlign w:val="center"/>
          </w:tcPr>
          <w:p w14:paraId="19F0FA96"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Инфекции верхних дыхательных путей</w:t>
            </w:r>
          </w:p>
        </w:tc>
        <w:tc>
          <w:tcPr>
            <w:tcW w:w="1251" w:type="pct"/>
            <w:tcBorders>
              <w:top w:val="single" w:sz="4" w:space="0" w:color="auto"/>
              <w:left w:val="single" w:sz="4" w:space="0" w:color="auto"/>
              <w:bottom w:val="single" w:sz="4" w:space="0" w:color="auto"/>
              <w:right w:val="single" w:sz="4" w:space="0" w:color="auto"/>
            </w:tcBorders>
            <w:shd w:val="clear" w:color="auto" w:fill="auto"/>
            <w:vAlign w:val="center"/>
          </w:tcPr>
          <w:p w14:paraId="4CC9FB19"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Простой герпес, опоясывающий герпес, Энтерит, инфекции мочевыделительной системы, пневмония</w:t>
            </w:r>
            <w:r w:rsidRPr="0029110D">
              <w:rPr>
                <w:rFonts w:eastAsia="Times New Roman"/>
                <w:vertAlign w:val="superscript"/>
                <w:lang w:val="en-US" w:eastAsia="ru-RU"/>
              </w:rPr>
              <w:t>d</w:t>
            </w:r>
            <w:r w:rsidRPr="0029110D">
              <w:rPr>
                <w:rFonts w:eastAsia="Times New Roman"/>
                <w:lang w:eastAsia="ru-RU"/>
              </w:rPr>
              <w:t>, фолликулит</w:t>
            </w:r>
            <w:r w:rsidRPr="0029110D">
              <w:rPr>
                <w:rFonts w:eastAsia="Times New Roman"/>
                <w:vertAlign w:val="superscript"/>
                <w:lang w:val="en-US" w:eastAsia="ru-RU"/>
              </w:rPr>
              <w:t>g</w:t>
            </w:r>
          </w:p>
        </w:tc>
        <w:tc>
          <w:tcPr>
            <w:tcW w:w="1171" w:type="pct"/>
            <w:tcBorders>
              <w:top w:val="single" w:sz="4" w:space="0" w:color="auto"/>
              <w:left w:val="single" w:sz="4" w:space="0" w:color="auto"/>
              <w:bottom w:val="single" w:sz="4" w:space="0" w:color="auto"/>
              <w:right w:val="single" w:sz="4" w:space="0" w:color="auto"/>
            </w:tcBorders>
            <w:shd w:val="clear" w:color="auto" w:fill="auto"/>
            <w:vAlign w:val="center"/>
          </w:tcPr>
          <w:p w14:paraId="7BB2C72B" w14:textId="77777777" w:rsidR="002E3A02" w:rsidRPr="0029110D" w:rsidRDefault="002E3A02" w:rsidP="0051605E">
            <w:pPr>
              <w:spacing w:after="0" w:line="240" w:lineRule="auto"/>
              <w:jc w:val="center"/>
              <w:rPr>
                <w:rFonts w:eastAsia="Times New Roman"/>
                <w:lang w:eastAsia="ru-RU"/>
              </w:rPr>
            </w:pPr>
          </w:p>
        </w:tc>
      </w:tr>
      <w:tr w:rsidR="002E3A02" w:rsidRPr="0029110D" w14:paraId="2184CCC0" w14:textId="77777777" w:rsidTr="0029110D">
        <w:trPr>
          <w:trHeight w:val="20"/>
        </w:trPr>
        <w:tc>
          <w:tcPr>
            <w:tcW w:w="1322" w:type="pct"/>
            <w:tcBorders>
              <w:top w:val="single" w:sz="4" w:space="0" w:color="auto"/>
              <w:left w:val="single" w:sz="8" w:space="0" w:color="auto"/>
              <w:bottom w:val="nil"/>
              <w:right w:val="single" w:sz="8" w:space="0" w:color="auto"/>
            </w:tcBorders>
            <w:shd w:val="clear" w:color="auto" w:fill="auto"/>
            <w:tcMar>
              <w:top w:w="0" w:type="dxa"/>
              <w:left w:w="10" w:type="dxa"/>
              <w:bottom w:w="0" w:type="dxa"/>
              <w:right w:w="10" w:type="dxa"/>
            </w:tcMar>
            <w:vAlign w:val="center"/>
          </w:tcPr>
          <w:p w14:paraId="69209E43"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Нарушения со стороны крови и лимфатической системы</w:t>
            </w:r>
          </w:p>
        </w:tc>
        <w:tc>
          <w:tcPr>
            <w:tcW w:w="1256" w:type="pct"/>
            <w:tcBorders>
              <w:top w:val="single" w:sz="4" w:space="0" w:color="auto"/>
              <w:left w:val="single" w:sz="8" w:space="0" w:color="auto"/>
              <w:bottom w:val="nil"/>
              <w:right w:val="single" w:sz="8" w:space="0" w:color="auto"/>
            </w:tcBorders>
            <w:shd w:val="clear" w:color="auto" w:fill="auto"/>
            <w:vAlign w:val="center"/>
          </w:tcPr>
          <w:p w14:paraId="2364612F"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4" w:space="0" w:color="auto"/>
              <w:left w:val="single" w:sz="8" w:space="0" w:color="auto"/>
              <w:bottom w:val="nil"/>
              <w:right w:val="single" w:sz="8" w:space="0" w:color="auto"/>
            </w:tcBorders>
            <w:shd w:val="clear" w:color="auto" w:fill="auto"/>
            <w:vAlign w:val="center"/>
          </w:tcPr>
          <w:p w14:paraId="5CF110AE" w14:textId="77777777" w:rsidR="002E3A02" w:rsidRPr="0029110D" w:rsidRDefault="002E3A02" w:rsidP="0051605E">
            <w:pPr>
              <w:spacing w:after="0" w:line="240" w:lineRule="auto"/>
              <w:jc w:val="center"/>
              <w:rPr>
                <w:rFonts w:eastAsia="Times New Roman"/>
                <w:vertAlign w:val="superscript"/>
                <w:lang w:eastAsia="ru-RU"/>
              </w:rPr>
            </w:pPr>
            <w:r w:rsidRPr="0029110D">
              <w:rPr>
                <w:rFonts w:eastAsia="Times New Roman"/>
                <w:lang w:eastAsia="ru-RU"/>
              </w:rPr>
              <w:t>Тромбоцитоз &gt;600*10</w:t>
            </w:r>
            <w:r w:rsidRPr="0029110D">
              <w:rPr>
                <w:rFonts w:eastAsia="Times New Roman"/>
                <w:vertAlign w:val="superscript"/>
                <w:lang w:eastAsia="ru-RU"/>
              </w:rPr>
              <w:t>9</w:t>
            </w:r>
            <w:r w:rsidRPr="0029110D">
              <w:rPr>
                <w:rFonts w:eastAsia="Times New Roman"/>
                <w:lang w:eastAsia="ru-RU"/>
              </w:rPr>
              <w:t xml:space="preserve"> кл/л </w:t>
            </w:r>
            <w:r w:rsidRPr="0029110D">
              <w:rPr>
                <w:rFonts w:eastAsia="Times New Roman"/>
                <w:vertAlign w:val="superscript"/>
                <w:lang w:val="en-US" w:eastAsia="ru-RU"/>
              </w:rPr>
              <w:t>a</w:t>
            </w:r>
            <w:r w:rsidRPr="0029110D">
              <w:rPr>
                <w:rFonts w:eastAsia="Times New Roman"/>
                <w:vertAlign w:val="superscript"/>
                <w:lang w:eastAsia="ru-RU"/>
              </w:rPr>
              <w:t xml:space="preserve">, </w:t>
            </w:r>
            <w:r w:rsidRPr="0029110D">
              <w:rPr>
                <w:rFonts w:eastAsia="Times New Roman"/>
                <w:vertAlign w:val="superscript"/>
                <w:lang w:val="en-US" w:eastAsia="ru-RU"/>
              </w:rPr>
              <w:t>d</w:t>
            </w:r>
          </w:p>
        </w:tc>
        <w:tc>
          <w:tcPr>
            <w:tcW w:w="1171" w:type="pct"/>
            <w:tcBorders>
              <w:top w:val="single" w:sz="4" w:space="0" w:color="auto"/>
              <w:left w:val="single" w:sz="8" w:space="0" w:color="auto"/>
              <w:bottom w:val="nil"/>
              <w:right w:val="single" w:sz="8" w:space="0" w:color="auto"/>
            </w:tcBorders>
            <w:shd w:val="clear" w:color="auto" w:fill="auto"/>
            <w:vAlign w:val="center"/>
          </w:tcPr>
          <w:p w14:paraId="2719BD6D" w14:textId="0F9A57DC"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Нейтропения ˂1*10</w:t>
            </w:r>
            <w:r w:rsidRPr="0029110D">
              <w:rPr>
                <w:rFonts w:eastAsia="Times New Roman"/>
                <w:vertAlign w:val="superscript"/>
                <w:lang w:eastAsia="ru-RU"/>
              </w:rPr>
              <w:t>9</w:t>
            </w:r>
            <w:r w:rsidRPr="0029110D">
              <w:rPr>
                <w:rFonts w:eastAsia="Times New Roman"/>
                <w:lang w:eastAsia="ru-RU"/>
              </w:rPr>
              <w:t xml:space="preserve"> кл/л </w:t>
            </w:r>
            <w:r w:rsidRPr="0029110D">
              <w:rPr>
                <w:rFonts w:eastAsia="Times New Roman"/>
                <w:vertAlign w:val="superscript"/>
                <w:lang w:val="en-US" w:eastAsia="ru-RU"/>
              </w:rPr>
              <w:t>a</w:t>
            </w:r>
          </w:p>
        </w:tc>
      </w:tr>
      <w:tr w:rsidR="002E3A02" w:rsidRPr="0029110D" w14:paraId="5060392D" w14:textId="77777777" w:rsidTr="0029110D">
        <w:trPr>
          <w:trHeight w:val="20"/>
        </w:trPr>
        <w:tc>
          <w:tcPr>
            <w:tcW w:w="1322" w:type="pct"/>
            <w:tcBorders>
              <w:top w:val="single" w:sz="8" w:space="0" w:color="auto"/>
              <w:left w:val="single" w:sz="8" w:space="0" w:color="auto"/>
              <w:bottom w:val="nil"/>
              <w:right w:val="single" w:sz="8" w:space="0" w:color="auto"/>
            </w:tcBorders>
            <w:shd w:val="clear" w:color="auto" w:fill="auto"/>
            <w:tcMar>
              <w:top w:w="0" w:type="dxa"/>
              <w:left w:w="10" w:type="dxa"/>
              <w:bottom w:w="0" w:type="dxa"/>
              <w:right w:w="10" w:type="dxa"/>
            </w:tcMar>
            <w:vAlign w:val="center"/>
          </w:tcPr>
          <w:p w14:paraId="7EAFA688"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Нарушения со стороны иммунной системы</w:t>
            </w:r>
          </w:p>
        </w:tc>
        <w:tc>
          <w:tcPr>
            <w:tcW w:w="1256" w:type="pct"/>
            <w:tcBorders>
              <w:top w:val="single" w:sz="8" w:space="0" w:color="auto"/>
              <w:left w:val="single" w:sz="8" w:space="0" w:color="auto"/>
              <w:bottom w:val="nil"/>
              <w:right w:val="single" w:sz="8" w:space="0" w:color="auto"/>
            </w:tcBorders>
            <w:shd w:val="clear" w:color="auto" w:fill="auto"/>
            <w:vAlign w:val="center"/>
          </w:tcPr>
          <w:p w14:paraId="3394A5DE"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8" w:space="0" w:color="auto"/>
              <w:left w:val="single" w:sz="8" w:space="0" w:color="auto"/>
              <w:bottom w:val="nil"/>
              <w:right w:val="single" w:sz="8" w:space="0" w:color="auto"/>
            </w:tcBorders>
            <w:shd w:val="clear" w:color="auto" w:fill="auto"/>
            <w:vAlign w:val="center"/>
          </w:tcPr>
          <w:p w14:paraId="68AC163B" w14:textId="77777777" w:rsidR="002E3A02" w:rsidRPr="0029110D" w:rsidRDefault="002E3A02" w:rsidP="0051605E">
            <w:pPr>
              <w:spacing w:after="0" w:line="240" w:lineRule="auto"/>
              <w:jc w:val="center"/>
              <w:rPr>
                <w:rFonts w:eastAsia="Times New Roman"/>
                <w:lang w:eastAsia="ru-RU"/>
              </w:rPr>
            </w:pPr>
          </w:p>
        </w:tc>
        <w:tc>
          <w:tcPr>
            <w:tcW w:w="1171" w:type="pct"/>
            <w:tcBorders>
              <w:top w:val="single" w:sz="8" w:space="0" w:color="auto"/>
              <w:left w:val="single" w:sz="8" w:space="0" w:color="auto"/>
              <w:bottom w:val="nil"/>
              <w:right w:val="single" w:sz="8" w:space="0" w:color="auto"/>
            </w:tcBorders>
            <w:shd w:val="clear" w:color="auto" w:fill="auto"/>
            <w:vAlign w:val="center"/>
          </w:tcPr>
          <w:p w14:paraId="2CDDB472"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Отек лица, крапивница</w:t>
            </w:r>
          </w:p>
        </w:tc>
      </w:tr>
      <w:tr w:rsidR="002E3A02" w:rsidRPr="0029110D" w14:paraId="2FD7D0BE" w14:textId="77777777" w:rsidTr="0029110D">
        <w:trPr>
          <w:trHeight w:val="20"/>
        </w:trPr>
        <w:tc>
          <w:tcPr>
            <w:tcW w:w="1322" w:type="pct"/>
            <w:tcBorders>
              <w:top w:val="single" w:sz="8" w:space="0" w:color="auto"/>
              <w:left w:val="single" w:sz="8" w:space="0" w:color="auto"/>
              <w:bottom w:val="nil"/>
              <w:right w:val="single" w:sz="8" w:space="0" w:color="auto"/>
            </w:tcBorders>
            <w:shd w:val="clear" w:color="auto" w:fill="auto"/>
            <w:tcMar>
              <w:top w:w="0" w:type="dxa"/>
              <w:left w:w="10" w:type="dxa"/>
              <w:bottom w:w="0" w:type="dxa"/>
              <w:right w:w="10" w:type="dxa"/>
            </w:tcMar>
            <w:vAlign w:val="center"/>
          </w:tcPr>
          <w:p w14:paraId="167E634B"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Нарушения со стороны обмена веществ и питания</w:t>
            </w:r>
          </w:p>
        </w:tc>
        <w:tc>
          <w:tcPr>
            <w:tcW w:w="1256" w:type="pct"/>
            <w:tcBorders>
              <w:top w:val="single" w:sz="8" w:space="0" w:color="auto"/>
              <w:left w:val="single" w:sz="8" w:space="0" w:color="auto"/>
              <w:bottom w:val="nil"/>
              <w:right w:val="single" w:sz="8" w:space="0" w:color="auto"/>
            </w:tcBorders>
            <w:shd w:val="clear" w:color="auto" w:fill="auto"/>
            <w:vAlign w:val="center"/>
          </w:tcPr>
          <w:p w14:paraId="09B3F5F6" w14:textId="77777777" w:rsidR="002E3A02" w:rsidRPr="0029110D" w:rsidRDefault="002E3A02" w:rsidP="0051605E">
            <w:pPr>
              <w:spacing w:after="0" w:line="240" w:lineRule="auto"/>
              <w:jc w:val="center"/>
              <w:rPr>
                <w:rFonts w:eastAsia="Times New Roman"/>
                <w:vertAlign w:val="superscript"/>
                <w:lang w:eastAsia="ru-RU"/>
              </w:rPr>
            </w:pPr>
            <w:r w:rsidRPr="0029110D">
              <w:rPr>
                <w:rFonts w:eastAsia="Times New Roman"/>
                <w:lang w:eastAsia="ru-RU"/>
              </w:rPr>
              <w:t>Гиперхолестеринемия</w:t>
            </w:r>
            <w:r w:rsidRPr="0029110D">
              <w:rPr>
                <w:rFonts w:eastAsia="Times New Roman"/>
                <w:vertAlign w:val="superscript"/>
                <w:lang w:val="en-US" w:eastAsia="ru-RU"/>
              </w:rPr>
              <w:t>a</w:t>
            </w:r>
          </w:p>
        </w:tc>
        <w:tc>
          <w:tcPr>
            <w:tcW w:w="1251" w:type="pct"/>
            <w:tcBorders>
              <w:top w:val="single" w:sz="8" w:space="0" w:color="auto"/>
              <w:left w:val="single" w:sz="8" w:space="0" w:color="auto"/>
              <w:bottom w:val="nil"/>
              <w:right w:val="single" w:sz="8" w:space="0" w:color="auto"/>
            </w:tcBorders>
            <w:shd w:val="clear" w:color="auto" w:fill="auto"/>
            <w:vAlign w:val="center"/>
          </w:tcPr>
          <w:p w14:paraId="57EF9D4E" w14:textId="77777777" w:rsidR="002E3A02" w:rsidRPr="0029110D" w:rsidRDefault="002E3A02" w:rsidP="0051605E">
            <w:pPr>
              <w:spacing w:after="0" w:line="240" w:lineRule="auto"/>
              <w:jc w:val="center"/>
              <w:rPr>
                <w:rFonts w:eastAsia="Times New Roman"/>
                <w:lang w:eastAsia="ru-RU"/>
              </w:rPr>
            </w:pPr>
          </w:p>
        </w:tc>
        <w:tc>
          <w:tcPr>
            <w:tcW w:w="1171" w:type="pct"/>
            <w:tcBorders>
              <w:top w:val="single" w:sz="8" w:space="0" w:color="auto"/>
              <w:left w:val="single" w:sz="8" w:space="0" w:color="auto"/>
              <w:bottom w:val="nil"/>
              <w:right w:val="single" w:sz="8" w:space="0" w:color="auto"/>
            </w:tcBorders>
            <w:shd w:val="clear" w:color="auto" w:fill="auto"/>
            <w:vAlign w:val="center"/>
          </w:tcPr>
          <w:p w14:paraId="1E72A95B"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Гиперхолестеринемия</w:t>
            </w:r>
            <w:r w:rsidRPr="0029110D">
              <w:rPr>
                <w:rFonts w:eastAsia="Times New Roman"/>
                <w:vertAlign w:val="superscript"/>
                <w:lang w:val="en-US" w:eastAsia="ru-RU"/>
              </w:rPr>
              <w:t>a</w:t>
            </w:r>
          </w:p>
        </w:tc>
      </w:tr>
      <w:tr w:rsidR="002E3A02" w:rsidRPr="0029110D" w14:paraId="5EF72582" w14:textId="77777777" w:rsidTr="0029110D">
        <w:trPr>
          <w:trHeight w:val="20"/>
        </w:trPr>
        <w:tc>
          <w:tcPr>
            <w:tcW w:w="1322" w:type="pct"/>
            <w:tcBorders>
              <w:top w:val="single" w:sz="8" w:space="0" w:color="auto"/>
              <w:left w:val="single" w:sz="8" w:space="0" w:color="auto"/>
              <w:bottom w:val="nil"/>
              <w:right w:val="single" w:sz="8" w:space="0" w:color="auto"/>
            </w:tcBorders>
            <w:shd w:val="clear" w:color="auto" w:fill="auto"/>
            <w:tcMar>
              <w:top w:w="0" w:type="dxa"/>
              <w:left w:w="10" w:type="dxa"/>
              <w:bottom w:w="0" w:type="dxa"/>
              <w:right w:w="10" w:type="dxa"/>
            </w:tcMar>
            <w:vAlign w:val="center"/>
          </w:tcPr>
          <w:p w14:paraId="056FC3D9"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Нарушения со стороны нервной системы</w:t>
            </w:r>
          </w:p>
        </w:tc>
        <w:tc>
          <w:tcPr>
            <w:tcW w:w="1256" w:type="pct"/>
            <w:tcBorders>
              <w:top w:val="single" w:sz="8" w:space="0" w:color="auto"/>
              <w:left w:val="single" w:sz="8" w:space="0" w:color="auto"/>
              <w:bottom w:val="nil"/>
              <w:right w:val="single" w:sz="8" w:space="0" w:color="auto"/>
            </w:tcBorders>
            <w:shd w:val="clear" w:color="auto" w:fill="auto"/>
            <w:vAlign w:val="center"/>
          </w:tcPr>
          <w:p w14:paraId="2BB8FF80"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8" w:space="0" w:color="auto"/>
              <w:left w:val="single" w:sz="8" w:space="0" w:color="auto"/>
              <w:bottom w:val="nil"/>
              <w:right w:val="single" w:sz="8" w:space="0" w:color="auto"/>
            </w:tcBorders>
            <w:shd w:val="clear" w:color="auto" w:fill="auto"/>
            <w:vAlign w:val="center"/>
          </w:tcPr>
          <w:p w14:paraId="732E96A8"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Головная боль</w:t>
            </w:r>
          </w:p>
        </w:tc>
        <w:tc>
          <w:tcPr>
            <w:tcW w:w="1171" w:type="pct"/>
            <w:tcBorders>
              <w:top w:val="single" w:sz="8" w:space="0" w:color="auto"/>
              <w:left w:val="single" w:sz="8" w:space="0" w:color="auto"/>
              <w:bottom w:val="nil"/>
              <w:right w:val="single" w:sz="8" w:space="0" w:color="auto"/>
            </w:tcBorders>
            <w:shd w:val="clear" w:color="auto" w:fill="auto"/>
            <w:vAlign w:val="center"/>
          </w:tcPr>
          <w:p w14:paraId="5D569DF8" w14:textId="77777777" w:rsidR="002E3A02" w:rsidRPr="0029110D" w:rsidRDefault="002E3A02" w:rsidP="0051605E">
            <w:pPr>
              <w:spacing w:after="0" w:line="240" w:lineRule="auto"/>
              <w:jc w:val="center"/>
              <w:rPr>
                <w:rFonts w:eastAsia="Times New Roman"/>
                <w:lang w:eastAsia="ru-RU"/>
              </w:rPr>
            </w:pPr>
          </w:p>
        </w:tc>
      </w:tr>
      <w:tr w:rsidR="002E3A02" w:rsidRPr="0029110D" w14:paraId="720A2B94" w14:textId="77777777" w:rsidTr="0029110D">
        <w:trPr>
          <w:trHeight w:val="20"/>
        </w:trPr>
        <w:tc>
          <w:tcPr>
            <w:tcW w:w="1322" w:type="pct"/>
            <w:tcBorders>
              <w:top w:val="single" w:sz="8" w:space="0" w:color="auto"/>
              <w:left w:val="single" w:sz="8" w:space="0" w:color="auto"/>
              <w:bottom w:val="nil"/>
              <w:right w:val="single" w:sz="8" w:space="0" w:color="auto"/>
            </w:tcBorders>
            <w:shd w:val="clear" w:color="auto" w:fill="auto"/>
            <w:tcMar>
              <w:top w:w="0" w:type="dxa"/>
              <w:left w:w="10" w:type="dxa"/>
              <w:bottom w:w="0" w:type="dxa"/>
              <w:right w:w="10" w:type="dxa"/>
            </w:tcMar>
            <w:vAlign w:val="center"/>
          </w:tcPr>
          <w:p w14:paraId="4A66D414"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Нарушения со стороны сосудов</w:t>
            </w:r>
          </w:p>
        </w:tc>
        <w:tc>
          <w:tcPr>
            <w:tcW w:w="1256" w:type="pct"/>
            <w:tcBorders>
              <w:top w:val="single" w:sz="8" w:space="0" w:color="auto"/>
              <w:left w:val="single" w:sz="8" w:space="0" w:color="auto"/>
              <w:bottom w:val="nil"/>
              <w:right w:val="single" w:sz="8" w:space="0" w:color="auto"/>
            </w:tcBorders>
            <w:shd w:val="clear" w:color="auto" w:fill="auto"/>
            <w:vAlign w:val="center"/>
          </w:tcPr>
          <w:p w14:paraId="65E2D3A9"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8" w:space="0" w:color="auto"/>
              <w:left w:val="single" w:sz="8" w:space="0" w:color="auto"/>
              <w:bottom w:val="nil"/>
              <w:right w:val="single" w:sz="8" w:space="0" w:color="auto"/>
            </w:tcBorders>
            <w:shd w:val="clear" w:color="auto" w:fill="auto"/>
            <w:vAlign w:val="center"/>
          </w:tcPr>
          <w:p w14:paraId="49DEF6C6" w14:textId="77777777" w:rsidR="002E3A02" w:rsidRPr="0029110D" w:rsidRDefault="002E3A02" w:rsidP="0051605E">
            <w:pPr>
              <w:spacing w:after="0" w:line="240" w:lineRule="auto"/>
              <w:jc w:val="center"/>
              <w:rPr>
                <w:rFonts w:eastAsia="Times New Roman"/>
                <w:lang w:eastAsia="ru-RU"/>
              </w:rPr>
            </w:pPr>
          </w:p>
        </w:tc>
        <w:tc>
          <w:tcPr>
            <w:tcW w:w="1171" w:type="pct"/>
            <w:tcBorders>
              <w:top w:val="single" w:sz="8" w:space="0" w:color="auto"/>
              <w:left w:val="single" w:sz="8" w:space="0" w:color="auto"/>
              <w:bottom w:val="nil"/>
              <w:right w:val="single" w:sz="8" w:space="0" w:color="auto"/>
            </w:tcBorders>
            <w:shd w:val="clear" w:color="auto" w:fill="auto"/>
            <w:vAlign w:val="center"/>
          </w:tcPr>
          <w:p w14:paraId="09ADF7DA" w14:textId="77777777" w:rsidR="002E3A02" w:rsidRPr="0029110D" w:rsidRDefault="002E3A02" w:rsidP="0051605E">
            <w:pPr>
              <w:spacing w:after="0" w:line="240" w:lineRule="auto"/>
              <w:jc w:val="center"/>
              <w:rPr>
                <w:rFonts w:eastAsia="Times New Roman"/>
                <w:vertAlign w:val="superscript"/>
                <w:lang w:eastAsia="ru-RU"/>
              </w:rPr>
            </w:pPr>
            <w:r w:rsidRPr="0029110D">
              <w:rPr>
                <w:rFonts w:eastAsia="Times New Roman"/>
                <w:lang w:eastAsia="ru-RU"/>
              </w:rPr>
              <w:t>Тромбоз глубоких вен</w:t>
            </w:r>
            <w:r w:rsidRPr="0029110D">
              <w:rPr>
                <w:rFonts w:eastAsia="Times New Roman"/>
                <w:vertAlign w:val="superscript"/>
                <w:lang w:val="en-US" w:eastAsia="ru-RU"/>
              </w:rPr>
              <w:t>b</w:t>
            </w:r>
          </w:p>
        </w:tc>
      </w:tr>
      <w:tr w:rsidR="002E3A02" w:rsidRPr="0029110D" w14:paraId="153CD016" w14:textId="77777777" w:rsidTr="0029110D">
        <w:trPr>
          <w:trHeight w:val="20"/>
        </w:trPr>
        <w:tc>
          <w:tcPr>
            <w:tcW w:w="1322" w:type="pct"/>
            <w:tcBorders>
              <w:top w:val="single" w:sz="8" w:space="0" w:color="auto"/>
              <w:left w:val="single" w:sz="8" w:space="0" w:color="auto"/>
              <w:bottom w:val="nil"/>
              <w:right w:val="single" w:sz="8" w:space="0" w:color="auto"/>
            </w:tcBorders>
            <w:shd w:val="clear" w:color="auto" w:fill="auto"/>
            <w:tcMar>
              <w:top w:w="0" w:type="dxa"/>
              <w:left w:w="10" w:type="dxa"/>
              <w:bottom w:w="0" w:type="dxa"/>
              <w:right w:w="10" w:type="dxa"/>
            </w:tcMar>
            <w:vAlign w:val="center"/>
          </w:tcPr>
          <w:p w14:paraId="0B36AE40"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Нарушения со стороны дыхательной системы и органов средостения</w:t>
            </w:r>
          </w:p>
        </w:tc>
        <w:tc>
          <w:tcPr>
            <w:tcW w:w="1256" w:type="pct"/>
            <w:tcBorders>
              <w:top w:val="single" w:sz="8" w:space="0" w:color="auto"/>
              <w:left w:val="single" w:sz="8" w:space="0" w:color="auto"/>
              <w:bottom w:val="nil"/>
              <w:right w:val="single" w:sz="8" w:space="0" w:color="auto"/>
            </w:tcBorders>
            <w:shd w:val="clear" w:color="auto" w:fill="auto"/>
            <w:vAlign w:val="center"/>
          </w:tcPr>
          <w:p w14:paraId="4BC78CDD"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8" w:space="0" w:color="auto"/>
              <w:left w:val="single" w:sz="8" w:space="0" w:color="auto"/>
              <w:bottom w:val="nil"/>
              <w:right w:val="single" w:sz="8" w:space="0" w:color="auto"/>
            </w:tcBorders>
            <w:shd w:val="clear" w:color="auto" w:fill="auto"/>
            <w:vAlign w:val="center"/>
          </w:tcPr>
          <w:p w14:paraId="4173DC4B" w14:textId="77777777" w:rsidR="002E3A02" w:rsidRPr="0029110D" w:rsidRDefault="002E3A02" w:rsidP="0051605E">
            <w:pPr>
              <w:spacing w:after="0" w:line="240" w:lineRule="auto"/>
              <w:jc w:val="center"/>
              <w:rPr>
                <w:rFonts w:eastAsia="Times New Roman"/>
                <w:lang w:eastAsia="ru-RU"/>
              </w:rPr>
            </w:pPr>
          </w:p>
        </w:tc>
        <w:tc>
          <w:tcPr>
            <w:tcW w:w="1171" w:type="pct"/>
            <w:tcBorders>
              <w:top w:val="single" w:sz="8" w:space="0" w:color="auto"/>
              <w:left w:val="single" w:sz="8" w:space="0" w:color="auto"/>
              <w:bottom w:val="nil"/>
              <w:right w:val="single" w:sz="8" w:space="0" w:color="auto"/>
            </w:tcBorders>
            <w:shd w:val="clear" w:color="auto" w:fill="auto"/>
            <w:vAlign w:val="center"/>
          </w:tcPr>
          <w:p w14:paraId="14D6F334"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Тромбоз легких</w:t>
            </w:r>
            <w:r w:rsidRPr="0029110D">
              <w:rPr>
                <w:rFonts w:eastAsia="Times New Roman"/>
                <w:vertAlign w:val="superscript"/>
                <w:lang w:val="en-US" w:eastAsia="ru-RU"/>
              </w:rPr>
              <w:t>f</w:t>
            </w:r>
          </w:p>
        </w:tc>
      </w:tr>
      <w:tr w:rsidR="002E3A02" w:rsidRPr="0029110D" w14:paraId="1C9314A7" w14:textId="77777777" w:rsidTr="0029110D">
        <w:trPr>
          <w:trHeight w:val="20"/>
        </w:trPr>
        <w:tc>
          <w:tcPr>
            <w:tcW w:w="1322" w:type="pct"/>
            <w:tcBorders>
              <w:top w:val="single" w:sz="8" w:space="0" w:color="auto"/>
              <w:left w:val="single" w:sz="8" w:space="0" w:color="auto"/>
              <w:bottom w:val="nil"/>
              <w:right w:val="single" w:sz="8" w:space="0" w:color="auto"/>
            </w:tcBorders>
            <w:shd w:val="clear" w:color="auto" w:fill="auto"/>
            <w:tcMar>
              <w:top w:w="0" w:type="dxa"/>
              <w:left w:w="10" w:type="dxa"/>
              <w:bottom w:w="0" w:type="dxa"/>
              <w:right w:w="10" w:type="dxa"/>
            </w:tcMar>
            <w:vAlign w:val="center"/>
          </w:tcPr>
          <w:p w14:paraId="59078653"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Желудочно-кишечные нарушения</w:t>
            </w:r>
          </w:p>
        </w:tc>
        <w:tc>
          <w:tcPr>
            <w:tcW w:w="1256" w:type="pct"/>
            <w:tcBorders>
              <w:top w:val="single" w:sz="8" w:space="0" w:color="auto"/>
              <w:left w:val="single" w:sz="8" w:space="0" w:color="auto"/>
              <w:bottom w:val="nil"/>
              <w:right w:val="single" w:sz="8" w:space="0" w:color="auto"/>
            </w:tcBorders>
            <w:shd w:val="clear" w:color="auto" w:fill="auto"/>
            <w:vAlign w:val="center"/>
          </w:tcPr>
          <w:p w14:paraId="10B9100C"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8" w:space="0" w:color="auto"/>
              <w:left w:val="single" w:sz="8" w:space="0" w:color="auto"/>
              <w:bottom w:val="nil"/>
              <w:right w:val="single" w:sz="8" w:space="0" w:color="auto"/>
            </w:tcBorders>
            <w:shd w:val="clear" w:color="auto" w:fill="auto"/>
            <w:vAlign w:val="center"/>
          </w:tcPr>
          <w:p w14:paraId="26A9536F" w14:textId="53A3B20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Тошнота</w:t>
            </w:r>
            <w:r w:rsidRPr="0029110D">
              <w:rPr>
                <w:rFonts w:eastAsia="Times New Roman"/>
                <w:vertAlign w:val="superscript"/>
                <w:lang w:val="en-US" w:eastAsia="ru-RU"/>
              </w:rPr>
              <w:t>d</w:t>
            </w:r>
            <w:r w:rsidRPr="0029110D">
              <w:rPr>
                <w:rFonts w:eastAsia="Times New Roman"/>
                <w:lang w:eastAsia="ru-RU"/>
              </w:rPr>
              <w:t>, боль в животе</w:t>
            </w:r>
            <w:r w:rsidRPr="0029110D">
              <w:rPr>
                <w:rFonts w:eastAsia="Times New Roman"/>
                <w:vertAlign w:val="superscript"/>
                <w:lang w:val="en-US" w:eastAsia="ru-RU"/>
              </w:rPr>
              <w:t>d</w:t>
            </w:r>
          </w:p>
        </w:tc>
        <w:tc>
          <w:tcPr>
            <w:tcW w:w="1171" w:type="pct"/>
            <w:tcBorders>
              <w:top w:val="single" w:sz="8" w:space="0" w:color="auto"/>
              <w:left w:val="single" w:sz="8" w:space="0" w:color="auto"/>
              <w:bottom w:val="nil"/>
              <w:right w:val="single" w:sz="8" w:space="0" w:color="auto"/>
            </w:tcBorders>
            <w:shd w:val="clear" w:color="auto" w:fill="auto"/>
            <w:vAlign w:val="center"/>
          </w:tcPr>
          <w:p w14:paraId="48F29035" w14:textId="15A6774E" w:rsidR="002E3A02" w:rsidRPr="0029110D" w:rsidRDefault="000866A4" w:rsidP="0051605E">
            <w:pPr>
              <w:spacing w:after="0" w:line="240" w:lineRule="auto"/>
              <w:jc w:val="center"/>
              <w:rPr>
                <w:rFonts w:eastAsia="Times New Roman"/>
                <w:lang w:eastAsia="ru-RU"/>
              </w:rPr>
            </w:pPr>
            <w:r w:rsidRPr="0029110D">
              <w:rPr>
                <w:rFonts w:eastAsia="Times New Roman"/>
                <w:lang w:eastAsia="ru-RU"/>
              </w:rPr>
              <w:t>Дивертикулит</w:t>
            </w:r>
          </w:p>
        </w:tc>
      </w:tr>
      <w:tr w:rsidR="002E3A02" w:rsidRPr="0029110D" w14:paraId="09673046" w14:textId="77777777" w:rsidTr="0029110D">
        <w:trPr>
          <w:trHeight w:val="20"/>
        </w:trPr>
        <w:tc>
          <w:tcPr>
            <w:tcW w:w="1322" w:type="pct"/>
            <w:tcBorders>
              <w:top w:val="single" w:sz="8" w:space="0" w:color="auto"/>
              <w:left w:val="single" w:sz="8" w:space="0" w:color="auto"/>
              <w:bottom w:val="nil"/>
              <w:right w:val="single" w:sz="8" w:space="0" w:color="auto"/>
            </w:tcBorders>
            <w:shd w:val="clear" w:color="auto" w:fill="auto"/>
            <w:tcMar>
              <w:top w:w="0" w:type="dxa"/>
              <w:left w:w="10" w:type="dxa"/>
              <w:bottom w:w="0" w:type="dxa"/>
              <w:right w:w="10" w:type="dxa"/>
            </w:tcMar>
            <w:vAlign w:val="center"/>
          </w:tcPr>
          <w:p w14:paraId="518C0483"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Гепатобилиарные нарушения</w:t>
            </w:r>
          </w:p>
        </w:tc>
        <w:tc>
          <w:tcPr>
            <w:tcW w:w="1256" w:type="pct"/>
            <w:tcBorders>
              <w:top w:val="single" w:sz="8" w:space="0" w:color="auto"/>
              <w:left w:val="single" w:sz="8" w:space="0" w:color="auto"/>
              <w:bottom w:val="nil"/>
              <w:right w:val="single" w:sz="8" w:space="0" w:color="auto"/>
            </w:tcBorders>
            <w:shd w:val="clear" w:color="auto" w:fill="auto"/>
            <w:vAlign w:val="center"/>
          </w:tcPr>
          <w:p w14:paraId="0395F820"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8" w:space="0" w:color="auto"/>
              <w:left w:val="single" w:sz="8" w:space="0" w:color="auto"/>
              <w:bottom w:val="nil"/>
              <w:right w:val="single" w:sz="8" w:space="0" w:color="auto"/>
            </w:tcBorders>
            <w:shd w:val="clear" w:color="auto" w:fill="auto"/>
            <w:vAlign w:val="center"/>
          </w:tcPr>
          <w:p w14:paraId="2B5C91A2"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АЛТ увеличивается ≥3*ВГН</w:t>
            </w:r>
            <w:r w:rsidRPr="0029110D">
              <w:rPr>
                <w:rFonts w:eastAsia="Times New Roman"/>
                <w:vertAlign w:val="superscript"/>
                <w:lang w:eastAsia="ru-RU"/>
              </w:rPr>
              <w:t xml:space="preserve"> </w:t>
            </w:r>
            <w:r w:rsidRPr="0029110D">
              <w:rPr>
                <w:rFonts w:eastAsia="Times New Roman"/>
                <w:vertAlign w:val="superscript"/>
                <w:lang w:val="en-US" w:eastAsia="ru-RU"/>
              </w:rPr>
              <w:t>a</w:t>
            </w:r>
            <w:r w:rsidRPr="0029110D">
              <w:rPr>
                <w:rFonts w:eastAsia="Times New Roman"/>
                <w:vertAlign w:val="superscript"/>
                <w:lang w:eastAsia="ru-RU"/>
              </w:rPr>
              <w:t xml:space="preserve">, </w:t>
            </w:r>
            <w:r w:rsidRPr="0029110D">
              <w:rPr>
                <w:rFonts w:eastAsia="Times New Roman"/>
                <w:vertAlign w:val="superscript"/>
                <w:lang w:val="en-US" w:eastAsia="ru-RU"/>
              </w:rPr>
              <w:t>d</w:t>
            </w:r>
          </w:p>
        </w:tc>
        <w:tc>
          <w:tcPr>
            <w:tcW w:w="1171" w:type="pct"/>
            <w:tcBorders>
              <w:top w:val="single" w:sz="8" w:space="0" w:color="auto"/>
              <w:left w:val="single" w:sz="8" w:space="0" w:color="auto"/>
              <w:bottom w:val="nil"/>
              <w:right w:val="single" w:sz="8" w:space="0" w:color="auto"/>
            </w:tcBorders>
            <w:shd w:val="clear" w:color="auto" w:fill="auto"/>
            <w:vAlign w:val="center"/>
          </w:tcPr>
          <w:p w14:paraId="194BBB90"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АСТ увеличивается ≥3*ВГН</w:t>
            </w:r>
            <w:r w:rsidRPr="0029110D">
              <w:rPr>
                <w:rFonts w:eastAsia="Times New Roman"/>
                <w:vertAlign w:val="superscript"/>
                <w:lang w:eastAsia="ru-RU"/>
              </w:rPr>
              <w:t xml:space="preserve"> </w:t>
            </w:r>
            <w:r w:rsidRPr="0029110D">
              <w:rPr>
                <w:rFonts w:eastAsia="Times New Roman"/>
                <w:vertAlign w:val="superscript"/>
                <w:lang w:val="en-US" w:eastAsia="ru-RU"/>
              </w:rPr>
              <w:t>a</w:t>
            </w:r>
            <w:r w:rsidRPr="0029110D">
              <w:rPr>
                <w:rFonts w:eastAsia="Times New Roman"/>
                <w:vertAlign w:val="superscript"/>
                <w:lang w:eastAsia="ru-RU"/>
              </w:rPr>
              <w:t xml:space="preserve">, </w:t>
            </w:r>
            <w:r w:rsidRPr="0029110D">
              <w:rPr>
                <w:rFonts w:eastAsia="Times New Roman"/>
                <w:vertAlign w:val="superscript"/>
                <w:lang w:val="en-US" w:eastAsia="ru-RU"/>
              </w:rPr>
              <w:t>e</w:t>
            </w:r>
          </w:p>
        </w:tc>
      </w:tr>
      <w:tr w:rsidR="002E3A02" w:rsidRPr="0029110D" w14:paraId="4AB14927" w14:textId="77777777" w:rsidTr="0029110D">
        <w:trPr>
          <w:trHeight w:val="20"/>
        </w:trPr>
        <w:tc>
          <w:tcPr>
            <w:tcW w:w="1322" w:type="pct"/>
            <w:tcBorders>
              <w:top w:val="single" w:sz="8" w:space="0" w:color="auto"/>
              <w:left w:val="single" w:sz="8" w:space="0" w:color="auto"/>
              <w:bottom w:val="single" w:sz="4" w:space="0" w:color="auto"/>
              <w:right w:val="single" w:sz="8" w:space="0" w:color="auto"/>
            </w:tcBorders>
            <w:shd w:val="clear" w:color="auto" w:fill="auto"/>
            <w:tcMar>
              <w:top w:w="0" w:type="dxa"/>
              <w:left w:w="10" w:type="dxa"/>
              <w:bottom w:w="0" w:type="dxa"/>
              <w:right w:w="10" w:type="dxa"/>
            </w:tcMar>
            <w:vAlign w:val="center"/>
          </w:tcPr>
          <w:p w14:paraId="56B3A04E"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Нарушения со стороны скелетно-мышечной и соединительной ткани</w:t>
            </w:r>
          </w:p>
        </w:tc>
        <w:tc>
          <w:tcPr>
            <w:tcW w:w="1256" w:type="pct"/>
            <w:tcBorders>
              <w:top w:val="single" w:sz="8" w:space="0" w:color="auto"/>
              <w:left w:val="single" w:sz="8" w:space="0" w:color="auto"/>
              <w:bottom w:val="single" w:sz="4" w:space="0" w:color="auto"/>
              <w:right w:val="single" w:sz="8" w:space="0" w:color="auto"/>
            </w:tcBorders>
            <w:shd w:val="clear" w:color="auto" w:fill="auto"/>
            <w:vAlign w:val="center"/>
          </w:tcPr>
          <w:p w14:paraId="4419B6FD"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8" w:space="0" w:color="auto"/>
              <w:left w:val="single" w:sz="8" w:space="0" w:color="auto"/>
              <w:bottom w:val="single" w:sz="4" w:space="0" w:color="auto"/>
              <w:right w:val="single" w:sz="8" w:space="0" w:color="auto"/>
            </w:tcBorders>
            <w:shd w:val="clear" w:color="auto" w:fill="auto"/>
            <w:vAlign w:val="center"/>
          </w:tcPr>
          <w:p w14:paraId="298DDBE8" w14:textId="53736ED1"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Сыпь, акне</w:t>
            </w:r>
            <w:r w:rsidRPr="0029110D">
              <w:rPr>
                <w:rFonts w:eastAsia="Times New Roman"/>
                <w:vertAlign w:val="superscript"/>
                <w:lang w:val="en-US" w:eastAsia="ru-RU"/>
              </w:rPr>
              <w:t>c</w:t>
            </w:r>
          </w:p>
        </w:tc>
        <w:tc>
          <w:tcPr>
            <w:tcW w:w="1171" w:type="pct"/>
            <w:tcBorders>
              <w:top w:val="single" w:sz="8" w:space="0" w:color="auto"/>
              <w:left w:val="single" w:sz="8" w:space="0" w:color="auto"/>
              <w:bottom w:val="single" w:sz="4" w:space="0" w:color="auto"/>
              <w:right w:val="single" w:sz="8" w:space="0" w:color="auto"/>
            </w:tcBorders>
            <w:shd w:val="clear" w:color="auto" w:fill="auto"/>
            <w:vAlign w:val="center"/>
          </w:tcPr>
          <w:p w14:paraId="423A1E82" w14:textId="77777777" w:rsidR="002E3A02" w:rsidRPr="0029110D" w:rsidRDefault="002E3A02" w:rsidP="0051605E">
            <w:pPr>
              <w:spacing w:after="0" w:line="240" w:lineRule="auto"/>
              <w:jc w:val="center"/>
              <w:rPr>
                <w:rFonts w:eastAsia="Times New Roman"/>
                <w:lang w:eastAsia="ru-RU"/>
              </w:rPr>
            </w:pPr>
          </w:p>
        </w:tc>
      </w:tr>
      <w:tr w:rsidR="002E3A02" w:rsidRPr="0029110D" w14:paraId="4C774227" w14:textId="77777777" w:rsidTr="0029110D">
        <w:trPr>
          <w:trHeight w:val="20"/>
        </w:trPr>
        <w:tc>
          <w:tcPr>
            <w:tcW w:w="1322" w:type="pct"/>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14:paraId="0E50348A" w14:textId="6660EF0E" w:rsidR="002E3A02" w:rsidRPr="0029110D" w:rsidRDefault="00714857" w:rsidP="0051605E">
            <w:pPr>
              <w:spacing w:after="0" w:line="240" w:lineRule="auto"/>
              <w:jc w:val="center"/>
              <w:rPr>
                <w:rFonts w:eastAsia="Times New Roman"/>
                <w:lang w:eastAsia="ru-RU"/>
              </w:rPr>
            </w:pPr>
            <w:r w:rsidRPr="0029110D">
              <w:rPr>
                <w:rFonts w:eastAsia="Times New Roman"/>
                <w:lang w:eastAsia="ru-RU"/>
              </w:rPr>
              <w:t>Лабораторные и инструментальные данные</w:t>
            </w:r>
          </w:p>
        </w:tc>
        <w:tc>
          <w:tcPr>
            <w:tcW w:w="1256" w:type="pct"/>
            <w:tcBorders>
              <w:top w:val="single" w:sz="4" w:space="0" w:color="auto"/>
              <w:left w:val="single" w:sz="4" w:space="0" w:color="auto"/>
              <w:bottom w:val="single" w:sz="4" w:space="0" w:color="auto"/>
              <w:right w:val="single" w:sz="4" w:space="0" w:color="auto"/>
            </w:tcBorders>
            <w:shd w:val="clear" w:color="auto" w:fill="auto"/>
            <w:vAlign w:val="center"/>
          </w:tcPr>
          <w:p w14:paraId="35FC3DAB" w14:textId="77777777" w:rsidR="002E3A02" w:rsidRPr="0029110D" w:rsidRDefault="002E3A02" w:rsidP="0051605E">
            <w:pPr>
              <w:spacing w:after="0" w:line="240" w:lineRule="auto"/>
              <w:jc w:val="center"/>
              <w:rPr>
                <w:rFonts w:eastAsia="Times New Roman"/>
                <w:lang w:eastAsia="ru-RU"/>
              </w:rPr>
            </w:pPr>
          </w:p>
        </w:tc>
        <w:tc>
          <w:tcPr>
            <w:tcW w:w="1251" w:type="pct"/>
            <w:tcBorders>
              <w:top w:val="single" w:sz="4" w:space="0" w:color="auto"/>
              <w:left w:val="single" w:sz="4" w:space="0" w:color="auto"/>
              <w:bottom w:val="single" w:sz="4" w:space="0" w:color="auto"/>
              <w:right w:val="single" w:sz="4" w:space="0" w:color="auto"/>
            </w:tcBorders>
            <w:shd w:val="clear" w:color="auto" w:fill="auto"/>
            <w:vAlign w:val="center"/>
          </w:tcPr>
          <w:p w14:paraId="28D6910E"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Увеличение креатинфосфокиназы &gt;5*ВГН</w:t>
            </w:r>
            <w:r w:rsidRPr="0029110D">
              <w:rPr>
                <w:rFonts w:eastAsia="Times New Roman"/>
                <w:vertAlign w:val="superscript"/>
                <w:lang w:eastAsia="ru-RU"/>
              </w:rPr>
              <w:t xml:space="preserve"> </w:t>
            </w:r>
            <w:r w:rsidRPr="0029110D">
              <w:rPr>
                <w:rFonts w:eastAsia="Times New Roman"/>
                <w:vertAlign w:val="superscript"/>
                <w:lang w:val="en-US" w:eastAsia="ru-RU"/>
              </w:rPr>
              <w:t>a</w:t>
            </w:r>
            <w:r w:rsidRPr="0029110D">
              <w:rPr>
                <w:rFonts w:eastAsia="Times New Roman"/>
                <w:vertAlign w:val="superscript"/>
                <w:lang w:eastAsia="ru-RU"/>
              </w:rPr>
              <w:t>, с</w:t>
            </w:r>
          </w:p>
        </w:tc>
        <w:tc>
          <w:tcPr>
            <w:tcW w:w="1171" w:type="pct"/>
            <w:tcBorders>
              <w:top w:val="single" w:sz="4" w:space="0" w:color="auto"/>
              <w:left w:val="single" w:sz="4" w:space="0" w:color="auto"/>
              <w:bottom w:val="single" w:sz="4" w:space="0" w:color="auto"/>
              <w:right w:val="single" w:sz="4" w:space="0" w:color="auto"/>
            </w:tcBorders>
            <w:shd w:val="clear" w:color="auto" w:fill="auto"/>
            <w:vAlign w:val="center"/>
          </w:tcPr>
          <w:p w14:paraId="4A8787F3" w14:textId="77777777" w:rsidR="002E3A02" w:rsidRPr="0029110D" w:rsidRDefault="002E3A02" w:rsidP="0051605E">
            <w:pPr>
              <w:spacing w:after="0" w:line="240" w:lineRule="auto"/>
              <w:jc w:val="center"/>
              <w:rPr>
                <w:rFonts w:eastAsia="Times New Roman"/>
                <w:lang w:eastAsia="ru-RU"/>
              </w:rPr>
            </w:pPr>
            <w:r w:rsidRPr="0029110D">
              <w:rPr>
                <w:rFonts w:eastAsia="Times New Roman"/>
                <w:lang w:eastAsia="ru-RU"/>
              </w:rPr>
              <w:t>Увеличение массы тела</w:t>
            </w:r>
          </w:p>
        </w:tc>
      </w:tr>
      <w:tr w:rsidR="000811B8" w:rsidRPr="0029110D" w14:paraId="7547E266" w14:textId="77777777" w:rsidTr="0029110D">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14:paraId="036282FD" w14:textId="3B3BF4BD" w:rsidR="000811B8" w:rsidRPr="0029110D" w:rsidRDefault="006A5654" w:rsidP="0029110D">
            <w:pPr>
              <w:spacing w:after="0" w:line="240" w:lineRule="auto"/>
              <w:rPr>
                <w:rFonts w:eastAsia="Times New Roman"/>
                <w:sz w:val="20"/>
                <w:szCs w:val="20"/>
                <w:lang w:eastAsia="ru-RU"/>
              </w:rPr>
            </w:pPr>
            <w:r w:rsidRPr="0029110D">
              <w:rPr>
                <w:rFonts w:eastAsia="Times New Roman"/>
                <w:b/>
                <w:sz w:val="20"/>
                <w:szCs w:val="20"/>
                <w:lang w:eastAsia="ru-RU"/>
              </w:rPr>
              <w:t>Примечание:</w:t>
            </w:r>
            <w:r w:rsidRPr="0029110D">
              <w:rPr>
                <w:rFonts w:eastAsia="Times New Roman"/>
                <w:sz w:val="20"/>
                <w:szCs w:val="20"/>
                <w:lang w:eastAsia="ru-RU"/>
              </w:rPr>
              <w:br/>
            </w:r>
            <w:r w:rsidR="000811B8" w:rsidRPr="0029110D">
              <w:rPr>
                <w:rFonts w:eastAsia="Times New Roman"/>
                <w:sz w:val="20"/>
                <w:szCs w:val="20"/>
                <w:lang w:eastAsia="ru-RU"/>
              </w:rPr>
              <w:t>а – Включает изменения, обнаруженные во время лабораторных исследований; b – частота случаев опоясывающего герпеса и тромбоза глубоких вен основана на клинических исследованиях по показанию ревматоидный артрит; с – в клинических исследованиях по показанию ревматоидный артрит случаи развития акне и повышения концентрации креатинфосфокиназы &gt;5хВГН встречались нечасто; d – в клинических исследованиях по показанию атопический дерматит тошнота и повышение АЛТ≥ х 3 ВГН встречались нечасто. В клинических исследованиях по показанию очаговая алопеция боль в животе встречалась нечасто. В клинических исследованиях по показаниям атопический дерматит и очаговая алопеция случаи развития пневмонии и тромбоцитоза &gt;600х10</w:t>
            </w:r>
            <w:r w:rsidR="000811B8" w:rsidRPr="0029110D">
              <w:rPr>
                <w:rFonts w:eastAsia="Times New Roman"/>
                <w:sz w:val="20"/>
                <w:szCs w:val="20"/>
                <w:vertAlign w:val="superscript"/>
                <w:lang w:eastAsia="ru-RU"/>
              </w:rPr>
              <w:t>9</w:t>
            </w:r>
            <w:r w:rsidR="000811B8" w:rsidRPr="0029110D">
              <w:rPr>
                <w:rFonts w:eastAsia="Times New Roman"/>
                <w:sz w:val="20"/>
                <w:szCs w:val="20"/>
                <w:lang w:eastAsia="ru-RU"/>
              </w:rPr>
              <w:t xml:space="preserve"> клеток/л встречались нечасто; e – в клинических исследованиях по показанию очаговая алопеция повышение АСТ≥ х 3 ВГН встречалось часто; f – частота случаев развития легочной эмболии основана на данных исследований по показаниям ревматоидный артрит и атопический дерматит; g – у пациентов, получавших барицитиниб в ходе клинических исследований по показанию COVID-19 такие нежелательные реакции как повышение АЛТ≥ 3 </w:t>
            </w:r>
            <w:r w:rsidR="000811B8" w:rsidRPr="0029110D">
              <w:rPr>
                <w:rFonts w:eastAsia="Times New Roman"/>
                <w:sz w:val="20"/>
                <w:szCs w:val="20"/>
                <w:lang w:eastAsia="ru-RU"/>
              </w:rPr>
              <w:lastRenderedPageBreak/>
              <w:t>х ВГН, АСТ≥ 3 х ВГН встречались очень часто (&gt;1/10), а такие нежелательные реакции как легочная эмболия, тромбоз глубоких вен и нейтропения &lt;1х10</w:t>
            </w:r>
            <w:r w:rsidR="000811B8" w:rsidRPr="0029110D">
              <w:rPr>
                <w:rFonts w:eastAsia="Times New Roman"/>
                <w:sz w:val="20"/>
                <w:szCs w:val="20"/>
                <w:vertAlign w:val="superscript"/>
                <w:lang w:eastAsia="ru-RU"/>
              </w:rPr>
              <w:t>9</w:t>
            </w:r>
            <w:r w:rsidR="000811B8" w:rsidRPr="0029110D">
              <w:rPr>
                <w:rFonts w:eastAsia="Times New Roman"/>
                <w:sz w:val="20"/>
                <w:szCs w:val="20"/>
                <w:lang w:eastAsia="ru-RU"/>
              </w:rPr>
              <w:t xml:space="preserve"> клеток/л встречались часто (от &gt;1/100 до &lt;1/10).</w:t>
            </w:r>
          </w:p>
        </w:tc>
      </w:tr>
    </w:tbl>
    <w:p w14:paraId="3B66F516" w14:textId="77D5155F" w:rsidR="002E3A02" w:rsidRDefault="002E3A02" w:rsidP="00A72CBF">
      <w:pPr>
        <w:pStyle w:val="ab"/>
        <w:shd w:val="clear" w:color="auto" w:fill="FFFFFF"/>
        <w:spacing w:before="0" w:beforeAutospacing="0" w:after="0" w:afterAutospacing="0"/>
        <w:jc w:val="both"/>
        <w:rPr>
          <w:color w:val="000000"/>
        </w:rPr>
      </w:pPr>
    </w:p>
    <w:p w14:paraId="3878FAE8" w14:textId="326EBED5" w:rsidR="00A72CBF" w:rsidRPr="002E3A02" w:rsidRDefault="00A72CBF">
      <w:pPr>
        <w:spacing w:after="0" w:line="240" w:lineRule="auto"/>
        <w:ind w:firstLine="709"/>
        <w:rPr>
          <w:iCs/>
        </w:rPr>
      </w:pPr>
      <w:r w:rsidRPr="002E3A02">
        <w:rPr>
          <w:lang w:eastAsia="ru-RU"/>
        </w:rPr>
        <w:t xml:space="preserve">Случаев прекращения участия в КИ здоровыми добровольцами по причине развития НЯ при приеме </w:t>
      </w:r>
      <w:r w:rsidR="002E3A02">
        <w:rPr>
          <w:lang w:eastAsia="ru-RU"/>
        </w:rPr>
        <w:t>барицитиниба</w:t>
      </w:r>
      <w:r w:rsidRPr="002E3A02">
        <w:rPr>
          <w:lang w:eastAsia="ru-RU"/>
        </w:rPr>
        <w:t xml:space="preserve"> не отмечено. </w:t>
      </w:r>
    </w:p>
    <w:bookmarkEnd w:id="205"/>
    <w:p w14:paraId="143E7644" w14:textId="0DB9FEC8" w:rsidR="00A72CBF" w:rsidRDefault="00A72CBF" w:rsidP="00A72CBF">
      <w:pPr>
        <w:spacing w:after="0" w:line="240" w:lineRule="auto"/>
        <w:ind w:firstLine="709"/>
        <w:rPr>
          <w:iCs/>
        </w:rPr>
      </w:pPr>
      <w:r w:rsidRPr="00153559">
        <w:rPr>
          <w:iCs/>
        </w:rPr>
        <w:t xml:space="preserve">В настоящем исследовании каждый доброволец получит по </w:t>
      </w:r>
      <w:r w:rsidR="00153559" w:rsidRPr="00153559">
        <w:rPr>
          <w:iCs/>
        </w:rPr>
        <w:t>2</w:t>
      </w:r>
      <w:r w:rsidRPr="00153559">
        <w:rPr>
          <w:iCs/>
        </w:rPr>
        <w:t xml:space="preserve"> приема </w:t>
      </w:r>
      <w:r w:rsidR="002E3A02" w:rsidRPr="00153559">
        <w:rPr>
          <w:iCs/>
        </w:rPr>
        <w:t>барицитиниба</w:t>
      </w:r>
      <w:r w:rsidRPr="00153559">
        <w:rPr>
          <w:iCs/>
        </w:rPr>
        <w:t xml:space="preserve"> в разовой дозе </w:t>
      </w:r>
      <w:r w:rsidR="00153559" w:rsidRPr="00153559">
        <w:rPr>
          <w:iCs/>
        </w:rPr>
        <w:t>4</w:t>
      </w:r>
      <w:r w:rsidRPr="00153559">
        <w:rPr>
          <w:iCs/>
        </w:rPr>
        <w:t xml:space="preserve"> мг. Каждый прием будет отделен от последующего отмывочным периодом в 7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2E3A02" w:rsidRPr="00153559">
        <w:rPr>
          <w:iCs/>
        </w:rPr>
        <w:t>барицитиниба</w:t>
      </w:r>
      <w:r w:rsidRPr="00153559">
        <w:rPr>
          <w:iCs/>
        </w:rPr>
        <w:t xml:space="preserve"> и характеризоваться преимущественно легкой или умеренной степенью выраженности.</w:t>
      </w:r>
      <w:r w:rsidRPr="002E3A02">
        <w:rPr>
          <w:iCs/>
        </w:rPr>
        <w:t xml:space="preserve"> </w:t>
      </w:r>
    </w:p>
    <w:p w14:paraId="336FE95E" w14:textId="39B6EB2E" w:rsidR="00512340" w:rsidRPr="00AB1FF1" w:rsidRDefault="00512340">
      <w:pPr>
        <w:spacing w:after="0" w:line="240" w:lineRule="auto"/>
        <w:ind w:firstLine="709"/>
        <w:rPr>
          <w:lang w:eastAsia="ru-RU"/>
        </w:rPr>
      </w:pPr>
      <w:r w:rsidRPr="00AB1FF1">
        <w:rPr>
          <w:lang w:eastAsia="ru-RU"/>
        </w:rPr>
        <w:t>В исследовании по протоколу №</w:t>
      </w:r>
      <w:r w:rsidRPr="00512340">
        <w:t xml:space="preserve"> CL041048154</w:t>
      </w:r>
      <w:r w:rsidRPr="00AB1FF1">
        <w:rPr>
          <w:lang w:eastAsia="ru-RU"/>
        </w:rPr>
        <w:t xml:space="preserve">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 с участием здоровых добровольцев</w:t>
      </w:r>
      <w:r w:rsidRPr="00AB1FF1">
        <w:rPr>
          <w:rStyle w:val="af"/>
        </w:rPr>
        <w:footnoteReference w:id="1"/>
      </w:r>
      <w:r w:rsidR="00C76B22" w:rsidRPr="00BA716F">
        <w:rPr>
          <w:lang w:eastAsia="ru-RU"/>
        </w:rPr>
        <w:t>.</w:t>
      </w:r>
      <w:r w:rsidRPr="00AB1FF1">
        <w:rPr>
          <w:vertAlign w:val="superscript"/>
        </w:rPr>
        <w:t xml:space="preserve"> </w:t>
      </w:r>
      <w:r w:rsidRPr="00AB1FF1">
        <w:rPr>
          <w:lang w:eastAsia="ru-RU"/>
        </w:rPr>
        <w:t xml:space="preserve">С целью обеспечения максимальной безопасности применения </w:t>
      </w:r>
      <w:r>
        <w:rPr>
          <w:lang w:eastAsia="ru-RU"/>
        </w:rPr>
        <w:t>барицитиниба</w:t>
      </w:r>
      <w:r w:rsidRPr="00AB1FF1">
        <w:rPr>
          <w:lang w:eastAsia="ru-RU"/>
        </w:rPr>
        <w:t xml:space="preserve"> у добровольцев женского пола, в рамках настоящего исследования будут учтены критерии, являющиеся противопоказаниями к назначению </w:t>
      </w:r>
      <w:r>
        <w:rPr>
          <w:lang w:eastAsia="ru-RU"/>
        </w:rPr>
        <w:t>барицитиниба</w:t>
      </w:r>
      <w:r w:rsidRPr="00AB1FF1">
        <w:rPr>
          <w:lang w:eastAsia="ru-RU"/>
        </w:rPr>
        <w:t xml:space="preserve"> у женщин, в частности лактация и беременность. Для предотвращения приема </w:t>
      </w:r>
      <w:r w:rsidR="000A51B9">
        <w:rPr>
          <w:lang w:eastAsia="ru-RU"/>
        </w:rPr>
        <w:t>барицитиниба</w:t>
      </w:r>
      <w:r w:rsidRPr="00AB1FF1">
        <w:rPr>
          <w:lang w:eastAsia="ru-RU"/>
        </w:rPr>
        <w:t xml:space="preserve">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w:t>
      </w:r>
      <w:r w:rsidR="000A51B9">
        <w:rPr>
          <w:lang w:eastAsia="ru-RU"/>
        </w:rPr>
        <w:t>барицитиниба</w:t>
      </w:r>
      <w:r w:rsidRPr="00AB1FF1">
        <w:rPr>
          <w:lang w:eastAsia="ru-RU"/>
        </w:rPr>
        <w:t>.</w:t>
      </w:r>
    </w:p>
    <w:p w14:paraId="3B4BDC54" w14:textId="0AD882FE" w:rsidR="00A72CBF" w:rsidRPr="002E3A02" w:rsidRDefault="00A72CBF" w:rsidP="00A72CBF">
      <w:pPr>
        <w:spacing w:after="0" w:line="240" w:lineRule="auto"/>
        <w:ind w:firstLine="709"/>
        <w:rPr>
          <w:iCs/>
        </w:rPr>
      </w:pPr>
      <w:r w:rsidRPr="002E3A02">
        <w:rPr>
          <w:iCs/>
        </w:rPr>
        <w:t xml:space="preserve">Прием лекарственных препаратов, характеризующихся известным взаимодействием с </w:t>
      </w:r>
      <w:r w:rsidR="002E3A02">
        <w:rPr>
          <w:iCs/>
        </w:rPr>
        <w:t>барицитинибом</w:t>
      </w:r>
      <w:r w:rsidRPr="002E3A02">
        <w:rPr>
          <w:iCs/>
        </w:rPr>
        <w:t xml:space="preserve">, в исследовании будет запрещен. </w:t>
      </w:r>
    </w:p>
    <w:p w14:paraId="7414CBD5" w14:textId="3F549BE0" w:rsidR="00A72CBF" w:rsidRPr="002E3A02" w:rsidRDefault="00A72CBF" w:rsidP="00BA2D96">
      <w:pPr>
        <w:spacing w:after="0" w:line="240" w:lineRule="auto"/>
        <w:ind w:firstLine="709"/>
        <w:rPr>
          <w:iCs/>
        </w:rPr>
      </w:pPr>
      <w:r w:rsidRPr="002E3A02">
        <w:rPr>
          <w:iCs/>
        </w:rPr>
        <w:t>В связи с приведенными аргументами риск развития нежелательных явлений для здоровых добровольцев будет минимальным.</w:t>
      </w:r>
      <w:bookmarkEnd w:id="206"/>
      <w:bookmarkEnd w:id="207"/>
    </w:p>
    <w:p w14:paraId="3A7FE4A8" w14:textId="77777777" w:rsidR="008B7FBF" w:rsidRPr="002E3A02" w:rsidRDefault="008B7FBF" w:rsidP="00AD301D">
      <w:pPr>
        <w:pStyle w:val="2"/>
        <w:spacing w:line="240" w:lineRule="auto"/>
        <w:rPr>
          <w:color w:val="000000" w:themeColor="text1"/>
          <w:szCs w:val="24"/>
        </w:rPr>
      </w:pPr>
      <w:bookmarkStart w:id="208" w:name="_Toc120288190"/>
      <w:r w:rsidRPr="002E3A02">
        <w:rPr>
          <w:color w:val="000000" w:themeColor="text1"/>
          <w:szCs w:val="24"/>
        </w:rPr>
        <w:t>5.3. Инструкции для исследователя</w:t>
      </w:r>
      <w:bookmarkEnd w:id="203"/>
      <w:bookmarkEnd w:id="204"/>
      <w:bookmarkEnd w:id="208"/>
    </w:p>
    <w:p w14:paraId="5773D028" w14:textId="77777777" w:rsidR="008B7FBF" w:rsidRPr="002E3A02" w:rsidRDefault="008B7FBF" w:rsidP="0029110D">
      <w:pPr>
        <w:pStyle w:val="3"/>
        <w:spacing w:before="240" w:after="240"/>
        <w:rPr>
          <w:color w:val="000000" w:themeColor="text1"/>
        </w:rPr>
      </w:pPr>
      <w:bookmarkStart w:id="209" w:name="_Toc301482878"/>
      <w:bookmarkStart w:id="210" w:name="_Toc298775568"/>
      <w:bookmarkStart w:id="211" w:name="_Toc120288191"/>
      <w:r w:rsidRPr="002E3A02">
        <w:rPr>
          <w:color w:val="000000" w:themeColor="text1"/>
        </w:rPr>
        <w:t>5.3.1. Показания к применению</w:t>
      </w:r>
      <w:bookmarkEnd w:id="209"/>
      <w:bookmarkEnd w:id="210"/>
      <w:bookmarkEnd w:id="211"/>
    </w:p>
    <w:p w14:paraId="2DB96198" w14:textId="50822A8F" w:rsidR="0051605E" w:rsidRDefault="0051605E" w:rsidP="0051605E">
      <w:pPr>
        <w:pStyle w:val="af3"/>
        <w:numPr>
          <w:ilvl w:val="0"/>
          <w:numId w:val="5"/>
        </w:numPr>
        <w:spacing w:after="0" w:line="240" w:lineRule="auto"/>
        <w:rPr>
          <w:lang w:eastAsia="ru-RU"/>
        </w:rPr>
      </w:pPr>
      <w:bookmarkStart w:id="212" w:name="_Toc301482879"/>
      <w:bookmarkStart w:id="213" w:name="_Toc287529201"/>
      <w:bookmarkStart w:id="214" w:name="_Toc298775569"/>
      <w:r>
        <w:rPr>
          <w:lang w:eastAsia="ru-RU"/>
        </w:rPr>
        <w:t>Л</w:t>
      </w:r>
      <w:r w:rsidRPr="001843D3">
        <w:rPr>
          <w:lang w:eastAsia="ru-RU"/>
        </w:rPr>
        <w:t>ечение ревматоидного артрита умеренной и тяжелой степени у взрослых пациентов с непереносимостью или отсутствием адекватного ответа на лечение одним или несколькими базисными противоревматоидными препаратами.</w:t>
      </w:r>
      <w:r w:rsidR="00411DA1">
        <w:rPr>
          <w:lang w:eastAsia="ru-RU"/>
        </w:rPr>
        <w:t xml:space="preserve"> Барицитиниб может применяться в виде монотерапии или в комбинированной терапии с метотрексатом</w:t>
      </w:r>
      <w:r w:rsidRPr="001843D3">
        <w:rPr>
          <w:lang w:eastAsia="ru-RU"/>
        </w:rPr>
        <w:t xml:space="preserve"> </w:t>
      </w:r>
    </w:p>
    <w:p w14:paraId="3BE1DBCF" w14:textId="77777777" w:rsidR="0051605E" w:rsidRDefault="0051605E" w:rsidP="0051605E">
      <w:pPr>
        <w:pStyle w:val="af3"/>
        <w:numPr>
          <w:ilvl w:val="0"/>
          <w:numId w:val="5"/>
        </w:numPr>
        <w:spacing w:after="0" w:line="240" w:lineRule="auto"/>
        <w:rPr>
          <w:lang w:eastAsia="ru-RU"/>
        </w:rPr>
      </w:pPr>
      <w:r w:rsidRPr="001843D3">
        <w:rPr>
          <w:lang w:eastAsia="ru-RU"/>
        </w:rPr>
        <w:t xml:space="preserve">Лечение атопического дерматита умеренной или тяжелой степени у взрослых пациентов. </w:t>
      </w:r>
    </w:p>
    <w:p w14:paraId="62BA7B00" w14:textId="77777777" w:rsidR="0051605E" w:rsidRDefault="0051605E" w:rsidP="0051605E">
      <w:pPr>
        <w:pStyle w:val="af3"/>
        <w:numPr>
          <w:ilvl w:val="0"/>
          <w:numId w:val="5"/>
        </w:numPr>
        <w:spacing w:after="0" w:line="240" w:lineRule="auto"/>
        <w:rPr>
          <w:lang w:eastAsia="ru-RU"/>
        </w:rPr>
      </w:pPr>
      <w:r w:rsidRPr="001843D3">
        <w:rPr>
          <w:lang w:eastAsia="ru-RU"/>
        </w:rPr>
        <w:t xml:space="preserve">Лечение очаговой алопеции тяжелой степени у взрослых пациентов. </w:t>
      </w:r>
    </w:p>
    <w:p w14:paraId="7504A2FF" w14:textId="30AFA378" w:rsidR="006A5654" w:rsidRPr="0029110D" w:rsidRDefault="0051605E" w:rsidP="0029110D">
      <w:pPr>
        <w:pStyle w:val="af3"/>
        <w:numPr>
          <w:ilvl w:val="0"/>
          <w:numId w:val="5"/>
        </w:numPr>
        <w:spacing w:after="0" w:line="240" w:lineRule="auto"/>
        <w:rPr>
          <w:lang w:eastAsia="ru-RU"/>
        </w:rPr>
      </w:pPr>
      <w:r w:rsidRPr="001843D3">
        <w:rPr>
          <w:lang w:eastAsia="ru-RU"/>
        </w:rPr>
        <w:lastRenderedPageBreak/>
        <w:t>Лечение новой коронавирусной инфекции у госпитализированных взрослых пациентов, нуждающихся в низкопоточной оксигенотерапии или высокопоточной оксигенотерапии/неинвазивной искусственной вентиляции легких</w:t>
      </w:r>
      <w:r>
        <w:rPr>
          <w:lang w:eastAsia="ru-RU"/>
        </w:rPr>
        <w:t xml:space="preserve"> (НИВЛ)</w:t>
      </w:r>
      <w:r w:rsidRPr="001843D3">
        <w:rPr>
          <w:lang w:eastAsia="ru-RU"/>
        </w:rPr>
        <w:t>.</w:t>
      </w:r>
    </w:p>
    <w:p w14:paraId="2B33154F" w14:textId="77777777" w:rsidR="008B7FBF" w:rsidRPr="00AC4453" w:rsidRDefault="008B7FBF" w:rsidP="0029110D">
      <w:pPr>
        <w:pStyle w:val="3"/>
        <w:spacing w:before="240" w:after="240"/>
        <w:rPr>
          <w:color w:val="000000" w:themeColor="text1"/>
        </w:rPr>
      </w:pPr>
      <w:bookmarkStart w:id="215" w:name="_Toc120288192"/>
      <w:r w:rsidRPr="00AC4453">
        <w:rPr>
          <w:color w:val="000000" w:themeColor="text1"/>
        </w:rPr>
        <w:t>5.3.2. Противопоказания</w:t>
      </w:r>
      <w:bookmarkEnd w:id="212"/>
      <w:bookmarkEnd w:id="213"/>
      <w:bookmarkEnd w:id="214"/>
      <w:bookmarkEnd w:id="215"/>
    </w:p>
    <w:p w14:paraId="701FC73C" w14:textId="13A5C71A" w:rsidR="00AC4453" w:rsidRPr="00AC4453" w:rsidRDefault="00AC4453" w:rsidP="00736458">
      <w:pPr>
        <w:pStyle w:val="af3"/>
        <w:numPr>
          <w:ilvl w:val="0"/>
          <w:numId w:val="43"/>
        </w:numPr>
        <w:spacing w:after="0" w:line="240" w:lineRule="auto"/>
        <w:rPr>
          <w:iCs/>
          <w:lang w:eastAsia="en-US"/>
        </w:rPr>
      </w:pPr>
      <w:bookmarkStart w:id="216" w:name="_Toc301482880"/>
      <w:bookmarkStart w:id="217" w:name="_Toc287529202"/>
      <w:bookmarkStart w:id="218" w:name="_Toc298775570"/>
      <w:r w:rsidRPr="00AC4453">
        <w:rPr>
          <w:iCs/>
          <w:lang w:eastAsia="en-US"/>
        </w:rPr>
        <w:t>Повышенная чувствительность к барицитинибу или к любому вспомогательному</w:t>
      </w:r>
      <w:r>
        <w:rPr>
          <w:iCs/>
          <w:lang w:eastAsia="en-US"/>
        </w:rPr>
        <w:t xml:space="preserve"> </w:t>
      </w:r>
      <w:r w:rsidRPr="00AC4453">
        <w:rPr>
          <w:iCs/>
          <w:lang w:eastAsia="en-US"/>
        </w:rPr>
        <w:t>веществу препарата</w:t>
      </w:r>
    </w:p>
    <w:p w14:paraId="2B26D2FF" w14:textId="59D3EFD5" w:rsidR="00AC4453" w:rsidRPr="00AC4453" w:rsidRDefault="00AC4453" w:rsidP="00736458">
      <w:pPr>
        <w:pStyle w:val="af3"/>
        <w:numPr>
          <w:ilvl w:val="0"/>
          <w:numId w:val="43"/>
        </w:numPr>
        <w:spacing w:after="0" w:line="240" w:lineRule="auto"/>
        <w:rPr>
          <w:iCs/>
          <w:lang w:eastAsia="en-US"/>
        </w:rPr>
      </w:pPr>
      <w:r w:rsidRPr="00AC4453">
        <w:rPr>
          <w:iCs/>
          <w:lang w:eastAsia="en-US"/>
        </w:rPr>
        <w:t xml:space="preserve">Беременность и период грудного вскармливания </w:t>
      </w:r>
    </w:p>
    <w:p w14:paraId="0B7947D2" w14:textId="77777777" w:rsidR="00AC4453" w:rsidRPr="00AC4453" w:rsidRDefault="00AC4453" w:rsidP="00AC4453">
      <w:pPr>
        <w:pStyle w:val="af3"/>
        <w:numPr>
          <w:ilvl w:val="0"/>
          <w:numId w:val="43"/>
        </w:numPr>
        <w:spacing w:after="0" w:line="240" w:lineRule="auto"/>
        <w:rPr>
          <w:iCs/>
          <w:lang w:eastAsia="en-US"/>
        </w:rPr>
      </w:pPr>
      <w:r w:rsidRPr="00AC4453">
        <w:rPr>
          <w:iCs/>
          <w:lang w:eastAsia="en-US"/>
        </w:rPr>
        <w:t>Детский возраст до 18 лет</w:t>
      </w:r>
    </w:p>
    <w:p w14:paraId="1071A9E4" w14:textId="3EBB7EC8" w:rsidR="00AC4453" w:rsidRPr="00AC4453" w:rsidRDefault="00AC4453" w:rsidP="00511EB4">
      <w:pPr>
        <w:pStyle w:val="af3"/>
        <w:numPr>
          <w:ilvl w:val="0"/>
          <w:numId w:val="43"/>
        </w:numPr>
        <w:spacing w:after="0" w:line="240" w:lineRule="auto"/>
        <w:rPr>
          <w:iCs/>
          <w:lang w:eastAsia="en-US"/>
        </w:rPr>
      </w:pPr>
      <w:r w:rsidRPr="00AC4453">
        <w:rPr>
          <w:iCs/>
          <w:lang w:eastAsia="en-US"/>
        </w:rPr>
        <w:t>Почечная недостаточность тяжелой степени с клиренсом креатинина менее 30 мл/мин (для показаний</w:t>
      </w:r>
      <w:r>
        <w:rPr>
          <w:iCs/>
          <w:lang w:eastAsia="en-US"/>
        </w:rPr>
        <w:t xml:space="preserve"> </w:t>
      </w:r>
      <w:r w:rsidRPr="00AC4453">
        <w:rPr>
          <w:iCs/>
          <w:lang w:eastAsia="en-US"/>
        </w:rPr>
        <w:t>ревматоидный артрит, атопический дерматит и очаговая алопеция)</w:t>
      </w:r>
    </w:p>
    <w:p w14:paraId="5B9CC76B" w14:textId="1830AD3A" w:rsidR="00AC4453" w:rsidRPr="00AC4453" w:rsidRDefault="00AC4453" w:rsidP="00511EB4">
      <w:pPr>
        <w:pStyle w:val="af3"/>
        <w:numPr>
          <w:ilvl w:val="0"/>
          <w:numId w:val="43"/>
        </w:numPr>
        <w:spacing w:after="0" w:line="240" w:lineRule="auto"/>
        <w:rPr>
          <w:iCs/>
          <w:lang w:eastAsia="en-US"/>
        </w:rPr>
      </w:pPr>
      <w:r w:rsidRPr="00AC4453">
        <w:rPr>
          <w:iCs/>
          <w:lang w:eastAsia="en-US"/>
        </w:rPr>
        <w:t>Терминальная стадия почечной недостаточности с СКФ менее 15 мл/мин/1,73 м</w:t>
      </w:r>
      <w:r w:rsidRPr="00AC4453">
        <w:rPr>
          <w:iCs/>
          <w:vertAlign w:val="superscript"/>
          <w:lang w:eastAsia="en-US"/>
        </w:rPr>
        <w:t>2</w:t>
      </w:r>
      <w:r w:rsidRPr="00AC4453">
        <w:rPr>
          <w:iCs/>
          <w:lang w:eastAsia="en-US"/>
        </w:rPr>
        <w:t xml:space="preserve"> (для</w:t>
      </w:r>
      <w:r>
        <w:rPr>
          <w:iCs/>
          <w:lang w:eastAsia="en-US"/>
        </w:rPr>
        <w:t xml:space="preserve"> </w:t>
      </w:r>
      <w:r w:rsidRPr="00AC4453">
        <w:rPr>
          <w:iCs/>
          <w:lang w:eastAsia="en-US"/>
        </w:rPr>
        <w:t xml:space="preserve">показания </w:t>
      </w:r>
      <w:r>
        <w:rPr>
          <w:iCs/>
          <w:lang w:val="en-US" w:eastAsia="en-US"/>
        </w:rPr>
        <w:t>COVID</w:t>
      </w:r>
      <w:r w:rsidRPr="00BF09AA">
        <w:rPr>
          <w:iCs/>
          <w:lang w:eastAsia="en-US"/>
        </w:rPr>
        <w:t>-19</w:t>
      </w:r>
      <w:r w:rsidRPr="00AC4453">
        <w:rPr>
          <w:iCs/>
          <w:lang w:eastAsia="en-US"/>
        </w:rPr>
        <w:t>)</w:t>
      </w:r>
    </w:p>
    <w:p w14:paraId="289B3C66" w14:textId="77777777" w:rsidR="00AC4453" w:rsidRPr="00AC4453" w:rsidRDefault="00AC4453" w:rsidP="00AC4453">
      <w:pPr>
        <w:pStyle w:val="af3"/>
        <w:numPr>
          <w:ilvl w:val="0"/>
          <w:numId w:val="43"/>
        </w:numPr>
        <w:spacing w:after="0" w:line="240" w:lineRule="auto"/>
        <w:rPr>
          <w:iCs/>
          <w:lang w:eastAsia="en-US"/>
        </w:rPr>
      </w:pPr>
      <w:r w:rsidRPr="00AC4453">
        <w:rPr>
          <w:iCs/>
          <w:lang w:eastAsia="en-US"/>
        </w:rPr>
        <w:t>Печеночная недостаточность тяжелой степени</w:t>
      </w:r>
    </w:p>
    <w:p w14:paraId="6668D770" w14:textId="77777777" w:rsidR="00AC4453" w:rsidRPr="00AC4453" w:rsidRDefault="00AC4453" w:rsidP="00AC4453">
      <w:pPr>
        <w:pStyle w:val="af3"/>
        <w:numPr>
          <w:ilvl w:val="0"/>
          <w:numId w:val="43"/>
        </w:numPr>
        <w:spacing w:after="0" w:line="240" w:lineRule="auto"/>
        <w:rPr>
          <w:iCs/>
          <w:lang w:eastAsia="en-US"/>
        </w:rPr>
      </w:pPr>
      <w:r w:rsidRPr="00AC4453">
        <w:rPr>
          <w:iCs/>
          <w:lang w:eastAsia="en-US"/>
        </w:rPr>
        <w:t>Активная форма туберкулеза</w:t>
      </w:r>
    </w:p>
    <w:p w14:paraId="5F1DE157" w14:textId="77777777" w:rsidR="00AC4453" w:rsidRPr="00AC4453" w:rsidRDefault="00AC4453" w:rsidP="00AC4453">
      <w:pPr>
        <w:pStyle w:val="af3"/>
        <w:numPr>
          <w:ilvl w:val="0"/>
          <w:numId w:val="43"/>
        </w:numPr>
        <w:spacing w:after="0" w:line="240" w:lineRule="auto"/>
        <w:rPr>
          <w:iCs/>
          <w:lang w:eastAsia="en-US"/>
        </w:rPr>
      </w:pPr>
      <w:r w:rsidRPr="00AC4453">
        <w:rPr>
          <w:iCs/>
          <w:lang w:eastAsia="en-US"/>
        </w:rPr>
        <w:t>Гемоглобин менее 8 г/дл</w:t>
      </w:r>
    </w:p>
    <w:p w14:paraId="185AB7E6" w14:textId="77777777" w:rsidR="00AC4453" w:rsidRPr="00AC4453" w:rsidRDefault="00AC4453" w:rsidP="00AC4453">
      <w:pPr>
        <w:pStyle w:val="af3"/>
        <w:numPr>
          <w:ilvl w:val="0"/>
          <w:numId w:val="43"/>
        </w:numPr>
        <w:spacing w:after="0" w:line="240" w:lineRule="auto"/>
        <w:rPr>
          <w:iCs/>
          <w:lang w:eastAsia="en-US"/>
        </w:rPr>
      </w:pPr>
      <w:r w:rsidRPr="00AC4453">
        <w:rPr>
          <w:iCs/>
          <w:lang w:eastAsia="en-US"/>
        </w:rPr>
        <w:t>Абсолютное число нейтрофилов менее 1х10</w:t>
      </w:r>
      <w:r w:rsidRPr="00AC4453">
        <w:rPr>
          <w:iCs/>
          <w:vertAlign w:val="superscript"/>
          <w:lang w:eastAsia="en-US"/>
        </w:rPr>
        <w:t>7</w:t>
      </w:r>
      <w:r w:rsidRPr="00AC4453">
        <w:rPr>
          <w:iCs/>
          <w:lang w:eastAsia="en-US"/>
        </w:rPr>
        <w:t xml:space="preserve"> /л</w:t>
      </w:r>
    </w:p>
    <w:p w14:paraId="20962829" w14:textId="1013634E" w:rsidR="00AC4453" w:rsidRPr="00AC4453" w:rsidRDefault="00AC4453" w:rsidP="00511EB4">
      <w:pPr>
        <w:pStyle w:val="af3"/>
        <w:numPr>
          <w:ilvl w:val="0"/>
          <w:numId w:val="43"/>
        </w:numPr>
        <w:spacing w:after="0" w:line="240" w:lineRule="auto"/>
        <w:rPr>
          <w:iCs/>
          <w:lang w:eastAsia="en-US"/>
        </w:rPr>
      </w:pPr>
      <w:r w:rsidRPr="00AC4453">
        <w:rPr>
          <w:iCs/>
          <w:lang w:eastAsia="en-US"/>
        </w:rPr>
        <w:t>Абсолютное число лимфоцитов менее 0,5х10</w:t>
      </w:r>
      <w:r w:rsidRPr="00AC4453">
        <w:rPr>
          <w:iCs/>
          <w:vertAlign w:val="superscript"/>
          <w:lang w:eastAsia="en-US"/>
        </w:rPr>
        <w:t>7</w:t>
      </w:r>
      <w:r w:rsidRPr="00AC4453">
        <w:rPr>
          <w:iCs/>
          <w:lang w:eastAsia="en-US"/>
        </w:rPr>
        <w:t xml:space="preserve"> /л (для показаний ревматоидный артрит,</w:t>
      </w:r>
      <w:r>
        <w:rPr>
          <w:iCs/>
          <w:lang w:eastAsia="en-US"/>
        </w:rPr>
        <w:t xml:space="preserve"> </w:t>
      </w:r>
      <w:r w:rsidRPr="00AC4453">
        <w:rPr>
          <w:iCs/>
          <w:lang w:eastAsia="en-US"/>
        </w:rPr>
        <w:t>атопический дерматит и очаговая алопеция)</w:t>
      </w:r>
    </w:p>
    <w:p w14:paraId="78DBEA7D" w14:textId="1064CA8D" w:rsidR="00686B31" w:rsidRPr="00736458" w:rsidRDefault="00AC4453" w:rsidP="00AC4453">
      <w:pPr>
        <w:pStyle w:val="af3"/>
        <w:numPr>
          <w:ilvl w:val="0"/>
          <w:numId w:val="43"/>
        </w:numPr>
        <w:spacing w:after="0" w:line="240" w:lineRule="auto"/>
        <w:rPr>
          <w:rFonts w:eastAsia="Times New Roman"/>
          <w:lang w:eastAsia="ru-RU"/>
        </w:rPr>
      </w:pPr>
      <w:r w:rsidRPr="00AC4453">
        <w:rPr>
          <w:iCs/>
          <w:lang w:eastAsia="en-US"/>
        </w:rPr>
        <w:t>Абсолютное число лимфоцитов менее 0,2х10</w:t>
      </w:r>
      <w:r w:rsidRPr="00AC4453">
        <w:rPr>
          <w:iCs/>
          <w:vertAlign w:val="superscript"/>
          <w:lang w:eastAsia="en-US"/>
        </w:rPr>
        <w:t>9</w:t>
      </w:r>
      <w:r w:rsidRPr="00AC4453">
        <w:rPr>
          <w:iCs/>
          <w:lang w:eastAsia="en-US"/>
        </w:rPr>
        <w:t xml:space="preserve"> /л (для показания </w:t>
      </w:r>
      <w:r w:rsidRPr="00AC4453">
        <w:rPr>
          <w:iCs/>
          <w:lang w:val="en-US" w:eastAsia="en-US"/>
        </w:rPr>
        <w:t>COVID</w:t>
      </w:r>
      <w:r w:rsidRPr="00AC4453">
        <w:rPr>
          <w:iCs/>
          <w:lang w:eastAsia="en-US"/>
        </w:rPr>
        <w:t>-19).</w:t>
      </w:r>
    </w:p>
    <w:p w14:paraId="43C1BD5D" w14:textId="6DBD090E" w:rsidR="00736458" w:rsidRDefault="008B7FBF" w:rsidP="0029110D">
      <w:pPr>
        <w:pStyle w:val="3"/>
        <w:spacing w:before="240" w:after="240"/>
        <w:rPr>
          <w:color w:val="000000" w:themeColor="text1"/>
        </w:rPr>
      </w:pPr>
      <w:bookmarkStart w:id="219" w:name="_Toc120288193"/>
      <w:r w:rsidRPr="00AC4453">
        <w:rPr>
          <w:color w:val="000000" w:themeColor="text1"/>
        </w:rPr>
        <w:t xml:space="preserve">5.3.3. </w:t>
      </w:r>
      <w:bookmarkEnd w:id="216"/>
      <w:bookmarkEnd w:id="217"/>
      <w:bookmarkEnd w:id="218"/>
      <w:r w:rsidR="00736458">
        <w:rPr>
          <w:color w:val="000000" w:themeColor="text1"/>
        </w:rPr>
        <w:t>С осторожностью</w:t>
      </w:r>
      <w:bookmarkEnd w:id="219"/>
    </w:p>
    <w:p w14:paraId="59BE1F21" w14:textId="714E7958" w:rsidR="00736458" w:rsidRDefault="00736458" w:rsidP="00736458">
      <w:pPr>
        <w:spacing w:line="240" w:lineRule="auto"/>
        <w:ind w:left="567"/>
        <w:contextualSpacing/>
      </w:pPr>
      <w:r>
        <w:t>- Возраст старше 75 лет</w:t>
      </w:r>
    </w:p>
    <w:p w14:paraId="44B510B3" w14:textId="0689775B" w:rsidR="00736458" w:rsidRDefault="00736458" w:rsidP="00736458">
      <w:pPr>
        <w:spacing w:line="240" w:lineRule="auto"/>
        <w:ind w:left="567"/>
        <w:contextualSpacing/>
      </w:pPr>
      <w:r>
        <w:t xml:space="preserve">- Активные, хронические или рецидивирующие инфекции (в т.ч. латентная форма туберкулеза в случае, если адекватная терапия проводилась в течение менее 4-х недель; подозрение на серьезные активные бактериальные, грибковые, вирусные или какие-либо другие инфекции, за исключением </w:t>
      </w:r>
      <w:r>
        <w:rPr>
          <w:lang w:val="en-US"/>
        </w:rPr>
        <w:t>COVID</w:t>
      </w:r>
      <w:r w:rsidRPr="00736458">
        <w:t>-19</w:t>
      </w:r>
      <w:r>
        <w:t>)</w:t>
      </w:r>
    </w:p>
    <w:p w14:paraId="5CE3F582" w14:textId="399A6A32" w:rsidR="00736458" w:rsidRDefault="00736458" w:rsidP="00736458">
      <w:pPr>
        <w:spacing w:line="240" w:lineRule="auto"/>
        <w:ind w:left="567"/>
        <w:contextualSpacing/>
      </w:pPr>
      <w:r>
        <w:t>- Активная форма вирусного гепатита В и С</w:t>
      </w:r>
    </w:p>
    <w:p w14:paraId="73E8CAB7" w14:textId="28AD02D6" w:rsidR="00736458" w:rsidRDefault="00736458" w:rsidP="00736458">
      <w:pPr>
        <w:spacing w:line="240" w:lineRule="auto"/>
        <w:ind w:left="567"/>
        <w:contextualSpacing/>
      </w:pPr>
      <w:r>
        <w:t>- Факторы риска ТГВ/ТЭЛА</w:t>
      </w:r>
    </w:p>
    <w:p w14:paraId="10529DA4" w14:textId="5F395541" w:rsidR="00736458" w:rsidRDefault="00736458" w:rsidP="00736458">
      <w:pPr>
        <w:spacing w:line="240" w:lineRule="auto"/>
        <w:ind w:left="567"/>
        <w:contextualSpacing/>
      </w:pPr>
      <w:r>
        <w:t>- Комбинация с биологическими базисными противоревматическими препаратами, биологическими иммуномодуляторами или другими ингибиторами Янус-киназ</w:t>
      </w:r>
    </w:p>
    <w:p w14:paraId="19EAC94D" w14:textId="7CC26641" w:rsidR="00736458" w:rsidRDefault="00736458" w:rsidP="00736458">
      <w:pPr>
        <w:spacing w:line="240" w:lineRule="auto"/>
        <w:ind w:left="567"/>
        <w:contextualSpacing/>
      </w:pPr>
      <w:r>
        <w:t>- Дивертикулез, в особенности при длительном лечении препаратами, ассоциирующимися с повышенным риском дивертикулита, такими как нестероидные противовоспалительные препараты, глюкокортикостероиды и опиоиды</w:t>
      </w:r>
    </w:p>
    <w:p w14:paraId="7C2926BE" w14:textId="494858BD" w:rsidR="00736458" w:rsidRPr="00736458" w:rsidRDefault="00736458" w:rsidP="00736458">
      <w:pPr>
        <w:spacing w:line="240" w:lineRule="auto"/>
        <w:ind w:left="567"/>
        <w:contextualSpacing/>
      </w:pPr>
      <w:r>
        <w:t xml:space="preserve">- Почечная недостаточность с СКФ от 15 до 30 </w:t>
      </w:r>
      <w:r w:rsidRPr="00AC4453">
        <w:rPr>
          <w:iCs/>
          <w:lang w:eastAsia="en-US"/>
        </w:rPr>
        <w:t>мл/мин/1,73 м</w:t>
      </w:r>
      <w:r w:rsidRPr="00AC4453">
        <w:rPr>
          <w:iCs/>
          <w:vertAlign w:val="superscript"/>
          <w:lang w:eastAsia="en-US"/>
        </w:rPr>
        <w:t>2</w:t>
      </w:r>
      <w:r>
        <w:rPr>
          <w:iCs/>
          <w:vertAlign w:val="superscript"/>
          <w:lang w:eastAsia="en-US"/>
        </w:rPr>
        <w:t xml:space="preserve"> </w:t>
      </w:r>
      <w:r w:rsidRPr="00AC4453">
        <w:rPr>
          <w:iCs/>
          <w:lang w:eastAsia="en-US"/>
        </w:rPr>
        <w:t xml:space="preserve">(для показания </w:t>
      </w:r>
      <w:r w:rsidRPr="00AC4453">
        <w:rPr>
          <w:iCs/>
          <w:lang w:val="en-US" w:eastAsia="en-US"/>
        </w:rPr>
        <w:t>COVID</w:t>
      </w:r>
      <w:r w:rsidRPr="00AC4453">
        <w:rPr>
          <w:iCs/>
          <w:lang w:eastAsia="en-US"/>
        </w:rPr>
        <w:t>-19).</w:t>
      </w:r>
    </w:p>
    <w:p w14:paraId="27BFB440" w14:textId="5F3E6208" w:rsidR="008B7FBF" w:rsidRPr="00AC4453" w:rsidRDefault="00736458" w:rsidP="00736458">
      <w:pPr>
        <w:pStyle w:val="3"/>
        <w:spacing w:after="240"/>
        <w:contextualSpacing/>
        <w:rPr>
          <w:color w:val="000000" w:themeColor="text1"/>
        </w:rPr>
      </w:pPr>
      <w:bookmarkStart w:id="220" w:name="_Toc120288194"/>
      <w:r>
        <w:rPr>
          <w:color w:val="000000" w:themeColor="text1"/>
        </w:rPr>
        <w:t>5.3.4</w:t>
      </w:r>
      <w:r w:rsidRPr="00AC4453">
        <w:rPr>
          <w:color w:val="000000" w:themeColor="text1"/>
        </w:rPr>
        <w:t xml:space="preserve">. </w:t>
      </w:r>
      <w:r w:rsidR="008B7FBF" w:rsidRPr="00AC4453">
        <w:rPr>
          <w:color w:val="000000" w:themeColor="text1"/>
        </w:rPr>
        <w:t>Применение при беременности и в период грудного вскармливания</w:t>
      </w:r>
      <w:bookmarkEnd w:id="220"/>
    </w:p>
    <w:p w14:paraId="0072B207" w14:textId="77777777" w:rsidR="00AF4630" w:rsidRPr="00AB1FF1" w:rsidRDefault="00AF4630" w:rsidP="00736458">
      <w:pPr>
        <w:pStyle w:val="ab"/>
        <w:shd w:val="clear" w:color="auto" w:fill="FFFFFF"/>
        <w:spacing w:before="0" w:beforeAutospacing="0" w:after="0" w:afterAutospacing="0"/>
        <w:contextualSpacing/>
        <w:jc w:val="both"/>
        <w:rPr>
          <w:b/>
          <w:color w:val="000000" w:themeColor="text1"/>
        </w:rPr>
      </w:pPr>
      <w:bookmarkStart w:id="221" w:name="_Toc301482881"/>
      <w:bookmarkStart w:id="222" w:name="_Toc287529203"/>
      <w:bookmarkStart w:id="223" w:name="_Toc298775571"/>
      <w:r w:rsidRPr="00AB1FF1">
        <w:rPr>
          <w:b/>
          <w:color w:val="000000" w:themeColor="text1"/>
        </w:rPr>
        <w:t>Беременность</w:t>
      </w:r>
    </w:p>
    <w:p w14:paraId="6406A9E5" w14:textId="77777777" w:rsidR="004D2E4C" w:rsidRDefault="004D2E4C" w:rsidP="00736458">
      <w:pPr>
        <w:pStyle w:val="ab"/>
        <w:shd w:val="clear" w:color="auto" w:fill="FFFFFF"/>
        <w:spacing w:before="0" w:beforeAutospacing="0" w:after="0" w:afterAutospacing="0"/>
        <w:ind w:firstLine="709"/>
        <w:contextualSpacing/>
        <w:jc w:val="both"/>
        <w:rPr>
          <w:rFonts w:eastAsia="MS Mincho"/>
          <w:lang w:eastAsia="ja-JP"/>
        </w:rPr>
      </w:pPr>
    </w:p>
    <w:p w14:paraId="50792448" w14:textId="689CD790" w:rsidR="006A5654" w:rsidRDefault="00AC4453" w:rsidP="00736458">
      <w:pPr>
        <w:pStyle w:val="ab"/>
        <w:shd w:val="clear" w:color="auto" w:fill="FFFFFF"/>
        <w:spacing w:before="0" w:beforeAutospacing="0" w:after="0" w:afterAutospacing="0"/>
        <w:ind w:firstLine="709"/>
        <w:contextualSpacing/>
        <w:jc w:val="both"/>
        <w:rPr>
          <w:rFonts w:eastAsia="MS Mincho"/>
          <w:lang w:eastAsia="ja-JP"/>
        </w:rPr>
      </w:pPr>
      <w:r w:rsidRPr="00AC4453">
        <w:rPr>
          <w:rFonts w:eastAsia="MS Mincho"/>
          <w:lang w:eastAsia="ja-JP"/>
        </w:rPr>
        <w:t xml:space="preserve">Было установлено, что каскад реакций </w:t>
      </w:r>
      <w:r>
        <w:rPr>
          <w:rFonts w:eastAsia="MS Mincho"/>
          <w:lang w:val="en-US" w:eastAsia="ja-JP"/>
        </w:rPr>
        <w:t>J</w:t>
      </w:r>
      <w:r w:rsidRPr="00AC4453">
        <w:rPr>
          <w:rFonts w:eastAsia="MS Mincho"/>
          <w:lang w:eastAsia="ja-JP"/>
        </w:rPr>
        <w:t>АК/</w:t>
      </w:r>
      <w:r>
        <w:rPr>
          <w:rFonts w:eastAsia="MS Mincho"/>
          <w:lang w:val="en-US" w:eastAsia="ja-JP"/>
        </w:rPr>
        <w:t>S</w:t>
      </w:r>
      <w:r w:rsidRPr="00AC4453">
        <w:rPr>
          <w:rFonts w:eastAsia="MS Mincho"/>
          <w:lang w:eastAsia="ja-JP"/>
        </w:rPr>
        <w:t>ТАТ связан с адгезией и поляризацией</w:t>
      </w:r>
      <w:r>
        <w:rPr>
          <w:rFonts w:eastAsia="MS Mincho"/>
          <w:lang w:eastAsia="ja-JP"/>
        </w:rPr>
        <w:t xml:space="preserve"> </w:t>
      </w:r>
      <w:r w:rsidRPr="00AC4453">
        <w:rPr>
          <w:rFonts w:eastAsia="MS Mincho"/>
          <w:lang w:eastAsia="ja-JP"/>
        </w:rPr>
        <w:t>клеток,</w:t>
      </w:r>
      <w:r>
        <w:rPr>
          <w:rFonts w:eastAsia="MS Mincho"/>
          <w:lang w:eastAsia="ja-JP"/>
        </w:rPr>
        <w:t xml:space="preserve"> </w:t>
      </w:r>
      <w:r w:rsidRPr="00AC4453">
        <w:rPr>
          <w:rFonts w:eastAsia="MS Mincho"/>
          <w:lang w:eastAsia="ja-JP"/>
        </w:rPr>
        <w:t>что может повлиять на процесс раннего эмбриогенеза. Данных о применении барицитиниба</w:t>
      </w:r>
      <w:r>
        <w:rPr>
          <w:rFonts w:eastAsia="MS Mincho"/>
          <w:lang w:eastAsia="ja-JP"/>
        </w:rPr>
        <w:t xml:space="preserve"> </w:t>
      </w:r>
      <w:r w:rsidRPr="00AC4453">
        <w:rPr>
          <w:rFonts w:eastAsia="MS Mincho"/>
          <w:lang w:eastAsia="ja-JP"/>
        </w:rPr>
        <w:t>у беременных женщин недостаточно. В исследованиях на животных была</w:t>
      </w:r>
      <w:r>
        <w:rPr>
          <w:rFonts w:eastAsia="MS Mincho"/>
          <w:lang w:eastAsia="ja-JP"/>
        </w:rPr>
        <w:t xml:space="preserve"> </w:t>
      </w:r>
      <w:r w:rsidRPr="00AC4453">
        <w:rPr>
          <w:rFonts w:eastAsia="MS Mincho"/>
          <w:lang w:eastAsia="ja-JP"/>
        </w:rPr>
        <w:t>продемонстрирована репродуктивная токсичность. Барицитиниб проявлял тератогенное</w:t>
      </w:r>
      <w:r>
        <w:rPr>
          <w:rFonts w:eastAsia="MS Mincho"/>
          <w:lang w:eastAsia="ja-JP"/>
        </w:rPr>
        <w:t xml:space="preserve"> </w:t>
      </w:r>
      <w:r w:rsidRPr="00AC4453">
        <w:rPr>
          <w:rFonts w:eastAsia="MS Mincho"/>
          <w:lang w:eastAsia="ja-JP"/>
        </w:rPr>
        <w:lastRenderedPageBreak/>
        <w:t>действие у крыс и кроликов. Согласно результатам исследования на животных применение</w:t>
      </w:r>
      <w:r>
        <w:rPr>
          <w:rFonts w:eastAsia="MS Mincho"/>
          <w:lang w:eastAsia="ja-JP"/>
        </w:rPr>
        <w:t xml:space="preserve"> </w:t>
      </w:r>
      <w:r w:rsidRPr="00AC4453">
        <w:rPr>
          <w:rFonts w:eastAsia="MS Mincho"/>
          <w:lang w:eastAsia="ja-JP"/>
        </w:rPr>
        <w:t>высоких доз барицитиниба может оказывать неблагопри</w:t>
      </w:r>
      <w:r w:rsidR="006A5654">
        <w:rPr>
          <w:rFonts w:eastAsia="MS Mincho"/>
          <w:lang w:eastAsia="ja-JP"/>
        </w:rPr>
        <w:t xml:space="preserve">ятное влияние на внутриутробное </w:t>
      </w:r>
      <w:r w:rsidRPr="00AC4453">
        <w:rPr>
          <w:rFonts w:eastAsia="MS Mincho"/>
          <w:lang w:eastAsia="ja-JP"/>
        </w:rPr>
        <w:t>развитие скелета плода.</w:t>
      </w:r>
      <w:r>
        <w:rPr>
          <w:rFonts w:eastAsia="MS Mincho"/>
          <w:lang w:eastAsia="ja-JP"/>
        </w:rPr>
        <w:t xml:space="preserve"> </w:t>
      </w:r>
      <w:r w:rsidRPr="00AC4453">
        <w:rPr>
          <w:rFonts w:eastAsia="MS Mincho"/>
          <w:lang w:eastAsia="ja-JP"/>
        </w:rPr>
        <w:t>Применение барицитиниба во время беременности противопоказано. Женщинам детородного возраста следует использовать</w:t>
      </w:r>
      <w:r>
        <w:rPr>
          <w:rFonts w:eastAsia="MS Mincho"/>
          <w:lang w:eastAsia="ja-JP"/>
        </w:rPr>
        <w:t xml:space="preserve"> </w:t>
      </w:r>
      <w:r w:rsidRPr="00AC4453">
        <w:rPr>
          <w:rFonts w:eastAsia="MS Mincho"/>
          <w:lang w:eastAsia="ja-JP"/>
        </w:rPr>
        <w:t>эффективные методы контрацепции во время и в течение как минимум 1 недели после</w:t>
      </w:r>
      <w:r>
        <w:rPr>
          <w:rFonts w:eastAsia="MS Mincho"/>
          <w:lang w:eastAsia="ja-JP"/>
        </w:rPr>
        <w:t xml:space="preserve"> </w:t>
      </w:r>
      <w:r w:rsidRPr="00AC4453">
        <w:rPr>
          <w:rFonts w:eastAsia="MS Mincho"/>
          <w:lang w:eastAsia="ja-JP"/>
        </w:rPr>
        <w:t>лечения. В случае, если пациентка забеременела во время применения барицитиниба, ее</w:t>
      </w:r>
      <w:r>
        <w:rPr>
          <w:rFonts w:eastAsia="MS Mincho"/>
          <w:lang w:eastAsia="ja-JP"/>
        </w:rPr>
        <w:t xml:space="preserve"> </w:t>
      </w:r>
      <w:r w:rsidRPr="00AC4453">
        <w:rPr>
          <w:rFonts w:eastAsia="MS Mincho"/>
          <w:lang w:eastAsia="ja-JP"/>
        </w:rPr>
        <w:t>необходимо проинформировать о возможном риске для плода.</w:t>
      </w:r>
    </w:p>
    <w:p w14:paraId="710B3387" w14:textId="77777777" w:rsidR="006A5654" w:rsidRDefault="006A5654" w:rsidP="00AC4453">
      <w:pPr>
        <w:pStyle w:val="ab"/>
        <w:shd w:val="clear" w:color="auto" w:fill="FFFFFF"/>
        <w:spacing w:before="0" w:beforeAutospacing="0" w:after="0" w:afterAutospacing="0"/>
        <w:jc w:val="both"/>
        <w:rPr>
          <w:rFonts w:eastAsia="MS Mincho"/>
          <w:lang w:eastAsia="ja-JP"/>
        </w:rPr>
      </w:pPr>
    </w:p>
    <w:p w14:paraId="404E2643" w14:textId="55C4BDC0" w:rsidR="00BC7E97" w:rsidRPr="00AB1FF1" w:rsidRDefault="002002E8" w:rsidP="00AC4453">
      <w:pPr>
        <w:pStyle w:val="ab"/>
        <w:shd w:val="clear" w:color="auto" w:fill="FFFFFF"/>
        <w:spacing w:before="0" w:beforeAutospacing="0" w:after="0" w:afterAutospacing="0"/>
        <w:jc w:val="both"/>
        <w:rPr>
          <w:rFonts w:eastAsia="MS Mincho"/>
          <w:b/>
          <w:lang w:eastAsia="ja-JP"/>
        </w:rPr>
      </w:pPr>
      <w:r w:rsidRPr="00AB1FF1">
        <w:rPr>
          <w:b/>
          <w:color w:val="000000" w:themeColor="text1"/>
        </w:rPr>
        <w:t>Грудное вскармливание</w:t>
      </w:r>
    </w:p>
    <w:p w14:paraId="57B97F56" w14:textId="77777777" w:rsidR="004D2E4C" w:rsidRDefault="004D2E4C" w:rsidP="00AC4453">
      <w:pPr>
        <w:pStyle w:val="ab"/>
        <w:shd w:val="clear" w:color="auto" w:fill="FFFFFF"/>
        <w:spacing w:before="0" w:beforeAutospacing="0" w:after="0" w:afterAutospacing="0"/>
        <w:ind w:firstLine="709"/>
        <w:jc w:val="both"/>
      </w:pPr>
    </w:p>
    <w:p w14:paraId="48CBCE45" w14:textId="309B7A8F" w:rsidR="00AC4453" w:rsidRDefault="00AC4453" w:rsidP="00AC4453">
      <w:pPr>
        <w:pStyle w:val="ab"/>
        <w:shd w:val="clear" w:color="auto" w:fill="FFFFFF"/>
        <w:spacing w:before="0" w:beforeAutospacing="0" w:after="0" w:afterAutospacing="0"/>
        <w:ind w:firstLine="709"/>
        <w:jc w:val="both"/>
      </w:pPr>
      <w:r w:rsidRPr="00AC4453">
        <w:t>Неизвестно выделяется ли барицитиниб (или его метаболиты) с грудным молоком.</w:t>
      </w:r>
      <w:r>
        <w:t xml:space="preserve"> </w:t>
      </w:r>
      <w:r w:rsidRPr="00AC4453">
        <w:t>Данные фармакодинамических/токсикологических исследований на животных показали,</w:t>
      </w:r>
      <w:r>
        <w:t xml:space="preserve"> что барицитиниб выделяется с грудным молоком. Невозможно исключить риск для новорожденных/младенцев, и поэтому не следует применять барицитиниб в период грудного вскармливания. Необходимо оценить пользу от грудного вскармливания для ребенка и от применения барицитиниба для женщины и принять решение о прекращении либо грудного вскармливания, либо применения барицитиниба.</w:t>
      </w:r>
    </w:p>
    <w:p w14:paraId="4B1D5941" w14:textId="77777777" w:rsidR="00AC4453" w:rsidRDefault="00AC4453" w:rsidP="00AC4453">
      <w:pPr>
        <w:pStyle w:val="ab"/>
        <w:shd w:val="clear" w:color="auto" w:fill="FFFFFF"/>
        <w:spacing w:before="0" w:beforeAutospacing="0" w:after="0" w:afterAutospacing="0"/>
        <w:jc w:val="both"/>
      </w:pPr>
    </w:p>
    <w:p w14:paraId="4DB50781" w14:textId="081FE83E" w:rsidR="00AC4453" w:rsidRPr="00AB1FF1" w:rsidRDefault="00AC4453" w:rsidP="00AC4453">
      <w:pPr>
        <w:pStyle w:val="ab"/>
        <w:shd w:val="clear" w:color="auto" w:fill="FFFFFF"/>
        <w:spacing w:before="0" w:beforeAutospacing="0" w:after="0" w:afterAutospacing="0"/>
        <w:jc w:val="both"/>
        <w:rPr>
          <w:b/>
          <w:bCs/>
        </w:rPr>
      </w:pPr>
      <w:r w:rsidRPr="00AB1FF1">
        <w:rPr>
          <w:b/>
          <w:bCs/>
        </w:rPr>
        <w:t>Фертильность</w:t>
      </w:r>
    </w:p>
    <w:p w14:paraId="6B56839B" w14:textId="77777777" w:rsidR="004D2E4C" w:rsidRDefault="004D2E4C" w:rsidP="00AC4453">
      <w:pPr>
        <w:pStyle w:val="ab"/>
        <w:shd w:val="clear" w:color="auto" w:fill="FFFFFF"/>
        <w:spacing w:before="0" w:beforeAutospacing="0" w:after="0" w:afterAutospacing="0"/>
        <w:ind w:firstLine="709"/>
        <w:jc w:val="both"/>
      </w:pPr>
    </w:p>
    <w:p w14:paraId="3D57C99F" w14:textId="0C5BCD78" w:rsidR="00EA179F" w:rsidRDefault="00AC4453" w:rsidP="00AC4453">
      <w:pPr>
        <w:pStyle w:val="ab"/>
        <w:shd w:val="clear" w:color="auto" w:fill="FFFFFF"/>
        <w:spacing w:before="0" w:beforeAutospacing="0" w:after="0" w:afterAutospacing="0"/>
        <w:ind w:firstLine="709"/>
        <w:jc w:val="both"/>
      </w:pPr>
      <w:r>
        <w:t>Результаты исследований на животных показывают, что применение барицитиниба может снизить женскую фертильность во время лечения. Влияния барицитиниба на сперматогенез не наблюдалос</w:t>
      </w:r>
      <w:r w:rsidRPr="00AC4453">
        <w:t>ь.</w:t>
      </w:r>
    </w:p>
    <w:p w14:paraId="53CFB8A2" w14:textId="77777777" w:rsidR="004D2E4C" w:rsidRPr="002B7989" w:rsidRDefault="004D2E4C">
      <w:pPr>
        <w:pStyle w:val="ab"/>
        <w:shd w:val="clear" w:color="auto" w:fill="FFFFFF"/>
        <w:spacing w:before="0" w:beforeAutospacing="0" w:after="0" w:afterAutospacing="0"/>
        <w:ind w:firstLine="709"/>
        <w:jc w:val="both"/>
        <w:rPr>
          <w:b/>
          <w:color w:val="000000" w:themeColor="text1"/>
          <w:highlight w:val="yellow"/>
        </w:rPr>
      </w:pPr>
    </w:p>
    <w:p w14:paraId="03CC2E4F" w14:textId="1109E9F8" w:rsidR="008B7FBF" w:rsidRPr="00AC4453" w:rsidRDefault="00736458" w:rsidP="00AB1FF1">
      <w:pPr>
        <w:pStyle w:val="3"/>
        <w:spacing w:before="0" w:after="240"/>
        <w:rPr>
          <w:color w:val="000000" w:themeColor="text1"/>
        </w:rPr>
      </w:pPr>
      <w:bookmarkStart w:id="224" w:name="_Toc120288195"/>
      <w:r>
        <w:rPr>
          <w:color w:val="000000" w:themeColor="text1"/>
        </w:rPr>
        <w:t>5.3.5</w:t>
      </w:r>
      <w:r w:rsidR="008B7FBF" w:rsidRPr="00AC4453">
        <w:rPr>
          <w:color w:val="000000" w:themeColor="text1"/>
        </w:rPr>
        <w:t>. Способ применения и дозы</w:t>
      </w:r>
      <w:bookmarkEnd w:id="221"/>
      <w:bookmarkEnd w:id="222"/>
      <w:bookmarkEnd w:id="223"/>
      <w:bookmarkEnd w:id="224"/>
    </w:p>
    <w:p w14:paraId="4DC77EDD" w14:textId="67C1248B" w:rsidR="00AC4453" w:rsidRDefault="00AC4453">
      <w:pPr>
        <w:tabs>
          <w:tab w:val="left" w:pos="8647"/>
        </w:tabs>
        <w:spacing w:after="0" w:line="240" w:lineRule="auto"/>
        <w:ind w:left="17" w:firstLine="691"/>
      </w:pPr>
      <w:bookmarkStart w:id="225" w:name="_Toc301482882"/>
      <w:bookmarkStart w:id="226" w:name="_Toc287529204"/>
      <w:bookmarkStart w:id="227" w:name="_Toc298775572"/>
      <w:r>
        <w:t>Решение о назначении лекарственного препарата должно быть принято врачом, имеющим опыт лечения заболеваний, для которых показан данный препарат.</w:t>
      </w:r>
    </w:p>
    <w:p w14:paraId="795AC77D" w14:textId="77777777" w:rsidR="00AC4453" w:rsidRDefault="00AC4453">
      <w:pPr>
        <w:tabs>
          <w:tab w:val="left" w:pos="8647"/>
        </w:tabs>
        <w:spacing w:after="0" w:line="240" w:lineRule="auto"/>
        <w:ind w:left="17" w:firstLine="691"/>
      </w:pPr>
      <w:r>
        <w:t>Внутрь.</w:t>
      </w:r>
    </w:p>
    <w:p w14:paraId="6EB32867" w14:textId="62B91403" w:rsidR="00AC4453" w:rsidRDefault="00AC4453">
      <w:pPr>
        <w:tabs>
          <w:tab w:val="left" w:pos="8647"/>
        </w:tabs>
        <w:spacing w:after="0" w:line="240" w:lineRule="auto"/>
        <w:ind w:left="17" w:firstLine="691"/>
      </w:pPr>
      <w:r>
        <w:t>Барицитиниб следует принимать один раз в сутки в любое время независимо от приема пищи.</w:t>
      </w:r>
    </w:p>
    <w:p w14:paraId="77B04464" w14:textId="77777777" w:rsidR="006A5654" w:rsidRDefault="006A5654">
      <w:pPr>
        <w:tabs>
          <w:tab w:val="left" w:pos="8647"/>
        </w:tabs>
        <w:spacing w:after="0" w:line="240" w:lineRule="auto"/>
        <w:ind w:left="17" w:firstLine="691"/>
        <w:rPr>
          <w:i/>
          <w:iCs/>
        </w:rPr>
      </w:pPr>
    </w:p>
    <w:p w14:paraId="6A21FB70" w14:textId="77777777" w:rsidR="00AC4453" w:rsidRPr="00AB1FF1" w:rsidRDefault="00AC4453" w:rsidP="0029110D">
      <w:pPr>
        <w:tabs>
          <w:tab w:val="left" w:pos="8647"/>
        </w:tabs>
        <w:spacing w:after="0" w:line="240" w:lineRule="auto"/>
        <w:rPr>
          <w:b/>
          <w:iCs/>
        </w:rPr>
      </w:pPr>
      <w:r w:rsidRPr="00AB1FF1">
        <w:rPr>
          <w:b/>
          <w:iCs/>
        </w:rPr>
        <w:t>Ревматоидный артрит</w:t>
      </w:r>
    </w:p>
    <w:p w14:paraId="1339DF19" w14:textId="77777777" w:rsidR="004D2E4C" w:rsidRDefault="004D2E4C" w:rsidP="00AC4453">
      <w:pPr>
        <w:tabs>
          <w:tab w:val="left" w:pos="8647"/>
        </w:tabs>
        <w:spacing w:after="0" w:line="240" w:lineRule="auto"/>
        <w:ind w:left="17" w:firstLine="691"/>
      </w:pPr>
    </w:p>
    <w:p w14:paraId="11DF4B78" w14:textId="2C6AAB49" w:rsidR="00AC4453" w:rsidRDefault="00AC4453" w:rsidP="00AC4453">
      <w:pPr>
        <w:tabs>
          <w:tab w:val="left" w:pos="8647"/>
        </w:tabs>
        <w:spacing w:after="0" w:line="240" w:lineRule="auto"/>
        <w:ind w:left="17" w:firstLine="691"/>
      </w:pPr>
      <w:r>
        <w:t>Рекомендуемая доза барицитиниба составляет 4 мг один раз в сутки. Доза 2 мг один раз в сутки подходит для пациентов в возрасте 75 лет и старше, а также может применяться у пациентов с хронической или рецидивирующей инфекцией в анамнезе. Можно рассматривать назначение препарата в дозе 2 мг один раз в сутки пациентам, которые достигли устойчивого контроля активности заболевания после применения препарата в дозе 4 мг один раз в сутки и которым можно рекомендовать снижение дозы.</w:t>
      </w:r>
    </w:p>
    <w:p w14:paraId="3E5EFA22" w14:textId="09DF4D2B" w:rsidR="00AC4453" w:rsidRDefault="00AC4453" w:rsidP="00AC4453">
      <w:pPr>
        <w:tabs>
          <w:tab w:val="left" w:pos="8647"/>
        </w:tabs>
        <w:spacing w:after="0" w:line="240" w:lineRule="auto"/>
        <w:ind w:left="17" w:firstLine="691"/>
      </w:pPr>
    </w:p>
    <w:p w14:paraId="5CAEC563" w14:textId="77777777" w:rsidR="00AC4453" w:rsidRPr="00AB1FF1" w:rsidRDefault="00AC4453" w:rsidP="0029110D">
      <w:pPr>
        <w:tabs>
          <w:tab w:val="left" w:pos="8647"/>
        </w:tabs>
        <w:spacing w:after="0" w:line="240" w:lineRule="auto"/>
        <w:rPr>
          <w:b/>
          <w:iCs/>
        </w:rPr>
      </w:pPr>
      <w:r w:rsidRPr="00AB1FF1">
        <w:rPr>
          <w:b/>
          <w:iCs/>
        </w:rPr>
        <w:t>Атопический дерматит</w:t>
      </w:r>
    </w:p>
    <w:p w14:paraId="707A8143" w14:textId="77777777" w:rsidR="004D2E4C" w:rsidRDefault="004D2E4C" w:rsidP="00AC4453">
      <w:pPr>
        <w:tabs>
          <w:tab w:val="left" w:pos="8647"/>
        </w:tabs>
        <w:spacing w:after="0" w:line="240" w:lineRule="auto"/>
        <w:ind w:left="17" w:firstLine="691"/>
      </w:pPr>
    </w:p>
    <w:p w14:paraId="2054923D" w14:textId="1A5CAD8C" w:rsidR="00AC4453" w:rsidRDefault="00AC4453" w:rsidP="00AC4453">
      <w:pPr>
        <w:tabs>
          <w:tab w:val="left" w:pos="8647"/>
        </w:tabs>
        <w:spacing w:after="0" w:line="240" w:lineRule="auto"/>
        <w:ind w:left="17" w:firstLine="691"/>
      </w:pPr>
      <w:r>
        <w:t xml:space="preserve">Рекомендуемая доза барицитиниба составляет 4 мг один раз в сутки. Доза 2 мг один раз в сутки подходит для пациентов в возрасте 75 лет и старше, а также может применяться у пациентов с хронической или рецидивирующей инфекцией в анамнезе. Следует рассмотреть назначение препарата в дозе 2 мг один раз в сутки пациентам, </w:t>
      </w:r>
      <w:r>
        <w:lastRenderedPageBreak/>
        <w:t>которые достигли устойчивого контроля активности заболевания после применения препарата в дозе 4 мг один раз в сутки и которым можно рекомендовать снижение дозы.</w:t>
      </w:r>
    </w:p>
    <w:p w14:paraId="6F23D282" w14:textId="7ADD0A8B" w:rsidR="00AC4453" w:rsidRDefault="00AC4453" w:rsidP="00AC4453">
      <w:pPr>
        <w:tabs>
          <w:tab w:val="left" w:pos="8647"/>
        </w:tabs>
        <w:spacing w:after="0" w:line="240" w:lineRule="auto"/>
        <w:ind w:left="17" w:firstLine="691"/>
      </w:pPr>
      <w:r>
        <w:t xml:space="preserve">Барицитиниб может назначаться в монотерапии или в комбинации с глюкокортикостероидами для местного применения. Совместное применение с глюкокортикостероидами для местного применения может повышать эффективность барицитиниба </w:t>
      </w:r>
    </w:p>
    <w:p w14:paraId="134747BB" w14:textId="420A4934" w:rsidR="00AC4453" w:rsidRDefault="00AC4453" w:rsidP="00AC4453">
      <w:pPr>
        <w:tabs>
          <w:tab w:val="left" w:pos="8647"/>
        </w:tabs>
        <w:spacing w:after="0" w:line="240" w:lineRule="auto"/>
        <w:ind w:left="17" w:firstLine="691"/>
      </w:pPr>
      <w:r>
        <w:t>В наиболее чувствительных зонах, таких как лицо, шея, интертригинозные области (сгибы суставов, кожные складки) и область гениталий также можно использовать ингибиторы кальциневрина для местного применения. В случае, если у пациента нет улучшения через 8 недель после начала лечения, следует рассмотреть вопрос о прекращении терапии.</w:t>
      </w:r>
    </w:p>
    <w:p w14:paraId="1FA72B75" w14:textId="77777777" w:rsidR="00AC4453" w:rsidRDefault="00AC4453" w:rsidP="00AC4453">
      <w:pPr>
        <w:tabs>
          <w:tab w:val="left" w:pos="8647"/>
        </w:tabs>
        <w:spacing w:after="0" w:line="240" w:lineRule="auto"/>
        <w:ind w:left="17" w:firstLine="691"/>
      </w:pPr>
    </w:p>
    <w:p w14:paraId="309786CF" w14:textId="77777777" w:rsidR="00AC4453" w:rsidRPr="00AB1FF1" w:rsidRDefault="00AC4453" w:rsidP="0029110D">
      <w:pPr>
        <w:tabs>
          <w:tab w:val="left" w:pos="8647"/>
        </w:tabs>
        <w:spacing w:after="0" w:line="240" w:lineRule="auto"/>
        <w:rPr>
          <w:b/>
          <w:iCs/>
        </w:rPr>
      </w:pPr>
      <w:r w:rsidRPr="00AB1FF1">
        <w:rPr>
          <w:b/>
          <w:iCs/>
        </w:rPr>
        <w:t>Очаговая алопеция</w:t>
      </w:r>
    </w:p>
    <w:p w14:paraId="62E6EAA6" w14:textId="77777777" w:rsidR="004D2E4C" w:rsidRDefault="004D2E4C" w:rsidP="00AC4453">
      <w:pPr>
        <w:tabs>
          <w:tab w:val="left" w:pos="8647"/>
        </w:tabs>
        <w:spacing w:after="0" w:line="240" w:lineRule="auto"/>
        <w:ind w:left="17" w:firstLine="691"/>
      </w:pPr>
    </w:p>
    <w:p w14:paraId="3CE8C592" w14:textId="0E5EB8DF" w:rsidR="00AC4453" w:rsidRDefault="00AC4453" w:rsidP="00AC4453">
      <w:pPr>
        <w:tabs>
          <w:tab w:val="left" w:pos="8647"/>
        </w:tabs>
        <w:spacing w:after="0" w:line="240" w:lineRule="auto"/>
        <w:ind w:left="17" w:firstLine="691"/>
      </w:pPr>
      <w:r>
        <w:t>Рекомендуемая доза барицитиниба составляет 4 мг один раз в сутки. Доза 2 мг один раз в сутки может быть рекомендована для пациентов в возрасте 75 лет и старше и пациентов с хроническими или рецидивирующими инфекциями. Доза 2 мг один раз в день также может быть рекомендована для пациентов, которые достигли устойчивого контроля активности заболевания с помощью 4 мг один раз в сутки, и в данном случае возможно снижение дозы. После достижения устойчивого ответа рекомендуется продолжать лечение в течение как минимум нескольких месяцев, чтобы избежать рецидива. Необходимо регулярно проводить повторную оценку соотношения пользы и риска лечения через регулярные промежутки времени. Следует рассмотреть вопрос о прекращении лечения пациентов, у которых нет признаков терапевтического эффекта после 36 недель лечения.</w:t>
      </w:r>
    </w:p>
    <w:p w14:paraId="60E74B46" w14:textId="77777777" w:rsidR="004D2E4C" w:rsidRDefault="004D2E4C" w:rsidP="00AB1FF1">
      <w:pPr>
        <w:tabs>
          <w:tab w:val="left" w:pos="8647"/>
        </w:tabs>
        <w:spacing w:after="0" w:line="240" w:lineRule="auto"/>
        <w:ind w:left="17"/>
      </w:pPr>
    </w:p>
    <w:p w14:paraId="48F045F5" w14:textId="4DCD8236" w:rsidR="00AC4453" w:rsidRPr="00AB1FF1" w:rsidRDefault="00736458" w:rsidP="00AB1FF1">
      <w:pPr>
        <w:tabs>
          <w:tab w:val="left" w:pos="8647"/>
        </w:tabs>
        <w:spacing w:after="0" w:line="240" w:lineRule="auto"/>
        <w:ind w:left="17"/>
        <w:rPr>
          <w:b/>
          <w:iCs/>
        </w:rPr>
      </w:pPr>
      <w:r w:rsidRPr="00AB1FF1">
        <w:rPr>
          <w:b/>
          <w:iCs/>
        </w:rPr>
        <w:t>Новая коронавирусная инфекция (</w:t>
      </w:r>
      <w:r w:rsidR="00AC4453" w:rsidRPr="00AB1FF1">
        <w:rPr>
          <w:b/>
          <w:iCs/>
          <w:lang w:val="en-US"/>
        </w:rPr>
        <w:t>COVID</w:t>
      </w:r>
      <w:r w:rsidRPr="00AB1FF1">
        <w:rPr>
          <w:b/>
          <w:iCs/>
        </w:rPr>
        <w:t>-1</w:t>
      </w:r>
      <w:r w:rsidR="004D2E4C" w:rsidRPr="0029110D">
        <w:rPr>
          <w:b/>
          <w:iCs/>
        </w:rPr>
        <w:t>9</w:t>
      </w:r>
      <w:r w:rsidRPr="00AB1FF1">
        <w:rPr>
          <w:b/>
          <w:iCs/>
        </w:rPr>
        <w:t>)</w:t>
      </w:r>
    </w:p>
    <w:p w14:paraId="571CEB5C" w14:textId="77777777" w:rsidR="004D2E4C" w:rsidRDefault="004D2E4C" w:rsidP="00AC4453">
      <w:pPr>
        <w:tabs>
          <w:tab w:val="left" w:pos="8647"/>
        </w:tabs>
        <w:spacing w:after="0" w:line="240" w:lineRule="auto"/>
        <w:ind w:left="17" w:firstLine="691"/>
      </w:pPr>
    </w:p>
    <w:p w14:paraId="44B8B2A0" w14:textId="2F1F195E" w:rsidR="00AC4453" w:rsidRDefault="00AC4453" w:rsidP="00AC4453">
      <w:pPr>
        <w:tabs>
          <w:tab w:val="left" w:pos="8647"/>
        </w:tabs>
        <w:spacing w:after="0" w:line="240" w:lineRule="auto"/>
        <w:ind w:left="17" w:firstLine="691"/>
      </w:pPr>
      <w:r>
        <w:t>Барицитиниб применяется в комбинации с ремдесивиром.</w:t>
      </w:r>
    </w:p>
    <w:p w14:paraId="7CAD1A8F" w14:textId="4C7D5D90" w:rsidR="00AC4453" w:rsidRDefault="00AC4453" w:rsidP="00AC4453">
      <w:pPr>
        <w:tabs>
          <w:tab w:val="left" w:pos="8647"/>
        </w:tabs>
        <w:spacing w:after="0" w:line="240" w:lineRule="auto"/>
        <w:ind w:left="17" w:firstLine="691"/>
      </w:pPr>
      <w:r>
        <w:t>Рекомендуемая доза барицитиниба составляет 4 мг один раз в сутки не более 14 дней, либо до выписки из стационара, в зависимости от того, что случится раньше. Если нет противопоказаний, рекомендуется проводить профилактику венозной тромбоэмболии.</w:t>
      </w:r>
    </w:p>
    <w:p w14:paraId="115BCC37" w14:textId="77777777" w:rsidR="00AC4453" w:rsidRDefault="00AC4453" w:rsidP="00AC4453">
      <w:pPr>
        <w:tabs>
          <w:tab w:val="left" w:pos="8647"/>
        </w:tabs>
        <w:spacing w:after="0" w:line="240" w:lineRule="auto"/>
        <w:ind w:left="17" w:firstLine="691"/>
      </w:pPr>
    </w:p>
    <w:p w14:paraId="77888D52" w14:textId="17C6A0BF" w:rsidR="003670E9" w:rsidRPr="00AC4453" w:rsidRDefault="00736458" w:rsidP="007D730B">
      <w:pPr>
        <w:pStyle w:val="3"/>
        <w:rPr>
          <w:lang w:bidi="ru-RU"/>
        </w:rPr>
      </w:pPr>
      <w:bookmarkStart w:id="228" w:name="_Toc120288196"/>
      <w:r w:rsidRPr="00736458">
        <w:rPr>
          <w:color w:val="000000" w:themeColor="text1"/>
        </w:rPr>
        <w:t>5.3.6.</w:t>
      </w:r>
      <w:r>
        <w:rPr>
          <w:color w:val="000000" w:themeColor="text1"/>
        </w:rPr>
        <w:t xml:space="preserve"> </w:t>
      </w:r>
      <w:r w:rsidR="002002E8" w:rsidRPr="00AC4453">
        <w:rPr>
          <w:lang w:eastAsia="ru-RU" w:bidi="ru-RU"/>
        </w:rPr>
        <w:t>Применение у особых групп пациентов</w:t>
      </w:r>
      <w:bookmarkEnd w:id="228"/>
    </w:p>
    <w:p w14:paraId="3E2652B6" w14:textId="77777777" w:rsidR="003670E9" w:rsidRPr="002B7989" w:rsidRDefault="003670E9" w:rsidP="00BA2D96">
      <w:pPr>
        <w:pStyle w:val="ab"/>
        <w:shd w:val="clear" w:color="auto" w:fill="FFFFFF"/>
        <w:tabs>
          <w:tab w:val="left" w:pos="8647"/>
        </w:tabs>
        <w:spacing w:before="0" w:beforeAutospacing="0" w:after="0" w:afterAutospacing="0"/>
        <w:jc w:val="both"/>
        <w:rPr>
          <w:b/>
          <w:i/>
          <w:color w:val="000000" w:themeColor="text1"/>
          <w:highlight w:val="yellow"/>
        </w:rPr>
      </w:pPr>
    </w:p>
    <w:p w14:paraId="7116DC8D" w14:textId="493FA7AA" w:rsidR="006A5654" w:rsidRPr="00AB1FF1" w:rsidRDefault="003670E9" w:rsidP="00736458">
      <w:pPr>
        <w:pStyle w:val="ab"/>
        <w:shd w:val="clear" w:color="auto" w:fill="FFFFFF"/>
        <w:tabs>
          <w:tab w:val="left" w:pos="8647"/>
        </w:tabs>
        <w:spacing w:before="0" w:beforeAutospacing="0" w:after="0" w:afterAutospacing="0"/>
        <w:jc w:val="both"/>
        <w:rPr>
          <w:b/>
          <w:color w:val="000000" w:themeColor="text1"/>
        </w:rPr>
      </w:pPr>
      <w:r w:rsidRPr="00AB1FF1">
        <w:rPr>
          <w:b/>
          <w:color w:val="000000" w:themeColor="text1"/>
        </w:rPr>
        <w:t>Паци</w:t>
      </w:r>
      <w:r w:rsidR="00736458" w:rsidRPr="00AB1FF1">
        <w:rPr>
          <w:b/>
          <w:color w:val="000000" w:themeColor="text1"/>
        </w:rPr>
        <w:t>енты с нарушением функции почек</w:t>
      </w:r>
    </w:p>
    <w:p w14:paraId="5471EC4A" w14:textId="77777777" w:rsidR="004D2E4C" w:rsidRDefault="004D2E4C" w:rsidP="00907F84">
      <w:pPr>
        <w:tabs>
          <w:tab w:val="left" w:pos="8647"/>
        </w:tabs>
        <w:spacing w:after="0" w:line="240" w:lineRule="auto"/>
        <w:ind w:left="17" w:firstLine="692"/>
        <w:rPr>
          <w:i/>
          <w:iCs/>
        </w:rPr>
      </w:pPr>
    </w:p>
    <w:p w14:paraId="1F532631" w14:textId="2CEB2833" w:rsidR="00907F84" w:rsidRPr="00AB1FF1" w:rsidRDefault="00907F84" w:rsidP="0029110D">
      <w:pPr>
        <w:tabs>
          <w:tab w:val="left" w:pos="8647"/>
        </w:tabs>
        <w:spacing w:after="0" w:line="240" w:lineRule="auto"/>
        <w:rPr>
          <w:b/>
          <w:i/>
          <w:iCs/>
        </w:rPr>
      </w:pPr>
      <w:r w:rsidRPr="00AB1FF1">
        <w:rPr>
          <w:b/>
          <w:i/>
          <w:iCs/>
        </w:rPr>
        <w:t>Ревматоидный артрит, атопический дерматит и очаговая алопеция</w:t>
      </w:r>
    </w:p>
    <w:p w14:paraId="1EF667CD" w14:textId="0F0B5B7A" w:rsidR="00907F84" w:rsidRDefault="00907F84" w:rsidP="00907F84">
      <w:pPr>
        <w:tabs>
          <w:tab w:val="left" w:pos="8647"/>
        </w:tabs>
        <w:spacing w:after="0" w:line="240" w:lineRule="auto"/>
        <w:ind w:left="17" w:firstLine="692"/>
      </w:pPr>
      <w:r>
        <w:t>У пациентов с клиренсом креатинина от 30 до 60 мл/мин рекомендуемая доза препарата составляет 2 мг один раз в сутки. Пациентам с клиренсом креатинина менее 30 мл/мин (почечная недостаточность тяжелой степени) применение барицитиниба противопоказано.</w:t>
      </w:r>
    </w:p>
    <w:p w14:paraId="41C12219" w14:textId="77777777" w:rsidR="00907F84" w:rsidRDefault="00907F84" w:rsidP="00907F84">
      <w:pPr>
        <w:tabs>
          <w:tab w:val="left" w:pos="8647"/>
        </w:tabs>
        <w:spacing w:after="0" w:line="240" w:lineRule="auto"/>
        <w:ind w:left="17" w:firstLine="692"/>
      </w:pPr>
    </w:p>
    <w:p w14:paraId="672BD713" w14:textId="77777777" w:rsidR="00907F84" w:rsidRPr="00AB1FF1" w:rsidRDefault="00907F84" w:rsidP="0029110D">
      <w:pPr>
        <w:tabs>
          <w:tab w:val="left" w:pos="8647"/>
        </w:tabs>
        <w:spacing w:after="0" w:line="240" w:lineRule="auto"/>
        <w:rPr>
          <w:b/>
          <w:i/>
          <w:iCs/>
        </w:rPr>
      </w:pPr>
      <w:r w:rsidRPr="00AB1FF1">
        <w:rPr>
          <w:b/>
          <w:i/>
          <w:iCs/>
          <w:lang w:val="en-US"/>
        </w:rPr>
        <w:t>COVID</w:t>
      </w:r>
      <w:r w:rsidRPr="00AB1FF1">
        <w:rPr>
          <w:b/>
          <w:i/>
          <w:iCs/>
        </w:rPr>
        <w:t>-19</w:t>
      </w:r>
    </w:p>
    <w:p w14:paraId="346D4AB1" w14:textId="2960927B" w:rsidR="003670E9" w:rsidRPr="002B7989" w:rsidRDefault="00907F84" w:rsidP="00907F84">
      <w:pPr>
        <w:tabs>
          <w:tab w:val="left" w:pos="8647"/>
        </w:tabs>
        <w:spacing w:after="0" w:line="240" w:lineRule="auto"/>
        <w:ind w:left="17" w:firstLine="692"/>
        <w:rPr>
          <w:b/>
          <w:i/>
          <w:highlight w:val="yellow"/>
        </w:rPr>
      </w:pPr>
      <w:r>
        <w:t>У пациентов с клиренсом креатинина от 30 до 60 мл/мин рекомендуемая доза препарата составляет 2 мг один раз в сутки. У пациентов с СКФ от 15 до 30 мл/мин/1,73 м</w:t>
      </w:r>
      <w:r>
        <w:rPr>
          <w:vertAlign w:val="superscript"/>
        </w:rPr>
        <w:t>2</w:t>
      </w:r>
      <w:r>
        <w:t xml:space="preserve"> рекомендуемая доза препарата составляет 2 мг каждые 48 часов. Перед началом </w:t>
      </w:r>
      <w:r>
        <w:lastRenderedPageBreak/>
        <w:t>применения барицитиниба у пациентов с СКФ от 15 до 30 мл/мин/1,73 м</w:t>
      </w:r>
      <w:r>
        <w:rPr>
          <w:vertAlign w:val="superscript"/>
        </w:rPr>
        <w:t>2</w:t>
      </w:r>
      <w:r>
        <w:t xml:space="preserve"> следует оценить соотношение потенциальной пользы к возможному риску. Пациентам с СКФ менее 15 мл/мин/1,73 м</w:t>
      </w:r>
      <w:r>
        <w:rPr>
          <w:vertAlign w:val="superscript"/>
        </w:rPr>
        <w:t>2</w:t>
      </w:r>
      <w:r>
        <w:t xml:space="preserve"> (терминальная стадия почечной недостаточности) применение барицитиниба противопоказано.</w:t>
      </w:r>
    </w:p>
    <w:p w14:paraId="31E3654F" w14:textId="77777777" w:rsidR="00BC7E97" w:rsidRPr="002B7989" w:rsidRDefault="00BC7E97" w:rsidP="00BA2D96">
      <w:pPr>
        <w:pStyle w:val="ab"/>
        <w:shd w:val="clear" w:color="auto" w:fill="FFFFFF"/>
        <w:tabs>
          <w:tab w:val="left" w:pos="8647"/>
        </w:tabs>
        <w:spacing w:before="0" w:beforeAutospacing="0" w:after="0" w:afterAutospacing="0"/>
        <w:jc w:val="both"/>
        <w:rPr>
          <w:b/>
          <w:i/>
          <w:color w:val="000000" w:themeColor="text1"/>
          <w:highlight w:val="yellow"/>
        </w:rPr>
      </w:pPr>
    </w:p>
    <w:p w14:paraId="0C398854" w14:textId="262699B4" w:rsidR="005F297D" w:rsidRPr="00AB1FF1" w:rsidRDefault="005F297D" w:rsidP="00BA2D96">
      <w:pPr>
        <w:pStyle w:val="ab"/>
        <w:shd w:val="clear" w:color="auto" w:fill="FFFFFF"/>
        <w:tabs>
          <w:tab w:val="left" w:pos="8647"/>
        </w:tabs>
        <w:spacing w:before="0" w:beforeAutospacing="0" w:after="0" w:afterAutospacing="0"/>
        <w:jc w:val="both"/>
        <w:rPr>
          <w:b/>
          <w:color w:val="000000" w:themeColor="text1"/>
        </w:rPr>
      </w:pPr>
      <w:r w:rsidRPr="00AB1FF1">
        <w:rPr>
          <w:b/>
          <w:color w:val="000000" w:themeColor="text1"/>
        </w:rPr>
        <w:t>Пациенты с нарушением функции печени</w:t>
      </w:r>
    </w:p>
    <w:p w14:paraId="752E9E16" w14:textId="77777777" w:rsidR="002150D3" w:rsidRDefault="002150D3" w:rsidP="00907F84">
      <w:pPr>
        <w:widowControl w:val="0"/>
        <w:tabs>
          <w:tab w:val="left" w:pos="8647"/>
        </w:tabs>
        <w:spacing w:after="0" w:line="240" w:lineRule="auto"/>
        <w:ind w:firstLine="709"/>
      </w:pPr>
    </w:p>
    <w:p w14:paraId="29A0C170" w14:textId="58F61FCB" w:rsidR="00907F84" w:rsidRDefault="00907F84" w:rsidP="00907F84">
      <w:pPr>
        <w:widowControl w:val="0"/>
        <w:tabs>
          <w:tab w:val="left" w:pos="8647"/>
        </w:tabs>
        <w:spacing w:after="0" w:line="240" w:lineRule="auto"/>
        <w:ind w:firstLine="709"/>
      </w:pPr>
      <w:r>
        <w:t>У пациентов с легкой или умеренной печеночной недостаточностью коррекции дозы не требуется.</w:t>
      </w:r>
    </w:p>
    <w:p w14:paraId="403CA1C5" w14:textId="77777777" w:rsidR="006A5654" w:rsidRDefault="006A5654" w:rsidP="00907F84">
      <w:pPr>
        <w:widowControl w:val="0"/>
        <w:tabs>
          <w:tab w:val="left" w:pos="8647"/>
        </w:tabs>
        <w:spacing w:after="0" w:line="240" w:lineRule="auto"/>
        <w:ind w:firstLine="709"/>
        <w:rPr>
          <w:i/>
          <w:iCs/>
        </w:rPr>
      </w:pPr>
    </w:p>
    <w:p w14:paraId="1729A980" w14:textId="77777777" w:rsidR="00907F84" w:rsidRPr="00AB1FF1" w:rsidRDefault="00907F84" w:rsidP="0029110D">
      <w:pPr>
        <w:widowControl w:val="0"/>
        <w:tabs>
          <w:tab w:val="left" w:pos="8647"/>
        </w:tabs>
        <w:spacing w:after="0" w:line="240" w:lineRule="auto"/>
        <w:rPr>
          <w:b/>
          <w:i/>
          <w:iCs/>
        </w:rPr>
      </w:pPr>
      <w:r w:rsidRPr="00AB1FF1">
        <w:rPr>
          <w:b/>
          <w:i/>
          <w:iCs/>
        </w:rPr>
        <w:t>Ревматоидный артрит, атопический дерматит и очаговая алопеция</w:t>
      </w:r>
    </w:p>
    <w:p w14:paraId="4E40559F" w14:textId="504EC080" w:rsidR="00907F84" w:rsidRDefault="00907F84" w:rsidP="00907F84">
      <w:pPr>
        <w:widowControl w:val="0"/>
        <w:tabs>
          <w:tab w:val="left" w:pos="8647"/>
        </w:tabs>
        <w:spacing w:after="0" w:line="240" w:lineRule="auto"/>
        <w:ind w:firstLine="709"/>
      </w:pPr>
      <w:r>
        <w:t xml:space="preserve">Пациентам с тяжелой печеночной недостаточностью применение барицитиниба противопоказано. </w:t>
      </w:r>
    </w:p>
    <w:p w14:paraId="783BC6B0" w14:textId="77777777" w:rsidR="00907F84" w:rsidRDefault="00907F84" w:rsidP="00907F84">
      <w:pPr>
        <w:widowControl w:val="0"/>
        <w:tabs>
          <w:tab w:val="left" w:pos="8647"/>
        </w:tabs>
        <w:spacing w:after="0" w:line="240" w:lineRule="auto"/>
        <w:ind w:firstLine="709"/>
      </w:pPr>
    </w:p>
    <w:p w14:paraId="1188FA97" w14:textId="77777777" w:rsidR="00907F84" w:rsidRPr="00AB1FF1" w:rsidRDefault="00907F84" w:rsidP="0029110D">
      <w:pPr>
        <w:tabs>
          <w:tab w:val="left" w:pos="8647"/>
        </w:tabs>
        <w:spacing w:after="0" w:line="240" w:lineRule="auto"/>
        <w:rPr>
          <w:b/>
          <w:i/>
          <w:iCs/>
        </w:rPr>
      </w:pPr>
      <w:r w:rsidRPr="00AB1FF1">
        <w:rPr>
          <w:b/>
          <w:i/>
          <w:iCs/>
          <w:lang w:val="en-US"/>
        </w:rPr>
        <w:t>COVID</w:t>
      </w:r>
      <w:r w:rsidRPr="00AB1FF1">
        <w:rPr>
          <w:b/>
          <w:i/>
          <w:iCs/>
        </w:rPr>
        <w:t>-19</w:t>
      </w:r>
    </w:p>
    <w:p w14:paraId="6964091C" w14:textId="1D2C919C" w:rsidR="003670E9" w:rsidRPr="002B7989" w:rsidRDefault="00907F84" w:rsidP="00907F84">
      <w:pPr>
        <w:widowControl w:val="0"/>
        <w:tabs>
          <w:tab w:val="left" w:pos="8647"/>
        </w:tabs>
        <w:spacing w:after="0" w:line="240" w:lineRule="auto"/>
        <w:ind w:firstLine="709"/>
        <w:rPr>
          <w:b/>
          <w:i/>
          <w:highlight w:val="yellow"/>
        </w:rPr>
      </w:pPr>
      <w:r>
        <w:t>У пациентов с тяжелой печеночной недостаточностью применение барицитиниба не изучалось.</w:t>
      </w:r>
    </w:p>
    <w:p w14:paraId="16D3807E" w14:textId="77777777" w:rsidR="00BC7E97" w:rsidRPr="002B7989" w:rsidRDefault="00BC7E97" w:rsidP="00BA2D96">
      <w:pPr>
        <w:widowControl w:val="0"/>
        <w:tabs>
          <w:tab w:val="left" w:pos="8647"/>
        </w:tabs>
        <w:spacing w:after="0" w:line="240" w:lineRule="auto"/>
        <w:rPr>
          <w:b/>
          <w:i/>
          <w:highlight w:val="yellow"/>
        </w:rPr>
      </w:pPr>
    </w:p>
    <w:p w14:paraId="15181333" w14:textId="5150D302" w:rsidR="006A5654" w:rsidRPr="00AB1FF1" w:rsidRDefault="005F297D" w:rsidP="000F44CE">
      <w:pPr>
        <w:widowControl w:val="0"/>
        <w:tabs>
          <w:tab w:val="left" w:pos="8647"/>
        </w:tabs>
        <w:spacing w:after="0" w:line="240" w:lineRule="auto"/>
        <w:rPr>
          <w:b/>
        </w:rPr>
      </w:pPr>
      <w:r w:rsidRPr="00AB1FF1">
        <w:rPr>
          <w:b/>
        </w:rPr>
        <w:t>Пожилые пациенты</w:t>
      </w:r>
    </w:p>
    <w:p w14:paraId="15C9CD75" w14:textId="77777777" w:rsidR="002150D3" w:rsidRDefault="002150D3" w:rsidP="00907F84">
      <w:pPr>
        <w:tabs>
          <w:tab w:val="left" w:pos="8647"/>
        </w:tabs>
        <w:autoSpaceDE w:val="0"/>
        <w:autoSpaceDN w:val="0"/>
        <w:adjustRightInd w:val="0"/>
        <w:spacing w:after="0" w:line="240" w:lineRule="auto"/>
        <w:ind w:firstLine="708"/>
        <w:rPr>
          <w:i/>
          <w:lang w:eastAsia="en-US"/>
        </w:rPr>
      </w:pPr>
    </w:p>
    <w:p w14:paraId="57F7A3CD" w14:textId="3BD5D7EF" w:rsidR="00907F84" w:rsidRPr="00AB1FF1" w:rsidRDefault="00907F84" w:rsidP="0029110D">
      <w:pPr>
        <w:tabs>
          <w:tab w:val="left" w:pos="8647"/>
        </w:tabs>
        <w:autoSpaceDE w:val="0"/>
        <w:autoSpaceDN w:val="0"/>
        <w:adjustRightInd w:val="0"/>
        <w:spacing w:after="0" w:line="240" w:lineRule="auto"/>
        <w:rPr>
          <w:b/>
          <w:i/>
          <w:lang w:eastAsia="en-US"/>
        </w:rPr>
      </w:pPr>
      <w:r w:rsidRPr="00AB1FF1">
        <w:rPr>
          <w:b/>
          <w:i/>
          <w:lang w:eastAsia="en-US"/>
        </w:rPr>
        <w:t>Ревматоидный артрит, атопический дерматит и очаговая алопеция</w:t>
      </w:r>
    </w:p>
    <w:p w14:paraId="358D0F9C" w14:textId="51AC1B50" w:rsidR="00907F84" w:rsidRPr="00907F84" w:rsidRDefault="00907F84" w:rsidP="00907F84">
      <w:pPr>
        <w:tabs>
          <w:tab w:val="left" w:pos="8647"/>
        </w:tabs>
        <w:autoSpaceDE w:val="0"/>
        <w:autoSpaceDN w:val="0"/>
        <w:adjustRightInd w:val="0"/>
        <w:spacing w:after="0" w:line="240" w:lineRule="auto"/>
        <w:ind w:firstLine="708"/>
        <w:rPr>
          <w:iCs/>
          <w:lang w:eastAsia="en-US"/>
        </w:rPr>
      </w:pPr>
      <w:r w:rsidRPr="00907F84">
        <w:rPr>
          <w:iCs/>
          <w:lang w:eastAsia="en-US"/>
        </w:rPr>
        <w:t>Клинический опыт применения барицитиниба у пациентов в возрасте 75 лет и старше</w:t>
      </w:r>
      <w:r>
        <w:rPr>
          <w:iCs/>
          <w:lang w:eastAsia="en-US"/>
        </w:rPr>
        <w:t xml:space="preserve"> </w:t>
      </w:r>
      <w:r w:rsidRPr="00907F84">
        <w:rPr>
          <w:iCs/>
          <w:lang w:eastAsia="en-US"/>
        </w:rPr>
        <w:t>ограничен, поэтому рекомендуемая стартовая доза у пациентов из данной группы</w:t>
      </w:r>
      <w:r>
        <w:rPr>
          <w:iCs/>
          <w:lang w:eastAsia="en-US"/>
        </w:rPr>
        <w:t xml:space="preserve"> </w:t>
      </w:r>
      <w:r w:rsidRPr="00907F84">
        <w:rPr>
          <w:iCs/>
          <w:lang w:eastAsia="en-US"/>
        </w:rPr>
        <w:t>составляет 2 мг.</w:t>
      </w:r>
    </w:p>
    <w:p w14:paraId="57A5364F" w14:textId="77777777" w:rsidR="006A5654" w:rsidRDefault="006A5654" w:rsidP="00907F84">
      <w:pPr>
        <w:tabs>
          <w:tab w:val="left" w:pos="8647"/>
        </w:tabs>
        <w:spacing w:after="0" w:line="240" w:lineRule="auto"/>
        <w:ind w:left="17" w:firstLine="691"/>
        <w:rPr>
          <w:i/>
          <w:iCs/>
        </w:rPr>
      </w:pPr>
    </w:p>
    <w:p w14:paraId="61162125" w14:textId="77777777" w:rsidR="00907F84" w:rsidRPr="00AB1FF1" w:rsidRDefault="00907F84" w:rsidP="0029110D">
      <w:pPr>
        <w:tabs>
          <w:tab w:val="left" w:pos="8647"/>
        </w:tabs>
        <w:spacing w:after="0" w:line="240" w:lineRule="auto"/>
        <w:rPr>
          <w:b/>
          <w:i/>
          <w:iCs/>
        </w:rPr>
      </w:pPr>
      <w:r w:rsidRPr="00AB1FF1">
        <w:rPr>
          <w:b/>
          <w:i/>
          <w:iCs/>
          <w:lang w:val="en-US"/>
        </w:rPr>
        <w:t>COVID</w:t>
      </w:r>
      <w:r w:rsidRPr="00AB1FF1">
        <w:rPr>
          <w:b/>
          <w:i/>
          <w:iCs/>
        </w:rPr>
        <w:t>-19</w:t>
      </w:r>
    </w:p>
    <w:p w14:paraId="7064F669" w14:textId="2902825A" w:rsidR="00C96D04" w:rsidRPr="002B7989" w:rsidRDefault="00907F84" w:rsidP="00907F84">
      <w:pPr>
        <w:tabs>
          <w:tab w:val="left" w:pos="8647"/>
        </w:tabs>
        <w:autoSpaceDE w:val="0"/>
        <w:autoSpaceDN w:val="0"/>
        <w:adjustRightInd w:val="0"/>
        <w:spacing w:after="0" w:line="240" w:lineRule="auto"/>
        <w:ind w:firstLine="708"/>
        <w:rPr>
          <w:iCs/>
          <w:highlight w:val="yellow"/>
          <w:lang w:eastAsia="en-US"/>
        </w:rPr>
      </w:pPr>
      <w:r w:rsidRPr="00907F84">
        <w:rPr>
          <w:iCs/>
          <w:lang w:eastAsia="en-US"/>
        </w:rPr>
        <w:t>У пациентов старше 75 лет коррекции дозы не требуется.</w:t>
      </w:r>
    </w:p>
    <w:p w14:paraId="18F1C909" w14:textId="77777777" w:rsidR="005F297D" w:rsidRPr="002B7989" w:rsidRDefault="005F297D" w:rsidP="00BA2D96">
      <w:pPr>
        <w:pStyle w:val="ab"/>
        <w:shd w:val="clear" w:color="auto" w:fill="FFFFFF"/>
        <w:tabs>
          <w:tab w:val="left" w:pos="8647"/>
        </w:tabs>
        <w:spacing w:before="0" w:beforeAutospacing="0" w:after="0" w:afterAutospacing="0"/>
        <w:jc w:val="both"/>
        <w:rPr>
          <w:b/>
          <w:color w:val="000000" w:themeColor="text1"/>
          <w:highlight w:val="yellow"/>
        </w:rPr>
      </w:pPr>
    </w:p>
    <w:p w14:paraId="0103A5AF" w14:textId="64C63570" w:rsidR="005F297D" w:rsidRDefault="000F44CE" w:rsidP="00BA2D96">
      <w:pPr>
        <w:pStyle w:val="ab"/>
        <w:shd w:val="clear" w:color="auto" w:fill="FFFFFF"/>
        <w:tabs>
          <w:tab w:val="left" w:pos="8647"/>
        </w:tabs>
        <w:spacing w:before="0" w:beforeAutospacing="0" w:after="0" w:afterAutospacing="0"/>
        <w:jc w:val="both"/>
        <w:rPr>
          <w:b/>
          <w:color w:val="000000" w:themeColor="text1"/>
        </w:rPr>
      </w:pPr>
      <w:r>
        <w:rPr>
          <w:b/>
          <w:color w:val="000000" w:themeColor="text1"/>
        </w:rPr>
        <w:t>Дети</w:t>
      </w:r>
    </w:p>
    <w:p w14:paraId="23405718" w14:textId="77777777" w:rsidR="002150D3" w:rsidRPr="000F44CE" w:rsidRDefault="002150D3" w:rsidP="0029110D">
      <w:pPr>
        <w:pStyle w:val="ab"/>
        <w:shd w:val="clear" w:color="auto" w:fill="FFFFFF"/>
        <w:tabs>
          <w:tab w:val="left" w:pos="8647"/>
        </w:tabs>
        <w:spacing w:before="0" w:beforeAutospacing="0" w:after="0" w:afterAutospacing="0"/>
        <w:ind w:left="17"/>
        <w:jc w:val="both"/>
        <w:rPr>
          <w:b/>
          <w:color w:val="000000" w:themeColor="text1"/>
        </w:rPr>
      </w:pPr>
    </w:p>
    <w:p w14:paraId="04E642F7" w14:textId="77777777" w:rsidR="00907F84" w:rsidRPr="00AB1FF1" w:rsidRDefault="00907F84" w:rsidP="0029110D">
      <w:pPr>
        <w:tabs>
          <w:tab w:val="left" w:pos="8647"/>
        </w:tabs>
        <w:spacing w:after="0" w:line="240" w:lineRule="auto"/>
        <w:ind w:left="17"/>
        <w:rPr>
          <w:b/>
          <w:i/>
        </w:rPr>
      </w:pPr>
      <w:r w:rsidRPr="00AB1FF1">
        <w:rPr>
          <w:b/>
          <w:i/>
          <w:lang w:eastAsia="en-US"/>
        </w:rPr>
        <w:t xml:space="preserve">Ревматоидный артрит, атопический дерматит, очаговая алопеция и </w:t>
      </w:r>
      <w:r w:rsidRPr="00AB1FF1">
        <w:rPr>
          <w:b/>
          <w:i/>
          <w:lang w:val="en-US"/>
        </w:rPr>
        <w:t>COVID</w:t>
      </w:r>
      <w:r w:rsidRPr="00AB1FF1">
        <w:rPr>
          <w:b/>
          <w:i/>
        </w:rPr>
        <w:t>-19</w:t>
      </w:r>
    </w:p>
    <w:p w14:paraId="50E0B152" w14:textId="381B73B9" w:rsidR="00C00E9D" w:rsidRPr="002B7989" w:rsidRDefault="00907F84" w:rsidP="00907F84">
      <w:pPr>
        <w:tabs>
          <w:tab w:val="left" w:pos="8647"/>
        </w:tabs>
        <w:autoSpaceDE w:val="0"/>
        <w:autoSpaceDN w:val="0"/>
        <w:adjustRightInd w:val="0"/>
        <w:spacing w:after="0" w:line="240" w:lineRule="auto"/>
        <w:ind w:firstLine="708"/>
        <w:rPr>
          <w:rFonts w:eastAsia="Times New Roman"/>
          <w:highlight w:val="yellow"/>
          <w:lang w:eastAsia="ru-RU"/>
        </w:rPr>
      </w:pPr>
      <w:r w:rsidRPr="00907F84">
        <w:rPr>
          <w:iCs/>
          <w:lang w:eastAsia="en-US"/>
        </w:rPr>
        <w:t>Безопасность и эффективность применения барицитиниба у детей в возрасте до 18 лет не</w:t>
      </w:r>
      <w:r>
        <w:rPr>
          <w:iCs/>
          <w:lang w:eastAsia="en-US"/>
        </w:rPr>
        <w:t xml:space="preserve"> </w:t>
      </w:r>
      <w:r w:rsidRPr="00907F84">
        <w:rPr>
          <w:iCs/>
          <w:lang w:eastAsia="en-US"/>
        </w:rPr>
        <w:t>установлены.</w:t>
      </w:r>
    </w:p>
    <w:p w14:paraId="56FF8622" w14:textId="77777777" w:rsidR="002002E8" w:rsidRPr="00907F84" w:rsidRDefault="002002E8" w:rsidP="00A72CBF">
      <w:pPr>
        <w:widowControl w:val="0"/>
        <w:tabs>
          <w:tab w:val="left" w:pos="8647"/>
        </w:tabs>
        <w:spacing w:before="240" w:after="240" w:line="240" w:lineRule="auto"/>
        <w:rPr>
          <w:rFonts w:eastAsia="Courier New"/>
          <w:b/>
          <w:lang w:eastAsia="ru-RU" w:bidi="ru-RU"/>
        </w:rPr>
      </w:pPr>
      <w:r w:rsidRPr="00907F84">
        <w:rPr>
          <w:rFonts w:eastAsia="Courier New"/>
          <w:b/>
          <w:lang w:eastAsia="ru-RU" w:bidi="ru-RU"/>
        </w:rPr>
        <w:t>Утилизация</w:t>
      </w:r>
    </w:p>
    <w:p w14:paraId="23C99D0C" w14:textId="364CF4A6" w:rsidR="00DB25F1" w:rsidRPr="00907F84" w:rsidRDefault="0065673F" w:rsidP="00A72CBF">
      <w:pPr>
        <w:tabs>
          <w:tab w:val="left" w:pos="8647"/>
        </w:tabs>
        <w:spacing w:after="0" w:line="240" w:lineRule="auto"/>
        <w:ind w:firstLine="709"/>
        <w:rPr>
          <w:rFonts w:eastAsia="Times New Roman"/>
          <w:color w:val="000000" w:themeColor="text1"/>
          <w:lang w:eastAsia="ru-RU"/>
        </w:rPr>
      </w:pPr>
      <w:r w:rsidRPr="00907F84">
        <w:rPr>
          <w:rFonts w:eastAsia="Times New Roman"/>
          <w:color w:val="000000" w:themeColor="text1"/>
          <w:lang w:eastAsia="ru-RU"/>
        </w:rPr>
        <w:t>Нет данных</w:t>
      </w:r>
      <w:r w:rsidR="005F297D" w:rsidRPr="00907F84">
        <w:rPr>
          <w:rFonts w:eastAsia="Times New Roman"/>
          <w:color w:val="000000" w:themeColor="text1"/>
          <w:lang w:eastAsia="ru-RU"/>
        </w:rPr>
        <w:t>.</w:t>
      </w:r>
    </w:p>
    <w:p w14:paraId="76A07ACE" w14:textId="77F8FDDE" w:rsidR="005F297D" w:rsidRPr="005B11AD" w:rsidRDefault="000F44CE" w:rsidP="000F44CE">
      <w:pPr>
        <w:pStyle w:val="3"/>
        <w:tabs>
          <w:tab w:val="left" w:pos="8647"/>
        </w:tabs>
        <w:spacing w:after="240"/>
        <w:rPr>
          <w:color w:val="000000" w:themeColor="text1"/>
        </w:rPr>
      </w:pPr>
      <w:bookmarkStart w:id="229" w:name="_Toc120288197"/>
      <w:r>
        <w:rPr>
          <w:color w:val="000000" w:themeColor="text1"/>
        </w:rPr>
        <w:t>5.3.</w:t>
      </w:r>
      <w:r w:rsidRPr="005B11AD">
        <w:rPr>
          <w:color w:val="000000" w:themeColor="text1"/>
        </w:rPr>
        <w:t>7</w:t>
      </w:r>
      <w:r w:rsidR="008B7FBF" w:rsidRPr="00907F84">
        <w:rPr>
          <w:color w:val="000000" w:themeColor="text1"/>
        </w:rPr>
        <w:t>. Побочн</w:t>
      </w:r>
      <w:bookmarkEnd w:id="225"/>
      <w:bookmarkEnd w:id="226"/>
      <w:bookmarkEnd w:id="227"/>
      <w:r w:rsidR="008B7FBF" w:rsidRPr="00907F84">
        <w:rPr>
          <w:color w:val="000000" w:themeColor="text1"/>
        </w:rPr>
        <w:t>ое действие</w:t>
      </w:r>
      <w:bookmarkStart w:id="230" w:name="bookmark4"/>
      <w:bookmarkEnd w:id="229"/>
    </w:p>
    <w:p w14:paraId="2836A118" w14:textId="595DD5E2" w:rsidR="005F297D" w:rsidRPr="00907F84" w:rsidRDefault="00907F84" w:rsidP="000F44CE">
      <w:pPr>
        <w:widowControl w:val="0"/>
        <w:tabs>
          <w:tab w:val="left" w:pos="8647"/>
        </w:tabs>
        <w:spacing w:after="0" w:line="240" w:lineRule="auto"/>
        <w:ind w:firstLine="709"/>
        <w:contextualSpacing/>
        <w:rPr>
          <w:rFonts w:eastAsia="Times New Roman"/>
          <w:b/>
          <w:lang w:eastAsia="ru-RU" w:bidi="ru-RU"/>
        </w:rPr>
      </w:pPr>
      <w:r w:rsidRPr="00907F84">
        <w:rPr>
          <w:rFonts w:eastAsia="Times New Roman"/>
          <w:lang w:eastAsia="ru-RU" w:bidi="ru-RU"/>
        </w:rPr>
        <w:t>Наиболее частыми нежелательными реакциями при применении барицитиниба являются:</w:t>
      </w:r>
      <w:r>
        <w:rPr>
          <w:rFonts w:eastAsia="Times New Roman"/>
          <w:lang w:eastAsia="ru-RU" w:bidi="ru-RU"/>
        </w:rPr>
        <w:t xml:space="preserve"> </w:t>
      </w:r>
      <w:r w:rsidRPr="00907F84">
        <w:rPr>
          <w:rFonts w:eastAsia="Times New Roman"/>
          <w:lang w:eastAsia="ru-RU" w:bidi="ru-RU"/>
        </w:rPr>
        <w:t>повышение ЛПНП ‚ инфекции верхних дыхательных путей, головная боль, простой герпес</w:t>
      </w:r>
      <w:r>
        <w:rPr>
          <w:rFonts w:eastAsia="Times New Roman"/>
          <w:lang w:eastAsia="ru-RU" w:bidi="ru-RU"/>
        </w:rPr>
        <w:t xml:space="preserve"> </w:t>
      </w:r>
      <w:r w:rsidRPr="00907F84">
        <w:rPr>
          <w:rFonts w:eastAsia="Times New Roman"/>
          <w:lang w:eastAsia="ru-RU" w:bidi="ru-RU"/>
        </w:rPr>
        <w:t>и инфекции мочевыводящих путей. У пациентов с ревматоидным артритом нечасто</w:t>
      </w:r>
      <w:r>
        <w:rPr>
          <w:rFonts w:eastAsia="Times New Roman"/>
          <w:lang w:eastAsia="ru-RU" w:bidi="ru-RU"/>
        </w:rPr>
        <w:t xml:space="preserve"> </w:t>
      </w:r>
      <w:r w:rsidRPr="00907F84">
        <w:rPr>
          <w:rFonts w:eastAsia="Times New Roman"/>
          <w:lang w:eastAsia="ru-RU" w:bidi="ru-RU"/>
        </w:rPr>
        <w:t>регистрировались случаи развития тяжелой пневмонии и тяжелого опоясывающего герпеса.</w:t>
      </w:r>
    </w:p>
    <w:p w14:paraId="58217C0A" w14:textId="58A97C9B" w:rsidR="003031D3" w:rsidRDefault="005F297D" w:rsidP="000F44CE">
      <w:pPr>
        <w:widowControl w:val="0"/>
        <w:tabs>
          <w:tab w:val="left" w:pos="8647"/>
        </w:tabs>
        <w:spacing w:before="240" w:after="240" w:line="240" w:lineRule="auto"/>
        <w:ind w:firstLine="709"/>
        <w:contextualSpacing/>
        <w:rPr>
          <w:iCs/>
          <w:lang w:eastAsia="en-US"/>
        </w:rPr>
      </w:pPr>
      <w:r w:rsidRPr="00907F84">
        <w:rPr>
          <w:iCs/>
          <w:lang w:eastAsia="en-US"/>
        </w:rPr>
        <w:t>Нежелательные явления перечислены в таблице ниже по системно-органным классам и частоте</w:t>
      </w:r>
      <w:r w:rsidR="00184AA4" w:rsidRPr="00907F84">
        <w:rPr>
          <w:iCs/>
          <w:lang w:eastAsia="en-US"/>
        </w:rPr>
        <w:t xml:space="preserve">. </w:t>
      </w:r>
      <w:r w:rsidR="003031D3" w:rsidRPr="00907F84">
        <w:rPr>
          <w:iCs/>
          <w:lang w:eastAsia="en-US"/>
        </w:rPr>
        <w:t>Частота определена как: очень часто (≥1/10); часто (от ≥1/100 до &lt;1/10); нечасто (от ≥1/1000 до&lt;1/100); редко (от ≥1/10000 до &lt;1/1000); очень редко (&lt; 1/10 000) и неизвестно (невозможно</w:t>
      </w:r>
      <w:r w:rsidRPr="00907F84">
        <w:rPr>
          <w:iCs/>
          <w:lang w:eastAsia="en-US"/>
        </w:rPr>
        <w:t xml:space="preserve"> </w:t>
      </w:r>
      <w:r w:rsidR="003031D3" w:rsidRPr="00907F84">
        <w:rPr>
          <w:iCs/>
          <w:lang w:eastAsia="en-US"/>
        </w:rPr>
        <w:t>установить по имеющимся данным).</w:t>
      </w:r>
    </w:p>
    <w:p w14:paraId="57143F74" w14:textId="5CB80B1E" w:rsidR="000F44CE" w:rsidRPr="005B11AD" w:rsidRDefault="000F44CE" w:rsidP="000F44CE">
      <w:pPr>
        <w:widowControl w:val="0"/>
        <w:tabs>
          <w:tab w:val="left" w:pos="8647"/>
        </w:tabs>
        <w:spacing w:before="240" w:after="240" w:line="240" w:lineRule="auto"/>
        <w:ind w:firstLine="709"/>
        <w:contextualSpacing/>
        <w:rPr>
          <w:iCs/>
          <w:lang w:eastAsia="en-US"/>
        </w:rPr>
      </w:pPr>
      <w:r w:rsidRPr="000F44CE">
        <w:rPr>
          <w:i/>
          <w:iCs/>
          <w:lang w:eastAsia="en-US"/>
        </w:rPr>
        <w:lastRenderedPageBreak/>
        <w:t>Инфекции и инвазии:</w:t>
      </w:r>
      <w:r>
        <w:rPr>
          <w:iCs/>
          <w:lang w:eastAsia="en-US"/>
        </w:rPr>
        <w:t xml:space="preserve"> очень часто – инфекция верхних дыхательных путей; часто – опоясывающий герпес</w:t>
      </w:r>
      <w:r w:rsidRPr="000F44CE">
        <w:rPr>
          <w:iCs/>
          <w:vertAlign w:val="superscript"/>
          <w:lang w:val="en-US" w:eastAsia="en-US"/>
        </w:rPr>
        <w:t>b</w:t>
      </w:r>
      <w:r>
        <w:rPr>
          <w:iCs/>
          <w:lang w:eastAsia="en-US"/>
        </w:rPr>
        <w:t>, простой герпес, гастроэнтерит, инфекция мочевыводящих путей, пневмония</w:t>
      </w:r>
      <w:r w:rsidRPr="000F44CE">
        <w:rPr>
          <w:iCs/>
          <w:vertAlign w:val="superscript"/>
          <w:lang w:val="en-US" w:eastAsia="en-US"/>
        </w:rPr>
        <w:t>d</w:t>
      </w:r>
      <w:r w:rsidRPr="000F44CE">
        <w:rPr>
          <w:iCs/>
          <w:lang w:eastAsia="en-US"/>
        </w:rPr>
        <w:t>.</w:t>
      </w:r>
    </w:p>
    <w:p w14:paraId="4FA18654" w14:textId="6AD0BD46" w:rsidR="000F44CE" w:rsidRPr="000F44CE" w:rsidRDefault="000F44CE" w:rsidP="000F44CE">
      <w:pPr>
        <w:widowControl w:val="0"/>
        <w:tabs>
          <w:tab w:val="left" w:pos="8647"/>
        </w:tabs>
        <w:spacing w:before="240" w:after="240" w:line="240" w:lineRule="auto"/>
        <w:ind w:firstLine="709"/>
        <w:contextualSpacing/>
        <w:rPr>
          <w:iCs/>
          <w:lang w:eastAsia="en-US"/>
        </w:rPr>
      </w:pPr>
      <w:r w:rsidRPr="000F44CE">
        <w:rPr>
          <w:i/>
          <w:iCs/>
          <w:lang w:eastAsia="en-US"/>
        </w:rPr>
        <w:t>Нарушения со стороны крови и лимфатической системы:</w:t>
      </w:r>
      <w:r>
        <w:rPr>
          <w:iCs/>
          <w:lang w:eastAsia="en-US"/>
        </w:rPr>
        <w:t xml:space="preserve"> часто – тромбоцитоз &gt;600*10</w:t>
      </w:r>
      <w:r w:rsidRPr="000F44CE">
        <w:rPr>
          <w:iCs/>
          <w:vertAlign w:val="superscript"/>
          <w:lang w:eastAsia="en-US"/>
        </w:rPr>
        <w:t>9</w:t>
      </w:r>
      <w:r>
        <w:rPr>
          <w:iCs/>
          <w:lang w:eastAsia="en-US"/>
        </w:rPr>
        <w:t xml:space="preserve"> клеток/л</w:t>
      </w:r>
      <w:r w:rsidRPr="000F44CE">
        <w:rPr>
          <w:iCs/>
          <w:vertAlign w:val="superscript"/>
          <w:lang w:val="en-US" w:eastAsia="en-US"/>
        </w:rPr>
        <w:t>a</w:t>
      </w:r>
      <w:r w:rsidRPr="000F44CE">
        <w:rPr>
          <w:iCs/>
          <w:vertAlign w:val="superscript"/>
          <w:lang w:eastAsia="en-US"/>
        </w:rPr>
        <w:t>,d</w:t>
      </w:r>
      <w:r>
        <w:rPr>
          <w:iCs/>
          <w:lang w:eastAsia="en-US"/>
        </w:rPr>
        <w:t>; нечасто – нейтропения &lt;1*10</w:t>
      </w:r>
      <w:r w:rsidRPr="000F44CE">
        <w:rPr>
          <w:iCs/>
          <w:vertAlign w:val="superscript"/>
          <w:lang w:eastAsia="en-US"/>
        </w:rPr>
        <w:t>9</w:t>
      </w:r>
      <w:r>
        <w:rPr>
          <w:iCs/>
          <w:lang w:eastAsia="en-US"/>
        </w:rPr>
        <w:t xml:space="preserve"> клеток/л</w:t>
      </w:r>
      <w:r w:rsidRPr="000F44CE">
        <w:rPr>
          <w:iCs/>
          <w:vertAlign w:val="superscript"/>
          <w:lang w:val="en-US" w:eastAsia="en-US"/>
        </w:rPr>
        <w:t>a</w:t>
      </w:r>
      <w:r w:rsidRPr="000F44CE">
        <w:rPr>
          <w:iCs/>
          <w:vertAlign w:val="superscript"/>
          <w:lang w:eastAsia="en-US"/>
        </w:rPr>
        <w:t>,g</w:t>
      </w:r>
      <w:r w:rsidRPr="000F44CE">
        <w:rPr>
          <w:iCs/>
          <w:lang w:eastAsia="en-US"/>
        </w:rPr>
        <w:t>.</w:t>
      </w:r>
    </w:p>
    <w:p w14:paraId="1954F1E6" w14:textId="25006084" w:rsidR="000F44CE" w:rsidRDefault="000F44CE" w:rsidP="000F44CE">
      <w:pPr>
        <w:widowControl w:val="0"/>
        <w:tabs>
          <w:tab w:val="left" w:pos="8647"/>
        </w:tabs>
        <w:spacing w:before="240" w:after="240" w:line="240" w:lineRule="auto"/>
        <w:ind w:firstLine="709"/>
        <w:contextualSpacing/>
        <w:rPr>
          <w:iCs/>
          <w:lang w:eastAsia="en-US"/>
        </w:rPr>
      </w:pPr>
      <w:r w:rsidRPr="000F44CE">
        <w:rPr>
          <w:i/>
          <w:iCs/>
          <w:lang w:eastAsia="en-US"/>
        </w:rPr>
        <w:t>Нарушения со стороны иммунной системы:</w:t>
      </w:r>
      <w:r>
        <w:rPr>
          <w:iCs/>
          <w:lang w:eastAsia="en-US"/>
        </w:rPr>
        <w:t xml:space="preserve"> нечасто – отек лица, крапивница.</w:t>
      </w:r>
    </w:p>
    <w:p w14:paraId="39163BC9" w14:textId="2D7B044B" w:rsidR="000F44CE" w:rsidRDefault="000F44CE" w:rsidP="000F44CE">
      <w:pPr>
        <w:widowControl w:val="0"/>
        <w:tabs>
          <w:tab w:val="left" w:pos="8647"/>
        </w:tabs>
        <w:spacing w:before="240" w:after="240" w:line="240" w:lineRule="auto"/>
        <w:ind w:firstLine="709"/>
        <w:contextualSpacing/>
        <w:rPr>
          <w:iCs/>
          <w:lang w:eastAsia="en-US"/>
        </w:rPr>
      </w:pPr>
      <w:r w:rsidRPr="000F44CE">
        <w:rPr>
          <w:i/>
          <w:iCs/>
          <w:lang w:eastAsia="en-US"/>
        </w:rPr>
        <w:t>Нарушения метаболизма и питания:</w:t>
      </w:r>
      <w:r>
        <w:rPr>
          <w:iCs/>
          <w:lang w:eastAsia="en-US"/>
        </w:rPr>
        <w:t xml:space="preserve"> очень часто – гиперхолистеринемия</w:t>
      </w:r>
      <w:r w:rsidRPr="000F44CE">
        <w:rPr>
          <w:iCs/>
          <w:vertAlign w:val="superscript"/>
          <w:lang w:val="en-US" w:eastAsia="en-US"/>
        </w:rPr>
        <w:t>a</w:t>
      </w:r>
      <w:r>
        <w:rPr>
          <w:iCs/>
          <w:lang w:eastAsia="en-US"/>
        </w:rPr>
        <w:t>, нечасто – гипертриглицеридемия</w:t>
      </w:r>
      <w:r w:rsidRPr="000F44CE">
        <w:rPr>
          <w:iCs/>
          <w:vertAlign w:val="superscript"/>
          <w:lang w:val="en-US" w:eastAsia="en-US"/>
        </w:rPr>
        <w:t>a</w:t>
      </w:r>
      <w:r>
        <w:rPr>
          <w:iCs/>
          <w:lang w:eastAsia="en-US"/>
        </w:rPr>
        <w:t>.</w:t>
      </w:r>
    </w:p>
    <w:p w14:paraId="63608DC8" w14:textId="74CB08D7" w:rsidR="000F44CE" w:rsidRDefault="000F44CE" w:rsidP="000F44CE">
      <w:pPr>
        <w:widowControl w:val="0"/>
        <w:tabs>
          <w:tab w:val="left" w:pos="8647"/>
        </w:tabs>
        <w:spacing w:before="240" w:after="240" w:line="240" w:lineRule="auto"/>
        <w:ind w:firstLine="709"/>
        <w:contextualSpacing/>
        <w:rPr>
          <w:iCs/>
          <w:lang w:eastAsia="en-US"/>
        </w:rPr>
      </w:pPr>
      <w:r w:rsidRPr="000F44CE">
        <w:rPr>
          <w:i/>
          <w:iCs/>
          <w:lang w:eastAsia="en-US"/>
        </w:rPr>
        <w:t>Нарушения со стороны нервной системы:</w:t>
      </w:r>
      <w:r>
        <w:rPr>
          <w:iCs/>
          <w:lang w:eastAsia="en-US"/>
        </w:rPr>
        <w:t xml:space="preserve"> часто – головная боль.</w:t>
      </w:r>
    </w:p>
    <w:p w14:paraId="158D9CF4" w14:textId="41C1B0C5" w:rsidR="000F44CE" w:rsidRDefault="000F44CE" w:rsidP="000F44CE">
      <w:pPr>
        <w:widowControl w:val="0"/>
        <w:tabs>
          <w:tab w:val="left" w:pos="8647"/>
        </w:tabs>
        <w:spacing w:before="240" w:after="240" w:line="240" w:lineRule="auto"/>
        <w:ind w:firstLine="709"/>
        <w:contextualSpacing/>
        <w:rPr>
          <w:iCs/>
          <w:lang w:eastAsia="en-US"/>
        </w:rPr>
      </w:pPr>
      <w:r w:rsidRPr="000F44CE">
        <w:rPr>
          <w:i/>
          <w:iCs/>
          <w:lang w:eastAsia="en-US"/>
        </w:rPr>
        <w:t>Нарушения со стороны сосудов:</w:t>
      </w:r>
      <w:r>
        <w:rPr>
          <w:iCs/>
          <w:lang w:eastAsia="en-US"/>
        </w:rPr>
        <w:t xml:space="preserve"> нечасто – тромбоз глубоких вен</w:t>
      </w:r>
      <w:r w:rsidRPr="000F44CE">
        <w:rPr>
          <w:iCs/>
          <w:vertAlign w:val="superscript"/>
          <w:lang w:val="en-US" w:eastAsia="en-US"/>
        </w:rPr>
        <w:t>b</w:t>
      </w:r>
      <w:r w:rsidRPr="000F44CE">
        <w:rPr>
          <w:iCs/>
          <w:vertAlign w:val="superscript"/>
          <w:lang w:eastAsia="en-US"/>
        </w:rPr>
        <w:t>,</w:t>
      </w:r>
      <w:r w:rsidRPr="000F44CE">
        <w:rPr>
          <w:iCs/>
          <w:vertAlign w:val="superscript"/>
          <w:lang w:val="en-US" w:eastAsia="en-US"/>
        </w:rPr>
        <w:t>g</w:t>
      </w:r>
      <w:r w:rsidRPr="000F44CE">
        <w:rPr>
          <w:iCs/>
          <w:lang w:eastAsia="en-US"/>
        </w:rPr>
        <w:t>.</w:t>
      </w:r>
    </w:p>
    <w:p w14:paraId="3EA74E6F" w14:textId="4ACF5A60" w:rsidR="000F44CE" w:rsidRDefault="000F44CE" w:rsidP="000F44CE">
      <w:pPr>
        <w:widowControl w:val="0"/>
        <w:tabs>
          <w:tab w:val="left" w:pos="8647"/>
        </w:tabs>
        <w:spacing w:before="240" w:after="240" w:line="240" w:lineRule="auto"/>
        <w:ind w:firstLine="709"/>
        <w:contextualSpacing/>
        <w:rPr>
          <w:iCs/>
          <w:lang w:eastAsia="en-US"/>
        </w:rPr>
      </w:pPr>
      <w:r w:rsidRPr="000F44CE">
        <w:rPr>
          <w:i/>
          <w:iCs/>
          <w:lang w:eastAsia="en-US"/>
        </w:rPr>
        <w:t>Нарушения со стороны дыхательной системы, грудной клетки и средостения:</w:t>
      </w:r>
      <w:r>
        <w:rPr>
          <w:iCs/>
          <w:lang w:eastAsia="en-US"/>
        </w:rPr>
        <w:t xml:space="preserve"> нечасто – легочная эмболия</w:t>
      </w:r>
      <w:r w:rsidRPr="000F44CE">
        <w:rPr>
          <w:iCs/>
          <w:vertAlign w:val="superscript"/>
          <w:lang w:val="en-US" w:eastAsia="en-US"/>
        </w:rPr>
        <w:t>f</w:t>
      </w:r>
      <w:r w:rsidRPr="000F44CE">
        <w:rPr>
          <w:iCs/>
          <w:vertAlign w:val="superscript"/>
          <w:lang w:eastAsia="en-US"/>
        </w:rPr>
        <w:t>,</w:t>
      </w:r>
      <w:r w:rsidRPr="000F44CE">
        <w:rPr>
          <w:iCs/>
          <w:vertAlign w:val="superscript"/>
          <w:lang w:val="en-US" w:eastAsia="en-US"/>
        </w:rPr>
        <w:t>g</w:t>
      </w:r>
      <w:r w:rsidRPr="000F44CE">
        <w:rPr>
          <w:iCs/>
          <w:lang w:eastAsia="en-US"/>
        </w:rPr>
        <w:t>.</w:t>
      </w:r>
    </w:p>
    <w:p w14:paraId="0FCAE221" w14:textId="50BC4B5E" w:rsidR="000F44CE" w:rsidRDefault="000F44CE" w:rsidP="000F44CE">
      <w:pPr>
        <w:widowControl w:val="0"/>
        <w:tabs>
          <w:tab w:val="left" w:pos="8647"/>
        </w:tabs>
        <w:spacing w:before="240" w:after="240" w:line="240" w:lineRule="auto"/>
        <w:ind w:firstLine="709"/>
        <w:contextualSpacing/>
        <w:rPr>
          <w:iCs/>
          <w:lang w:eastAsia="en-US"/>
        </w:rPr>
      </w:pPr>
      <w:r w:rsidRPr="00EC5FB5">
        <w:rPr>
          <w:i/>
          <w:iCs/>
          <w:lang w:eastAsia="en-US"/>
        </w:rPr>
        <w:t>Желудочно-кишечные нарушения:</w:t>
      </w:r>
      <w:r>
        <w:rPr>
          <w:iCs/>
          <w:lang w:eastAsia="en-US"/>
        </w:rPr>
        <w:t xml:space="preserve"> часто – тошнота</w:t>
      </w:r>
      <w:r w:rsidRPr="00EC5FB5">
        <w:rPr>
          <w:iCs/>
          <w:vertAlign w:val="superscript"/>
          <w:lang w:val="en-US" w:eastAsia="en-US"/>
        </w:rPr>
        <w:t>d</w:t>
      </w:r>
      <w:r>
        <w:rPr>
          <w:iCs/>
          <w:lang w:eastAsia="en-US"/>
        </w:rPr>
        <w:t>, боль в животе</w:t>
      </w:r>
      <w:r w:rsidRPr="00EC5FB5">
        <w:rPr>
          <w:iCs/>
          <w:vertAlign w:val="superscript"/>
          <w:lang w:val="en-US" w:eastAsia="en-US"/>
        </w:rPr>
        <w:t>d</w:t>
      </w:r>
      <w:r>
        <w:rPr>
          <w:iCs/>
          <w:lang w:eastAsia="en-US"/>
        </w:rPr>
        <w:t>; нечасто – дивертикулит.</w:t>
      </w:r>
    </w:p>
    <w:p w14:paraId="62A448C3" w14:textId="1B3FB6DC" w:rsidR="000F44CE" w:rsidRDefault="000F44CE" w:rsidP="000F44CE">
      <w:pPr>
        <w:widowControl w:val="0"/>
        <w:tabs>
          <w:tab w:val="left" w:pos="8647"/>
        </w:tabs>
        <w:spacing w:before="240" w:after="240" w:line="240" w:lineRule="auto"/>
        <w:ind w:firstLine="709"/>
        <w:contextualSpacing/>
        <w:rPr>
          <w:iCs/>
          <w:lang w:eastAsia="en-US"/>
        </w:rPr>
      </w:pPr>
      <w:r w:rsidRPr="00EC5FB5">
        <w:rPr>
          <w:i/>
          <w:iCs/>
          <w:lang w:eastAsia="en-US"/>
        </w:rPr>
        <w:t>Нарушения со стороны печени и желчевыводящих путей:</w:t>
      </w:r>
      <w:r>
        <w:rPr>
          <w:iCs/>
          <w:lang w:eastAsia="en-US"/>
        </w:rPr>
        <w:t xml:space="preserve"> часто – повышение концентрации </w:t>
      </w:r>
      <w:r w:rsidR="00EC5FB5">
        <w:rPr>
          <w:iCs/>
          <w:lang w:eastAsia="en-US"/>
        </w:rPr>
        <w:t>АЛТ &gt;3*ВГН</w:t>
      </w:r>
      <w:r w:rsidR="00EC5FB5" w:rsidRPr="00EC5FB5">
        <w:rPr>
          <w:iCs/>
          <w:vertAlign w:val="superscript"/>
          <w:lang w:eastAsia="en-US"/>
        </w:rPr>
        <w:t xml:space="preserve"> </w:t>
      </w:r>
      <w:r w:rsidR="00EC5FB5" w:rsidRPr="00EC5FB5">
        <w:rPr>
          <w:iCs/>
          <w:vertAlign w:val="superscript"/>
          <w:lang w:val="en-US" w:eastAsia="en-US"/>
        </w:rPr>
        <w:t>a</w:t>
      </w:r>
      <w:r w:rsidR="00EC5FB5" w:rsidRPr="00EC5FB5">
        <w:rPr>
          <w:iCs/>
          <w:vertAlign w:val="superscript"/>
          <w:lang w:eastAsia="en-US"/>
        </w:rPr>
        <w:t>,</w:t>
      </w:r>
      <w:r w:rsidR="00EC5FB5" w:rsidRPr="00EC5FB5">
        <w:rPr>
          <w:iCs/>
          <w:vertAlign w:val="superscript"/>
          <w:lang w:val="en-US" w:eastAsia="en-US"/>
        </w:rPr>
        <w:t>d</w:t>
      </w:r>
      <w:r w:rsidR="00EC5FB5" w:rsidRPr="00EC5FB5">
        <w:rPr>
          <w:iCs/>
          <w:vertAlign w:val="superscript"/>
          <w:lang w:eastAsia="en-US"/>
        </w:rPr>
        <w:t>,</w:t>
      </w:r>
      <w:r w:rsidR="00EC5FB5" w:rsidRPr="00EC5FB5">
        <w:rPr>
          <w:iCs/>
          <w:vertAlign w:val="superscript"/>
          <w:lang w:val="en-US" w:eastAsia="en-US"/>
        </w:rPr>
        <w:t>g</w:t>
      </w:r>
      <w:r w:rsidR="00EC5FB5">
        <w:rPr>
          <w:iCs/>
          <w:lang w:eastAsia="en-US"/>
        </w:rPr>
        <w:t>; нечасто – повышение концентрации АСТ &gt;3*ВГН</w:t>
      </w:r>
      <w:r w:rsidR="00EC5FB5" w:rsidRPr="00EC5FB5">
        <w:rPr>
          <w:iCs/>
          <w:vertAlign w:val="superscript"/>
          <w:lang w:eastAsia="en-US"/>
        </w:rPr>
        <w:t xml:space="preserve"> </w:t>
      </w:r>
      <w:r w:rsidR="00EC5FB5" w:rsidRPr="00EC5FB5">
        <w:rPr>
          <w:iCs/>
          <w:vertAlign w:val="superscript"/>
          <w:lang w:val="en-US" w:eastAsia="en-US"/>
        </w:rPr>
        <w:t>a</w:t>
      </w:r>
      <w:r w:rsidR="00EC5FB5" w:rsidRPr="00EC5FB5">
        <w:rPr>
          <w:iCs/>
          <w:vertAlign w:val="superscript"/>
          <w:lang w:eastAsia="en-US"/>
        </w:rPr>
        <w:t>,</w:t>
      </w:r>
      <w:r w:rsidR="00EC5FB5" w:rsidRPr="00EC5FB5">
        <w:rPr>
          <w:iCs/>
          <w:vertAlign w:val="superscript"/>
          <w:lang w:val="en-US" w:eastAsia="en-US"/>
        </w:rPr>
        <w:t>e</w:t>
      </w:r>
      <w:r w:rsidR="00EC5FB5" w:rsidRPr="00EC5FB5">
        <w:rPr>
          <w:iCs/>
          <w:vertAlign w:val="superscript"/>
          <w:lang w:eastAsia="en-US"/>
        </w:rPr>
        <w:t>,</w:t>
      </w:r>
      <w:r w:rsidR="00EC5FB5" w:rsidRPr="00EC5FB5">
        <w:rPr>
          <w:iCs/>
          <w:vertAlign w:val="superscript"/>
          <w:lang w:val="en-US" w:eastAsia="en-US"/>
        </w:rPr>
        <w:t>g</w:t>
      </w:r>
      <w:r w:rsidR="00EC5FB5">
        <w:rPr>
          <w:iCs/>
          <w:lang w:eastAsia="en-US"/>
        </w:rPr>
        <w:t>.</w:t>
      </w:r>
    </w:p>
    <w:p w14:paraId="3D3D2031" w14:textId="15770A53" w:rsidR="00EC5FB5" w:rsidRDefault="00EC5FB5" w:rsidP="000F44CE">
      <w:pPr>
        <w:widowControl w:val="0"/>
        <w:tabs>
          <w:tab w:val="left" w:pos="8647"/>
        </w:tabs>
        <w:spacing w:before="240" w:after="240" w:line="240" w:lineRule="auto"/>
        <w:ind w:firstLine="709"/>
        <w:contextualSpacing/>
        <w:rPr>
          <w:iCs/>
          <w:lang w:eastAsia="en-US"/>
        </w:rPr>
      </w:pPr>
      <w:r w:rsidRPr="00EC5FB5">
        <w:rPr>
          <w:i/>
          <w:iCs/>
          <w:lang w:eastAsia="en-US"/>
        </w:rPr>
        <w:t>Нарушения со стороны кожи и подкожных тканей:</w:t>
      </w:r>
      <w:r>
        <w:rPr>
          <w:iCs/>
          <w:lang w:eastAsia="en-US"/>
        </w:rPr>
        <w:t xml:space="preserve"> часто – сыпь, акне</w:t>
      </w:r>
      <w:r w:rsidRPr="00EC5FB5">
        <w:rPr>
          <w:iCs/>
          <w:vertAlign w:val="superscript"/>
          <w:lang w:val="en-US" w:eastAsia="en-US"/>
        </w:rPr>
        <w:t>c</w:t>
      </w:r>
      <w:r>
        <w:rPr>
          <w:iCs/>
          <w:lang w:eastAsia="en-US"/>
        </w:rPr>
        <w:t>.</w:t>
      </w:r>
    </w:p>
    <w:p w14:paraId="12D3D48B" w14:textId="387E3AE1" w:rsidR="00EC5FB5" w:rsidRDefault="00EC5FB5" w:rsidP="000F44CE">
      <w:pPr>
        <w:widowControl w:val="0"/>
        <w:tabs>
          <w:tab w:val="left" w:pos="8647"/>
        </w:tabs>
        <w:spacing w:before="240" w:after="240" w:line="240" w:lineRule="auto"/>
        <w:ind w:firstLine="709"/>
        <w:contextualSpacing/>
        <w:rPr>
          <w:iCs/>
          <w:lang w:eastAsia="en-US"/>
        </w:rPr>
      </w:pPr>
      <w:r w:rsidRPr="00EC5FB5">
        <w:rPr>
          <w:i/>
          <w:iCs/>
          <w:lang w:eastAsia="en-US"/>
        </w:rPr>
        <w:t>Лабораторные и инструментальные данные:</w:t>
      </w:r>
      <w:r>
        <w:rPr>
          <w:iCs/>
          <w:lang w:eastAsia="en-US"/>
        </w:rPr>
        <w:t xml:space="preserve"> часто – повышение креатинфосфокиназы &gt;5*ВГН</w:t>
      </w:r>
      <w:r w:rsidRPr="00EC5FB5">
        <w:rPr>
          <w:iCs/>
          <w:vertAlign w:val="superscript"/>
          <w:lang w:val="en-US" w:eastAsia="en-US"/>
        </w:rPr>
        <w:t>a</w:t>
      </w:r>
      <w:r w:rsidRPr="00EC5FB5">
        <w:rPr>
          <w:iCs/>
          <w:vertAlign w:val="superscript"/>
          <w:lang w:eastAsia="en-US"/>
        </w:rPr>
        <w:t>,</w:t>
      </w:r>
      <w:r w:rsidRPr="00EC5FB5">
        <w:rPr>
          <w:iCs/>
          <w:vertAlign w:val="superscript"/>
          <w:lang w:val="en-US" w:eastAsia="en-US"/>
        </w:rPr>
        <w:t>c</w:t>
      </w:r>
      <w:r>
        <w:rPr>
          <w:iCs/>
          <w:lang w:eastAsia="en-US"/>
        </w:rPr>
        <w:t>; нечасто – увеличение массы тела.</w:t>
      </w:r>
    </w:p>
    <w:p w14:paraId="5DA59A23" w14:textId="0CB9A23E" w:rsidR="00EC5FB5" w:rsidRPr="00EC5FB5" w:rsidRDefault="00EC5FB5" w:rsidP="00EC5FB5">
      <w:pPr>
        <w:widowControl w:val="0"/>
        <w:tabs>
          <w:tab w:val="left" w:pos="8647"/>
        </w:tabs>
        <w:spacing w:before="240" w:after="240" w:line="240" w:lineRule="auto"/>
        <w:contextualSpacing/>
        <w:rPr>
          <w:iCs/>
          <w:sz w:val="20"/>
          <w:szCs w:val="20"/>
          <w:lang w:eastAsia="en-US"/>
        </w:rPr>
      </w:pPr>
      <w:r w:rsidRPr="00EC5FB5">
        <w:rPr>
          <w:b/>
          <w:iCs/>
          <w:sz w:val="20"/>
          <w:szCs w:val="20"/>
          <w:lang w:eastAsia="en-US"/>
        </w:rPr>
        <w:t>Примечание:</w:t>
      </w:r>
      <w:r w:rsidRPr="00EC5FB5">
        <w:rPr>
          <w:iCs/>
          <w:sz w:val="20"/>
          <w:szCs w:val="20"/>
          <w:lang w:eastAsia="en-US"/>
        </w:rPr>
        <w:br/>
      </w:r>
      <w:r w:rsidRPr="00EC5FB5">
        <w:rPr>
          <w:iCs/>
          <w:sz w:val="20"/>
          <w:szCs w:val="20"/>
          <w:lang w:val="en-US" w:eastAsia="en-US"/>
        </w:rPr>
        <w:t>a</w:t>
      </w:r>
      <w:r w:rsidRPr="00EC5FB5">
        <w:rPr>
          <w:iCs/>
          <w:sz w:val="20"/>
          <w:szCs w:val="20"/>
          <w:lang w:eastAsia="en-US"/>
        </w:rPr>
        <w:t xml:space="preserve"> – включает изменения, обнаруженные во время лабораторных исследований.</w:t>
      </w:r>
    </w:p>
    <w:p w14:paraId="3BE2F40E" w14:textId="59CE8F11" w:rsidR="00EC5FB5" w:rsidRPr="00EC5FB5" w:rsidRDefault="00EC5FB5" w:rsidP="00EC5FB5">
      <w:pPr>
        <w:widowControl w:val="0"/>
        <w:tabs>
          <w:tab w:val="left" w:pos="8647"/>
        </w:tabs>
        <w:spacing w:before="240" w:after="240" w:line="240" w:lineRule="auto"/>
        <w:contextualSpacing/>
        <w:rPr>
          <w:iCs/>
          <w:sz w:val="20"/>
          <w:szCs w:val="20"/>
          <w:lang w:eastAsia="en-US"/>
        </w:rPr>
      </w:pPr>
      <w:r w:rsidRPr="00EC5FB5">
        <w:rPr>
          <w:iCs/>
          <w:sz w:val="20"/>
          <w:szCs w:val="20"/>
          <w:lang w:val="en-US" w:eastAsia="en-US"/>
        </w:rPr>
        <w:t>b</w:t>
      </w:r>
      <w:r w:rsidRPr="00EC5FB5">
        <w:rPr>
          <w:iCs/>
          <w:sz w:val="20"/>
          <w:szCs w:val="20"/>
          <w:lang w:eastAsia="en-US"/>
        </w:rPr>
        <w:t xml:space="preserve"> – частота случаев опоясывающего герпеса и тромбоза глубоких вен основана на клинических исследованиях по показанию ревматоидный артрит.</w:t>
      </w:r>
    </w:p>
    <w:p w14:paraId="3B30CA52" w14:textId="57276CD6" w:rsidR="00EC5FB5" w:rsidRPr="00EC5FB5" w:rsidRDefault="00EC5FB5" w:rsidP="00EC5FB5">
      <w:pPr>
        <w:widowControl w:val="0"/>
        <w:tabs>
          <w:tab w:val="left" w:pos="8647"/>
        </w:tabs>
        <w:spacing w:before="240" w:after="240" w:line="240" w:lineRule="auto"/>
        <w:contextualSpacing/>
        <w:rPr>
          <w:iCs/>
          <w:sz w:val="20"/>
          <w:szCs w:val="20"/>
          <w:lang w:eastAsia="en-US"/>
        </w:rPr>
      </w:pPr>
      <w:r w:rsidRPr="00EC5FB5">
        <w:rPr>
          <w:iCs/>
          <w:sz w:val="20"/>
          <w:szCs w:val="20"/>
          <w:lang w:val="en-US" w:eastAsia="en-US"/>
        </w:rPr>
        <w:t>c</w:t>
      </w:r>
      <w:r w:rsidRPr="00EC5FB5">
        <w:rPr>
          <w:iCs/>
          <w:sz w:val="20"/>
          <w:szCs w:val="20"/>
          <w:lang w:eastAsia="en-US"/>
        </w:rPr>
        <w:t xml:space="preserve"> – в клинических исследованиях по показанию ревматоидный артрит случаи развития акне и повышения концентрации креатинфосфокиназы встречались нечасто.</w:t>
      </w:r>
    </w:p>
    <w:p w14:paraId="02497558" w14:textId="68AE555E" w:rsidR="00EC5FB5" w:rsidRPr="00EC5FB5" w:rsidRDefault="00EC5FB5" w:rsidP="00EC5FB5">
      <w:pPr>
        <w:widowControl w:val="0"/>
        <w:tabs>
          <w:tab w:val="left" w:pos="8647"/>
        </w:tabs>
        <w:spacing w:before="240" w:after="240" w:line="240" w:lineRule="auto"/>
        <w:contextualSpacing/>
        <w:rPr>
          <w:iCs/>
          <w:sz w:val="20"/>
          <w:szCs w:val="20"/>
          <w:lang w:eastAsia="en-US"/>
        </w:rPr>
      </w:pPr>
      <w:r w:rsidRPr="00EC5FB5">
        <w:rPr>
          <w:iCs/>
          <w:sz w:val="20"/>
          <w:szCs w:val="20"/>
          <w:lang w:val="en-US" w:eastAsia="en-US"/>
        </w:rPr>
        <w:t>d</w:t>
      </w:r>
      <w:r w:rsidRPr="00EC5FB5">
        <w:rPr>
          <w:iCs/>
          <w:sz w:val="20"/>
          <w:szCs w:val="20"/>
          <w:lang w:eastAsia="en-US"/>
        </w:rPr>
        <w:t xml:space="preserve"> - в клинических исследованиях по показанию атопический дерматит тошнота и повышение АЛТ встречались нечасто. В клинических исследованиях по показанию очаговая алопеция боль в животе встречалась нечасто. В клинических исследованиях по показаниям атопический дерматит и очаговая алопеция случаи развития пневмонии и тромбоцитоза встречались нечасто.</w:t>
      </w:r>
    </w:p>
    <w:p w14:paraId="5595A380" w14:textId="24BF76B3" w:rsidR="00EC5FB5" w:rsidRPr="00EC5FB5" w:rsidRDefault="00EC5FB5" w:rsidP="00EC5FB5">
      <w:pPr>
        <w:widowControl w:val="0"/>
        <w:tabs>
          <w:tab w:val="left" w:pos="8647"/>
        </w:tabs>
        <w:spacing w:before="240" w:after="240" w:line="240" w:lineRule="auto"/>
        <w:contextualSpacing/>
        <w:rPr>
          <w:iCs/>
          <w:sz w:val="20"/>
          <w:szCs w:val="20"/>
          <w:lang w:eastAsia="en-US"/>
        </w:rPr>
      </w:pPr>
      <w:r w:rsidRPr="00EC5FB5">
        <w:rPr>
          <w:iCs/>
          <w:sz w:val="20"/>
          <w:szCs w:val="20"/>
          <w:lang w:val="en-US" w:eastAsia="en-US"/>
        </w:rPr>
        <w:t>e</w:t>
      </w:r>
      <w:r w:rsidRPr="00EC5FB5">
        <w:rPr>
          <w:iCs/>
          <w:sz w:val="20"/>
          <w:szCs w:val="20"/>
          <w:lang w:eastAsia="en-US"/>
        </w:rPr>
        <w:t xml:space="preserve"> - в клинических исследованиях по показанию очаговая алопеция повышение АСТ встречалось часто.</w:t>
      </w:r>
    </w:p>
    <w:p w14:paraId="0774BE91" w14:textId="4544A489" w:rsidR="00EC5FB5" w:rsidRPr="00EC5FB5" w:rsidRDefault="00EC5FB5" w:rsidP="00EC5FB5">
      <w:pPr>
        <w:widowControl w:val="0"/>
        <w:tabs>
          <w:tab w:val="left" w:pos="8647"/>
        </w:tabs>
        <w:spacing w:before="240" w:after="240" w:line="240" w:lineRule="auto"/>
        <w:contextualSpacing/>
        <w:rPr>
          <w:iCs/>
          <w:sz w:val="20"/>
          <w:szCs w:val="20"/>
          <w:lang w:eastAsia="en-US"/>
        </w:rPr>
      </w:pPr>
      <w:r w:rsidRPr="00EC5FB5">
        <w:rPr>
          <w:iCs/>
          <w:sz w:val="20"/>
          <w:szCs w:val="20"/>
          <w:lang w:val="en-US" w:eastAsia="en-US"/>
        </w:rPr>
        <w:t>f</w:t>
      </w:r>
      <w:r w:rsidRPr="00EC5FB5">
        <w:rPr>
          <w:iCs/>
          <w:sz w:val="20"/>
          <w:szCs w:val="20"/>
          <w:lang w:eastAsia="en-US"/>
        </w:rPr>
        <w:t xml:space="preserve"> – частота случаев развития легочной эмболии была основана на данных исследований по показаниям </w:t>
      </w:r>
      <w:r w:rsidR="007F72CA" w:rsidRPr="00EC5FB5">
        <w:rPr>
          <w:iCs/>
          <w:sz w:val="20"/>
          <w:szCs w:val="20"/>
          <w:lang w:eastAsia="en-US"/>
        </w:rPr>
        <w:t>ревматоидный</w:t>
      </w:r>
      <w:r w:rsidRPr="00EC5FB5">
        <w:rPr>
          <w:iCs/>
          <w:sz w:val="20"/>
          <w:szCs w:val="20"/>
          <w:lang w:eastAsia="en-US"/>
        </w:rPr>
        <w:t xml:space="preserve"> артрит и атопический дерматит.</w:t>
      </w:r>
    </w:p>
    <w:p w14:paraId="4201B43B" w14:textId="71136ABB" w:rsidR="00EC5FB5" w:rsidRPr="00EC5FB5" w:rsidRDefault="00EC5FB5" w:rsidP="00A3301D">
      <w:pPr>
        <w:widowControl w:val="0"/>
        <w:tabs>
          <w:tab w:val="left" w:pos="8647"/>
        </w:tabs>
        <w:spacing w:before="240" w:after="240" w:line="240" w:lineRule="auto"/>
        <w:contextualSpacing/>
        <w:rPr>
          <w:iCs/>
          <w:sz w:val="20"/>
          <w:szCs w:val="20"/>
          <w:lang w:eastAsia="en-US"/>
        </w:rPr>
      </w:pPr>
      <w:r w:rsidRPr="00EC5FB5">
        <w:rPr>
          <w:iCs/>
          <w:sz w:val="20"/>
          <w:szCs w:val="20"/>
          <w:lang w:val="en-US" w:eastAsia="en-US"/>
        </w:rPr>
        <w:t>g</w:t>
      </w:r>
      <w:r w:rsidRPr="00EC5FB5">
        <w:rPr>
          <w:iCs/>
          <w:sz w:val="20"/>
          <w:szCs w:val="20"/>
          <w:lang w:eastAsia="en-US"/>
        </w:rPr>
        <w:t xml:space="preserve"> – у пациентов, получавших барицитиниб в ходе клинических исследований по показанию </w:t>
      </w:r>
      <w:r w:rsidRPr="00EC5FB5">
        <w:rPr>
          <w:iCs/>
          <w:sz w:val="20"/>
          <w:szCs w:val="20"/>
          <w:lang w:val="en-US" w:eastAsia="en-US"/>
        </w:rPr>
        <w:t>COVID</w:t>
      </w:r>
      <w:r w:rsidRPr="00EC5FB5">
        <w:rPr>
          <w:iCs/>
          <w:sz w:val="20"/>
          <w:szCs w:val="20"/>
          <w:lang w:eastAsia="en-US"/>
        </w:rPr>
        <w:t>-19</w:t>
      </w:r>
      <w:r w:rsidR="00AE4CA5">
        <w:rPr>
          <w:iCs/>
          <w:sz w:val="20"/>
          <w:szCs w:val="20"/>
          <w:lang w:eastAsia="en-US"/>
        </w:rPr>
        <w:t>,</w:t>
      </w:r>
      <w:r w:rsidRPr="00EC5FB5">
        <w:rPr>
          <w:iCs/>
          <w:sz w:val="20"/>
          <w:szCs w:val="20"/>
          <w:lang w:eastAsia="en-US"/>
        </w:rPr>
        <w:t xml:space="preserve"> такие нежелательные явления как повышение АЛТ, повышение АСТ, тромбоз глубоких вен и нейтропения встречались часто.</w:t>
      </w:r>
    </w:p>
    <w:p w14:paraId="08525A63" w14:textId="04533753" w:rsidR="00CF6EBF" w:rsidRPr="000811B8" w:rsidRDefault="000F44CE" w:rsidP="00A3301D">
      <w:pPr>
        <w:pStyle w:val="3"/>
        <w:tabs>
          <w:tab w:val="left" w:pos="8647"/>
        </w:tabs>
        <w:spacing w:after="240"/>
        <w:contextualSpacing/>
        <w:rPr>
          <w:color w:val="000000" w:themeColor="text1"/>
        </w:rPr>
      </w:pPr>
      <w:bookmarkStart w:id="231" w:name="_Toc120288198"/>
      <w:bookmarkStart w:id="232" w:name="bookmark5"/>
      <w:bookmarkEnd w:id="230"/>
      <w:r>
        <w:rPr>
          <w:color w:val="000000" w:themeColor="text1"/>
        </w:rPr>
        <w:t>5.3.</w:t>
      </w:r>
      <w:r w:rsidRPr="000F44CE">
        <w:rPr>
          <w:color w:val="000000" w:themeColor="text1"/>
        </w:rPr>
        <w:t>8</w:t>
      </w:r>
      <w:r w:rsidR="00CF6EBF" w:rsidRPr="000811B8">
        <w:rPr>
          <w:color w:val="000000" w:themeColor="text1"/>
        </w:rPr>
        <w:t>. Передозировка</w:t>
      </w:r>
      <w:bookmarkEnd w:id="231"/>
    </w:p>
    <w:p w14:paraId="7A8251F0" w14:textId="6BFBE49E" w:rsidR="00411DA1" w:rsidRPr="0029110D" w:rsidRDefault="00411DA1" w:rsidP="0029110D">
      <w:pPr>
        <w:tabs>
          <w:tab w:val="left" w:pos="8647"/>
        </w:tabs>
        <w:autoSpaceDE w:val="0"/>
        <w:autoSpaceDN w:val="0"/>
        <w:adjustRightInd w:val="0"/>
        <w:spacing w:after="0" w:line="240" w:lineRule="auto"/>
        <w:rPr>
          <w:b/>
          <w:i/>
          <w:iCs/>
          <w:lang w:eastAsia="en-US"/>
        </w:rPr>
      </w:pPr>
      <w:r w:rsidRPr="0029110D">
        <w:rPr>
          <w:b/>
          <w:i/>
          <w:iCs/>
          <w:lang w:eastAsia="en-US"/>
        </w:rPr>
        <w:t>Симптомы</w:t>
      </w:r>
    </w:p>
    <w:p w14:paraId="397E74DD" w14:textId="77777777" w:rsidR="008F28F6" w:rsidRPr="0029110D" w:rsidRDefault="008F28F6" w:rsidP="00A3301D">
      <w:pPr>
        <w:tabs>
          <w:tab w:val="left" w:pos="8647"/>
        </w:tabs>
        <w:autoSpaceDE w:val="0"/>
        <w:autoSpaceDN w:val="0"/>
        <w:adjustRightInd w:val="0"/>
        <w:spacing w:after="0" w:line="240" w:lineRule="auto"/>
        <w:ind w:firstLine="708"/>
        <w:rPr>
          <w:b/>
          <w:iCs/>
          <w:lang w:eastAsia="en-US"/>
        </w:rPr>
      </w:pPr>
    </w:p>
    <w:p w14:paraId="12A04541" w14:textId="77777777" w:rsidR="00411DA1" w:rsidRDefault="000811B8" w:rsidP="00A3301D">
      <w:pPr>
        <w:tabs>
          <w:tab w:val="left" w:pos="8647"/>
        </w:tabs>
        <w:autoSpaceDE w:val="0"/>
        <w:autoSpaceDN w:val="0"/>
        <w:adjustRightInd w:val="0"/>
        <w:spacing w:after="0" w:line="240" w:lineRule="auto"/>
        <w:ind w:firstLine="708"/>
        <w:rPr>
          <w:iCs/>
          <w:lang w:eastAsia="en-US"/>
        </w:rPr>
      </w:pPr>
      <w:r w:rsidRPr="000811B8">
        <w:rPr>
          <w:iCs/>
          <w:lang w:eastAsia="en-US"/>
        </w:rPr>
        <w:t>В ходе клинических исследований разовые дозы до 40 мг и многократные дозы до 20 мг</w:t>
      </w:r>
      <w:r>
        <w:rPr>
          <w:iCs/>
          <w:lang w:eastAsia="en-US"/>
        </w:rPr>
        <w:t xml:space="preserve"> </w:t>
      </w:r>
      <w:r w:rsidRPr="000811B8">
        <w:rPr>
          <w:iCs/>
          <w:lang w:eastAsia="en-US"/>
        </w:rPr>
        <w:t>в</w:t>
      </w:r>
      <w:r>
        <w:rPr>
          <w:iCs/>
          <w:lang w:eastAsia="en-US"/>
        </w:rPr>
        <w:t xml:space="preserve"> </w:t>
      </w:r>
      <w:r w:rsidRPr="000811B8">
        <w:rPr>
          <w:iCs/>
          <w:lang w:eastAsia="en-US"/>
        </w:rPr>
        <w:t>сутки в течение 10 дней не оказывали токсического воздействия. Не было выявлено никакой</w:t>
      </w:r>
      <w:r>
        <w:rPr>
          <w:iCs/>
          <w:lang w:eastAsia="en-US"/>
        </w:rPr>
        <w:t xml:space="preserve"> </w:t>
      </w:r>
      <w:r w:rsidRPr="000811B8">
        <w:rPr>
          <w:iCs/>
          <w:lang w:eastAsia="en-US"/>
        </w:rPr>
        <w:t>специфической токсичности. Данные фармакокинетического исследования применения</w:t>
      </w:r>
      <w:r>
        <w:rPr>
          <w:iCs/>
          <w:lang w:eastAsia="en-US"/>
        </w:rPr>
        <w:t xml:space="preserve"> </w:t>
      </w:r>
      <w:r w:rsidRPr="000811B8">
        <w:rPr>
          <w:iCs/>
          <w:lang w:eastAsia="en-US"/>
        </w:rPr>
        <w:t>однократной дозы 40 мг у здоровых добровольцев показывают, что более 90% вводимой</w:t>
      </w:r>
      <w:r>
        <w:rPr>
          <w:iCs/>
          <w:lang w:eastAsia="en-US"/>
        </w:rPr>
        <w:t xml:space="preserve"> </w:t>
      </w:r>
      <w:r w:rsidRPr="000811B8">
        <w:rPr>
          <w:iCs/>
          <w:lang w:eastAsia="en-US"/>
        </w:rPr>
        <w:t xml:space="preserve">дозы выводится из организма в течение 24 часов. </w:t>
      </w:r>
    </w:p>
    <w:p w14:paraId="3703642A" w14:textId="77777777" w:rsidR="00411DA1" w:rsidRDefault="00411DA1" w:rsidP="00A3301D">
      <w:pPr>
        <w:tabs>
          <w:tab w:val="left" w:pos="8647"/>
        </w:tabs>
        <w:autoSpaceDE w:val="0"/>
        <w:autoSpaceDN w:val="0"/>
        <w:adjustRightInd w:val="0"/>
        <w:spacing w:after="0" w:line="240" w:lineRule="auto"/>
        <w:ind w:firstLine="708"/>
        <w:rPr>
          <w:iCs/>
          <w:lang w:eastAsia="en-US"/>
        </w:rPr>
      </w:pPr>
    </w:p>
    <w:p w14:paraId="486940FD" w14:textId="47CD1ECD" w:rsidR="00411DA1" w:rsidRPr="0029110D" w:rsidRDefault="00411DA1" w:rsidP="0029110D">
      <w:pPr>
        <w:tabs>
          <w:tab w:val="left" w:pos="8647"/>
        </w:tabs>
        <w:autoSpaceDE w:val="0"/>
        <w:autoSpaceDN w:val="0"/>
        <w:adjustRightInd w:val="0"/>
        <w:spacing w:after="0" w:line="240" w:lineRule="auto"/>
        <w:rPr>
          <w:b/>
          <w:i/>
          <w:iCs/>
          <w:lang w:eastAsia="en-US"/>
        </w:rPr>
      </w:pPr>
      <w:r w:rsidRPr="0029110D">
        <w:rPr>
          <w:b/>
          <w:i/>
          <w:iCs/>
          <w:lang w:eastAsia="en-US"/>
        </w:rPr>
        <w:t>Лечение</w:t>
      </w:r>
    </w:p>
    <w:p w14:paraId="23238966" w14:textId="77777777" w:rsidR="008F28F6" w:rsidRPr="0029110D" w:rsidRDefault="008F28F6" w:rsidP="00A3301D">
      <w:pPr>
        <w:tabs>
          <w:tab w:val="left" w:pos="8647"/>
        </w:tabs>
        <w:autoSpaceDE w:val="0"/>
        <w:autoSpaceDN w:val="0"/>
        <w:adjustRightInd w:val="0"/>
        <w:spacing w:after="0" w:line="240" w:lineRule="auto"/>
        <w:ind w:firstLine="708"/>
        <w:rPr>
          <w:b/>
          <w:iCs/>
          <w:lang w:eastAsia="en-US"/>
        </w:rPr>
      </w:pPr>
    </w:p>
    <w:p w14:paraId="5A624208" w14:textId="08EF0481" w:rsidR="00430098" w:rsidRPr="002B7989" w:rsidRDefault="000811B8" w:rsidP="00A3301D">
      <w:pPr>
        <w:tabs>
          <w:tab w:val="left" w:pos="8647"/>
        </w:tabs>
        <w:autoSpaceDE w:val="0"/>
        <w:autoSpaceDN w:val="0"/>
        <w:adjustRightInd w:val="0"/>
        <w:spacing w:after="0" w:line="240" w:lineRule="auto"/>
        <w:ind w:firstLine="708"/>
        <w:rPr>
          <w:iCs/>
          <w:highlight w:val="yellow"/>
          <w:lang w:eastAsia="en-US"/>
        </w:rPr>
      </w:pPr>
      <w:r w:rsidRPr="000811B8">
        <w:rPr>
          <w:iCs/>
          <w:lang w:eastAsia="en-US"/>
        </w:rPr>
        <w:t>В случае передозировки рекомендуется</w:t>
      </w:r>
      <w:r>
        <w:rPr>
          <w:iCs/>
          <w:lang w:eastAsia="en-US"/>
        </w:rPr>
        <w:t xml:space="preserve"> </w:t>
      </w:r>
      <w:r w:rsidRPr="000811B8">
        <w:rPr>
          <w:iCs/>
          <w:lang w:eastAsia="en-US"/>
        </w:rPr>
        <w:t>следить за наличием у</w:t>
      </w:r>
      <w:r>
        <w:rPr>
          <w:iCs/>
          <w:lang w:eastAsia="en-US"/>
        </w:rPr>
        <w:t xml:space="preserve"> </w:t>
      </w:r>
      <w:r w:rsidRPr="000811B8">
        <w:rPr>
          <w:iCs/>
          <w:lang w:eastAsia="en-US"/>
        </w:rPr>
        <w:t>пациента признаков и симптомов нежелательных реакций. В случае</w:t>
      </w:r>
      <w:r>
        <w:rPr>
          <w:iCs/>
          <w:lang w:eastAsia="en-US"/>
        </w:rPr>
        <w:t xml:space="preserve"> </w:t>
      </w:r>
      <w:r w:rsidRPr="000811B8">
        <w:rPr>
          <w:iCs/>
          <w:lang w:eastAsia="en-US"/>
        </w:rPr>
        <w:t>развития нежелательных реакций необходимо проводить соответствующее лечение</w:t>
      </w:r>
      <w:r>
        <w:rPr>
          <w:iCs/>
          <w:lang w:eastAsia="en-US"/>
        </w:rPr>
        <w:t xml:space="preserve">. </w:t>
      </w:r>
    </w:p>
    <w:p w14:paraId="495B0BF9" w14:textId="1EC70B47" w:rsidR="00CF6EBF" w:rsidRPr="000811B8" w:rsidRDefault="000F44CE" w:rsidP="00A3301D">
      <w:pPr>
        <w:pStyle w:val="3"/>
        <w:tabs>
          <w:tab w:val="left" w:pos="8647"/>
        </w:tabs>
        <w:spacing w:after="240"/>
        <w:contextualSpacing/>
        <w:rPr>
          <w:color w:val="000000" w:themeColor="text1"/>
        </w:rPr>
      </w:pPr>
      <w:bookmarkStart w:id="233" w:name="_Toc120288199"/>
      <w:r>
        <w:rPr>
          <w:color w:val="000000" w:themeColor="text1"/>
        </w:rPr>
        <w:lastRenderedPageBreak/>
        <w:t>5.3.</w:t>
      </w:r>
      <w:r w:rsidRPr="005B11AD">
        <w:rPr>
          <w:color w:val="000000" w:themeColor="text1"/>
        </w:rPr>
        <w:t>9</w:t>
      </w:r>
      <w:r w:rsidR="00CF6EBF" w:rsidRPr="000811B8">
        <w:rPr>
          <w:color w:val="000000" w:themeColor="text1"/>
        </w:rPr>
        <w:t xml:space="preserve">. </w:t>
      </w:r>
      <w:r w:rsidR="00CF6EBF" w:rsidRPr="000811B8">
        <w:rPr>
          <w:rFonts w:eastAsia="Courier New"/>
          <w:szCs w:val="24"/>
          <w:lang w:eastAsia="ru-RU" w:bidi="ru-RU"/>
        </w:rPr>
        <w:t>Взаимодействие с другими лекарственными средствами</w:t>
      </w:r>
      <w:bookmarkEnd w:id="233"/>
    </w:p>
    <w:p w14:paraId="425A1593" w14:textId="1F980D4B" w:rsidR="00A3301D" w:rsidRPr="00AB1FF1" w:rsidRDefault="00A3301D" w:rsidP="0029110D">
      <w:pPr>
        <w:tabs>
          <w:tab w:val="left" w:pos="8647"/>
        </w:tabs>
        <w:spacing w:after="0" w:line="240" w:lineRule="auto"/>
        <w:contextualSpacing/>
        <w:rPr>
          <w:b/>
          <w:iCs/>
        </w:rPr>
      </w:pPr>
      <w:bookmarkStart w:id="234" w:name="bookmark6"/>
      <w:bookmarkEnd w:id="232"/>
      <w:r w:rsidRPr="00AB1FF1">
        <w:rPr>
          <w:b/>
          <w:iCs/>
        </w:rPr>
        <w:t>Фармакодинамические взаимодействия</w:t>
      </w:r>
    </w:p>
    <w:p w14:paraId="0B5BDACA" w14:textId="77777777" w:rsidR="002150D3" w:rsidRDefault="002150D3" w:rsidP="00A3301D">
      <w:pPr>
        <w:tabs>
          <w:tab w:val="left" w:pos="8647"/>
        </w:tabs>
        <w:spacing w:after="0" w:line="240" w:lineRule="auto"/>
        <w:ind w:left="17" w:firstLine="691"/>
        <w:contextualSpacing/>
        <w:rPr>
          <w:i/>
          <w:iCs/>
        </w:rPr>
      </w:pPr>
    </w:p>
    <w:p w14:paraId="272A6112" w14:textId="6A7AFD7F" w:rsidR="000811B8" w:rsidRPr="00AB1FF1" w:rsidRDefault="000811B8" w:rsidP="0029110D">
      <w:pPr>
        <w:tabs>
          <w:tab w:val="left" w:pos="8647"/>
        </w:tabs>
        <w:spacing w:after="0" w:line="240" w:lineRule="auto"/>
        <w:contextualSpacing/>
        <w:rPr>
          <w:b/>
          <w:i/>
          <w:iCs/>
        </w:rPr>
      </w:pPr>
      <w:r w:rsidRPr="00AB1FF1">
        <w:rPr>
          <w:b/>
          <w:i/>
          <w:iCs/>
        </w:rPr>
        <w:t>Иммунодепрессанты</w:t>
      </w:r>
    </w:p>
    <w:p w14:paraId="61AC90DD" w14:textId="77777777" w:rsidR="0029110D" w:rsidRDefault="0029110D" w:rsidP="00A3301D">
      <w:pPr>
        <w:tabs>
          <w:tab w:val="left" w:pos="8647"/>
        </w:tabs>
        <w:spacing w:after="0" w:line="240" w:lineRule="auto"/>
        <w:ind w:left="17" w:firstLine="691"/>
        <w:contextualSpacing/>
      </w:pPr>
    </w:p>
    <w:p w14:paraId="36311540" w14:textId="5C4517BD" w:rsidR="000811B8" w:rsidRDefault="000811B8" w:rsidP="00A3301D">
      <w:pPr>
        <w:tabs>
          <w:tab w:val="left" w:pos="8647"/>
        </w:tabs>
        <w:spacing w:after="0" w:line="240" w:lineRule="auto"/>
        <w:ind w:left="17" w:firstLine="691"/>
        <w:contextualSpacing/>
      </w:pPr>
      <w:r>
        <w:t xml:space="preserve">Взаимодействие с биологическими базисными противоревматическими препаратами, биологическими иммуномодуляторами или другими ингибиторами </w:t>
      </w:r>
      <w:r>
        <w:rPr>
          <w:lang w:val="en-US"/>
        </w:rPr>
        <w:t>JAK</w:t>
      </w:r>
      <w:r>
        <w:t>-киназы не изучалось. При проведении клинических исследований по показанию ревматоидный артрит применение барицитиниба в комбинации с мощными иммунодепрессантами, такими как азатиоприн, такролимус или циклоспорин, было ограничено, поэтому невозможно исключить риск аддитивной иммуносупрессии. Применение барицитиниба по показаниям атопический дерматит и очаговая алопеция в комбинации с циклоспорином или другими мощными иммунодепрессантами не изучалось, и поэтому не рекомендуется.</w:t>
      </w:r>
    </w:p>
    <w:p w14:paraId="4DDC1DED" w14:textId="77777777" w:rsidR="000811B8" w:rsidRDefault="000811B8" w:rsidP="000811B8">
      <w:pPr>
        <w:tabs>
          <w:tab w:val="left" w:pos="8647"/>
        </w:tabs>
        <w:spacing w:after="0" w:line="240" w:lineRule="auto"/>
        <w:ind w:left="17" w:firstLine="691"/>
      </w:pPr>
    </w:p>
    <w:p w14:paraId="22632826" w14:textId="1AB1FABD" w:rsidR="000811B8" w:rsidRPr="00AB1FF1" w:rsidRDefault="000811B8" w:rsidP="0029110D">
      <w:pPr>
        <w:tabs>
          <w:tab w:val="left" w:pos="8647"/>
        </w:tabs>
        <w:spacing w:after="0" w:line="240" w:lineRule="auto"/>
        <w:ind w:left="17"/>
        <w:rPr>
          <w:b/>
          <w:iCs/>
        </w:rPr>
      </w:pPr>
      <w:r w:rsidRPr="00AB1FF1">
        <w:rPr>
          <w:b/>
          <w:iCs/>
        </w:rPr>
        <w:t>Влияние других лекарственных препаратов на фармакокинетику барицитиниба</w:t>
      </w:r>
    </w:p>
    <w:p w14:paraId="3AD3BD17" w14:textId="77777777" w:rsidR="002150D3" w:rsidRDefault="002150D3" w:rsidP="00AB1FF1">
      <w:pPr>
        <w:tabs>
          <w:tab w:val="left" w:pos="8647"/>
        </w:tabs>
        <w:spacing w:after="0" w:line="240" w:lineRule="auto"/>
        <w:rPr>
          <w:i/>
          <w:iCs/>
        </w:rPr>
      </w:pPr>
    </w:p>
    <w:p w14:paraId="5107FFB6" w14:textId="53107E8D" w:rsidR="000811B8" w:rsidRPr="00AB1FF1" w:rsidRDefault="000811B8" w:rsidP="00AB1FF1">
      <w:pPr>
        <w:tabs>
          <w:tab w:val="left" w:pos="8647"/>
        </w:tabs>
        <w:spacing w:after="0" w:line="240" w:lineRule="auto"/>
        <w:rPr>
          <w:b/>
          <w:i/>
          <w:iCs/>
        </w:rPr>
      </w:pPr>
      <w:r w:rsidRPr="00AB1FF1">
        <w:rPr>
          <w:b/>
          <w:i/>
          <w:iCs/>
        </w:rPr>
        <w:t>Транспортеры</w:t>
      </w:r>
    </w:p>
    <w:p w14:paraId="3A4E81EB" w14:textId="77777777" w:rsidR="0029110D" w:rsidRDefault="0029110D" w:rsidP="000811B8">
      <w:pPr>
        <w:tabs>
          <w:tab w:val="left" w:pos="8647"/>
        </w:tabs>
        <w:spacing w:after="0" w:line="240" w:lineRule="auto"/>
        <w:ind w:left="17" w:firstLine="691"/>
        <w:rPr>
          <w:i/>
          <w:iCs/>
          <w:lang w:val="en-US"/>
        </w:rPr>
      </w:pPr>
    </w:p>
    <w:p w14:paraId="346555A0" w14:textId="3B40A6DF" w:rsidR="000811B8" w:rsidRDefault="007F72CA" w:rsidP="000811B8">
      <w:pPr>
        <w:tabs>
          <w:tab w:val="left" w:pos="8647"/>
        </w:tabs>
        <w:spacing w:after="0" w:line="240" w:lineRule="auto"/>
        <w:ind w:left="17" w:firstLine="691"/>
      </w:pPr>
      <w:r w:rsidRPr="000811B8">
        <w:rPr>
          <w:i/>
          <w:iCs/>
          <w:lang w:val="en-US"/>
        </w:rPr>
        <w:t>In</w:t>
      </w:r>
      <w:r w:rsidRPr="000811B8">
        <w:rPr>
          <w:i/>
          <w:iCs/>
        </w:rPr>
        <w:t xml:space="preserve"> </w:t>
      </w:r>
      <w:r w:rsidRPr="000811B8">
        <w:rPr>
          <w:i/>
          <w:iCs/>
          <w:lang w:val="en-US"/>
        </w:rPr>
        <w:t>vitro</w:t>
      </w:r>
      <w:r>
        <w:t xml:space="preserve"> барицитиниб является субстратом для транспортеров органических анионов (ОАТ) 3, Р-гликопротеина, белка резистентности рака молочной железы (ВС</w:t>
      </w:r>
      <w:r>
        <w:rPr>
          <w:lang w:val="en-US"/>
        </w:rPr>
        <w:t>R</w:t>
      </w:r>
      <w:r>
        <w:t>Р) и белков множественной резистентности и выведения токсинов (МАТЕ) 2-К. При проведении фармакологического исследования применение пробенецида (ингибитора ОАТЗ с сильным ингибирующим действием) приводило к приблизительно двукратному увеличению А</w:t>
      </w:r>
      <w:r>
        <w:rPr>
          <w:lang w:val="en-US"/>
        </w:rPr>
        <w:t>UC</w:t>
      </w:r>
      <w:r>
        <w:rPr>
          <w:vertAlign w:val="subscript"/>
        </w:rPr>
        <w:t>0-∞</w:t>
      </w:r>
      <w:r>
        <w:t xml:space="preserve"> без изменения </w:t>
      </w:r>
      <w:r>
        <w:rPr>
          <w:lang w:val="en-US"/>
        </w:rPr>
        <w:t>T</w:t>
      </w:r>
      <w:r w:rsidRPr="00AB1FF1">
        <w:rPr>
          <w:vertAlign w:val="subscript"/>
          <w:lang w:val="en-US"/>
        </w:rPr>
        <w:t>max</w:t>
      </w:r>
      <w:r>
        <w:t xml:space="preserve"> или С</w:t>
      </w:r>
      <w:r w:rsidRPr="00AB1FF1">
        <w:rPr>
          <w:vertAlign w:val="subscript"/>
          <w:lang w:val="en-US"/>
        </w:rPr>
        <w:t>m</w:t>
      </w:r>
      <w:r w:rsidRPr="00AB1FF1">
        <w:rPr>
          <w:vertAlign w:val="subscript"/>
        </w:rPr>
        <w:t>ах</w:t>
      </w:r>
      <w:r>
        <w:t xml:space="preserve"> барицитиниба. </w:t>
      </w:r>
      <w:r w:rsidR="000811B8">
        <w:t>Следовательно, у пациентов, которые принимают ингибиторы ОАТЗ с сильной ингибирующей активностью, такие как пробенецид, рекомендуемая доза барицитиниба составляет 2 мг один раз в сутки. Фармакологические исследования с применением ингибиторов ОАТЗ с меньшей ингибирующей активностью не проводились. Пролекарство лефлуномид быстро превращается в активную форму терифлуномид, который является слабым ингибитором ОАТЗ и, следовательно, может привести к увеличению экспозиции барицитиниба. Поскольку исследования указанного взаимодействия не проводились, следует соблюдать осторожность при одновременном назначении лефлуномида или терифлуномида с барицитинибом. Сопутствующее применение ингибиторов ОАТЗ ибупрофена и диклофенака с барицитинибом может привести к увеличению экспозиции барицитиниба. Однако ингибирующая активность ибупрофена и диклофенака в отношении ОАТЗ не является столь выраженной как у пробенецида, и поэтому не ожидается клинически значимого взаимодействия. Комбинированное применение барицитиниба с циклоспорином (ингибитором Рер/ВСКР) или метотрексатом (субстратом для нескольких транспортеров, включая ОАТР1В1, ОАТТ, ОАТЗ, ВСКР, МКР2, МКРЗ и МКРА4 (белки, ассоциированные с множественной лекарственной резистентностью)) не имело клинически значимого влияния на экспозицию барицитиниба.</w:t>
      </w:r>
    </w:p>
    <w:p w14:paraId="5CEE06A6" w14:textId="77777777" w:rsidR="000811B8" w:rsidRDefault="000811B8" w:rsidP="000811B8">
      <w:pPr>
        <w:tabs>
          <w:tab w:val="left" w:pos="8647"/>
        </w:tabs>
        <w:spacing w:after="0" w:line="240" w:lineRule="auto"/>
        <w:ind w:left="17" w:firstLine="691"/>
      </w:pPr>
    </w:p>
    <w:p w14:paraId="2E92A648" w14:textId="77777777" w:rsidR="000811B8" w:rsidRPr="00AB1FF1" w:rsidRDefault="000811B8" w:rsidP="0029110D">
      <w:pPr>
        <w:tabs>
          <w:tab w:val="left" w:pos="8647"/>
        </w:tabs>
        <w:spacing w:after="0" w:line="240" w:lineRule="auto"/>
        <w:rPr>
          <w:b/>
          <w:i/>
          <w:iCs/>
        </w:rPr>
      </w:pPr>
      <w:r w:rsidRPr="00AB1FF1">
        <w:rPr>
          <w:b/>
          <w:i/>
          <w:iCs/>
        </w:rPr>
        <w:t>Изоферменты цитохрома Р450</w:t>
      </w:r>
    </w:p>
    <w:p w14:paraId="4191E463" w14:textId="77777777" w:rsidR="0029110D" w:rsidRDefault="0029110D" w:rsidP="000811B8">
      <w:pPr>
        <w:tabs>
          <w:tab w:val="left" w:pos="8647"/>
        </w:tabs>
        <w:spacing w:after="0" w:line="240" w:lineRule="auto"/>
        <w:ind w:left="17" w:firstLine="691"/>
      </w:pPr>
    </w:p>
    <w:p w14:paraId="2CBE16E5" w14:textId="1177F22A" w:rsidR="000811B8" w:rsidRDefault="000811B8" w:rsidP="000811B8">
      <w:pPr>
        <w:tabs>
          <w:tab w:val="left" w:pos="8647"/>
        </w:tabs>
        <w:spacing w:after="0" w:line="240" w:lineRule="auto"/>
        <w:ind w:left="17" w:firstLine="691"/>
      </w:pPr>
      <w:r>
        <w:t xml:space="preserve">В условиях </w:t>
      </w:r>
      <w:r w:rsidRPr="000811B8">
        <w:rPr>
          <w:i/>
          <w:iCs/>
          <w:lang w:val="en-US"/>
        </w:rPr>
        <w:t>in</w:t>
      </w:r>
      <w:r w:rsidRPr="000811B8">
        <w:rPr>
          <w:i/>
          <w:iCs/>
        </w:rPr>
        <w:t xml:space="preserve"> </w:t>
      </w:r>
      <w:r w:rsidRPr="000811B8">
        <w:rPr>
          <w:i/>
          <w:iCs/>
          <w:lang w:val="en-US"/>
        </w:rPr>
        <w:t>vitro</w:t>
      </w:r>
      <w:r>
        <w:t xml:space="preserve"> барицитиниб является субстратом изофермента цитохрома С</w:t>
      </w:r>
      <w:r>
        <w:rPr>
          <w:lang w:val="en-US"/>
        </w:rPr>
        <w:t>Y</w:t>
      </w:r>
      <w:r>
        <w:t xml:space="preserve">РЗА4, хотя менее 10% всей дозы метаболизируется путем окисления. При проведении </w:t>
      </w:r>
      <w:r>
        <w:lastRenderedPageBreak/>
        <w:t>фармакологических исследований комбинированное применение барицитиниба с кетоконазолом (сильным ингибитором С</w:t>
      </w:r>
      <w:r>
        <w:rPr>
          <w:lang w:val="en-US"/>
        </w:rPr>
        <w:t>Y</w:t>
      </w:r>
      <w:r>
        <w:t>РЗА4) не оказывало клинически значимого влияния на фармакокинетику барицитиниба. Комбинированное применение барицитиниба</w:t>
      </w:r>
      <w:r w:rsidRPr="000811B8">
        <w:t xml:space="preserve"> </w:t>
      </w:r>
      <w:r>
        <w:t>с флуконазолом (ингибитором С</w:t>
      </w:r>
      <w:r>
        <w:rPr>
          <w:lang w:val="en-US"/>
        </w:rPr>
        <w:t>Y</w:t>
      </w:r>
      <w:r>
        <w:t>РЗА/С</w:t>
      </w:r>
      <w:r>
        <w:rPr>
          <w:lang w:val="en-US"/>
        </w:rPr>
        <w:t>Y</w:t>
      </w:r>
      <w:r>
        <w:t>Р2С19/С</w:t>
      </w:r>
      <w:r>
        <w:rPr>
          <w:lang w:val="en-US"/>
        </w:rPr>
        <w:t>Y</w:t>
      </w:r>
      <w:r>
        <w:t>Р2С9 с умеренной активностью) или</w:t>
      </w:r>
      <w:r w:rsidRPr="000811B8">
        <w:t xml:space="preserve"> </w:t>
      </w:r>
      <w:r>
        <w:t>рифампицином (сильным индуктором С</w:t>
      </w:r>
      <w:r>
        <w:rPr>
          <w:lang w:val="en-US"/>
        </w:rPr>
        <w:t>Y</w:t>
      </w:r>
      <w:r>
        <w:t>РЗА) не приводило к клинически значимым</w:t>
      </w:r>
      <w:r w:rsidRPr="000811B8">
        <w:t xml:space="preserve"> </w:t>
      </w:r>
      <w:r>
        <w:t>изменениям экспозиции барицитиниба.</w:t>
      </w:r>
    </w:p>
    <w:p w14:paraId="5A61648C" w14:textId="77777777" w:rsidR="000811B8" w:rsidRDefault="000811B8" w:rsidP="000811B8">
      <w:pPr>
        <w:tabs>
          <w:tab w:val="left" w:pos="8647"/>
        </w:tabs>
        <w:spacing w:after="0" w:line="240" w:lineRule="auto"/>
        <w:ind w:left="17" w:firstLine="691"/>
      </w:pPr>
    </w:p>
    <w:p w14:paraId="13810841" w14:textId="77777777" w:rsidR="000811B8" w:rsidRPr="00AB1FF1" w:rsidRDefault="000811B8" w:rsidP="0029110D">
      <w:pPr>
        <w:tabs>
          <w:tab w:val="left" w:pos="8647"/>
        </w:tabs>
        <w:spacing w:after="0" w:line="240" w:lineRule="auto"/>
        <w:rPr>
          <w:b/>
          <w:i/>
          <w:iCs/>
        </w:rPr>
      </w:pPr>
      <w:r w:rsidRPr="00AB1FF1">
        <w:rPr>
          <w:b/>
          <w:i/>
          <w:iCs/>
        </w:rPr>
        <w:t>Лекарственные препараты, влияющие на рН желудочного сока</w:t>
      </w:r>
    </w:p>
    <w:p w14:paraId="49FE3EF0" w14:textId="77777777" w:rsidR="0029110D" w:rsidRDefault="0029110D" w:rsidP="000811B8">
      <w:pPr>
        <w:tabs>
          <w:tab w:val="left" w:pos="8647"/>
        </w:tabs>
        <w:spacing w:after="0" w:line="240" w:lineRule="auto"/>
        <w:ind w:left="17" w:firstLine="691"/>
      </w:pPr>
    </w:p>
    <w:p w14:paraId="512AB4FD" w14:textId="6CDF34EC" w:rsidR="000811B8" w:rsidRDefault="000811B8" w:rsidP="000811B8">
      <w:pPr>
        <w:tabs>
          <w:tab w:val="left" w:pos="8647"/>
        </w:tabs>
        <w:spacing w:after="0" w:line="240" w:lineRule="auto"/>
        <w:ind w:left="17" w:firstLine="691"/>
      </w:pPr>
      <w:r>
        <w:t>Повышение рН желудочного сока при применении омепразола не имело клинически</w:t>
      </w:r>
      <w:r w:rsidRPr="000811B8">
        <w:t xml:space="preserve"> </w:t>
      </w:r>
      <w:r>
        <w:t>значимого влияния на экспозицию барицитиниба.</w:t>
      </w:r>
    </w:p>
    <w:p w14:paraId="296C20D0" w14:textId="77777777" w:rsidR="000811B8" w:rsidRDefault="000811B8" w:rsidP="000811B8">
      <w:pPr>
        <w:tabs>
          <w:tab w:val="left" w:pos="8647"/>
        </w:tabs>
        <w:spacing w:after="0" w:line="240" w:lineRule="auto"/>
        <w:ind w:left="17" w:firstLine="691"/>
      </w:pPr>
    </w:p>
    <w:p w14:paraId="6E6E3802" w14:textId="2D084C37" w:rsidR="000811B8" w:rsidRPr="00AB1FF1" w:rsidRDefault="000811B8" w:rsidP="00AB1FF1">
      <w:pPr>
        <w:tabs>
          <w:tab w:val="left" w:pos="8647"/>
        </w:tabs>
        <w:spacing w:after="0" w:line="240" w:lineRule="auto"/>
        <w:rPr>
          <w:b/>
          <w:iCs/>
        </w:rPr>
      </w:pPr>
      <w:r w:rsidRPr="00AB1FF1">
        <w:rPr>
          <w:b/>
          <w:iCs/>
        </w:rPr>
        <w:t>Влияние барицитиниба на фармакокинетику других лекарственных препаратов</w:t>
      </w:r>
    </w:p>
    <w:p w14:paraId="5F049225" w14:textId="77777777" w:rsidR="002150D3" w:rsidRDefault="002150D3" w:rsidP="00AB1FF1">
      <w:pPr>
        <w:tabs>
          <w:tab w:val="left" w:pos="8647"/>
        </w:tabs>
        <w:spacing w:after="0" w:line="240" w:lineRule="auto"/>
        <w:rPr>
          <w:i/>
          <w:iCs/>
        </w:rPr>
      </w:pPr>
    </w:p>
    <w:p w14:paraId="1567865C" w14:textId="45DD8A04" w:rsidR="000811B8" w:rsidRPr="00AB1FF1" w:rsidRDefault="000811B8" w:rsidP="00AB1FF1">
      <w:pPr>
        <w:tabs>
          <w:tab w:val="left" w:pos="8647"/>
        </w:tabs>
        <w:spacing w:after="0" w:line="240" w:lineRule="auto"/>
        <w:rPr>
          <w:b/>
        </w:rPr>
      </w:pPr>
      <w:r w:rsidRPr="00AB1FF1">
        <w:rPr>
          <w:b/>
          <w:i/>
          <w:iCs/>
        </w:rPr>
        <w:t>Транспортеры</w:t>
      </w:r>
    </w:p>
    <w:p w14:paraId="6B98DBB7" w14:textId="77777777" w:rsidR="0029110D" w:rsidRDefault="0029110D" w:rsidP="000811B8">
      <w:pPr>
        <w:tabs>
          <w:tab w:val="left" w:pos="8647"/>
        </w:tabs>
        <w:spacing w:after="0" w:line="240" w:lineRule="auto"/>
        <w:ind w:left="17" w:firstLine="691"/>
      </w:pPr>
    </w:p>
    <w:p w14:paraId="77277D54" w14:textId="33555489" w:rsidR="000811B8" w:rsidRDefault="000811B8" w:rsidP="000811B8">
      <w:pPr>
        <w:tabs>
          <w:tab w:val="left" w:pos="8647"/>
        </w:tabs>
        <w:spacing w:after="0" w:line="240" w:lineRule="auto"/>
        <w:ind w:left="17" w:firstLine="691"/>
      </w:pPr>
      <w:r>
        <w:t xml:space="preserve">В условиях </w:t>
      </w:r>
      <w:r w:rsidRPr="000811B8">
        <w:rPr>
          <w:i/>
          <w:iCs/>
          <w:lang w:val="en-US"/>
        </w:rPr>
        <w:t>in</w:t>
      </w:r>
      <w:r w:rsidRPr="000811B8">
        <w:rPr>
          <w:i/>
          <w:iCs/>
        </w:rPr>
        <w:t xml:space="preserve"> </w:t>
      </w:r>
      <w:r w:rsidRPr="000811B8">
        <w:rPr>
          <w:i/>
          <w:iCs/>
          <w:lang w:val="en-US"/>
        </w:rPr>
        <w:t>vitro</w:t>
      </w:r>
      <w:r>
        <w:t>, барицитиниб в клинически значимых концентрациях не является ингибитором ОАТ1, ОАТ2, ОАТЗ, транспортера органических катионов (ОСТ) 2, ОАТР1В1, ОАТР1ВЗ, ВСКР, МАТЕ] и МАТЕ2-К. Барицитиниб может быть ингибитором ОСТ1, однако в настоящее время нет известных селективных субстратов ОСТ1, для которых можно предсказать клинически значимые взаимодействия. При проведении фармакологических исследований не было выявлено клинически значимых взаимодействий барицитиниба с дигоксином (субстратом Р-гликопротеин) или метотрексатом (субстратом нескольких транспортеров).</w:t>
      </w:r>
    </w:p>
    <w:p w14:paraId="379307BE" w14:textId="77777777" w:rsidR="000811B8" w:rsidRDefault="000811B8" w:rsidP="000811B8">
      <w:pPr>
        <w:tabs>
          <w:tab w:val="left" w:pos="8647"/>
        </w:tabs>
        <w:spacing w:after="0" w:line="240" w:lineRule="auto"/>
        <w:ind w:left="17" w:firstLine="691"/>
      </w:pPr>
    </w:p>
    <w:p w14:paraId="40FFE45F" w14:textId="52523A4A" w:rsidR="000811B8" w:rsidRPr="00AB1FF1" w:rsidRDefault="000811B8" w:rsidP="0029110D">
      <w:pPr>
        <w:tabs>
          <w:tab w:val="left" w:pos="8647"/>
        </w:tabs>
        <w:spacing w:after="0" w:line="240" w:lineRule="auto"/>
        <w:rPr>
          <w:b/>
          <w:i/>
          <w:iCs/>
        </w:rPr>
      </w:pPr>
      <w:r w:rsidRPr="00AB1FF1">
        <w:rPr>
          <w:b/>
          <w:i/>
          <w:iCs/>
        </w:rPr>
        <w:t>Изоферменты цитохрома Р450</w:t>
      </w:r>
    </w:p>
    <w:p w14:paraId="25CFA031" w14:textId="77777777" w:rsidR="0029110D" w:rsidRDefault="0029110D">
      <w:pPr>
        <w:tabs>
          <w:tab w:val="left" w:pos="8647"/>
        </w:tabs>
        <w:spacing w:after="0" w:line="240" w:lineRule="auto"/>
        <w:ind w:left="17" w:firstLine="691"/>
      </w:pPr>
    </w:p>
    <w:p w14:paraId="6F908381" w14:textId="07175975" w:rsidR="000811B8" w:rsidRDefault="000811B8">
      <w:pPr>
        <w:tabs>
          <w:tab w:val="left" w:pos="8647"/>
        </w:tabs>
        <w:spacing w:after="0" w:line="240" w:lineRule="auto"/>
        <w:ind w:left="17" w:firstLine="691"/>
      </w:pPr>
      <w:r>
        <w:t>При проведении фармакологических исследований комбинированное применение барицитиниба с субстратами С</w:t>
      </w:r>
      <w:r>
        <w:rPr>
          <w:lang w:val="en-US"/>
        </w:rPr>
        <w:t>Y</w:t>
      </w:r>
      <w:r>
        <w:t>РЗА (симвастатином, этинилэстрадиолом или левоноргестрелом) не было причиной клинически значимых изменений фармакокинетики этих лекарственных препаратов.</w:t>
      </w:r>
    </w:p>
    <w:p w14:paraId="67712323" w14:textId="77777777" w:rsidR="002150D3" w:rsidRDefault="002150D3">
      <w:pPr>
        <w:tabs>
          <w:tab w:val="left" w:pos="8647"/>
        </w:tabs>
        <w:spacing w:after="0" w:line="240" w:lineRule="auto"/>
        <w:ind w:left="17" w:firstLine="691"/>
      </w:pPr>
    </w:p>
    <w:p w14:paraId="49225D18" w14:textId="51585E05" w:rsidR="00CF6EBF" w:rsidRPr="008111BB" w:rsidRDefault="000F44CE" w:rsidP="00AB1FF1">
      <w:pPr>
        <w:pStyle w:val="3"/>
        <w:tabs>
          <w:tab w:val="left" w:pos="8647"/>
        </w:tabs>
        <w:spacing w:before="0" w:after="240"/>
        <w:rPr>
          <w:color w:val="000000" w:themeColor="text1"/>
        </w:rPr>
      </w:pPr>
      <w:bookmarkStart w:id="235" w:name="_Toc120288200"/>
      <w:bookmarkEnd w:id="234"/>
      <w:r>
        <w:rPr>
          <w:color w:val="000000" w:themeColor="text1"/>
        </w:rPr>
        <w:t>5.3.</w:t>
      </w:r>
      <w:r w:rsidRPr="005B11AD">
        <w:rPr>
          <w:color w:val="000000" w:themeColor="text1"/>
        </w:rPr>
        <w:t>10</w:t>
      </w:r>
      <w:r w:rsidR="00CF6EBF" w:rsidRPr="008111BB">
        <w:rPr>
          <w:color w:val="000000" w:themeColor="text1"/>
        </w:rPr>
        <w:t xml:space="preserve">. </w:t>
      </w:r>
      <w:r w:rsidR="00CF6EBF" w:rsidRPr="008111BB">
        <w:rPr>
          <w:rFonts w:eastAsia="Courier New"/>
          <w:szCs w:val="24"/>
          <w:lang w:eastAsia="ru-RU" w:bidi="ru-RU"/>
        </w:rPr>
        <w:t>Особые указания</w:t>
      </w:r>
      <w:bookmarkEnd w:id="235"/>
    </w:p>
    <w:p w14:paraId="2286270C" w14:textId="77777777" w:rsidR="000811B8" w:rsidRPr="00AB1FF1" w:rsidRDefault="000811B8" w:rsidP="0029110D">
      <w:pPr>
        <w:tabs>
          <w:tab w:val="left" w:pos="8647"/>
        </w:tabs>
        <w:spacing w:after="0" w:line="240" w:lineRule="auto"/>
        <w:rPr>
          <w:b/>
          <w:bCs/>
        </w:rPr>
      </w:pPr>
      <w:r w:rsidRPr="00AB1FF1">
        <w:rPr>
          <w:b/>
          <w:bCs/>
        </w:rPr>
        <w:t>Инфекции</w:t>
      </w:r>
    </w:p>
    <w:p w14:paraId="3B86B762" w14:textId="77777777" w:rsidR="002150D3" w:rsidRDefault="002150D3">
      <w:pPr>
        <w:tabs>
          <w:tab w:val="left" w:pos="8647"/>
        </w:tabs>
        <w:spacing w:after="0" w:line="240" w:lineRule="auto"/>
        <w:ind w:firstLine="709"/>
        <w:rPr>
          <w:bCs/>
          <w:iCs/>
        </w:rPr>
      </w:pPr>
    </w:p>
    <w:p w14:paraId="3C9AA156" w14:textId="088D9B2D" w:rsidR="000811B8" w:rsidRPr="000811B8" w:rsidRDefault="000811B8">
      <w:pPr>
        <w:tabs>
          <w:tab w:val="left" w:pos="8647"/>
        </w:tabs>
        <w:spacing w:after="0" w:line="240" w:lineRule="auto"/>
        <w:ind w:firstLine="709"/>
        <w:rPr>
          <w:bCs/>
          <w:iCs/>
        </w:rPr>
      </w:pPr>
      <w:r w:rsidRPr="000811B8">
        <w:rPr>
          <w:bCs/>
          <w:iCs/>
        </w:rPr>
        <w:t>Частота развития инфекций, в частности инфекций верхних дыхательных путей, выше при</w:t>
      </w:r>
      <w:r w:rsidR="008111BB">
        <w:rPr>
          <w:bCs/>
          <w:iCs/>
        </w:rPr>
        <w:t xml:space="preserve"> </w:t>
      </w:r>
      <w:r w:rsidRPr="000811B8">
        <w:rPr>
          <w:bCs/>
          <w:iCs/>
        </w:rPr>
        <w:t>применении барицитиниба, чем при применении плацебо. В ходе клинических исследований по показанию ревматоидный артрит при</w:t>
      </w:r>
      <w:r w:rsidR="008111BB">
        <w:rPr>
          <w:bCs/>
          <w:iCs/>
        </w:rPr>
        <w:t xml:space="preserve"> </w:t>
      </w:r>
      <w:r w:rsidRPr="000811B8">
        <w:rPr>
          <w:bCs/>
          <w:iCs/>
        </w:rPr>
        <w:t>применении барицитиниба в комбинации с метотрексатом отмечалось увеличение частоты</w:t>
      </w:r>
      <w:r w:rsidR="008111BB">
        <w:rPr>
          <w:bCs/>
          <w:iCs/>
        </w:rPr>
        <w:t xml:space="preserve"> </w:t>
      </w:r>
      <w:r w:rsidRPr="000811B8">
        <w:rPr>
          <w:bCs/>
          <w:iCs/>
        </w:rPr>
        <w:t>инфекций по сравнению с монотерапией барицитинибом.</w:t>
      </w:r>
    </w:p>
    <w:p w14:paraId="57CCB316" w14:textId="50BA9488" w:rsidR="000811B8" w:rsidRDefault="000811B8" w:rsidP="000811B8">
      <w:pPr>
        <w:tabs>
          <w:tab w:val="left" w:pos="8647"/>
        </w:tabs>
        <w:spacing w:after="0" w:line="240" w:lineRule="auto"/>
        <w:ind w:firstLine="709"/>
        <w:rPr>
          <w:bCs/>
          <w:iCs/>
        </w:rPr>
      </w:pPr>
      <w:r w:rsidRPr="000811B8">
        <w:rPr>
          <w:bCs/>
          <w:iCs/>
        </w:rPr>
        <w:t>У пациентов с активными, хроническими или рецидивирующими инфекциями до начала</w:t>
      </w:r>
      <w:r w:rsidR="008111BB">
        <w:rPr>
          <w:bCs/>
          <w:iCs/>
        </w:rPr>
        <w:t xml:space="preserve"> </w:t>
      </w:r>
      <w:r w:rsidRPr="000811B8">
        <w:rPr>
          <w:bCs/>
          <w:iCs/>
        </w:rPr>
        <w:t>терапии рекомендуется тщательно оценивать соотношение польза/риск от применения</w:t>
      </w:r>
      <w:r w:rsidR="008111BB">
        <w:rPr>
          <w:bCs/>
          <w:iCs/>
        </w:rPr>
        <w:t xml:space="preserve"> </w:t>
      </w:r>
      <w:r w:rsidRPr="000811B8">
        <w:rPr>
          <w:bCs/>
          <w:iCs/>
        </w:rPr>
        <w:t>барицитиниба. В случае возникновения</w:t>
      </w:r>
      <w:r w:rsidR="008111BB">
        <w:rPr>
          <w:bCs/>
          <w:iCs/>
        </w:rPr>
        <w:t xml:space="preserve"> </w:t>
      </w:r>
      <w:r w:rsidRPr="000811B8">
        <w:rPr>
          <w:bCs/>
          <w:iCs/>
        </w:rPr>
        <w:t>инфекции следует обеспечить тщательный контроль за состоянием пациента, и, если</w:t>
      </w:r>
      <w:r w:rsidR="008111BB">
        <w:rPr>
          <w:bCs/>
          <w:iCs/>
        </w:rPr>
        <w:t xml:space="preserve"> </w:t>
      </w:r>
      <w:r w:rsidRPr="000811B8">
        <w:rPr>
          <w:bCs/>
          <w:iCs/>
        </w:rPr>
        <w:t>пациент не отвечает на стандартную терапию, рекомендуется временно прекратить</w:t>
      </w:r>
      <w:r w:rsidR="008111BB">
        <w:rPr>
          <w:bCs/>
          <w:iCs/>
        </w:rPr>
        <w:t xml:space="preserve"> </w:t>
      </w:r>
      <w:r w:rsidRPr="000811B8">
        <w:rPr>
          <w:bCs/>
          <w:iCs/>
        </w:rPr>
        <w:t>применение барицитиниба. Применение барицитиниба не следует возобновлять до</w:t>
      </w:r>
      <w:r w:rsidR="008111BB">
        <w:rPr>
          <w:bCs/>
          <w:iCs/>
        </w:rPr>
        <w:t xml:space="preserve"> </w:t>
      </w:r>
      <w:r w:rsidRPr="000811B8">
        <w:rPr>
          <w:bCs/>
          <w:iCs/>
        </w:rPr>
        <w:t>разрешения инфекции.</w:t>
      </w:r>
    </w:p>
    <w:p w14:paraId="20E107B7" w14:textId="77777777" w:rsidR="008111BB" w:rsidRPr="000811B8" w:rsidRDefault="008111BB" w:rsidP="000811B8">
      <w:pPr>
        <w:tabs>
          <w:tab w:val="left" w:pos="8647"/>
        </w:tabs>
        <w:spacing w:after="0" w:line="240" w:lineRule="auto"/>
        <w:ind w:firstLine="709"/>
        <w:rPr>
          <w:bCs/>
          <w:iCs/>
        </w:rPr>
      </w:pPr>
    </w:p>
    <w:p w14:paraId="52AFFFE3" w14:textId="77777777" w:rsidR="000811B8" w:rsidRPr="00AB1FF1" w:rsidRDefault="000811B8" w:rsidP="0029110D">
      <w:pPr>
        <w:tabs>
          <w:tab w:val="left" w:pos="8647"/>
        </w:tabs>
        <w:spacing w:after="0" w:line="240" w:lineRule="auto"/>
        <w:rPr>
          <w:b/>
          <w:bCs/>
        </w:rPr>
      </w:pPr>
      <w:r w:rsidRPr="00AB1FF1">
        <w:rPr>
          <w:b/>
          <w:bCs/>
        </w:rPr>
        <w:lastRenderedPageBreak/>
        <w:t>Туберкулез</w:t>
      </w:r>
    </w:p>
    <w:p w14:paraId="6FC4C68F" w14:textId="77777777" w:rsidR="002150D3" w:rsidRDefault="002150D3" w:rsidP="000811B8">
      <w:pPr>
        <w:tabs>
          <w:tab w:val="left" w:pos="8647"/>
        </w:tabs>
        <w:spacing w:after="0" w:line="240" w:lineRule="auto"/>
        <w:ind w:firstLine="709"/>
        <w:rPr>
          <w:bCs/>
          <w:iCs/>
        </w:rPr>
      </w:pPr>
    </w:p>
    <w:p w14:paraId="4EB57678" w14:textId="380D42B4" w:rsidR="000811B8" w:rsidRDefault="000811B8" w:rsidP="000811B8">
      <w:pPr>
        <w:tabs>
          <w:tab w:val="left" w:pos="8647"/>
        </w:tabs>
        <w:spacing w:after="0" w:line="240" w:lineRule="auto"/>
        <w:ind w:firstLine="709"/>
        <w:rPr>
          <w:bCs/>
          <w:iCs/>
        </w:rPr>
      </w:pPr>
      <w:r w:rsidRPr="000811B8">
        <w:rPr>
          <w:bCs/>
          <w:iCs/>
        </w:rPr>
        <w:t>Перед началом применения барицитиниба пациенты должны пройти скрининг на</w:t>
      </w:r>
      <w:r w:rsidR="008111BB">
        <w:rPr>
          <w:bCs/>
          <w:iCs/>
        </w:rPr>
        <w:t xml:space="preserve"> </w:t>
      </w:r>
      <w:r w:rsidRPr="000811B8">
        <w:rPr>
          <w:bCs/>
          <w:iCs/>
        </w:rPr>
        <w:t>туберкулез. Применение барицитиниба у пациентов с активной формой туберкулёза</w:t>
      </w:r>
      <w:r w:rsidR="008111BB">
        <w:rPr>
          <w:bCs/>
          <w:iCs/>
        </w:rPr>
        <w:t xml:space="preserve"> </w:t>
      </w:r>
      <w:r w:rsidRPr="000811B8">
        <w:rPr>
          <w:bCs/>
          <w:iCs/>
        </w:rPr>
        <w:t>противопоказано. У пациентов с латентной формой туберкулеза, которые ранее не</w:t>
      </w:r>
      <w:r w:rsidR="008111BB">
        <w:rPr>
          <w:bCs/>
          <w:iCs/>
        </w:rPr>
        <w:t xml:space="preserve"> </w:t>
      </w:r>
      <w:r w:rsidRPr="000811B8">
        <w:rPr>
          <w:bCs/>
          <w:iCs/>
        </w:rPr>
        <w:t>получали лечение, перед началом терапии барицитинибом необходимо рассмотреть</w:t>
      </w:r>
      <w:r w:rsidR="008111BB">
        <w:rPr>
          <w:bCs/>
          <w:iCs/>
        </w:rPr>
        <w:t xml:space="preserve"> </w:t>
      </w:r>
      <w:r w:rsidRPr="000811B8">
        <w:rPr>
          <w:bCs/>
          <w:iCs/>
        </w:rPr>
        <w:t>возможность проведения противотуберкулезной терапии.</w:t>
      </w:r>
    </w:p>
    <w:p w14:paraId="65666C37" w14:textId="77777777" w:rsidR="008111BB" w:rsidRPr="000811B8" w:rsidRDefault="008111BB" w:rsidP="000811B8">
      <w:pPr>
        <w:tabs>
          <w:tab w:val="left" w:pos="8647"/>
        </w:tabs>
        <w:spacing w:after="0" w:line="240" w:lineRule="auto"/>
        <w:ind w:firstLine="709"/>
        <w:rPr>
          <w:bCs/>
          <w:iCs/>
        </w:rPr>
      </w:pPr>
    </w:p>
    <w:p w14:paraId="228EB7EE" w14:textId="77777777" w:rsidR="000811B8" w:rsidRPr="00AB1FF1" w:rsidRDefault="000811B8" w:rsidP="0029110D">
      <w:pPr>
        <w:tabs>
          <w:tab w:val="left" w:pos="8647"/>
        </w:tabs>
        <w:spacing w:after="0" w:line="240" w:lineRule="auto"/>
        <w:rPr>
          <w:b/>
          <w:bCs/>
        </w:rPr>
      </w:pPr>
      <w:r w:rsidRPr="00AB1FF1">
        <w:rPr>
          <w:b/>
          <w:bCs/>
        </w:rPr>
        <w:t>Отклонения от нормы лабораторных показателей</w:t>
      </w:r>
    </w:p>
    <w:p w14:paraId="3CC687C8" w14:textId="77777777" w:rsidR="002150D3" w:rsidRDefault="002150D3" w:rsidP="000811B8">
      <w:pPr>
        <w:tabs>
          <w:tab w:val="left" w:pos="8647"/>
        </w:tabs>
        <w:spacing w:after="0" w:line="240" w:lineRule="auto"/>
        <w:ind w:firstLine="709"/>
        <w:rPr>
          <w:bCs/>
          <w:iCs/>
        </w:rPr>
      </w:pPr>
    </w:p>
    <w:p w14:paraId="4A413E64" w14:textId="38A8BF7A" w:rsidR="000811B8" w:rsidRDefault="000811B8" w:rsidP="000811B8">
      <w:pPr>
        <w:tabs>
          <w:tab w:val="left" w:pos="8647"/>
        </w:tabs>
        <w:spacing w:after="0" w:line="240" w:lineRule="auto"/>
        <w:ind w:firstLine="709"/>
        <w:rPr>
          <w:bCs/>
          <w:iCs/>
        </w:rPr>
      </w:pPr>
      <w:r w:rsidRPr="000811B8">
        <w:rPr>
          <w:bCs/>
          <w:iCs/>
        </w:rPr>
        <w:t>В ходе клинических исследований по показаниям ревматоидный артрит, атопический</w:t>
      </w:r>
      <w:r w:rsidR="008111BB">
        <w:rPr>
          <w:bCs/>
          <w:iCs/>
        </w:rPr>
        <w:t xml:space="preserve"> </w:t>
      </w:r>
      <w:r w:rsidRPr="000811B8">
        <w:rPr>
          <w:bCs/>
          <w:iCs/>
        </w:rPr>
        <w:t>дерматит и очаговая алопеция были зарегистрированы следующие изменения показателей</w:t>
      </w:r>
      <w:r w:rsidR="008111BB">
        <w:rPr>
          <w:bCs/>
          <w:iCs/>
        </w:rPr>
        <w:t xml:space="preserve"> </w:t>
      </w:r>
      <w:r w:rsidRPr="000811B8">
        <w:rPr>
          <w:bCs/>
          <w:iCs/>
        </w:rPr>
        <w:t>крови: абсолютное число нейтрофилов менее 1х10</w:t>
      </w:r>
      <w:r w:rsidR="008111BB">
        <w:rPr>
          <w:bCs/>
          <w:iCs/>
          <w:vertAlign w:val="superscript"/>
        </w:rPr>
        <w:t>9</w:t>
      </w:r>
      <w:r w:rsidRPr="000811B8">
        <w:rPr>
          <w:bCs/>
          <w:iCs/>
        </w:rPr>
        <w:t xml:space="preserve"> /л и абсолютное число лимфоцитов</w:t>
      </w:r>
      <w:r w:rsidR="008111BB">
        <w:rPr>
          <w:bCs/>
          <w:iCs/>
        </w:rPr>
        <w:t xml:space="preserve"> </w:t>
      </w:r>
      <w:r w:rsidRPr="000811B8">
        <w:rPr>
          <w:bCs/>
          <w:iCs/>
        </w:rPr>
        <w:t>менее 0,5х10</w:t>
      </w:r>
      <w:r w:rsidRPr="008111BB">
        <w:rPr>
          <w:bCs/>
          <w:iCs/>
          <w:vertAlign w:val="superscript"/>
        </w:rPr>
        <w:t>7</w:t>
      </w:r>
      <w:r w:rsidRPr="000811B8">
        <w:rPr>
          <w:bCs/>
          <w:iCs/>
        </w:rPr>
        <w:t xml:space="preserve"> /л, снижение концентрации гемоглобина менее 8 г/дл.</w:t>
      </w:r>
      <w:r w:rsidR="008111BB">
        <w:rPr>
          <w:bCs/>
          <w:iCs/>
        </w:rPr>
        <w:t xml:space="preserve"> </w:t>
      </w:r>
      <w:r w:rsidRPr="000811B8">
        <w:rPr>
          <w:bCs/>
          <w:iCs/>
        </w:rPr>
        <w:t>Противопоказано начинать терапию или следует временно прекратить применение</w:t>
      </w:r>
      <w:r w:rsidR="008111BB">
        <w:rPr>
          <w:bCs/>
          <w:iCs/>
        </w:rPr>
        <w:t xml:space="preserve"> </w:t>
      </w:r>
      <w:r w:rsidRPr="000811B8">
        <w:rPr>
          <w:bCs/>
          <w:iCs/>
        </w:rPr>
        <w:t>препарата в случае снижения числа нейтрофилов менее 1х10</w:t>
      </w:r>
      <w:r w:rsidR="008111BB">
        <w:rPr>
          <w:bCs/>
          <w:iCs/>
          <w:vertAlign w:val="superscript"/>
        </w:rPr>
        <w:t>9</w:t>
      </w:r>
      <w:r w:rsidRPr="000811B8">
        <w:rPr>
          <w:bCs/>
          <w:iCs/>
        </w:rPr>
        <w:t xml:space="preserve"> /л, снижения числа</w:t>
      </w:r>
      <w:r w:rsidR="008111BB">
        <w:rPr>
          <w:bCs/>
          <w:iCs/>
        </w:rPr>
        <w:t xml:space="preserve"> </w:t>
      </w:r>
      <w:r w:rsidRPr="000811B8">
        <w:rPr>
          <w:bCs/>
          <w:iCs/>
        </w:rPr>
        <w:t>лимфоцитов менее 0,5х10</w:t>
      </w:r>
      <w:r w:rsidR="008111BB">
        <w:rPr>
          <w:bCs/>
          <w:iCs/>
          <w:vertAlign w:val="superscript"/>
        </w:rPr>
        <w:t>9</w:t>
      </w:r>
      <w:r w:rsidRPr="000811B8">
        <w:rPr>
          <w:bCs/>
          <w:iCs/>
        </w:rPr>
        <w:t xml:space="preserve"> /л или снижения концентрации гемоглобина менее 8 г/дл. У пожилых пациентов с ревматоидным артритом увеличивается риск развития</w:t>
      </w:r>
      <w:r w:rsidR="008111BB">
        <w:rPr>
          <w:bCs/>
          <w:iCs/>
        </w:rPr>
        <w:t xml:space="preserve"> </w:t>
      </w:r>
      <w:r w:rsidRPr="000811B8">
        <w:rPr>
          <w:bCs/>
          <w:iCs/>
        </w:rPr>
        <w:t>лимфоцитоза. Есть данные о редких случаях развития лимфопролиферативных</w:t>
      </w:r>
      <w:r w:rsidR="008111BB">
        <w:rPr>
          <w:bCs/>
          <w:iCs/>
        </w:rPr>
        <w:t xml:space="preserve"> </w:t>
      </w:r>
      <w:r w:rsidRPr="000811B8">
        <w:rPr>
          <w:bCs/>
          <w:iCs/>
        </w:rPr>
        <w:t>заболеваний.</w:t>
      </w:r>
    </w:p>
    <w:p w14:paraId="5420A880" w14:textId="77777777" w:rsidR="008111BB" w:rsidRPr="000811B8" w:rsidRDefault="008111BB" w:rsidP="000811B8">
      <w:pPr>
        <w:tabs>
          <w:tab w:val="left" w:pos="8647"/>
        </w:tabs>
        <w:spacing w:after="0" w:line="240" w:lineRule="auto"/>
        <w:ind w:firstLine="709"/>
        <w:rPr>
          <w:bCs/>
          <w:iCs/>
        </w:rPr>
      </w:pPr>
    </w:p>
    <w:p w14:paraId="4403653C" w14:textId="77777777" w:rsidR="000811B8" w:rsidRPr="00AB1FF1" w:rsidRDefault="000811B8" w:rsidP="0029110D">
      <w:pPr>
        <w:tabs>
          <w:tab w:val="left" w:pos="8647"/>
        </w:tabs>
        <w:spacing w:after="0" w:line="240" w:lineRule="auto"/>
        <w:rPr>
          <w:b/>
          <w:bCs/>
        </w:rPr>
      </w:pPr>
      <w:r w:rsidRPr="00AB1FF1">
        <w:rPr>
          <w:b/>
          <w:bCs/>
        </w:rPr>
        <w:t>Реактивация вирусной инфекции</w:t>
      </w:r>
    </w:p>
    <w:p w14:paraId="3A159221" w14:textId="77777777" w:rsidR="002150D3" w:rsidRDefault="002150D3" w:rsidP="000811B8">
      <w:pPr>
        <w:tabs>
          <w:tab w:val="left" w:pos="8647"/>
        </w:tabs>
        <w:spacing w:after="0" w:line="240" w:lineRule="auto"/>
        <w:ind w:firstLine="709"/>
        <w:rPr>
          <w:bCs/>
          <w:iCs/>
        </w:rPr>
      </w:pPr>
    </w:p>
    <w:p w14:paraId="25C078B4" w14:textId="3A1AD39B" w:rsidR="000811B8" w:rsidRDefault="000811B8" w:rsidP="000811B8">
      <w:pPr>
        <w:tabs>
          <w:tab w:val="left" w:pos="8647"/>
        </w:tabs>
        <w:spacing w:after="0" w:line="240" w:lineRule="auto"/>
        <w:ind w:firstLine="709"/>
        <w:rPr>
          <w:bCs/>
          <w:iCs/>
        </w:rPr>
      </w:pPr>
      <w:r w:rsidRPr="000811B8">
        <w:rPr>
          <w:bCs/>
          <w:iCs/>
        </w:rPr>
        <w:t>При проведении клинических исследований были зарегистрированы случаи вирусной</w:t>
      </w:r>
      <w:r w:rsidR="008111BB">
        <w:rPr>
          <w:bCs/>
          <w:iCs/>
        </w:rPr>
        <w:t xml:space="preserve"> </w:t>
      </w:r>
      <w:r w:rsidRPr="000811B8">
        <w:rPr>
          <w:bCs/>
          <w:iCs/>
        </w:rPr>
        <w:t>реактивации, включая случаи реактивации вируса герпеса. В клинических</w:t>
      </w:r>
      <w:r w:rsidR="008111BB">
        <w:rPr>
          <w:bCs/>
          <w:iCs/>
        </w:rPr>
        <w:t xml:space="preserve"> </w:t>
      </w:r>
      <w:r w:rsidRPr="000811B8">
        <w:rPr>
          <w:bCs/>
          <w:iCs/>
        </w:rPr>
        <w:t>исследованиях по показанию ревматоидный артрит случаи опоясывающего герпеса чаще</w:t>
      </w:r>
      <w:r w:rsidR="008111BB">
        <w:rPr>
          <w:bCs/>
          <w:iCs/>
        </w:rPr>
        <w:t xml:space="preserve"> </w:t>
      </w:r>
      <w:r w:rsidRPr="000811B8">
        <w:rPr>
          <w:bCs/>
          <w:iCs/>
        </w:rPr>
        <w:t>наблюдались у пациентов в возрасте 65 лет и старше, которые ранее получали лечение</w:t>
      </w:r>
      <w:r w:rsidR="008111BB">
        <w:rPr>
          <w:bCs/>
          <w:iCs/>
        </w:rPr>
        <w:t xml:space="preserve"> </w:t>
      </w:r>
      <w:r w:rsidRPr="000811B8">
        <w:rPr>
          <w:bCs/>
          <w:iCs/>
        </w:rPr>
        <w:t>биологическими и традиционными базисными противоревматическими препаратами. В</w:t>
      </w:r>
      <w:r w:rsidR="008111BB">
        <w:rPr>
          <w:bCs/>
          <w:iCs/>
        </w:rPr>
        <w:t xml:space="preserve"> </w:t>
      </w:r>
      <w:r w:rsidRPr="000811B8">
        <w:rPr>
          <w:bCs/>
          <w:iCs/>
        </w:rPr>
        <w:t>случае развития у пациента опоясывающего герпеса применение барицитиниба следует</w:t>
      </w:r>
      <w:r w:rsidR="008111BB">
        <w:rPr>
          <w:bCs/>
          <w:iCs/>
        </w:rPr>
        <w:t xml:space="preserve"> </w:t>
      </w:r>
      <w:r w:rsidRPr="000811B8">
        <w:rPr>
          <w:bCs/>
          <w:iCs/>
        </w:rPr>
        <w:t>временно прекратить до разрешения заболевания.</w:t>
      </w:r>
      <w:r w:rsidR="008111BB">
        <w:rPr>
          <w:bCs/>
          <w:iCs/>
        </w:rPr>
        <w:t xml:space="preserve"> </w:t>
      </w:r>
      <w:r w:rsidRPr="000811B8">
        <w:rPr>
          <w:bCs/>
          <w:iCs/>
        </w:rPr>
        <w:t>В соответствии с клиническими рекомендациями перед началом терапии барицитинибом</w:t>
      </w:r>
      <w:r w:rsidR="008111BB">
        <w:rPr>
          <w:bCs/>
          <w:iCs/>
        </w:rPr>
        <w:t xml:space="preserve"> </w:t>
      </w:r>
      <w:r w:rsidRPr="000811B8">
        <w:rPr>
          <w:bCs/>
          <w:iCs/>
        </w:rPr>
        <w:t>по показаниям ревматоидный артрит, атопический дерматит и очаговая алопеция следует</w:t>
      </w:r>
      <w:r w:rsidR="008111BB">
        <w:rPr>
          <w:bCs/>
          <w:iCs/>
        </w:rPr>
        <w:t xml:space="preserve"> </w:t>
      </w:r>
      <w:r w:rsidRPr="000811B8">
        <w:rPr>
          <w:bCs/>
          <w:iCs/>
        </w:rPr>
        <w:t>проводить скрининг пациентов для выявления вирусного гепатита. Пациенты с признаками</w:t>
      </w:r>
      <w:r w:rsidR="00687390">
        <w:rPr>
          <w:bCs/>
          <w:iCs/>
        </w:rPr>
        <w:t xml:space="preserve"> </w:t>
      </w:r>
      <w:r w:rsidRPr="000811B8">
        <w:rPr>
          <w:bCs/>
          <w:iCs/>
        </w:rPr>
        <w:t>активной формы вирусного гепатита В или С не включались в клинические исследования.</w:t>
      </w:r>
      <w:r w:rsidR="008111BB">
        <w:rPr>
          <w:bCs/>
          <w:iCs/>
        </w:rPr>
        <w:t xml:space="preserve"> </w:t>
      </w:r>
      <w:r w:rsidRPr="000811B8">
        <w:rPr>
          <w:bCs/>
          <w:iCs/>
        </w:rPr>
        <w:t>Пациенты, у которых обнаруживались антитела к вирусу гепатита С, но не выявлялась РНК</w:t>
      </w:r>
      <w:r w:rsidR="008111BB">
        <w:rPr>
          <w:bCs/>
          <w:iCs/>
        </w:rPr>
        <w:t xml:space="preserve"> </w:t>
      </w:r>
      <w:r w:rsidRPr="000811B8">
        <w:rPr>
          <w:bCs/>
          <w:iCs/>
        </w:rPr>
        <w:t>вируса гепатита С, были допущены к участию в клинических исследованиях. Также</w:t>
      </w:r>
      <w:r w:rsidR="008111BB">
        <w:rPr>
          <w:bCs/>
          <w:iCs/>
        </w:rPr>
        <w:t xml:space="preserve"> </w:t>
      </w:r>
      <w:r w:rsidRPr="000811B8">
        <w:rPr>
          <w:bCs/>
          <w:iCs/>
        </w:rPr>
        <w:t>допускалось участие пациентов с антителами к поверхностному и сердцевинному</w:t>
      </w:r>
      <w:r w:rsidR="008111BB">
        <w:rPr>
          <w:bCs/>
          <w:iCs/>
        </w:rPr>
        <w:t xml:space="preserve"> </w:t>
      </w:r>
      <w:r w:rsidRPr="000811B8">
        <w:rPr>
          <w:bCs/>
          <w:iCs/>
        </w:rPr>
        <w:t>антигенам вируса гепатита В, без поверхностных антигенов вируса гепатита В; у таких</w:t>
      </w:r>
      <w:r w:rsidR="008111BB">
        <w:rPr>
          <w:bCs/>
          <w:iCs/>
        </w:rPr>
        <w:t xml:space="preserve"> </w:t>
      </w:r>
      <w:r w:rsidRPr="000811B8">
        <w:rPr>
          <w:bCs/>
          <w:iCs/>
        </w:rPr>
        <w:t>пациентов следует проводить мониторинг экспрессии ДНК вируса гепатита В. При</w:t>
      </w:r>
      <w:r w:rsidR="008111BB">
        <w:rPr>
          <w:bCs/>
          <w:iCs/>
        </w:rPr>
        <w:t xml:space="preserve"> </w:t>
      </w:r>
      <w:r w:rsidRPr="000811B8">
        <w:rPr>
          <w:bCs/>
          <w:iCs/>
        </w:rPr>
        <w:t>выявлении ДНК вируса гепатита В пациент должен быть направлен к гепатологу, чтобы</w:t>
      </w:r>
      <w:r w:rsidR="008111BB">
        <w:rPr>
          <w:bCs/>
          <w:iCs/>
        </w:rPr>
        <w:t xml:space="preserve"> </w:t>
      </w:r>
      <w:r w:rsidRPr="000811B8">
        <w:rPr>
          <w:bCs/>
          <w:iCs/>
        </w:rPr>
        <w:t>определить есть ли необходимость в прерывании терапии.</w:t>
      </w:r>
    </w:p>
    <w:p w14:paraId="38018370" w14:textId="77777777" w:rsidR="002150D3" w:rsidRPr="000811B8" w:rsidRDefault="002150D3" w:rsidP="00AB1FF1">
      <w:pPr>
        <w:tabs>
          <w:tab w:val="left" w:pos="8647"/>
        </w:tabs>
        <w:spacing w:after="0" w:line="240" w:lineRule="auto"/>
        <w:rPr>
          <w:bCs/>
          <w:iCs/>
        </w:rPr>
      </w:pPr>
    </w:p>
    <w:p w14:paraId="63E35CEB" w14:textId="77777777" w:rsidR="000811B8" w:rsidRPr="00AB1FF1" w:rsidRDefault="000811B8" w:rsidP="00AB1FF1">
      <w:pPr>
        <w:tabs>
          <w:tab w:val="left" w:pos="8647"/>
        </w:tabs>
        <w:spacing w:after="0" w:line="240" w:lineRule="auto"/>
        <w:rPr>
          <w:b/>
          <w:bCs/>
        </w:rPr>
      </w:pPr>
      <w:r w:rsidRPr="00AB1FF1">
        <w:rPr>
          <w:b/>
          <w:bCs/>
        </w:rPr>
        <w:t>Вакцинация</w:t>
      </w:r>
    </w:p>
    <w:p w14:paraId="13BB0860" w14:textId="77777777" w:rsidR="002150D3" w:rsidRDefault="002150D3" w:rsidP="000811B8">
      <w:pPr>
        <w:tabs>
          <w:tab w:val="left" w:pos="8647"/>
        </w:tabs>
        <w:spacing w:after="0" w:line="240" w:lineRule="auto"/>
        <w:ind w:firstLine="709"/>
        <w:rPr>
          <w:bCs/>
          <w:iCs/>
        </w:rPr>
      </w:pPr>
    </w:p>
    <w:p w14:paraId="50D7B552" w14:textId="722BC1E9" w:rsidR="000811B8" w:rsidRDefault="000811B8" w:rsidP="000811B8">
      <w:pPr>
        <w:tabs>
          <w:tab w:val="left" w:pos="8647"/>
        </w:tabs>
        <w:spacing w:after="0" w:line="240" w:lineRule="auto"/>
        <w:ind w:firstLine="709"/>
        <w:rPr>
          <w:bCs/>
          <w:iCs/>
        </w:rPr>
      </w:pPr>
      <w:r w:rsidRPr="000811B8">
        <w:rPr>
          <w:bCs/>
          <w:iCs/>
        </w:rPr>
        <w:t>Отсутствуют данные о реакции на вакцинацию живыми вакцинами у пациентов,</w:t>
      </w:r>
      <w:r w:rsidR="008111BB">
        <w:rPr>
          <w:bCs/>
          <w:iCs/>
        </w:rPr>
        <w:t xml:space="preserve"> </w:t>
      </w:r>
      <w:r w:rsidRPr="000811B8">
        <w:rPr>
          <w:bCs/>
          <w:iCs/>
        </w:rPr>
        <w:t>принимающих барицитиниб. Не рекомендуется применение живых аттенуированных</w:t>
      </w:r>
      <w:r w:rsidR="008111BB">
        <w:rPr>
          <w:bCs/>
          <w:iCs/>
        </w:rPr>
        <w:t xml:space="preserve"> </w:t>
      </w:r>
      <w:r w:rsidRPr="000811B8">
        <w:rPr>
          <w:bCs/>
          <w:iCs/>
        </w:rPr>
        <w:t>вакцин во время или непосредственно перед применением барицитиниба. Иммунизацию</w:t>
      </w:r>
      <w:r w:rsidR="008111BB">
        <w:rPr>
          <w:bCs/>
          <w:iCs/>
        </w:rPr>
        <w:t xml:space="preserve"> </w:t>
      </w:r>
      <w:r w:rsidRPr="000811B8">
        <w:rPr>
          <w:bCs/>
          <w:iCs/>
        </w:rPr>
        <w:t>рекомендуется провести в соответствии с текущими рекомендациями до начала лечения</w:t>
      </w:r>
      <w:r w:rsidR="008111BB">
        <w:rPr>
          <w:bCs/>
          <w:iCs/>
        </w:rPr>
        <w:t xml:space="preserve"> </w:t>
      </w:r>
      <w:r w:rsidRPr="000811B8">
        <w:rPr>
          <w:bCs/>
          <w:iCs/>
        </w:rPr>
        <w:t>барицитинибом.</w:t>
      </w:r>
    </w:p>
    <w:p w14:paraId="3B263FFE" w14:textId="77777777" w:rsidR="008111BB" w:rsidRPr="000811B8" w:rsidRDefault="008111BB" w:rsidP="000811B8">
      <w:pPr>
        <w:tabs>
          <w:tab w:val="left" w:pos="8647"/>
        </w:tabs>
        <w:spacing w:after="0" w:line="240" w:lineRule="auto"/>
        <w:ind w:firstLine="709"/>
        <w:rPr>
          <w:bCs/>
          <w:iCs/>
        </w:rPr>
      </w:pPr>
    </w:p>
    <w:p w14:paraId="7E53E1A1" w14:textId="77777777" w:rsidR="000811B8" w:rsidRPr="00AB1FF1" w:rsidRDefault="000811B8" w:rsidP="0029110D">
      <w:pPr>
        <w:tabs>
          <w:tab w:val="left" w:pos="8647"/>
        </w:tabs>
        <w:spacing w:after="0" w:line="240" w:lineRule="auto"/>
        <w:rPr>
          <w:b/>
          <w:bCs/>
        </w:rPr>
      </w:pPr>
      <w:r w:rsidRPr="00AB1FF1">
        <w:rPr>
          <w:b/>
          <w:bCs/>
        </w:rPr>
        <w:t>Липиды</w:t>
      </w:r>
    </w:p>
    <w:p w14:paraId="0B9A506D" w14:textId="77777777" w:rsidR="002150D3" w:rsidRDefault="002150D3" w:rsidP="000811B8">
      <w:pPr>
        <w:tabs>
          <w:tab w:val="left" w:pos="8647"/>
        </w:tabs>
        <w:spacing w:after="0" w:line="240" w:lineRule="auto"/>
        <w:ind w:firstLine="709"/>
        <w:rPr>
          <w:bCs/>
          <w:iCs/>
        </w:rPr>
      </w:pPr>
    </w:p>
    <w:p w14:paraId="14264614" w14:textId="4AE9EF9E" w:rsidR="000811B8" w:rsidRDefault="000811B8" w:rsidP="000811B8">
      <w:pPr>
        <w:tabs>
          <w:tab w:val="left" w:pos="8647"/>
        </w:tabs>
        <w:spacing w:after="0" w:line="240" w:lineRule="auto"/>
        <w:ind w:firstLine="709"/>
        <w:rPr>
          <w:bCs/>
          <w:iCs/>
        </w:rPr>
      </w:pPr>
      <w:r w:rsidRPr="000811B8">
        <w:rPr>
          <w:bCs/>
          <w:iCs/>
        </w:rPr>
        <w:t>У пациентов, получавших барицитиниб, наблюдалось дозозависимое повышение</w:t>
      </w:r>
      <w:r w:rsidR="008111BB">
        <w:rPr>
          <w:bCs/>
          <w:iCs/>
        </w:rPr>
        <w:t xml:space="preserve"> </w:t>
      </w:r>
      <w:r w:rsidRPr="000811B8">
        <w:rPr>
          <w:bCs/>
          <w:iCs/>
        </w:rPr>
        <w:t>концентрации липидов в крови. В ответ на применение</w:t>
      </w:r>
      <w:r w:rsidR="008111BB">
        <w:rPr>
          <w:bCs/>
          <w:iCs/>
        </w:rPr>
        <w:t xml:space="preserve"> </w:t>
      </w:r>
      <w:r w:rsidRPr="000811B8">
        <w:rPr>
          <w:bCs/>
          <w:iCs/>
        </w:rPr>
        <w:t>статинов концентрация Л</w:t>
      </w:r>
      <w:r w:rsidR="008111BB">
        <w:rPr>
          <w:bCs/>
          <w:iCs/>
        </w:rPr>
        <w:t>П</w:t>
      </w:r>
      <w:r w:rsidRPr="000811B8">
        <w:rPr>
          <w:bCs/>
          <w:iCs/>
        </w:rPr>
        <w:t>НП снижалась до показателей, зафиксированных перед началом</w:t>
      </w:r>
      <w:r w:rsidR="008111BB">
        <w:rPr>
          <w:bCs/>
          <w:iCs/>
        </w:rPr>
        <w:t xml:space="preserve"> </w:t>
      </w:r>
      <w:r w:rsidRPr="000811B8">
        <w:rPr>
          <w:bCs/>
          <w:iCs/>
        </w:rPr>
        <w:t>терапии. Липидный профиль следует оценивать примерно через 12 недель после начала</w:t>
      </w:r>
      <w:r w:rsidR="008111BB">
        <w:rPr>
          <w:bCs/>
          <w:iCs/>
        </w:rPr>
        <w:t xml:space="preserve"> </w:t>
      </w:r>
      <w:r w:rsidRPr="000811B8">
        <w:rPr>
          <w:bCs/>
          <w:iCs/>
        </w:rPr>
        <w:t>применения барицитиниба, после чего лечение пациентов следует проводить в</w:t>
      </w:r>
      <w:r w:rsidR="008111BB">
        <w:rPr>
          <w:bCs/>
          <w:iCs/>
        </w:rPr>
        <w:t xml:space="preserve"> </w:t>
      </w:r>
      <w:r w:rsidRPr="000811B8">
        <w:rPr>
          <w:bCs/>
          <w:iCs/>
        </w:rPr>
        <w:t>соответствии с международными клиническими рекомендациями по ведению пациентов с</w:t>
      </w:r>
      <w:r w:rsidR="008111BB">
        <w:rPr>
          <w:bCs/>
          <w:iCs/>
        </w:rPr>
        <w:t xml:space="preserve"> </w:t>
      </w:r>
      <w:r w:rsidRPr="000811B8">
        <w:rPr>
          <w:bCs/>
          <w:iCs/>
        </w:rPr>
        <w:t>гиперлипидемией.</w:t>
      </w:r>
    </w:p>
    <w:p w14:paraId="3377443B" w14:textId="77777777" w:rsidR="008111BB" w:rsidRPr="000811B8" w:rsidRDefault="008111BB" w:rsidP="000811B8">
      <w:pPr>
        <w:tabs>
          <w:tab w:val="left" w:pos="8647"/>
        </w:tabs>
        <w:spacing w:after="0" w:line="240" w:lineRule="auto"/>
        <w:ind w:firstLine="709"/>
        <w:rPr>
          <w:bCs/>
          <w:iCs/>
        </w:rPr>
      </w:pPr>
    </w:p>
    <w:p w14:paraId="1B5B185B" w14:textId="77777777" w:rsidR="000811B8" w:rsidRPr="00AB1FF1" w:rsidRDefault="000811B8" w:rsidP="0029110D">
      <w:pPr>
        <w:tabs>
          <w:tab w:val="left" w:pos="8647"/>
        </w:tabs>
        <w:spacing w:after="0" w:line="240" w:lineRule="auto"/>
        <w:rPr>
          <w:b/>
          <w:bCs/>
        </w:rPr>
      </w:pPr>
      <w:r w:rsidRPr="00AB1FF1">
        <w:rPr>
          <w:b/>
          <w:bCs/>
        </w:rPr>
        <w:t>Повышение концентрации трансаминаз печени</w:t>
      </w:r>
    </w:p>
    <w:p w14:paraId="56C01CE1" w14:textId="77777777" w:rsidR="002150D3" w:rsidRDefault="002150D3" w:rsidP="000811B8">
      <w:pPr>
        <w:tabs>
          <w:tab w:val="left" w:pos="8647"/>
        </w:tabs>
        <w:spacing w:after="0" w:line="240" w:lineRule="auto"/>
        <w:ind w:firstLine="709"/>
        <w:rPr>
          <w:bCs/>
          <w:iCs/>
        </w:rPr>
      </w:pPr>
    </w:p>
    <w:p w14:paraId="1BF49310" w14:textId="0CDB5E5F" w:rsidR="000811B8" w:rsidRDefault="000811B8" w:rsidP="000811B8">
      <w:pPr>
        <w:tabs>
          <w:tab w:val="left" w:pos="8647"/>
        </w:tabs>
        <w:spacing w:after="0" w:line="240" w:lineRule="auto"/>
        <w:ind w:firstLine="709"/>
        <w:rPr>
          <w:bCs/>
          <w:iCs/>
        </w:rPr>
      </w:pPr>
      <w:r w:rsidRPr="000811B8">
        <w:rPr>
          <w:bCs/>
          <w:iCs/>
        </w:rPr>
        <w:t>У пациентов, получающих барицитиниб, было отмечено дозозависимое повышение</w:t>
      </w:r>
      <w:r w:rsidR="008111BB">
        <w:rPr>
          <w:bCs/>
          <w:iCs/>
        </w:rPr>
        <w:t xml:space="preserve"> </w:t>
      </w:r>
      <w:r w:rsidRPr="000811B8">
        <w:rPr>
          <w:bCs/>
          <w:iCs/>
        </w:rPr>
        <w:t>концентрации АЛТ и АСТ.</w:t>
      </w:r>
      <w:r w:rsidR="008111BB">
        <w:rPr>
          <w:bCs/>
          <w:iCs/>
        </w:rPr>
        <w:t xml:space="preserve"> </w:t>
      </w:r>
      <w:r w:rsidRPr="000811B8">
        <w:rPr>
          <w:bCs/>
          <w:iCs/>
        </w:rPr>
        <w:t>При проведении клинических исследований по показаниям ревматоидный артрит,</w:t>
      </w:r>
      <w:r w:rsidR="008111BB">
        <w:rPr>
          <w:bCs/>
          <w:iCs/>
        </w:rPr>
        <w:t xml:space="preserve"> </w:t>
      </w:r>
      <w:r w:rsidRPr="000811B8">
        <w:rPr>
          <w:bCs/>
          <w:iCs/>
        </w:rPr>
        <w:t>атопический дерматит и очаговая алопеция было зарегистрировано повышение</w:t>
      </w:r>
      <w:r w:rsidR="008111BB">
        <w:rPr>
          <w:bCs/>
          <w:iCs/>
        </w:rPr>
        <w:t xml:space="preserve"> </w:t>
      </w:r>
      <w:r w:rsidRPr="000811B8">
        <w:rPr>
          <w:bCs/>
          <w:iCs/>
        </w:rPr>
        <w:t>концентрации АЛТ в 5 раз и более и АСТ в 10 раз и более по сравнению с ВГН. В</w:t>
      </w:r>
      <w:r w:rsidR="008111BB">
        <w:rPr>
          <w:bCs/>
          <w:iCs/>
        </w:rPr>
        <w:t xml:space="preserve"> </w:t>
      </w:r>
      <w:r w:rsidRPr="000811B8">
        <w:rPr>
          <w:bCs/>
          <w:iCs/>
        </w:rPr>
        <w:t>клинических исследованиях по показанию ревматоидный артрит при применении</w:t>
      </w:r>
      <w:r w:rsidR="008111BB">
        <w:rPr>
          <w:bCs/>
          <w:iCs/>
        </w:rPr>
        <w:t xml:space="preserve"> </w:t>
      </w:r>
      <w:r w:rsidRPr="000811B8">
        <w:rPr>
          <w:bCs/>
          <w:iCs/>
        </w:rPr>
        <w:t>комбинированной терапии с метотрексатом отмечалось увеличение частоты повышения</w:t>
      </w:r>
      <w:r w:rsidR="008111BB">
        <w:rPr>
          <w:bCs/>
          <w:iCs/>
        </w:rPr>
        <w:t xml:space="preserve"> </w:t>
      </w:r>
      <w:r w:rsidRPr="000811B8">
        <w:rPr>
          <w:bCs/>
          <w:iCs/>
        </w:rPr>
        <w:t>концентрации трансаминаз печени по сравнению с монотерапией барицитинибом</w:t>
      </w:r>
      <w:r w:rsidR="008111BB">
        <w:rPr>
          <w:bCs/>
          <w:iCs/>
        </w:rPr>
        <w:t xml:space="preserve">. В </w:t>
      </w:r>
      <w:r w:rsidRPr="000811B8">
        <w:rPr>
          <w:bCs/>
          <w:iCs/>
        </w:rPr>
        <w:t>случае выявления повышения концентрации АЛТ или АСТ во время обследования</w:t>
      </w:r>
      <w:r w:rsidR="008111BB">
        <w:rPr>
          <w:bCs/>
          <w:iCs/>
        </w:rPr>
        <w:t xml:space="preserve"> </w:t>
      </w:r>
      <w:r w:rsidRPr="000811B8">
        <w:rPr>
          <w:bCs/>
          <w:iCs/>
        </w:rPr>
        <w:t>пациентов и подозрения на лекарственное поражение печени применение барицитиниба</w:t>
      </w:r>
      <w:r w:rsidR="008111BB">
        <w:rPr>
          <w:bCs/>
          <w:iCs/>
        </w:rPr>
        <w:t xml:space="preserve"> </w:t>
      </w:r>
      <w:r w:rsidRPr="000811B8">
        <w:rPr>
          <w:bCs/>
          <w:iCs/>
        </w:rPr>
        <w:t>следует временно прекратить до тех пор, пока этот диагноз не будет исключен.</w:t>
      </w:r>
    </w:p>
    <w:p w14:paraId="347CC5F1" w14:textId="77777777" w:rsidR="008111BB" w:rsidRPr="000811B8" w:rsidRDefault="008111BB" w:rsidP="000811B8">
      <w:pPr>
        <w:tabs>
          <w:tab w:val="left" w:pos="8647"/>
        </w:tabs>
        <w:spacing w:after="0" w:line="240" w:lineRule="auto"/>
        <w:ind w:firstLine="709"/>
        <w:rPr>
          <w:bCs/>
          <w:iCs/>
        </w:rPr>
      </w:pPr>
    </w:p>
    <w:p w14:paraId="10BA896F" w14:textId="77777777" w:rsidR="000811B8" w:rsidRPr="00AB1FF1" w:rsidRDefault="000811B8" w:rsidP="0029110D">
      <w:pPr>
        <w:tabs>
          <w:tab w:val="left" w:pos="8647"/>
        </w:tabs>
        <w:spacing w:after="0" w:line="240" w:lineRule="auto"/>
        <w:rPr>
          <w:b/>
          <w:bCs/>
        </w:rPr>
      </w:pPr>
      <w:r w:rsidRPr="00AB1FF1">
        <w:rPr>
          <w:b/>
          <w:bCs/>
        </w:rPr>
        <w:t>Злокачественные новообразования</w:t>
      </w:r>
    </w:p>
    <w:p w14:paraId="086E8E9F" w14:textId="77777777" w:rsidR="002150D3" w:rsidRDefault="002150D3" w:rsidP="000811B8">
      <w:pPr>
        <w:tabs>
          <w:tab w:val="left" w:pos="8647"/>
        </w:tabs>
        <w:spacing w:after="0" w:line="240" w:lineRule="auto"/>
        <w:ind w:firstLine="709"/>
        <w:rPr>
          <w:bCs/>
          <w:iCs/>
        </w:rPr>
      </w:pPr>
    </w:p>
    <w:p w14:paraId="0B4BF219" w14:textId="19526161" w:rsidR="000811B8" w:rsidRDefault="000811B8" w:rsidP="000811B8">
      <w:pPr>
        <w:tabs>
          <w:tab w:val="left" w:pos="8647"/>
        </w:tabs>
        <w:spacing w:after="0" w:line="240" w:lineRule="auto"/>
        <w:ind w:firstLine="709"/>
        <w:rPr>
          <w:bCs/>
          <w:iCs/>
        </w:rPr>
      </w:pPr>
      <w:r w:rsidRPr="000811B8">
        <w:rPr>
          <w:bCs/>
          <w:iCs/>
        </w:rPr>
        <w:t>У пациентов с ревматоидным артритом повышается риск возникновения злокачественных</w:t>
      </w:r>
      <w:r w:rsidR="008111BB">
        <w:rPr>
          <w:bCs/>
          <w:iCs/>
        </w:rPr>
        <w:t xml:space="preserve"> </w:t>
      </w:r>
      <w:r w:rsidRPr="000811B8">
        <w:rPr>
          <w:bCs/>
          <w:iCs/>
        </w:rPr>
        <w:t>новообразований, включая риск лимфомы. Применение иммуномодулирующих</w:t>
      </w:r>
      <w:r w:rsidR="008111BB">
        <w:rPr>
          <w:bCs/>
          <w:iCs/>
        </w:rPr>
        <w:t xml:space="preserve"> </w:t>
      </w:r>
      <w:r w:rsidRPr="000811B8">
        <w:rPr>
          <w:bCs/>
          <w:iCs/>
        </w:rPr>
        <w:t>лекарственных средств может увеличить риск возникновения злокачественных</w:t>
      </w:r>
      <w:r w:rsidR="008111BB">
        <w:rPr>
          <w:bCs/>
          <w:iCs/>
        </w:rPr>
        <w:t xml:space="preserve"> </w:t>
      </w:r>
      <w:r w:rsidRPr="000811B8">
        <w:rPr>
          <w:bCs/>
          <w:iCs/>
        </w:rPr>
        <w:t>новообразований, включая риск лимфомы.</w:t>
      </w:r>
      <w:r w:rsidR="008111BB">
        <w:rPr>
          <w:bCs/>
          <w:iCs/>
        </w:rPr>
        <w:t xml:space="preserve"> </w:t>
      </w:r>
      <w:r w:rsidRPr="000811B8">
        <w:rPr>
          <w:bCs/>
          <w:iCs/>
        </w:rPr>
        <w:t>Клинических данных для оценки частоты возможного возникновения злокачественных</w:t>
      </w:r>
      <w:r w:rsidR="008111BB">
        <w:rPr>
          <w:bCs/>
          <w:iCs/>
        </w:rPr>
        <w:t xml:space="preserve"> </w:t>
      </w:r>
      <w:r w:rsidRPr="000811B8">
        <w:rPr>
          <w:bCs/>
          <w:iCs/>
        </w:rPr>
        <w:t>новообразований после применения барицитиниба недостаточно. Долгосрочные</w:t>
      </w:r>
      <w:r w:rsidR="008111BB">
        <w:rPr>
          <w:bCs/>
          <w:iCs/>
        </w:rPr>
        <w:t xml:space="preserve"> </w:t>
      </w:r>
      <w:r w:rsidRPr="000811B8">
        <w:rPr>
          <w:bCs/>
          <w:iCs/>
        </w:rPr>
        <w:t>исследования оценки безопасности продолжаются.</w:t>
      </w:r>
    </w:p>
    <w:p w14:paraId="6FDC81DA" w14:textId="77777777" w:rsidR="008111BB" w:rsidRPr="000811B8" w:rsidRDefault="008111BB" w:rsidP="000811B8">
      <w:pPr>
        <w:tabs>
          <w:tab w:val="left" w:pos="8647"/>
        </w:tabs>
        <w:spacing w:after="0" w:line="240" w:lineRule="auto"/>
        <w:ind w:firstLine="709"/>
        <w:rPr>
          <w:bCs/>
          <w:iCs/>
        </w:rPr>
      </w:pPr>
    </w:p>
    <w:p w14:paraId="7B93664C" w14:textId="77777777" w:rsidR="000811B8" w:rsidRPr="00AB1FF1" w:rsidRDefault="000811B8" w:rsidP="0029110D">
      <w:pPr>
        <w:tabs>
          <w:tab w:val="left" w:pos="8647"/>
        </w:tabs>
        <w:spacing w:after="0" w:line="240" w:lineRule="auto"/>
        <w:rPr>
          <w:b/>
          <w:bCs/>
        </w:rPr>
      </w:pPr>
      <w:r w:rsidRPr="00AB1FF1">
        <w:rPr>
          <w:b/>
          <w:bCs/>
        </w:rPr>
        <w:t>Тромбоэмболия</w:t>
      </w:r>
    </w:p>
    <w:p w14:paraId="67444AC1" w14:textId="77777777" w:rsidR="002150D3" w:rsidRDefault="002150D3" w:rsidP="000811B8">
      <w:pPr>
        <w:tabs>
          <w:tab w:val="left" w:pos="8647"/>
        </w:tabs>
        <w:spacing w:after="0" w:line="240" w:lineRule="auto"/>
        <w:ind w:firstLine="709"/>
        <w:rPr>
          <w:bCs/>
          <w:iCs/>
        </w:rPr>
      </w:pPr>
    </w:p>
    <w:p w14:paraId="6246A45D" w14:textId="6E9F1061" w:rsidR="000811B8" w:rsidRPr="000811B8" w:rsidRDefault="000811B8" w:rsidP="000811B8">
      <w:pPr>
        <w:tabs>
          <w:tab w:val="left" w:pos="8647"/>
        </w:tabs>
        <w:spacing w:after="0" w:line="240" w:lineRule="auto"/>
        <w:ind w:firstLine="709"/>
        <w:rPr>
          <w:bCs/>
          <w:iCs/>
        </w:rPr>
      </w:pPr>
      <w:r w:rsidRPr="000811B8">
        <w:rPr>
          <w:bCs/>
          <w:iCs/>
        </w:rPr>
        <w:t xml:space="preserve">Сообщалось о случаях </w:t>
      </w:r>
      <w:r w:rsidR="008111BB">
        <w:rPr>
          <w:bCs/>
          <w:iCs/>
        </w:rPr>
        <w:t xml:space="preserve">ТГВ </w:t>
      </w:r>
      <w:r w:rsidRPr="000811B8">
        <w:rPr>
          <w:bCs/>
          <w:iCs/>
        </w:rPr>
        <w:t>и ТЭЛА у пациентов, получавших барицитиниб. Следует соблюдать осторожность при</w:t>
      </w:r>
      <w:r w:rsidR="008111BB">
        <w:rPr>
          <w:bCs/>
          <w:iCs/>
        </w:rPr>
        <w:t xml:space="preserve"> </w:t>
      </w:r>
      <w:r w:rsidRPr="000811B8">
        <w:rPr>
          <w:bCs/>
          <w:iCs/>
        </w:rPr>
        <w:t>применении барицитиниба у пациентов с факторами риска ТГВ/ТЭЛА, такими как пожилой</w:t>
      </w:r>
      <w:r w:rsidR="008111BB">
        <w:rPr>
          <w:bCs/>
          <w:iCs/>
        </w:rPr>
        <w:t xml:space="preserve"> </w:t>
      </w:r>
      <w:r w:rsidRPr="000811B8">
        <w:rPr>
          <w:bCs/>
          <w:iCs/>
        </w:rPr>
        <w:t>возраст, ожирение, ТГВ/ГЭЛА в анамнезе или у пациентов, перенесших оперативное</w:t>
      </w:r>
      <w:r w:rsidR="008111BB">
        <w:rPr>
          <w:bCs/>
          <w:iCs/>
        </w:rPr>
        <w:t xml:space="preserve"> </w:t>
      </w:r>
      <w:r w:rsidRPr="000811B8">
        <w:rPr>
          <w:bCs/>
          <w:iCs/>
        </w:rPr>
        <w:t>вмешательство и иммобилизацию. При выявлении клинических признаков ТГВ/ТЭЛА</w:t>
      </w:r>
      <w:r w:rsidR="008111BB">
        <w:rPr>
          <w:bCs/>
          <w:iCs/>
        </w:rPr>
        <w:t xml:space="preserve"> </w:t>
      </w:r>
      <w:r w:rsidRPr="000811B8">
        <w:rPr>
          <w:bCs/>
          <w:iCs/>
        </w:rPr>
        <w:t>применение барицитиниба следует прекратить, немедленно оценить состояние пациента и</w:t>
      </w:r>
      <w:r w:rsidR="008111BB">
        <w:rPr>
          <w:bCs/>
          <w:iCs/>
        </w:rPr>
        <w:t xml:space="preserve"> </w:t>
      </w:r>
      <w:r w:rsidRPr="000811B8">
        <w:rPr>
          <w:bCs/>
          <w:iCs/>
        </w:rPr>
        <w:t>провести соответствующее лечение.</w:t>
      </w:r>
    </w:p>
    <w:p w14:paraId="7F7A93A1" w14:textId="77777777" w:rsidR="008111BB" w:rsidRDefault="008111BB" w:rsidP="000811B8">
      <w:pPr>
        <w:tabs>
          <w:tab w:val="left" w:pos="8647"/>
        </w:tabs>
        <w:spacing w:after="0" w:line="240" w:lineRule="auto"/>
        <w:ind w:firstLine="709"/>
        <w:rPr>
          <w:bCs/>
          <w:i/>
        </w:rPr>
      </w:pPr>
    </w:p>
    <w:p w14:paraId="4B1C8004" w14:textId="528F5BFC" w:rsidR="000811B8" w:rsidRPr="00AB1FF1" w:rsidRDefault="008111BB" w:rsidP="0029110D">
      <w:pPr>
        <w:tabs>
          <w:tab w:val="left" w:pos="8647"/>
        </w:tabs>
        <w:spacing w:after="0" w:line="240" w:lineRule="auto"/>
        <w:rPr>
          <w:b/>
          <w:bCs/>
        </w:rPr>
      </w:pPr>
      <w:r w:rsidRPr="00AB1FF1">
        <w:rPr>
          <w:b/>
          <w:bCs/>
          <w:lang w:val="en-US"/>
        </w:rPr>
        <w:t>COVID</w:t>
      </w:r>
      <w:r w:rsidRPr="00AB1FF1">
        <w:rPr>
          <w:b/>
          <w:bCs/>
        </w:rPr>
        <w:t>-19</w:t>
      </w:r>
    </w:p>
    <w:p w14:paraId="223A2D84" w14:textId="77777777" w:rsidR="002150D3" w:rsidRDefault="002150D3" w:rsidP="000811B8">
      <w:pPr>
        <w:tabs>
          <w:tab w:val="left" w:pos="8647"/>
        </w:tabs>
        <w:spacing w:after="0" w:line="240" w:lineRule="auto"/>
        <w:ind w:firstLine="709"/>
        <w:rPr>
          <w:bCs/>
          <w:iCs/>
        </w:rPr>
      </w:pPr>
    </w:p>
    <w:p w14:paraId="386035F2" w14:textId="16D270B2" w:rsidR="000811B8" w:rsidRPr="000811B8" w:rsidRDefault="000811B8" w:rsidP="000811B8">
      <w:pPr>
        <w:tabs>
          <w:tab w:val="left" w:pos="8647"/>
        </w:tabs>
        <w:spacing w:after="0" w:line="240" w:lineRule="auto"/>
        <w:ind w:firstLine="709"/>
        <w:rPr>
          <w:bCs/>
          <w:iCs/>
        </w:rPr>
      </w:pPr>
      <w:r w:rsidRPr="000811B8">
        <w:rPr>
          <w:bCs/>
          <w:iCs/>
        </w:rPr>
        <w:t>Барицитиниб по показанию новая коронавирусная инфекция (</w:t>
      </w:r>
      <w:r w:rsidR="008111BB" w:rsidRPr="008111BB">
        <w:rPr>
          <w:bCs/>
          <w:iCs/>
        </w:rPr>
        <w:t>COVID-19</w:t>
      </w:r>
      <w:r w:rsidRPr="000811B8">
        <w:rPr>
          <w:bCs/>
          <w:iCs/>
        </w:rPr>
        <w:t>) следует</w:t>
      </w:r>
      <w:r w:rsidR="008111BB">
        <w:rPr>
          <w:bCs/>
          <w:iCs/>
        </w:rPr>
        <w:t xml:space="preserve"> </w:t>
      </w:r>
      <w:r w:rsidRPr="000811B8">
        <w:rPr>
          <w:bCs/>
          <w:iCs/>
        </w:rPr>
        <w:t>применять в условиях стационара.</w:t>
      </w:r>
      <w:r w:rsidR="008111BB">
        <w:rPr>
          <w:bCs/>
          <w:iCs/>
        </w:rPr>
        <w:t xml:space="preserve"> </w:t>
      </w:r>
      <w:r w:rsidRPr="000811B8">
        <w:rPr>
          <w:bCs/>
          <w:iCs/>
        </w:rPr>
        <w:t>При отсутствии противопоказаний рекомендуется проводить профилактику развития</w:t>
      </w:r>
      <w:r w:rsidR="008111BB">
        <w:rPr>
          <w:bCs/>
          <w:iCs/>
        </w:rPr>
        <w:t xml:space="preserve"> </w:t>
      </w:r>
      <w:r w:rsidRPr="000811B8">
        <w:rPr>
          <w:bCs/>
          <w:iCs/>
        </w:rPr>
        <w:t>ВТЭ.</w:t>
      </w:r>
      <w:r w:rsidR="008111BB">
        <w:rPr>
          <w:bCs/>
          <w:iCs/>
        </w:rPr>
        <w:t xml:space="preserve"> </w:t>
      </w:r>
      <w:r w:rsidRPr="000811B8">
        <w:rPr>
          <w:bCs/>
          <w:iCs/>
        </w:rPr>
        <w:t>У пациентов с СКФ от 15 до 30 мл/мин/1,73 м</w:t>
      </w:r>
      <w:r w:rsidR="008111BB">
        <w:rPr>
          <w:bCs/>
          <w:iCs/>
          <w:vertAlign w:val="superscript"/>
        </w:rPr>
        <w:t>2</w:t>
      </w:r>
      <w:r w:rsidRPr="000811B8">
        <w:rPr>
          <w:bCs/>
          <w:iCs/>
        </w:rPr>
        <w:t xml:space="preserve"> </w:t>
      </w:r>
      <w:r w:rsidRPr="000811B8">
        <w:rPr>
          <w:bCs/>
          <w:iCs/>
        </w:rPr>
        <w:lastRenderedPageBreak/>
        <w:t>(тяжелая степень почечной</w:t>
      </w:r>
      <w:r w:rsidR="008111BB">
        <w:rPr>
          <w:bCs/>
          <w:iCs/>
        </w:rPr>
        <w:t xml:space="preserve"> </w:t>
      </w:r>
      <w:r w:rsidRPr="000811B8">
        <w:rPr>
          <w:bCs/>
          <w:iCs/>
        </w:rPr>
        <w:t>недостаточности) перед началом применения барицитиниба следует оценить соотношение</w:t>
      </w:r>
      <w:r w:rsidR="008111BB">
        <w:rPr>
          <w:bCs/>
          <w:iCs/>
        </w:rPr>
        <w:t xml:space="preserve"> </w:t>
      </w:r>
      <w:r w:rsidRPr="000811B8">
        <w:rPr>
          <w:bCs/>
          <w:iCs/>
        </w:rPr>
        <w:t>потенциальной пользы к возможному риску.</w:t>
      </w:r>
    </w:p>
    <w:p w14:paraId="1B646A83" w14:textId="054BB80F" w:rsidR="000811B8" w:rsidRPr="000811B8" w:rsidRDefault="000811B8" w:rsidP="000811B8">
      <w:pPr>
        <w:tabs>
          <w:tab w:val="left" w:pos="8647"/>
        </w:tabs>
        <w:spacing w:after="0" w:line="240" w:lineRule="auto"/>
        <w:ind w:firstLine="709"/>
        <w:rPr>
          <w:bCs/>
          <w:iCs/>
        </w:rPr>
      </w:pPr>
      <w:r w:rsidRPr="000811B8">
        <w:rPr>
          <w:bCs/>
          <w:iCs/>
        </w:rPr>
        <w:t xml:space="preserve">Данные о применении барицитиниба у пациентов с </w:t>
      </w:r>
      <w:r w:rsidR="008111BB">
        <w:rPr>
          <w:bCs/>
          <w:i/>
          <w:lang w:val="en-US"/>
        </w:rPr>
        <w:t>COVID</w:t>
      </w:r>
      <w:r w:rsidR="008111BB" w:rsidRPr="008111BB">
        <w:rPr>
          <w:bCs/>
          <w:i/>
        </w:rPr>
        <w:t>-</w:t>
      </w:r>
      <w:r w:rsidR="008111BB">
        <w:rPr>
          <w:bCs/>
          <w:i/>
        </w:rPr>
        <w:t xml:space="preserve">19 </w:t>
      </w:r>
      <w:r w:rsidRPr="000811B8">
        <w:rPr>
          <w:bCs/>
          <w:iCs/>
        </w:rPr>
        <w:t>при любом из далее</w:t>
      </w:r>
      <w:r w:rsidR="008111BB">
        <w:rPr>
          <w:bCs/>
          <w:iCs/>
        </w:rPr>
        <w:t xml:space="preserve"> </w:t>
      </w:r>
      <w:r w:rsidRPr="000811B8">
        <w:rPr>
          <w:bCs/>
          <w:iCs/>
        </w:rPr>
        <w:t>перечисленных состояний/изменений лабораторных показателей ограничены:</w:t>
      </w:r>
    </w:p>
    <w:p w14:paraId="7FD292D2" w14:textId="2A715A4E" w:rsidR="000811B8" w:rsidRPr="000811B8" w:rsidRDefault="008111BB" w:rsidP="000811B8">
      <w:pPr>
        <w:tabs>
          <w:tab w:val="left" w:pos="8647"/>
        </w:tabs>
        <w:spacing w:after="0" w:line="240" w:lineRule="auto"/>
        <w:ind w:firstLine="709"/>
        <w:rPr>
          <w:bCs/>
          <w:iCs/>
        </w:rPr>
      </w:pPr>
      <w:r>
        <w:rPr>
          <w:bCs/>
          <w:iCs/>
        </w:rPr>
        <w:t xml:space="preserve">- </w:t>
      </w:r>
      <w:r w:rsidR="000811B8" w:rsidRPr="000811B8">
        <w:rPr>
          <w:bCs/>
          <w:iCs/>
        </w:rPr>
        <w:t>сопутствующая активная форма туберкулеза, а также латентная форма туберкулеза в</w:t>
      </w:r>
      <w:r>
        <w:rPr>
          <w:bCs/>
          <w:iCs/>
        </w:rPr>
        <w:t xml:space="preserve"> </w:t>
      </w:r>
      <w:r w:rsidR="000811B8" w:rsidRPr="000811B8">
        <w:rPr>
          <w:bCs/>
          <w:iCs/>
        </w:rPr>
        <w:t>случае, если адекватная терапия проводилась в течение менее, чем 4-х недель;</w:t>
      </w:r>
    </w:p>
    <w:p w14:paraId="568BD29F" w14:textId="37BA8D05" w:rsidR="000811B8" w:rsidRPr="008111BB" w:rsidRDefault="008111BB" w:rsidP="008111BB">
      <w:pPr>
        <w:tabs>
          <w:tab w:val="left" w:pos="8647"/>
        </w:tabs>
        <w:spacing w:after="0" w:line="240" w:lineRule="auto"/>
        <w:ind w:firstLine="709"/>
        <w:rPr>
          <w:bCs/>
          <w:i/>
        </w:rPr>
      </w:pPr>
      <w:r>
        <w:rPr>
          <w:bCs/>
          <w:iCs/>
        </w:rPr>
        <w:t xml:space="preserve">- </w:t>
      </w:r>
      <w:r w:rsidR="000811B8" w:rsidRPr="000811B8">
        <w:rPr>
          <w:bCs/>
          <w:iCs/>
        </w:rPr>
        <w:t xml:space="preserve">подозрение на серьезные активные бактериальные, грибковые, вирусные или какие-либо другие инфекции (за исключением </w:t>
      </w:r>
      <w:r w:rsidRPr="008111BB">
        <w:rPr>
          <w:bCs/>
          <w:iCs/>
          <w:lang w:val="en-US"/>
        </w:rPr>
        <w:t>COVID</w:t>
      </w:r>
      <w:r w:rsidRPr="008111BB">
        <w:rPr>
          <w:bCs/>
          <w:iCs/>
        </w:rPr>
        <w:t>-19</w:t>
      </w:r>
      <w:r w:rsidR="000811B8" w:rsidRPr="000811B8">
        <w:rPr>
          <w:bCs/>
          <w:iCs/>
        </w:rPr>
        <w:t>);</w:t>
      </w:r>
    </w:p>
    <w:p w14:paraId="4D1BF0EF" w14:textId="1FD4A5EF" w:rsidR="000811B8" w:rsidRPr="000811B8" w:rsidRDefault="008111BB" w:rsidP="000811B8">
      <w:pPr>
        <w:tabs>
          <w:tab w:val="left" w:pos="8647"/>
        </w:tabs>
        <w:spacing w:after="0" w:line="240" w:lineRule="auto"/>
        <w:ind w:firstLine="709"/>
        <w:rPr>
          <w:bCs/>
          <w:iCs/>
        </w:rPr>
      </w:pPr>
      <w:r>
        <w:rPr>
          <w:bCs/>
          <w:iCs/>
        </w:rPr>
        <w:t xml:space="preserve">- </w:t>
      </w:r>
      <w:r w:rsidR="000811B8" w:rsidRPr="000811B8">
        <w:rPr>
          <w:bCs/>
          <w:iCs/>
        </w:rPr>
        <w:t>активная форма гепатита В и С;</w:t>
      </w:r>
    </w:p>
    <w:p w14:paraId="43F6CC21" w14:textId="587B49AE" w:rsidR="000811B8" w:rsidRPr="000811B8" w:rsidRDefault="008111BB" w:rsidP="000811B8">
      <w:pPr>
        <w:tabs>
          <w:tab w:val="left" w:pos="8647"/>
        </w:tabs>
        <w:spacing w:after="0" w:line="240" w:lineRule="auto"/>
        <w:ind w:firstLine="709"/>
        <w:rPr>
          <w:bCs/>
          <w:iCs/>
        </w:rPr>
      </w:pPr>
      <w:r>
        <w:rPr>
          <w:bCs/>
          <w:iCs/>
        </w:rPr>
        <w:t xml:space="preserve">- </w:t>
      </w:r>
      <w:r w:rsidR="000811B8" w:rsidRPr="000811B8">
        <w:rPr>
          <w:bCs/>
          <w:iCs/>
        </w:rPr>
        <w:t>абсолютное число нейтрофилов менее 1х10</w:t>
      </w:r>
      <w:r>
        <w:rPr>
          <w:bCs/>
          <w:iCs/>
          <w:vertAlign w:val="superscript"/>
        </w:rPr>
        <w:t>9</w:t>
      </w:r>
      <w:r w:rsidR="000811B8" w:rsidRPr="000811B8">
        <w:rPr>
          <w:bCs/>
          <w:iCs/>
        </w:rPr>
        <w:t>/л;</w:t>
      </w:r>
    </w:p>
    <w:p w14:paraId="6E01D684" w14:textId="36866D44" w:rsidR="000811B8" w:rsidRPr="000811B8" w:rsidRDefault="008111BB" w:rsidP="000811B8">
      <w:pPr>
        <w:tabs>
          <w:tab w:val="left" w:pos="8647"/>
        </w:tabs>
        <w:spacing w:after="0" w:line="240" w:lineRule="auto"/>
        <w:ind w:firstLine="709"/>
        <w:rPr>
          <w:bCs/>
          <w:iCs/>
        </w:rPr>
      </w:pPr>
      <w:r>
        <w:rPr>
          <w:bCs/>
          <w:iCs/>
        </w:rPr>
        <w:t xml:space="preserve">- </w:t>
      </w:r>
      <w:r w:rsidR="000811B8" w:rsidRPr="000811B8">
        <w:rPr>
          <w:bCs/>
          <w:iCs/>
        </w:rPr>
        <w:t>абсолютное число лимфоцитов менее 0,2х10</w:t>
      </w:r>
      <w:r>
        <w:rPr>
          <w:bCs/>
          <w:iCs/>
          <w:vertAlign w:val="superscript"/>
        </w:rPr>
        <w:t>9</w:t>
      </w:r>
      <w:r w:rsidR="000811B8" w:rsidRPr="000811B8">
        <w:rPr>
          <w:bCs/>
          <w:iCs/>
        </w:rPr>
        <w:t xml:space="preserve"> /л;</w:t>
      </w:r>
    </w:p>
    <w:p w14:paraId="4D7CF80E" w14:textId="3D06F3EE" w:rsidR="000811B8" w:rsidRPr="000811B8" w:rsidRDefault="008111BB" w:rsidP="000811B8">
      <w:pPr>
        <w:tabs>
          <w:tab w:val="left" w:pos="8647"/>
        </w:tabs>
        <w:spacing w:after="0" w:line="240" w:lineRule="auto"/>
        <w:ind w:firstLine="709"/>
        <w:rPr>
          <w:bCs/>
          <w:iCs/>
        </w:rPr>
      </w:pPr>
      <w:r>
        <w:rPr>
          <w:bCs/>
          <w:iCs/>
        </w:rPr>
        <w:t xml:space="preserve">- </w:t>
      </w:r>
      <w:r w:rsidR="000811B8" w:rsidRPr="000811B8">
        <w:rPr>
          <w:bCs/>
          <w:iCs/>
        </w:rPr>
        <w:t>гемоглобин менее 8 г/дл.</w:t>
      </w:r>
    </w:p>
    <w:p w14:paraId="0790E1A2" w14:textId="5C2CAF3C" w:rsidR="008111BB" w:rsidRDefault="008111BB" w:rsidP="008111BB">
      <w:pPr>
        <w:tabs>
          <w:tab w:val="left" w:pos="8647"/>
        </w:tabs>
        <w:spacing w:after="0" w:line="240" w:lineRule="auto"/>
        <w:rPr>
          <w:bCs/>
          <w:iCs/>
        </w:rPr>
      </w:pPr>
    </w:p>
    <w:p w14:paraId="394B7128" w14:textId="297AEFA6" w:rsidR="008111BB" w:rsidRPr="008111BB" w:rsidRDefault="00A3301D" w:rsidP="008111BB">
      <w:pPr>
        <w:tabs>
          <w:tab w:val="left" w:pos="8647"/>
        </w:tabs>
        <w:spacing w:after="0" w:line="240" w:lineRule="auto"/>
        <w:rPr>
          <w:b/>
          <w:iCs/>
        </w:rPr>
      </w:pPr>
      <w:r>
        <w:rPr>
          <w:b/>
          <w:iCs/>
        </w:rPr>
        <w:t>Таблица 5-2.</w:t>
      </w:r>
      <w:r w:rsidR="008111BB" w:rsidRPr="008111BB">
        <w:rPr>
          <w:b/>
          <w:iCs/>
        </w:rPr>
        <w:t xml:space="preserve"> </w:t>
      </w:r>
      <w:r w:rsidR="008111BB" w:rsidRPr="00A3301D">
        <w:rPr>
          <w:iCs/>
        </w:rPr>
        <w:t>Мониторинг лабораторных показателей у пациентов с ревматоидным артритом, атопическим дерматитом и очаговой алопецией</w:t>
      </w:r>
      <w:r w:rsidR="00777BAE">
        <w:rPr>
          <w:iCs/>
        </w:rPr>
        <w:t>.</w:t>
      </w:r>
      <w:r w:rsidR="008111BB" w:rsidRPr="00A3301D">
        <w:rPr>
          <w:iCs/>
        </w:rPr>
        <w:t xml:space="preserve"> Лабораторные показатели и руководство по мониторингу</w:t>
      </w:r>
      <w:r w:rsidRPr="00A3301D">
        <w:rPr>
          <w:iCs/>
        </w:rPr>
        <w:t>.</w:t>
      </w:r>
    </w:p>
    <w:tbl>
      <w:tblPr>
        <w:tblStyle w:val="a8"/>
        <w:tblW w:w="4873" w:type="pct"/>
        <w:tblInd w:w="136" w:type="dxa"/>
        <w:tblLook w:val="04A0" w:firstRow="1" w:lastRow="0" w:firstColumn="1" w:lastColumn="0" w:noHBand="0" w:noVBand="1"/>
      </w:tblPr>
      <w:tblGrid>
        <w:gridCol w:w="1835"/>
        <w:gridCol w:w="4302"/>
        <w:gridCol w:w="3192"/>
      </w:tblGrid>
      <w:tr w:rsidR="008111BB" w:rsidRPr="008111BB" w14:paraId="4BDB5FA6" w14:textId="77777777" w:rsidTr="00AB1FF1">
        <w:trPr>
          <w:tblHeader/>
        </w:trPr>
        <w:tc>
          <w:tcPr>
            <w:tcW w:w="1834" w:type="dxa"/>
            <w:shd w:val="clear" w:color="auto" w:fill="D9D9D9" w:themeFill="background1" w:themeFillShade="D9"/>
            <w:vAlign w:val="center"/>
          </w:tcPr>
          <w:p w14:paraId="59FC9256" w14:textId="5FBEAB91" w:rsidR="008111BB" w:rsidRPr="00A3301D" w:rsidRDefault="008111BB" w:rsidP="00AB1FF1">
            <w:pPr>
              <w:tabs>
                <w:tab w:val="left" w:pos="8647"/>
              </w:tabs>
              <w:jc w:val="center"/>
              <w:rPr>
                <w:b/>
                <w:iCs/>
              </w:rPr>
            </w:pPr>
            <w:r w:rsidRPr="00A3301D">
              <w:rPr>
                <w:b/>
                <w:iCs/>
              </w:rPr>
              <w:t>Лабораторные показатели</w:t>
            </w:r>
          </w:p>
        </w:tc>
        <w:tc>
          <w:tcPr>
            <w:tcW w:w="4302" w:type="dxa"/>
            <w:shd w:val="clear" w:color="auto" w:fill="D9D9D9" w:themeFill="background1" w:themeFillShade="D9"/>
            <w:vAlign w:val="center"/>
          </w:tcPr>
          <w:p w14:paraId="4986D338" w14:textId="54993B2B" w:rsidR="008111BB" w:rsidRPr="00A3301D" w:rsidRDefault="008111BB" w:rsidP="00AB1FF1">
            <w:pPr>
              <w:tabs>
                <w:tab w:val="left" w:pos="8647"/>
              </w:tabs>
              <w:jc w:val="center"/>
              <w:rPr>
                <w:b/>
                <w:iCs/>
              </w:rPr>
            </w:pPr>
            <w:r w:rsidRPr="00A3301D">
              <w:rPr>
                <w:b/>
                <w:iCs/>
              </w:rPr>
              <w:t>Действие</w:t>
            </w:r>
          </w:p>
        </w:tc>
        <w:tc>
          <w:tcPr>
            <w:tcW w:w="3192" w:type="dxa"/>
            <w:shd w:val="clear" w:color="auto" w:fill="D9D9D9" w:themeFill="background1" w:themeFillShade="D9"/>
            <w:vAlign w:val="center"/>
          </w:tcPr>
          <w:p w14:paraId="5461ED59" w14:textId="7A08C6FE" w:rsidR="008111BB" w:rsidRPr="00A3301D" w:rsidRDefault="008111BB" w:rsidP="00AB1FF1">
            <w:pPr>
              <w:tabs>
                <w:tab w:val="left" w:pos="8647"/>
              </w:tabs>
              <w:jc w:val="center"/>
              <w:rPr>
                <w:b/>
                <w:iCs/>
              </w:rPr>
            </w:pPr>
            <w:r w:rsidRPr="00A3301D">
              <w:rPr>
                <w:b/>
                <w:iCs/>
              </w:rPr>
              <w:t>Руководство по мониторингу</w:t>
            </w:r>
          </w:p>
        </w:tc>
      </w:tr>
      <w:tr w:rsidR="008111BB" w:rsidRPr="008111BB" w14:paraId="68C82251" w14:textId="77777777" w:rsidTr="00AB1FF1">
        <w:tc>
          <w:tcPr>
            <w:tcW w:w="1834" w:type="dxa"/>
          </w:tcPr>
          <w:p w14:paraId="39F147DC" w14:textId="64EBCE12" w:rsidR="008111BB" w:rsidRPr="00A3301D" w:rsidRDefault="008111BB" w:rsidP="008111BB">
            <w:pPr>
              <w:tabs>
                <w:tab w:val="left" w:pos="8647"/>
              </w:tabs>
              <w:rPr>
                <w:bCs/>
                <w:iCs/>
              </w:rPr>
            </w:pPr>
            <w:r w:rsidRPr="00A3301D">
              <w:rPr>
                <w:bCs/>
                <w:iCs/>
              </w:rPr>
              <w:t>Параметры липидного профиля</w:t>
            </w:r>
          </w:p>
        </w:tc>
        <w:tc>
          <w:tcPr>
            <w:tcW w:w="4302" w:type="dxa"/>
          </w:tcPr>
          <w:p w14:paraId="785E939E" w14:textId="24FA3747" w:rsidR="008111BB" w:rsidRPr="00A3301D" w:rsidRDefault="008111BB" w:rsidP="008111BB">
            <w:pPr>
              <w:tabs>
                <w:tab w:val="left" w:pos="8647"/>
              </w:tabs>
              <w:rPr>
                <w:bCs/>
                <w:iCs/>
              </w:rPr>
            </w:pPr>
            <w:r w:rsidRPr="00A3301D">
              <w:rPr>
                <w:bCs/>
                <w:iCs/>
              </w:rPr>
              <w:t>Лечение пациентов следует проводить в соответствии с международными клиническими рекомендациями по ведению пациентов с гиперлипидемией</w:t>
            </w:r>
          </w:p>
        </w:tc>
        <w:tc>
          <w:tcPr>
            <w:tcW w:w="3192" w:type="dxa"/>
          </w:tcPr>
          <w:p w14:paraId="5F52064A" w14:textId="1E24AC17" w:rsidR="008111BB" w:rsidRPr="00A3301D" w:rsidRDefault="008111BB" w:rsidP="008111BB">
            <w:pPr>
              <w:tabs>
                <w:tab w:val="left" w:pos="8647"/>
              </w:tabs>
              <w:rPr>
                <w:bCs/>
                <w:iCs/>
              </w:rPr>
            </w:pPr>
            <w:r w:rsidRPr="00A3301D">
              <w:rPr>
                <w:bCs/>
                <w:iCs/>
              </w:rPr>
              <w:t xml:space="preserve">Через 12 недель после начала лечения, а затем в соответствии с международными клиническими рекомендациями </w:t>
            </w:r>
            <w:r w:rsidR="000350F1" w:rsidRPr="00A3301D">
              <w:rPr>
                <w:bCs/>
                <w:iCs/>
              </w:rPr>
              <w:t>по ведению пациентов с гиперлипидемией</w:t>
            </w:r>
          </w:p>
        </w:tc>
      </w:tr>
      <w:tr w:rsidR="000350F1" w:rsidRPr="008111BB" w14:paraId="79DA3471" w14:textId="77777777" w:rsidTr="00AB1FF1">
        <w:tc>
          <w:tcPr>
            <w:tcW w:w="1834" w:type="dxa"/>
          </w:tcPr>
          <w:p w14:paraId="60D96AAB" w14:textId="4B443BB4" w:rsidR="000350F1" w:rsidRPr="00A3301D" w:rsidRDefault="000350F1" w:rsidP="008111BB">
            <w:pPr>
              <w:tabs>
                <w:tab w:val="left" w:pos="8647"/>
              </w:tabs>
              <w:rPr>
                <w:bCs/>
                <w:iCs/>
              </w:rPr>
            </w:pPr>
            <w:r w:rsidRPr="00A3301D">
              <w:rPr>
                <w:bCs/>
                <w:iCs/>
              </w:rPr>
              <w:t>Абсолютное число нейтрофилов</w:t>
            </w:r>
          </w:p>
        </w:tc>
        <w:tc>
          <w:tcPr>
            <w:tcW w:w="4302" w:type="dxa"/>
          </w:tcPr>
          <w:p w14:paraId="0FDE1BE2" w14:textId="1AC70110" w:rsidR="000350F1" w:rsidRPr="00A3301D" w:rsidRDefault="000350F1" w:rsidP="008111BB">
            <w:pPr>
              <w:tabs>
                <w:tab w:val="left" w:pos="8647"/>
              </w:tabs>
              <w:rPr>
                <w:bCs/>
                <w:iCs/>
              </w:rPr>
            </w:pPr>
            <w:r w:rsidRPr="00A3301D">
              <w:rPr>
                <w:bCs/>
                <w:iCs/>
              </w:rPr>
              <w:t>Если число нейтрофилов менее 1*10</w:t>
            </w:r>
            <w:r w:rsidRPr="00A3301D">
              <w:rPr>
                <w:bCs/>
                <w:iCs/>
                <w:vertAlign w:val="superscript"/>
              </w:rPr>
              <w:t>9</w:t>
            </w:r>
            <w:r w:rsidRPr="00A3301D">
              <w:rPr>
                <w:bCs/>
                <w:iCs/>
              </w:rPr>
              <w:t xml:space="preserve"> кл/л следует прекратить применение препарата; если число нейтрофилов будет выше этого значения, лечение можно возобновить. </w:t>
            </w:r>
          </w:p>
        </w:tc>
        <w:tc>
          <w:tcPr>
            <w:tcW w:w="3192" w:type="dxa"/>
            <w:vMerge w:val="restart"/>
            <w:vAlign w:val="center"/>
          </w:tcPr>
          <w:p w14:paraId="56E066F2" w14:textId="61AE7D34" w:rsidR="000350F1" w:rsidRPr="00A3301D" w:rsidRDefault="000350F1" w:rsidP="008111BB">
            <w:pPr>
              <w:tabs>
                <w:tab w:val="left" w:pos="8647"/>
              </w:tabs>
              <w:rPr>
                <w:bCs/>
                <w:iCs/>
              </w:rPr>
            </w:pPr>
            <w:r w:rsidRPr="00A3301D">
              <w:rPr>
                <w:bCs/>
                <w:iCs/>
              </w:rPr>
              <w:t>Перед началом лечения и далее согласно обычному ведению пациентом</w:t>
            </w:r>
          </w:p>
        </w:tc>
      </w:tr>
      <w:tr w:rsidR="000350F1" w:rsidRPr="008111BB" w14:paraId="311B1900" w14:textId="77777777" w:rsidTr="00AB1FF1">
        <w:tc>
          <w:tcPr>
            <w:tcW w:w="1834" w:type="dxa"/>
          </w:tcPr>
          <w:p w14:paraId="431ACDC9" w14:textId="6564CF33" w:rsidR="000350F1" w:rsidRPr="00A3301D" w:rsidRDefault="000350F1" w:rsidP="000350F1">
            <w:pPr>
              <w:tabs>
                <w:tab w:val="left" w:pos="8647"/>
              </w:tabs>
              <w:rPr>
                <w:bCs/>
                <w:iCs/>
              </w:rPr>
            </w:pPr>
            <w:r w:rsidRPr="00A3301D">
              <w:rPr>
                <w:bCs/>
                <w:iCs/>
              </w:rPr>
              <w:t>Абсолютное число лимфоцитов</w:t>
            </w:r>
          </w:p>
        </w:tc>
        <w:tc>
          <w:tcPr>
            <w:tcW w:w="4302" w:type="dxa"/>
          </w:tcPr>
          <w:p w14:paraId="76555FDF" w14:textId="5E695074" w:rsidR="000350F1" w:rsidRPr="00A3301D" w:rsidRDefault="000350F1" w:rsidP="000350F1">
            <w:pPr>
              <w:tabs>
                <w:tab w:val="left" w:pos="8647"/>
              </w:tabs>
              <w:rPr>
                <w:bCs/>
                <w:iCs/>
              </w:rPr>
            </w:pPr>
            <w:r w:rsidRPr="00A3301D">
              <w:rPr>
                <w:bCs/>
                <w:iCs/>
              </w:rPr>
              <w:t>Если число лимфоцитов менее 0,5*10</w:t>
            </w:r>
            <w:r w:rsidRPr="00A3301D">
              <w:rPr>
                <w:bCs/>
                <w:iCs/>
                <w:vertAlign w:val="superscript"/>
              </w:rPr>
              <w:t>9</w:t>
            </w:r>
            <w:r w:rsidRPr="00A3301D">
              <w:rPr>
                <w:bCs/>
                <w:iCs/>
              </w:rPr>
              <w:t xml:space="preserve"> кл/л следует прекратить применение препарата; если число лимфоцитов будет выше этого значения, лечение можно возобновить. </w:t>
            </w:r>
          </w:p>
        </w:tc>
        <w:tc>
          <w:tcPr>
            <w:tcW w:w="3192" w:type="dxa"/>
            <w:vMerge/>
          </w:tcPr>
          <w:p w14:paraId="444BF5A2" w14:textId="77777777" w:rsidR="000350F1" w:rsidRPr="00A3301D" w:rsidRDefault="000350F1" w:rsidP="000350F1">
            <w:pPr>
              <w:tabs>
                <w:tab w:val="left" w:pos="8647"/>
              </w:tabs>
              <w:rPr>
                <w:bCs/>
                <w:iCs/>
              </w:rPr>
            </w:pPr>
          </w:p>
        </w:tc>
      </w:tr>
      <w:tr w:rsidR="000350F1" w:rsidRPr="008111BB" w14:paraId="47CA5045" w14:textId="77777777" w:rsidTr="00AB1FF1">
        <w:tc>
          <w:tcPr>
            <w:tcW w:w="1834" w:type="dxa"/>
          </w:tcPr>
          <w:p w14:paraId="779AE3F9" w14:textId="1676F6FE" w:rsidR="000350F1" w:rsidRPr="00A3301D" w:rsidRDefault="000350F1" w:rsidP="000350F1">
            <w:pPr>
              <w:tabs>
                <w:tab w:val="left" w:pos="8647"/>
              </w:tabs>
              <w:rPr>
                <w:bCs/>
                <w:iCs/>
              </w:rPr>
            </w:pPr>
            <w:r w:rsidRPr="00A3301D">
              <w:rPr>
                <w:bCs/>
                <w:iCs/>
              </w:rPr>
              <w:t xml:space="preserve">Гемоглобин </w:t>
            </w:r>
          </w:p>
        </w:tc>
        <w:tc>
          <w:tcPr>
            <w:tcW w:w="4302" w:type="dxa"/>
          </w:tcPr>
          <w:p w14:paraId="0C28B288" w14:textId="2C721632" w:rsidR="000350F1" w:rsidRPr="00A3301D" w:rsidRDefault="000350F1" w:rsidP="000350F1">
            <w:pPr>
              <w:tabs>
                <w:tab w:val="left" w:pos="8647"/>
              </w:tabs>
              <w:rPr>
                <w:bCs/>
                <w:iCs/>
              </w:rPr>
            </w:pPr>
            <w:r w:rsidRPr="00A3301D">
              <w:rPr>
                <w:bCs/>
                <w:iCs/>
              </w:rPr>
              <w:t>При гемоглобине менее 8 г/дл следует прекратить применение препарата; после того как гемоглобин будет выше этого значения, лечение можно возобновить</w:t>
            </w:r>
          </w:p>
        </w:tc>
        <w:tc>
          <w:tcPr>
            <w:tcW w:w="3192" w:type="dxa"/>
            <w:vMerge/>
          </w:tcPr>
          <w:p w14:paraId="1055D49D" w14:textId="77777777" w:rsidR="000350F1" w:rsidRPr="00A3301D" w:rsidRDefault="000350F1" w:rsidP="000350F1">
            <w:pPr>
              <w:tabs>
                <w:tab w:val="left" w:pos="8647"/>
              </w:tabs>
              <w:rPr>
                <w:bCs/>
                <w:iCs/>
              </w:rPr>
            </w:pPr>
          </w:p>
        </w:tc>
      </w:tr>
      <w:tr w:rsidR="000350F1" w:rsidRPr="008111BB" w14:paraId="185F6F1A" w14:textId="77777777" w:rsidTr="00AB1FF1">
        <w:tc>
          <w:tcPr>
            <w:tcW w:w="1834" w:type="dxa"/>
          </w:tcPr>
          <w:p w14:paraId="37763A9D" w14:textId="5466B5AC" w:rsidR="000350F1" w:rsidRPr="00A3301D" w:rsidRDefault="000350F1" w:rsidP="000350F1">
            <w:pPr>
              <w:tabs>
                <w:tab w:val="left" w:pos="8647"/>
              </w:tabs>
              <w:rPr>
                <w:bCs/>
                <w:iCs/>
              </w:rPr>
            </w:pPr>
            <w:r w:rsidRPr="00A3301D">
              <w:rPr>
                <w:bCs/>
                <w:iCs/>
              </w:rPr>
              <w:t>Трансаминазы печени</w:t>
            </w:r>
          </w:p>
        </w:tc>
        <w:tc>
          <w:tcPr>
            <w:tcW w:w="4302" w:type="dxa"/>
          </w:tcPr>
          <w:p w14:paraId="4DB360D1" w14:textId="203F3662" w:rsidR="000350F1" w:rsidRPr="00A3301D" w:rsidRDefault="000350F1" w:rsidP="000350F1">
            <w:pPr>
              <w:tabs>
                <w:tab w:val="left" w:pos="8647"/>
              </w:tabs>
              <w:rPr>
                <w:bCs/>
                <w:iCs/>
              </w:rPr>
            </w:pPr>
            <w:r w:rsidRPr="00A3301D">
              <w:rPr>
                <w:bCs/>
                <w:iCs/>
              </w:rPr>
              <w:t>При подозрении на лекарственное поражение печени лечение следует временно прекратить</w:t>
            </w:r>
          </w:p>
        </w:tc>
        <w:tc>
          <w:tcPr>
            <w:tcW w:w="3192" w:type="dxa"/>
            <w:vMerge/>
          </w:tcPr>
          <w:p w14:paraId="75960C36" w14:textId="77777777" w:rsidR="000350F1" w:rsidRPr="00A3301D" w:rsidRDefault="000350F1" w:rsidP="000350F1">
            <w:pPr>
              <w:tabs>
                <w:tab w:val="left" w:pos="8647"/>
              </w:tabs>
              <w:rPr>
                <w:bCs/>
                <w:iCs/>
              </w:rPr>
            </w:pPr>
          </w:p>
        </w:tc>
      </w:tr>
    </w:tbl>
    <w:p w14:paraId="65592FA2" w14:textId="29853BEF" w:rsidR="000811B8" w:rsidRDefault="000811B8" w:rsidP="00A3301D">
      <w:pPr>
        <w:tabs>
          <w:tab w:val="left" w:pos="8647"/>
        </w:tabs>
        <w:spacing w:after="0" w:line="240" w:lineRule="auto"/>
        <w:rPr>
          <w:bCs/>
          <w:iCs/>
        </w:rPr>
      </w:pPr>
    </w:p>
    <w:p w14:paraId="31EFFC10" w14:textId="77777777" w:rsidR="000811B8" w:rsidRPr="00AB1FF1" w:rsidRDefault="000811B8" w:rsidP="0029110D">
      <w:pPr>
        <w:tabs>
          <w:tab w:val="left" w:pos="8647"/>
        </w:tabs>
        <w:spacing w:after="0" w:line="240" w:lineRule="auto"/>
        <w:rPr>
          <w:b/>
          <w:bCs/>
        </w:rPr>
      </w:pPr>
      <w:r w:rsidRPr="00AB1FF1">
        <w:rPr>
          <w:b/>
          <w:bCs/>
        </w:rPr>
        <w:t>Иммунодепрессанты</w:t>
      </w:r>
    </w:p>
    <w:p w14:paraId="1C27F54E" w14:textId="77777777" w:rsidR="002150D3" w:rsidRDefault="002150D3" w:rsidP="000811B8">
      <w:pPr>
        <w:tabs>
          <w:tab w:val="left" w:pos="8647"/>
        </w:tabs>
        <w:spacing w:after="0" w:line="240" w:lineRule="auto"/>
        <w:ind w:firstLine="709"/>
        <w:rPr>
          <w:bCs/>
          <w:iCs/>
        </w:rPr>
      </w:pPr>
    </w:p>
    <w:p w14:paraId="6E8929DE" w14:textId="27484FBE" w:rsidR="000811B8" w:rsidRPr="000811B8" w:rsidRDefault="000811B8" w:rsidP="000811B8">
      <w:pPr>
        <w:tabs>
          <w:tab w:val="left" w:pos="8647"/>
        </w:tabs>
        <w:spacing w:after="0" w:line="240" w:lineRule="auto"/>
        <w:ind w:firstLine="709"/>
        <w:rPr>
          <w:bCs/>
          <w:iCs/>
        </w:rPr>
      </w:pPr>
      <w:r w:rsidRPr="000811B8">
        <w:rPr>
          <w:bCs/>
          <w:iCs/>
        </w:rPr>
        <w:lastRenderedPageBreak/>
        <w:t>Не рекомендуется применение барицитиниба в комбинации с биологическими базисными</w:t>
      </w:r>
      <w:r w:rsidR="000350F1">
        <w:rPr>
          <w:bCs/>
          <w:iCs/>
        </w:rPr>
        <w:t xml:space="preserve"> </w:t>
      </w:r>
      <w:r w:rsidRPr="000811B8">
        <w:rPr>
          <w:bCs/>
          <w:iCs/>
        </w:rPr>
        <w:t>противоревматическими препаратами, биологическими иммуномодуляторами или другими</w:t>
      </w:r>
      <w:r w:rsidR="000350F1">
        <w:rPr>
          <w:bCs/>
          <w:iCs/>
        </w:rPr>
        <w:t xml:space="preserve"> </w:t>
      </w:r>
      <w:r w:rsidRPr="000811B8">
        <w:rPr>
          <w:bCs/>
          <w:iCs/>
        </w:rPr>
        <w:t>ингибиторами Янус-киназы</w:t>
      </w:r>
      <w:r w:rsidR="000350F1">
        <w:rPr>
          <w:bCs/>
          <w:iCs/>
        </w:rPr>
        <w:t xml:space="preserve">, </w:t>
      </w:r>
      <w:r w:rsidRPr="000811B8">
        <w:rPr>
          <w:bCs/>
          <w:iCs/>
        </w:rPr>
        <w:t xml:space="preserve">так </w:t>
      </w:r>
      <w:r w:rsidR="000350F1">
        <w:rPr>
          <w:bCs/>
          <w:iCs/>
        </w:rPr>
        <w:t>к</w:t>
      </w:r>
      <w:r w:rsidRPr="000811B8">
        <w:rPr>
          <w:bCs/>
          <w:iCs/>
        </w:rPr>
        <w:t>ак невозможно исключить риск аддитивной</w:t>
      </w:r>
      <w:r w:rsidR="000350F1">
        <w:rPr>
          <w:bCs/>
          <w:iCs/>
        </w:rPr>
        <w:t xml:space="preserve"> </w:t>
      </w:r>
      <w:r w:rsidRPr="000811B8">
        <w:rPr>
          <w:bCs/>
          <w:iCs/>
        </w:rPr>
        <w:t>иммуносупрессии.</w:t>
      </w:r>
      <w:r w:rsidR="000350F1">
        <w:rPr>
          <w:bCs/>
          <w:iCs/>
        </w:rPr>
        <w:t xml:space="preserve"> </w:t>
      </w:r>
      <w:r w:rsidRPr="000811B8">
        <w:rPr>
          <w:bCs/>
          <w:iCs/>
        </w:rPr>
        <w:t>Данных о применении барицитиниба по показанию ревматоидный артрит в комбинации с</w:t>
      </w:r>
      <w:r w:rsidR="000350F1">
        <w:rPr>
          <w:bCs/>
          <w:iCs/>
        </w:rPr>
        <w:t xml:space="preserve"> </w:t>
      </w:r>
      <w:r w:rsidRPr="000811B8">
        <w:rPr>
          <w:bCs/>
          <w:iCs/>
        </w:rPr>
        <w:t>мощными иммунодепрессантами (например, азатиоприном, такролимусом,</w:t>
      </w:r>
      <w:r w:rsidR="000350F1">
        <w:rPr>
          <w:bCs/>
          <w:iCs/>
        </w:rPr>
        <w:t xml:space="preserve"> </w:t>
      </w:r>
      <w:r w:rsidRPr="000811B8">
        <w:rPr>
          <w:bCs/>
          <w:iCs/>
        </w:rPr>
        <w:t>циклоспорином) недостаточно, поэтому следует соблюдать осторожность при применении</w:t>
      </w:r>
      <w:r w:rsidR="000350F1">
        <w:rPr>
          <w:bCs/>
          <w:iCs/>
        </w:rPr>
        <w:t xml:space="preserve"> </w:t>
      </w:r>
      <w:r w:rsidRPr="000811B8">
        <w:rPr>
          <w:bCs/>
          <w:iCs/>
        </w:rPr>
        <w:t>таких комбинаций</w:t>
      </w:r>
      <w:r w:rsidR="000350F1">
        <w:rPr>
          <w:bCs/>
          <w:iCs/>
        </w:rPr>
        <w:t xml:space="preserve">. </w:t>
      </w:r>
    </w:p>
    <w:p w14:paraId="79646BDC" w14:textId="091A1589" w:rsidR="000350F1" w:rsidRPr="000811B8" w:rsidRDefault="000811B8" w:rsidP="000350F1">
      <w:pPr>
        <w:tabs>
          <w:tab w:val="left" w:pos="8647"/>
        </w:tabs>
        <w:spacing w:after="0" w:line="240" w:lineRule="auto"/>
        <w:ind w:firstLine="709"/>
        <w:rPr>
          <w:bCs/>
          <w:iCs/>
        </w:rPr>
      </w:pPr>
      <w:r w:rsidRPr="000811B8">
        <w:rPr>
          <w:bCs/>
          <w:iCs/>
        </w:rPr>
        <w:t>Применение барицитиниба по показаниям атопический дерматит и очаговая алопеция в</w:t>
      </w:r>
      <w:r w:rsidR="000350F1">
        <w:rPr>
          <w:bCs/>
          <w:iCs/>
        </w:rPr>
        <w:t xml:space="preserve"> </w:t>
      </w:r>
      <w:r w:rsidRPr="000811B8">
        <w:rPr>
          <w:bCs/>
          <w:iCs/>
        </w:rPr>
        <w:t>комбинации с циклоспорином или другими мощными иммунодепрессантами не изучалось</w:t>
      </w:r>
      <w:r w:rsidR="000350F1">
        <w:rPr>
          <w:bCs/>
          <w:iCs/>
        </w:rPr>
        <w:t xml:space="preserve"> </w:t>
      </w:r>
      <w:r w:rsidRPr="000811B8">
        <w:rPr>
          <w:bCs/>
          <w:iCs/>
        </w:rPr>
        <w:t>и поэтому не рекомендуется</w:t>
      </w:r>
      <w:r w:rsidR="000350F1">
        <w:rPr>
          <w:bCs/>
          <w:iCs/>
        </w:rPr>
        <w:t>.</w:t>
      </w:r>
    </w:p>
    <w:p w14:paraId="3F8C122A" w14:textId="77777777" w:rsidR="002150D3" w:rsidRPr="000811B8" w:rsidRDefault="002150D3">
      <w:pPr>
        <w:tabs>
          <w:tab w:val="left" w:pos="8647"/>
        </w:tabs>
        <w:spacing w:after="0" w:line="240" w:lineRule="auto"/>
        <w:rPr>
          <w:bCs/>
          <w:iCs/>
        </w:rPr>
      </w:pPr>
    </w:p>
    <w:p w14:paraId="1715253C" w14:textId="211C4406" w:rsidR="000811B8" w:rsidRPr="00AB1FF1" w:rsidRDefault="000811B8" w:rsidP="0029110D">
      <w:pPr>
        <w:tabs>
          <w:tab w:val="left" w:pos="8647"/>
        </w:tabs>
        <w:spacing w:after="0" w:line="240" w:lineRule="auto"/>
        <w:rPr>
          <w:b/>
          <w:bCs/>
        </w:rPr>
      </w:pPr>
      <w:r w:rsidRPr="00AB1FF1">
        <w:rPr>
          <w:b/>
          <w:bCs/>
        </w:rPr>
        <w:t>Аллергические реакции</w:t>
      </w:r>
    </w:p>
    <w:p w14:paraId="2A3EA796" w14:textId="77777777" w:rsidR="002150D3" w:rsidRDefault="002150D3" w:rsidP="000811B8">
      <w:pPr>
        <w:tabs>
          <w:tab w:val="left" w:pos="8647"/>
        </w:tabs>
        <w:spacing w:after="0" w:line="240" w:lineRule="auto"/>
        <w:ind w:firstLine="709"/>
        <w:rPr>
          <w:bCs/>
          <w:iCs/>
        </w:rPr>
      </w:pPr>
    </w:p>
    <w:p w14:paraId="1684A2A4" w14:textId="5D694310" w:rsidR="000811B8" w:rsidRDefault="000811B8" w:rsidP="000811B8">
      <w:pPr>
        <w:tabs>
          <w:tab w:val="left" w:pos="8647"/>
        </w:tabs>
        <w:spacing w:after="0" w:line="240" w:lineRule="auto"/>
        <w:ind w:firstLine="709"/>
        <w:rPr>
          <w:bCs/>
          <w:iCs/>
        </w:rPr>
      </w:pPr>
      <w:r w:rsidRPr="000811B8">
        <w:rPr>
          <w:bCs/>
          <w:iCs/>
        </w:rPr>
        <w:t xml:space="preserve">Сообщалось о случаях гиперчувствительности в пострегистрационном периоде. </w:t>
      </w:r>
      <w:r w:rsidR="000350F1" w:rsidRPr="000811B8">
        <w:rPr>
          <w:bCs/>
          <w:iCs/>
        </w:rPr>
        <w:t>При</w:t>
      </w:r>
      <w:r w:rsidR="000350F1">
        <w:rPr>
          <w:bCs/>
          <w:iCs/>
        </w:rPr>
        <w:t xml:space="preserve"> </w:t>
      </w:r>
      <w:r w:rsidR="000350F1" w:rsidRPr="000811B8">
        <w:rPr>
          <w:bCs/>
          <w:iCs/>
        </w:rPr>
        <w:t>появлении серьезных аллергических или анафилактических реакций</w:t>
      </w:r>
      <w:r w:rsidRPr="000811B8">
        <w:rPr>
          <w:bCs/>
          <w:iCs/>
        </w:rPr>
        <w:t xml:space="preserve"> применение</w:t>
      </w:r>
      <w:r w:rsidR="000350F1">
        <w:rPr>
          <w:bCs/>
          <w:iCs/>
        </w:rPr>
        <w:t xml:space="preserve"> </w:t>
      </w:r>
      <w:r w:rsidRPr="000811B8">
        <w:rPr>
          <w:bCs/>
          <w:iCs/>
        </w:rPr>
        <w:t>барицитиниба должно быть прекращено немедленно.</w:t>
      </w:r>
    </w:p>
    <w:p w14:paraId="30B65902" w14:textId="77777777" w:rsidR="000350F1" w:rsidRPr="000811B8" w:rsidRDefault="000350F1" w:rsidP="000811B8">
      <w:pPr>
        <w:tabs>
          <w:tab w:val="left" w:pos="8647"/>
        </w:tabs>
        <w:spacing w:after="0" w:line="240" w:lineRule="auto"/>
        <w:ind w:firstLine="709"/>
        <w:rPr>
          <w:bCs/>
          <w:iCs/>
        </w:rPr>
      </w:pPr>
    </w:p>
    <w:p w14:paraId="79602327" w14:textId="77777777" w:rsidR="000811B8" w:rsidRPr="00AB1FF1" w:rsidRDefault="000811B8" w:rsidP="0029110D">
      <w:pPr>
        <w:tabs>
          <w:tab w:val="left" w:pos="8647"/>
        </w:tabs>
        <w:spacing w:after="0" w:line="240" w:lineRule="auto"/>
        <w:rPr>
          <w:b/>
          <w:bCs/>
        </w:rPr>
      </w:pPr>
      <w:r w:rsidRPr="00AB1FF1">
        <w:rPr>
          <w:b/>
          <w:bCs/>
        </w:rPr>
        <w:t>Дивертикулит</w:t>
      </w:r>
    </w:p>
    <w:p w14:paraId="28ED4109" w14:textId="77777777" w:rsidR="002150D3" w:rsidRDefault="002150D3" w:rsidP="000811B8">
      <w:pPr>
        <w:tabs>
          <w:tab w:val="left" w:pos="8647"/>
        </w:tabs>
        <w:spacing w:after="0" w:line="240" w:lineRule="auto"/>
        <w:ind w:firstLine="709"/>
        <w:rPr>
          <w:bCs/>
          <w:iCs/>
        </w:rPr>
      </w:pPr>
    </w:p>
    <w:p w14:paraId="6EF84CE9" w14:textId="5673861F" w:rsidR="000811B8" w:rsidRDefault="000811B8" w:rsidP="000811B8">
      <w:pPr>
        <w:tabs>
          <w:tab w:val="left" w:pos="8647"/>
        </w:tabs>
        <w:spacing w:after="0" w:line="240" w:lineRule="auto"/>
        <w:ind w:firstLine="709"/>
        <w:rPr>
          <w:bCs/>
          <w:iCs/>
        </w:rPr>
      </w:pPr>
      <w:r w:rsidRPr="000811B8">
        <w:rPr>
          <w:bCs/>
          <w:iCs/>
        </w:rPr>
        <w:t>Во время клинических исследований и в пострегистрационном периоде сообщалось</w:t>
      </w:r>
      <w:r w:rsidR="000350F1">
        <w:rPr>
          <w:bCs/>
          <w:iCs/>
        </w:rPr>
        <w:t xml:space="preserve"> </w:t>
      </w:r>
      <w:r w:rsidRPr="000811B8">
        <w:rPr>
          <w:bCs/>
          <w:iCs/>
        </w:rPr>
        <w:t>о</w:t>
      </w:r>
      <w:r w:rsidR="000350F1">
        <w:rPr>
          <w:bCs/>
          <w:iCs/>
        </w:rPr>
        <w:t xml:space="preserve"> </w:t>
      </w:r>
      <w:r w:rsidRPr="000811B8">
        <w:rPr>
          <w:bCs/>
          <w:iCs/>
        </w:rPr>
        <w:t>случаях дивертикулита и гастроинтестинальной перфорации. Следует назначать</w:t>
      </w:r>
      <w:r w:rsidR="000350F1">
        <w:rPr>
          <w:bCs/>
          <w:iCs/>
        </w:rPr>
        <w:t xml:space="preserve"> </w:t>
      </w:r>
      <w:r w:rsidRPr="000811B8">
        <w:rPr>
          <w:bCs/>
          <w:iCs/>
        </w:rPr>
        <w:t>барицитиниб с осторожностью пациентам с дивертикулезом, в особенности пациентам,</w:t>
      </w:r>
      <w:r w:rsidR="000350F1">
        <w:rPr>
          <w:bCs/>
          <w:iCs/>
        </w:rPr>
        <w:t xml:space="preserve"> </w:t>
      </w:r>
      <w:r w:rsidRPr="000811B8">
        <w:rPr>
          <w:bCs/>
          <w:iCs/>
        </w:rPr>
        <w:t>находящимся на длительном лечении препаратами, ассоциирующимися с повышенным</w:t>
      </w:r>
      <w:r w:rsidR="000350F1">
        <w:rPr>
          <w:bCs/>
          <w:iCs/>
        </w:rPr>
        <w:t xml:space="preserve"> </w:t>
      </w:r>
      <w:r w:rsidRPr="000811B8">
        <w:rPr>
          <w:bCs/>
          <w:iCs/>
        </w:rPr>
        <w:t>риском дивертикулита, такими как нестероидные противовоспалительные препараты,</w:t>
      </w:r>
      <w:r w:rsidR="000350F1">
        <w:rPr>
          <w:bCs/>
          <w:iCs/>
        </w:rPr>
        <w:t xml:space="preserve"> </w:t>
      </w:r>
      <w:r w:rsidRPr="000811B8">
        <w:rPr>
          <w:bCs/>
          <w:iCs/>
        </w:rPr>
        <w:t>глюкокортикостероиды и опиоиды. При вновь появляющихся абдоминальных признаках и</w:t>
      </w:r>
      <w:r w:rsidR="000350F1">
        <w:rPr>
          <w:bCs/>
          <w:iCs/>
        </w:rPr>
        <w:t xml:space="preserve"> </w:t>
      </w:r>
      <w:r w:rsidRPr="000811B8">
        <w:rPr>
          <w:bCs/>
          <w:iCs/>
        </w:rPr>
        <w:t>симптомах, пациенты должны быть немедленно обследованы для раннего выявления</w:t>
      </w:r>
      <w:r w:rsidR="000350F1">
        <w:rPr>
          <w:bCs/>
          <w:iCs/>
        </w:rPr>
        <w:t xml:space="preserve"> </w:t>
      </w:r>
      <w:r w:rsidRPr="000811B8">
        <w:rPr>
          <w:bCs/>
          <w:iCs/>
        </w:rPr>
        <w:t>дивертикулита или перфорации желудочно-кишечного тракта.</w:t>
      </w:r>
    </w:p>
    <w:p w14:paraId="46BDDCA3" w14:textId="77777777" w:rsidR="000350F1" w:rsidRPr="000811B8" w:rsidRDefault="000350F1" w:rsidP="000811B8">
      <w:pPr>
        <w:tabs>
          <w:tab w:val="left" w:pos="8647"/>
        </w:tabs>
        <w:spacing w:after="0" w:line="240" w:lineRule="auto"/>
        <w:ind w:firstLine="709"/>
        <w:rPr>
          <w:bCs/>
          <w:iCs/>
        </w:rPr>
      </w:pPr>
    </w:p>
    <w:p w14:paraId="46AB7709" w14:textId="77777777" w:rsidR="000811B8" w:rsidRPr="00AB1FF1" w:rsidRDefault="000811B8" w:rsidP="0029110D">
      <w:pPr>
        <w:tabs>
          <w:tab w:val="left" w:pos="8647"/>
        </w:tabs>
        <w:spacing w:after="0" w:line="240" w:lineRule="auto"/>
        <w:rPr>
          <w:b/>
          <w:bCs/>
        </w:rPr>
      </w:pPr>
      <w:r w:rsidRPr="00AB1FF1">
        <w:rPr>
          <w:b/>
          <w:bCs/>
        </w:rPr>
        <w:t>Вспомогательные вещества</w:t>
      </w:r>
    </w:p>
    <w:p w14:paraId="07953C97" w14:textId="77777777" w:rsidR="002150D3" w:rsidRDefault="002150D3" w:rsidP="00A3301D">
      <w:pPr>
        <w:tabs>
          <w:tab w:val="left" w:pos="8647"/>
        </w:tabs>
        <w:spacing w:after="0" w:line="240" w:lineRule="auto"/>
        <w:ind w:firstLine="709"/>
        <w:rPr>
          <w:bCs/>
          <w:iCs/>
        </w:rPr>
      </w:pPr>
    </w:p>
    <w:p w14:paraId="07D6FC71" w14:textId="4C4DCC45" w:rsidR="000811B8" w:rsidRDefault="00A3301D">
      <w:pPr>
        <w:tabs>
          <w:tab w:val="left" w:pos="8647"/>
        </w:tabs>
        <w:spacing w:after="0" w:line="240" w:lineRule="auto"/>
        <w:ind w:firstLine="709"/>
        <w:rPr>
          <w:bCs/>
          <w:iCs/>
        </w:rPr>
      </w:pPr>
      <w:r>
        <w:rPr>
          <w:bCs/>
          <w:iCs/>
        </w:rPr>
        <w:t>Оригинальный п</w:t>
      </w:r>
      <w:r w:rsidR="000811B8" w:rsidRPr="000811B8">
        <w:rPr>
          <w:bCs/>
          <w:iCs/>
        </w:rPr>
        <w:t>репарат</w:t>
      </w:r>
      <w:r>
        <w:rPr>
          <w:bCs/>
          <w:iCs/>
        </w:rPr>
        <w:t xml:space="preserve"> </w:t>
      </w:r>
      <w:r w:rsidRPr="00A3301D">
        <w:rPr>
          <w:bCs/>
          <w:iCs/>
        </w:rPr>
        <w:t>барицитиниба</w:t>
      </w:r>
      <w:r w:rsidR="000811B8" w:rsidRPr="00A3301D">
        <w:rPr>
          <w:bCs/>
          <w:iCs/>
        </w:rPr>
        <w:t xml:space="preserve"> </w:t>
      </w:r>
      <w:r w:rsidRPr="00A3301D">
        <w:rPr>
          <w:bCs/>
          <w:iCs/>
        </w:rPr>
        <w:t>(</w:t>
      </w:r>
      <w:r w:rsidR="000811B8" w:rsidRPr="00A3301D">
        <w:rPr>
          <w:bCs/>
          <w:iCs/>
        </w:rPr>
        <w:t>Олумиант</w:t>
      </w:r>
      <w:r w:rsidRPr="00A3301D">
        <w:rPr>
          <w:bCs/>
          <w:iCs/>
          <w:vertAlign w:val="superscript"/>
        </w:rPr>
        <w:t>®</w:t>
      </w:r>
      <w:r w:rsidRPr="00A3301D">
        <w:rPr>
          <w:bCs/>
          <w:iCs/>
        </w:rPr>
        <w:t>)</w:t>
      </w:r>
      <w:r w:rsidR="000811B8" w:rsidRPr="00A3301D">
        <w:rPr>
          <w:bCs/>
          <w:iCs/>
        </w:rPr>
        <w:t xml:space="preserve"> содержит менее </w:t>
      </w:r>
      <w:r w:rsidR="000350F1" w:rsidRPr="00A3301D">
        <w:rPr>
          <w:bCs/>
          <w:iCs/>
        </w:rPr>
        <w:t>1</w:t>
      </w:r>
      <w:r w:rsidR="000811B8" w:rsidRPr="00A3301D">
        <w:rPr>
          <w:bCs/>
          <w:iCs/>
        </w:rPr>
        <w:t xml:space="preserve"> ммоль натрия (2</w:t>
      </w:r>
      <w:r w:rsidRPr="00A3301D">
        <w:rPr>
          <w:bCs/>
          <w:iCs/>
        </w:rPr>
        <w:t xml:space="preserve">3 мг) на одну таблетку, то есть </w:t>
      </w:r>
      <w:r w:rsidR="000811B8" w:rsidRPr="00A3301D">
        <w:rPr>
          <w:bCs/>
          <w:iCs/>
        </w:rPr>
        <w:t>практически не содержит натрия.</w:t>
      </w:r>
    </w:p>
    <w:p w14:paraId="5FA2621C" w14:textId="77777777" w:rsidR="002150D3" w:rsidRPr="000811B8" w:rsidRDefault="002150D3">
      <w:pPr>
        <w:tabs>
          <w:tab w:val="left" w:pos="8647"/>
        </w:tabs>
        <w:spacing w:after="0" w:line="240" w:lineRule="auto"/>
        <w:ind w:firstLine="709"/>
        <w:rPr>
          <w:bCs/>
          <w:iCs/>
        </w:rPr>
      </w:pPr>
    </w:p>
    <w:p w14:paraId="6A9D8C2A" w14:textId="7470D428" w:rsidR="0025168A" w:rsidRPr="000350F1" w:rsidRDefault="00A3301D" w:rsidP="00AB1FF1">
      <w:pPr>
        <w:pStyle w:val="3"/>
        <w:spacing w:before="0" w:after="240"/>
        <w:rPr>
          <w:color w:val="000000" w:themeColor="text1"/>
        </w:rPr>
      </w:pPr>
      <w:bookmarkStart w:id="236" w:name="_Toc81410160"/>
      <w:bookmarkStart w:id="237" w:name="_Toc120288201"/>
      <w:r>
        <w:rPr>
          <w:color w:val="000000" w:themeColor="text1"/>
        </w:rPr>
        <w:t>5.3.11.</w:t>
      </w:r>
      <w:r w:rsidR="0025168A" w:rsidRPr="000350F1">
        <w:rPr>
          <w:color w:val="000000" w:themeColor="text1"/>
        </w:rPr>
        <w:t xml:space="preserve"> Влияние на способность управлять транспортными средствами и механизмами</w:t>
      </w:r>
      <w:bookmarkEnd w:id="236"/>
      <w:bookmarkEnd w:id="237"/>
    </w:p>
    <w:p w14:paraId="61B88B19" w14:textId="0D77E83D" w:rsidR="0025168A" w:rsidRPr="0025168A" w:rsidRDefault="000350F1">
      <w:pPr>
        <w:tabs>
          <w:tab w:val="left" w:pos="8647"/>
        </w:tabs>
        <w:spacing w:after="0" w:line="240" w:lineRule="auto"/>
        <w:ind w:firstLine="709"/>
      </w:pPr>
      <w:r>
        <w:t>Барицитиниб не оказывает или оказывает незначительное влияние на способность управлять транспортными средствами и работать с механизмами</w:t>
      </w:r>
      <w:r w:rsidR="0025168A" w:rsidRPr="000350F1">
        <w:t>.</w:t>
      </w:r>
    </w:p>
    <w:p w14:paraId="3A23AB23" w14:textId="77777777" w:rsidR="00BC7E97" w:rsidRDefault="00BC7E97" w:rsidP="008B7FBF">
      <w:pPr>
        <w:pStyle w:val="12"/>
        <w:spacing w:line="240" w:lineRule="auto"/>
        <w:rPr>
          <w:rStyle w:val="src"/>
          <w:rFonts w:cs="Times New Roman"/>
          <w:color w:val="000000" w:themeColor="text1"/>
          <w:szCs w:val="24"/>
        </w:rPr>
        <w:sectPr w:rsidR="00BC7E97" w:rsidSect="00AB01E2">
          <w:pgSz w:w="11906" w:h="16838"/>
          <w:pgMar w:top="1134" w:right="849" w:bottom="1134" w:left="1701" w:header="708" w:footer="709" w:gutter="0"/>
          <w:cols w:space="708"/>
          <w:docGrid w:linePitch="360"/>
        </w:sectPr>
      </w:pPr>
    </w:p>
    <w:p w14:paraId="3C9C425A" w14:textId="40A5F7E4" w:rsidR="008B7FBF" w:rsidRPr="005E6358" w:rsidRDefault="008B7FBF" w:rsidP="008B7FBF">
      <w:pPr>
        <w:pStyle w:val="12"/>
        <w:spacing w:line="240" w:lineRule="auto"/>
        <w:rPr>
          <w:rStyle w:val="src"/>
          <w:rFonts w:cs="Times New Roman"/>
          <w:color w:val="000000" w:themeColor="text1"/>
          <w:szCs w:val="24"/>
        </w:rPr>
      </w:pPr>
      <w:bookmarkStart w:id="238" w:name="_Toc120288202"/>
      <w:r w:rsidRPr="005E6358">
        <w:rPr>
          <w:rStyle w:val="src"/>
          <w:rFonts w:cs="Times New Roman"/>
          <w:color w:val="000000" w:themeColor="text1"/>
          <w:szCs w:val="24"/>
        </w:rPr>
        <w:lastRenderedPageBreak/>
        <w:t>6. ЗАКЛЮЧЕНИЕ</w:t>
      </w:r>
      <w:bookmarkEnd w:id="238"/>
    </w:p>
    <w:p w14:paraId="3BF7BDFE" w14:textId="77777777" w:rsidR="00D03733" w:rsidRPr="00116914" w:rsidRDefault="00D03733" w:rsidP="00D03733">
      <w:pPr>
        <w:autoSpaceDE w:val="0"/>
        <w:autoSpaceDN w:val="0"/>
        <w:adjustRightInd w:val="0"/>
        <w:spacing w:after="0" w:line="240" w:lineRule="auto"/>
        <w:ind w:firstLine="708"/>
        <w:rPr>
          <w:iCs/>
          <w:lang w:eastAsia="en-US"/>
        </w:rPr>
      </w:pPr>
      <w:r w:rsidRPr="00116914">
        <w:rPr>
          <w:iCs/>
          <w:lang w:eastAsia="en-US"/>
        </w:rPr>
        <w:t xml:space="preserve">Барицитиниб является селективным и обратимым ингибитором </w:t>
      </w:r>
      <w:r>
        <w:rPr>
          <w:iCs/>
          <w:lang w:val="en-US" w:eastAsia="en-US"/>
        </w:rPr>
        <w:t>JAK</w:t>
      </w:r>
      <w:r w:rsidRPr="00394F18">
        <w:rPr>
          <w:iCs/>
          <w:lang w:eastAsia="en-US"/>
        </w:rPr>
        <w:t xml:space="preserve">1 </w:t>
      </w:r>
      <w:r>
        <w:rPr>
          <w:iCs/>
          <w:lang w:eastAsia="en-US"/>
        </w:rPr>
        <w:t xml:space="preserve">и </w:t>
      </w:r>
      <w:r>
        <w:rPr>
          <w:iCs/>
          <w:lang w:val="en-US" w:eastAsia="en-US"/>
        </w:rPr>
        <w:t>JAK</w:t>
      </w:r>
      <w:r w:rsidRPr="00394F18">
        <w:rPr>
          <w:iCs/>
          <w:lang w:eastAsia="en-US"/>
        </w:rPr>
        <w:t>2</w:t>
      </w:r>
      <w:r w:rsidRPr="00116914">
        <w:rPr>
          <w:iCs/>
          <w:lang w:eastAsia="en-US"/>
        </w:rPr>
        <w:t xml:space="preserve">. В исследованиях было показано, что барицитиниб ингибирует активность </w:t>
      </w:r>
      <w:r>
        <w:rPr>
          <w:iCs/>
          <w:lang w:val="en-US" w:eastAsia="en-US"/>
        </w:rPr>
        <w:t>JAK</w:t>
      </w:r>
      <w:r w:rsidRPr="00394F18">
        <w:rPr>
          <w:iCs/>
          <w:lang w:eastAsia="en-US"/>
        </w:rPr>
        <w:t xml:space="preserve">1 </w:t>
      </w:r>
      <w:r>
        <w:rPr>
          <w:iCs/>
          <w:lang w:eastAsia="en-US"/>
        </w:rPr>
        <w:t xml:space="preserve">и </w:t>
      </w:r>
      <w:r>
        <w:rPr>
          <w:iCs/>
          <w:lang w:val="en-US" w:eastAsia="en-US"/>
        </w:rPr>
        <w:t>JAK</w:t>
      </w:r>
      <w:r w:rsidRPr="00394F18">
        <w:rPr>
          <w:iCs/>
          <w:lang w:eastAsia="en-US"/>
        </w:rPr>
        <w:t>2</w:t>
      </w:r>
      <w:r>
        <w:rPr>
          <w:iCs/>
          <w:lang w:eastAsia="en-US"/>
        </w:rPr>
        <w:t xml:space="preserve">, </w:t>
      </w:r>
      <w:r w:rsidRPr="00116914">
        <w:rPr>
          <w:iCs/>
          <w:lang w:eastAsia="en-US"/>
        </w:rPr>
        <w:t xml:space="preserve">тирозинкиназы-2 и </w:t>
      </w:r>
      <w:r>
        <w:rPr>
          <w:iCs/>
          <w:lang w:val="en-US" w:eastAsia="en-US"/>
        </w:rPr>
        <w:t>JAK</w:t>
      </w:r>
      <w:r w:rsidRPr="00394F18">
        <w:rPr>
          <w:iCs/>
          <w:lang w:eastAsia="en-US"/>
        </w:rPr>
        <w:t>3</w:t>
      </w:r>
      <w:r w:rsidRPr="00116914">
        <w:rPr>
          <w:iCs/>
          <w:lang w:eastAsia="en-US"/>
        </w:rPr>
        <w:t xml:space="preserve"> со значениями </w:t>
      </w:r>
      <w:r>
        <w:rPr>
          <w:iCs/>
          <w:lang w:val="en-US" w:eastAsia="en-US"/>
        </w:rPr>
        <w:t>IC</w:t>
      </w:r>
      <w:r w:rsidRPr="00394F18">
        <w:rPr>
          <w:iCs/>
          <w:vertAlign w:val="subscript"/>
          <w:lang w:eastAsia="en-US"/>
        </w:rPr>
        <w:t>50</w:t>
      </w:r>
      <w:r w:rsidRPr="00394F18">
        <w:rPr>
          <w:iCs/>
          <w:lang w:eastAsia="en-US"/>
        </w:rPr>
        <w:t xml:space="preserve"> </w:t>
      </w:r>
      <w:r w:rsidRPr="00116914">
        <w:rPr>
          <w:iCs/>
          <w:lang w:eastAsia="en-US"/>
        </w:rPr>
        <w:t>5</w:t>
      </w:r>
      <w:r>
        <w:rPr>
          <w:iCs/>
          <w:lang w:eastAsia="en-US"/>
        </w:rPr>
        <w:t>,</w:t>
      </w:r>
      <w:r w:rsidRPr="00116914">
        <w:rPr>
          <w:iCs/>
          <w:lang w:eastAsia="en-US"/>
        </w:rPr>
        <w:t>9</w:t>
      </w:r>
      <w:r>
        <w:rPr>
          <w:iCs/>
          <w:lang w:eastAsia="en-US"/>
        </w:rPr>
        <w:t>;</w:t>
      </w:r>
      <w:r w:rsidRPr="00116914">
        <w:rPr>
          <w:iCs/>
          <w:lang w:eastAsia="en-US"/>
        </w:rPr>
        <w:t xml:space="preserve"> 5</w:t>
      </w:r>
      <w:r>
        <w:rPr>
          <w:iCs/>
          <w:lang w:eastAsia="en-US"/>
        </w:rPr>
        <w:t>,</w:t>
      </w:r>
      <w:r w:rsidRPr="00116914">
        <w:rPr>
          <w:iCs/>
          <w:lang w:eastAsia="en-US"/>
        </w:rPr>
        <w:t>7</w:t>
      </w:r>
      <w:r>
        <w:rPr>
          <w:iCs/>
          <w:lang w:eastAsia="en-US"/>
        </w:rPr>
        <w:t xml:space="preserve">; </w:t>
      </w:r>
      <w:r w:rsidRPr="00116914">
        <w:rPr>
          <w:iCs/>
          <w:lang w:eastAsia="en-US"/>
        </w:rPr>
        <w:t>53 и &gt;400 нМ, соответственно.</w:t>
      </w:r>
    </w:p>
    <w:p w14:paraId="2A408E8B" w14:textId="77777777" w:rsidR="00D03733" w:rsidRPr="00116914" w:rsidRDefault="00D03733" w:rsidP="00D03733">
      <w:pPr>
        <w:autoSpaceDE w:val="0"/>
        <w:autoSpaceDN w:val="0"/>
        <w:adjustRightInd w:val="0"/>
        <w:spacing w:after="0" w:line="240" w:lineRule="auto"/>
        <w:ind w:firstLine="708"/>
        <w:rPr>
          <w:iCs/>
          <w:lang w:eastAsia="en-US"/>
        </w:rPr>
      </w:pPr>
      <w:r>
        <w:rPr>
          <w:iCs/>
          <w:lang w:val="en-US" w:eastAsia="en-US"/>
        </w:rPr>
        <w:t>JAK</w:t>
      </w:r>
      <w:r w:rsidRPr="00116914">
        <w:rPr>
          <w:iCs/>
          <w:lang w:eastAsia="en-US"/>
        </w:rPr>
        <w:t xml:space="preserve"> представляют собой ферменты, которые трансдуцируют</w:t>
      </w:r>
      <w:r>
        <w:rPr>
          <w:iCs/>
          <w:lang w:eastAsia="en-US"/>
        </w:rPr>
        <w:t xml:space="preserve"> </w:t>
      </w:r>
      <w:r w:rsidRPr="00116914">
        <w:rPr>
          <w:iCs/>
          <w:lang w:eastAsia="en-US"/>
        </w:rPr>
        <w:t>внутриклеточные сигналы от клеточных рецепторов ряда цитокинов и факторов роста,</w:t>
      </w:r>
      <w:r>
        <w:rPr>
          <w:iCs/>
          <w:lang w:eastAsia="en-US"/>
        </w:rPr>
        <w:t xml:space="preserve"> </w:t>
      </w:r>
      <w:r w:rsidRPr="00116914">
        <w:rPr>
          <w:iCs/>
          <w:lang w:eastAsia="en-US"/>
        </w:rPr>
        <w:t>участвующих в процессах гемопоэза, воспаления и иммунного ответа. В рамках</w:t>
      </w:r>
      <w:r>
        <w:rPr>
          <w:iCs/>
          <w:lang w:eastAsia="en-US"/>
        </w:rPr>
        <w:t xml:space="preserve"> </w:t>
      </w:r>
      <w:r w:rsidRPr="00116914">
        <w:rPr>
          <w:iCs/>
          <w:lang w:eastAsia="en-US"/>
        </w:rPr>
        <w:t xml:space="preserve">внутриклеточного сигнального пути </w:t>
      </w:r>
      <w:r>
        <w:rPr>
          <w:iCs/>
          <w:lang w:val="en-US" w:eastAsia="en-US"/>
        </w:rPr>
        <w:t>JAK</w:t>
      </w:r>
      <w:r w:rsidRPr="00116914">
        <w:rPr>
          <w:iCs/>
          <w:lang w:eastAsia="en-US"/>
        </w:rPr>
        <w:t xml:space="preserve"> фосфорилируют и активируют </w:t>
      </w:r>
      <w:r>
        <w:rPr>
          <w:iCs/>
          <w:lang w:val="en-US" w:eastAsia="en-US"/>
        </w:rPr>
        <w:t>S</w:t>
      </w:r>
      <w:r w:rsidRPr="00116914">
        <w:rPr>
          <w:iCs/>
          <w:lang w:eastAsia="en-US"/>
        </w:rPr>
        <w:t>ТАТ, которые в свою очередь активируют</w:t>
      </w:r>
      <w:r>
        <w:rPr>
          <w:iCs/>
          <w:lang w:eastAsia="en-US"/>
        </w:rPr>
        <w:t xml:space="preserve"> </w:t>
      </w:r>
      <w:r w:rsidRPr="00116914">
        <w:rPr>
          <w:iCs/>
          <w:lang w:eastAsia="en-US"/>
        </w:rPr>
        <w:t>экспрессию гена в клетке. Барицитиниб модулирует эти сигнальные каскады реакций,</w:t>
      </w:r>
      <w:r>
        <w:rPr>
          <w:iCs/>
          <w:lang w:eastAsia="en-US"/>
        </w:rPr>
        <w:t xml:space="preserve"> </w:t>
      </w:r>
      <w:r w:rsidRPr="00116914">
        <w:rPr>
          <w:iCs/>
          <w:lang w:eastAsia="en-US"/>
        </w:rPr>
        <w:t xml:space="preserve">частично ингибируя ферментативную активность </w:t>
      </w:r>
      <w:r>
        <w:rPr>
          <w:iCs/>
          <w:lang w:val="en-US" w:eastAsia="en-US"/>
        </w:rPr>
        <w:t>JAK</w:t>
      </w:r>
      <w:r w:rsidRPr="00394F18">
        <w:rPr>
          <w:iCs/>
          <w:lang w:eastAsia="en-US"/>
        </w:rPr>
        <w:t xml:space="preserve">1 </w:t>
      </w:r>
      <w:r>
        <w:rPr>
          <w:iCs/>
          <w:lang w:eastAsia="en-US"/>
        </w:rPr>
        <w:t xml:space="preserve">и </w:t>
      </w:r>
      <w:r>
        <w:rPr>
          <w:iCs/>
          <w:lang w:val="en-US" w:eastAsia="en-US"/>
        </w:rPr>
        <w:t>JAK</w:t>
      </w:r>
      <w:r w:rsidRPr="00394F18">
        <w:rPr>
          <w:iCs/>
          <w:lang w:eastAsia="en-US"/>
        </w:rPr>
        <w:t>2</w:t>
      </w:r>
      <w:r w:rsidRPr="00116914">
        <w:rPr>
          <w:iCs/>
          <w:lang w:eastAsia="en-US"/>
        </w:rPr>
        <w:t>, тем самым уменьшая</w:t>
      </w:r>
      <w:r>
        <w:rPr>
          <w:iCs/>
          <w:lang w:eastAsia="en-US"/>
        </w:rPr>
        <w:t xml:space="preserve"> </w:t>
      </w:r>
      <w:r w:rsidRPr="00116914">
        <w:rPr>
          <w:iCs/>
          <w:lang w:eastAsia="en-US"/>
        </w:rPr>
        <w:t xml:space="preserve">фосфорилирование и активацию </w:t>
      </w:r>
      <w:r>
        <w:rPr>
          <w:iCs/>
          <w:lang w:val="en-US" w:eastAsia="en-US"/>
        </w:rPr>
        <w:t>S</w:t>
      </w:r>
      <w:r w:rsidRPr="00116914">
        <w:rPr>
          <w:iCs/>
          <w:lang w:eastAsia="en-US"/>
        </w:rPr>
        <w:t>ТАТ.</w:t>
      </w:r>
    </w:p>
    <w:p w14:paraId="39F376B0" w14:textId="6BF2D141" w:rsidR="00B35879" w:rsidRDefault="00B35879" w:rsidP="00B35879">
      <w:pPr>
        <w:spacing w:after="0" w:line="240" w:lineRule="auto"/>
        <w:ind w:firstLine="708"/>
      </w:pPr>
      <w:r>
        <w:t xml:space="preserve">Исследования показали, что барицитиниб, вводимый при ≤ </w:t>
      </w:r>
      <w:r w:rsidR="00D03733">
        <w:rPr>
          <w:lang w:val="en-US"/>
        </w:rPr>
        <w:t>MRHD</w:t>
      </w:r>
      <w:r>
        <w:t xml:space="preserve">, может ингибировать опосредованную IL-6/IL-2/IL-12/IL-23 активацию путей JAK1/JAK2-JAK2/STAT в Т-клетках человека, а так </w:t>
      </w:r>
      <w:r w:rsidRPr="00394F18">
        <w:t>же IFN-γ,</w:t>
      </w:r>
      <w:r>
        <w:t xml:space="preserve"> IL-17, IL-22 и MCP-1. Это вызывает IL-23-опосредованную дифференцировку наивных CD4+ Т-клеток, в </w:t>
      </w:r>
      <w:r w:rsidRPr="00394F18">
        <w:t>Т-хелперные клетки типа 17 (Th17)</w:t>
      </w:r>
      <w:r>
        <w:t xml:space="preserve"> и IFN-γ</w:t>
      </w:r>
      <w:r w:rsidRPr="00A11971">
        <w:t xml:space="preserve">. </w:t>
      </w:r>
      <w:r>
        <w:t>В ходе исследований с использованием мононуклеарных клеток периферической крови человека установили, что барицитиниб ингибирует передачу сигналов цитокинов наиболее сильно в отношении интерферонов и наименее эффективно в отношении цитокинов, зависимых от передачи сигналов IL-10 и JAK1/3, включая IL-4, IL-15 и IL-21; значения IC</w:t>
      </w:r>
      <w:r w:rsidRPr="00A11971">
        <w:rPr>
          <w:vertAlign w:val="subscript"/>
        </w:rPr>
        <w:t>50</w:t>
      </w:r>
      <w:r>
        <w:t xml:space="preserve"> барицитиниба в целом сопоставимы со значениями тофацитиниба для стимуляции IL-6, IL-10, IFN-α и IFN-γ. Барицитиниб является более мощным ингибитором передачи сигналов через г</w:t>
      </w:r>
      <w:r w:rsidRPr="00394F18">
        <w:t>ранулоцитарно-макрофагальный колониестимулирующий фактор</w:t>
      </w:r>
      <w:r>
        <w:t xml:space="preserve"> по сравнению с тофацитинибом. </w:t>
      </w:r>
    </w:p>
    <w:p w14:paraId="4C1D23FD" w14:textId="77777777" w:rsidR="00B35879" w:rsidRDefault="00B35879" w:rsidP="00B35879">
      <w:pPr>
        <w:autoSpaceDE w:val="0"/>
        <w:autoSpaceDN w:val="0"/>
        <w:adjustRightInd w:val="0"/>
        <w:spacing w:after="0" w:line="240" w:lineRule="auto"/>
        <w:ind w:firstLine="708"/>
      </w:pPr>
      <w:r>
        <w:t>На модели артрита у мышей, индуцированного бычьим коллагеном II</w:t>
      </w:r>
      <w:r w:rsidRPr="00814CD9">
        <w:t xml:space="preserve"> </w:t>
      </w:r>
      <w:r>
        <w:t>типа, введение барицитиниба вызывало дозозависимое снижение клинической тяжести заболевания без влияния на уровень антител к коллагену в сыворотке. На модели артрита у мышей с антителами против коллагена II типа введение барицитиниба приводило к улучшению клинических признаков заболевания на 13% и 56% соответственно по сравнению с контрольной группой. В модели адъювантного артрита у крыс введение барицитиниба приводило к значительному дозозависимому снижению показателей заболевания (≥ 24%) в течение 2 дней после начала лечения.</w:t>
      </w:r>
    </w:p>
    <w:p w14:paraId="14FA89E3" w14:textId="77777777" w:rsidR="00B35879" w:rsidRDefault="00B35879" w:rsidP="00B35879">
      <w:pPr>
        <w:autoSpaceDE w:val="0"/>
        <w:autoSpaceDN w:val="0"/>
        <w:adjustRightInd w:val="0"/>
        <w:spacing w:after="0" w:line="240" w:lineRule="auto"/>
        <w:ind w:firstLine="708"/>
      </w:pPr>
      <w:r>
        <w:t>Барицитиниб не проявлял фармакологически значимых взаимодействий в стандартной валидированной батарее контролируемых клеточных тестов, которая включала широкий спектр рецепторов, ионных каналов и транспортеров.</w:t>
      </w:r>
    </w:p>
    <w:p w14:paraId="6A888F4C" w14:textId="77777777" w:rsidR="00B35879" w:rsidRDefault="00B35879" w:rsidP="00B35879">
      <w:pPr>
        <w:spacing w:after="0" w:line="240" w:lineRule="auto"/>
        <w:ind w:firstLine="709"/>
        <w:rPr>
          <w:lang w:eastAsia="en-US"/>
        </w:rPr>
      </w:pPr>
      <w:r>
        <w:rPr>
          <w:lang w:eastAsia="en-US"/>
        </w:rPr>
        <w:t xml:space="preserve">В ходе исследований фармакологической безопасности регистрировали влияние барицитиниба на двигательную активность у крыс при введении доз превышающих рекомендованные для человека в 23 раза. Риск удлинения интервала QT за счет ингибирования калиевых каналов барицитинибом минимален. В токсикологических исследованиях многократного введения барицитиниба собакам не выявили неблагоприятного воздействия на параметры </w:t>
      </w:r>
      <w:r w:rsidRPr="00AB4460">
        <w:rPr>
          <w:lang w:eastAsia="en-US"/>
        </w:rPr>
        <w:t>электрокардиограммы</w:t>
      </w:r>
      <w:r>
        <w:rPr>
          <w:lang w:eastAsia="en-US"/>
        </w:rPr>
        <w:t>.</w:t>
      </w:r>
      <w:r w:rsidRPr="00AB4460">
        <w:rPr>
          <w:lang w:eastAsia="en-US"/>
        </w:rPr>
        <w:t xml:space="preserve"> </w:t>
      </w:r>
      <w:r>
        <w:rPr>
          <w:lang w:eastAsia="en-US"/>
        </w:rPr>
        <w:t>Не зарегистрировали влияния на функциональную активность дыхательной системы крыс при внутрижелудочном введении барицитиниба.</w:t>
      </w:r>
    </w:p>
    <w:p w14:paraId="13EE3B8A" w14:textId="5FC7219D" w:rsidR="00B35879" w:rsidRDefault="00B35879" w:rsidP="00B35879">
      <w:pPr>
        <w:spacing w:after="0" w:line="240" w:lineRule="auto"/>
        <w:ind w:firstLine="708"/>
      </w:pPr>
      <w:r w:rsidRPr="00CC2CC0">
        <w:t xml:space="preserve">На основании исследований </w:t>
      </w:r>
      <w:r w:rsidRPr="009868BC">
        <w:rPr>
          <w:i/>
          <w:iCs/>
        </w:rPr>
        <w:t>in vitro</w:t>
      </w:r>
      <w:r w:rsidRPr="00CC2CC0">
        <w:t xml:space="preserve"> на клетках </w:t>
      </w:r>
      <w:r>
        <w:t>С</w:t>
      </w:r>
      <w:r w:rsidRPr="00CC2CC0">
        <w:t xml:space="preserve">aco-2 барицитиниб имел кажущийся коэффициент проницаемости </w:t>
      </w:r>
      <w:r>
        <w:t xml:space="preserve">в </w:t>
      </w:r>
      <w:r w:rsidRPr="00CC2CC0">
        <w:t>апикально-баз</w:t>
      </w:r>
      <w:r>
        <w:t xml:space="preserve">альном направлении </w:t>
      </w:r>
      <w:r w:rsidRPr="00CC2CC0">
        <w:t>энтеро</w:t>
      </w:r>
      <w:r>
        <w:t xml:space="preserve">цитов </w:t>
      </w:r>
      <w:r w:rsidRPr="00CC2CC0">
        <w:t>от низкого до умеренного.</w:t>
      </w:r>
      <w:r>
        <w:t xml:space="preserve"> </w:t>
      </w:r>
      <w:r w:rsidRPr="00F24A13">
        <w:t xml:space="preserve">Фармакокинетика </w:t>
      </w:r>
      <w:r>
        <w:t>бар</w:t>
      </w:r>
      <w:r w:rsidR="004029E9">
        <w:t>и</w:t>
      </w:r>
      <w:r>
        <w:t xml:space="preserve">цитиниба при </w:t>
      </w:r>
      <w:r w:rsidRPr="00F24A13">
        <w:t>внутривенно</w:t>
      </w:r>
      <w:r>
        <w:t>м</w:t>
      </w:r>
      <w:r w:rsidRPr="00F24A13">
        <w:t xml:space="preserve"> введени</w:t>
      </w:r>
      <w:r>
        <w:t>и</w:t>
      </w:r>
      <w:r w:rsidRPr="00F24A13">
        <w:t xml:space="preserve"> характеризовалась умеренными значениями плазменного </w:t>
      </w:r>
      <w:r w:rsidRPr="00C01A66">
        <w:t xml:space="preserve">клиренса </w:t>
      </w:r>
      <w:r w:rsidRPr="00F24A13">
        <w:t>у крыс (1,3–4,4 л/ч</w:t>
      </w:r>
      <w:r>
        <w:t>*</w:t>
      </w:r>
      <w:r w:rsidRPr="00F24A13">
        <w:t>кг) с более низкими значениями у собак (0,40 л/ч</w:t>
      </w:r>
      <w:r>
        <w:t>*</w:t>
      </w:r>
      <w:r w:rsidRPr="00F24A13">
        <w:t xml:space="preserve">кг), </w:t>
      </w:r>
      <w:r w:rsidRPr="00F24A13">
        <w:lastRenderedPageBreak/>
        <w:t>обезьян (0,36 л/ч</w:t>
      </w:r>
      <w:r>
        <w:t>*</w:t>
      </w:r>
      <w:r w:rsidRPr="00F24A13">
        <w:t>кг) и человека (0,21 л/ч</w:t>
      </w:r>
      <w:r>
        <w:t>*</w:t>
      </w:r>
      <w:r w:rsidRPr="00F24A13">
        <w:t xml:space="preserve">кг). </w:t>
      </w:r>
      <w:r w:rsidRPr="00C01A66">
        <w:t xml:space="preserve">Объем распределения в равновесном состоянии </w:t>
      </w:r>
      <w:r w:rsidRPr="00F24A13">
        <w:t>был умеренным у всех видов со значениями от 1,1 л/кг (обезьяна и человек), 1,4 л/кг у собак до 2,1–6,2 л/кг у крыс. Пероральная биодоступность</w:t>
      </w:r>
      <w:r>
        <w:t xml:space="preserve"> барицитиниба при введении в составе</w:t>
      </w:r>
      <w:r w:rsidRPr="00F24A13">
        <w:t xml:space="preserve"> 0,5% водного раствора метилцеллюлозы была высокой и колебалась от 48% до 54% у собак и крыс, 47–68% у обезьян и 79% у человека. Всасывание при пероральном приеме было относительно быстрым у всех видов</w:t>
      </w:r>
      <w:r>
        <w:t xml:space="preserve">. У разных видов барицитиниб связывается с белками </w:t>
      </w:r>
      <w:r w:rsidRPr="00F24A13">
        <w:rPr>
          <w:i/>
          <w:iCs/>
        </w:rPr>
        <w:t>in vitro</w:t>
      </w:r>
      <w:r>
        <w:t xml:space="preserve"> и </w:t>
      </w:r>
      <w:r w:rsidRPr="00F24A13">
        <w:rPr>
          <w:i/>
          <w:iCs/>
        </w:rPr>
        <w:t>ex vivo</w:t>
      </w:r>
      <w:r>
        <w:t xml:space="preserve"> примерно на 50% (в диапазоне от 33 до 60%). Относительные уровни радиоактивности, связанной с лекарственным средством, у крыс в тканях были следующими: тонкая кишка &gt; корковый слой почек &gt; толстая кишка &gt; печень &gt; кожа &gt; слепая кишка &gt; аорта. Распределение в содержимом кишечника, желчи и моче отражало пути воздействия и основные пути выведения. Низкие концентрации были обнаружены в </w:t>
      </w:r>
      <w:r w:rsidRPr="00C01A66">
        <w:t>центральной нервной системе</w:t>
      </w:r>
      <w:r>
        <w:t>, костях и глазах. Клинически значимое сохранение радиоактивности, связанной с лекарственным средством, не наблюдалось через &gt; 168 ч. Барицитиниб проникает через плаценту</w:t>
      </w:r>
      <w:r w:rsidRPr="00214796">
        <w:t xml:space="preserve">. Уровни </w:t>
      </w:r>
      <w:r w:rsidRPr="00214796">
        <w:rPr>
          <w:vertAlign w:val="superscript"/>
        </w:rPr>
        <w:t>14</w:t>
      </w:r>
      <w:r w:rsidRPr="00214796">
        <w:rPr>
          <w:lang w:val="en-US"/>
        </w:rPr>
        <w:t>C</w:t>
      </w:r>
      <w:r w:rsidRPr="00214796">
        <w:t>-барицитиниба в крови плода были примерно в 2,2 раза ниже, чем в крови матери</w:t>
      </w:r>
      <w:r>
        <w:t xml:space="preserve">. После однократного внутрижелудочного/перорального введения </w:t>
      </w:r>
      <w:r w:rsidRPr="00117EBC">
        <w:rPr>
          <w:vertAlign w:val="superscript"/>
        </w:rPr>
        <w:t>14</w:t>
      </w:r>
      <w:r>
        <w:t xml:space="preserve">C-барицитиниба, метаболизм </w:t>
      </w:r>
      <w:r w:rsidRPr="00117EBC">
        <w:rPr>
          <w:i/>
          <w:iCs/>
        </w:rPr>
        <w:t>in vivo</w:t>
      </w:r>
      <w:r>
        <w:t xml:space="preserve"> был минимальным и что исходное соединение было основным циркулирующим компонентом в плазме, а также основным компонентом, выделяемым как с мочой, так и с фекалиями у всех видов, включая человека.</w:t>
      </w:r>
    </w:p>
    <w:p w14:paraId="356EEA4F" w14:textId="50F91CB1" w:rsidR="00B35879" w:rsidRDefault="00B35879" w:rsidP="00B35879">
      <w:pPr>
        <w:spacing w:after="0" w:line="240" w:lineRule="auto"/>
        <w:ind w:firstLine="708"/>
      </w:pPr>
      <w:r>
        <w:t xml:space="preserve">Биотрансформация барицитиниба у животных (мышь CD1, крыса Sprague-Dawley, новозеландский белый кролик, собака бигль) и человека была представлена моноокислением (М9, М10) и бис-окислением (М22) либо в пиразольном, либо в пиримидиновом кольце, окислительное раскрытие пиррольного кольца (М13, М3, М12) и глюкуронирование (М6). Кроме того, у этих видов также было идентифицировано несколько второстепенных окислительных метаболитов. В плазме животных барицитиниб был основным компонентом у мышей (81–92%), крыс (79–93%), кроликов (95%) и собак (84–96%). Кроме того, в плазме животных было идентифицировано около 9 метаболитов, каждый из которых составлял менее 10%. Эти метаболиты были обнаружены у мышей (М3, М6, М9, М10, М22), крыс (М13), кроликов (М7, М17) и собак (М2) </w:t>
      </w:r>
    </w:p>
    <w:p w14:paraId="7B1FB5FB" w14:textId="77777777" w:rsidR="00B35879" w:rsidRDefault="00B35879" w:rsidP="00B35879">
      <w:pPr>
        <w:spacing w:after="0" w:line="240" w:lineRule="auto"/>
        <w:ind w:firstLine="708"/>
      </w:pPr>
      <w:r>
        <w:t xml:space="preserve">По данным исследований биоматериалов человека </w:t>
      </w:r>
      <w:r w:rsidRPr="00117EBC">
        <w:rPr>
          <w:i/>
          <w:iCs/>
        </w:rPr>
        <w:t>in vitro</w:t>
      </w:r>
      <w:r>
        <w:t xml:space="preserve">, барицитиниб подвергается ограниченному (от 10 до 16%) окислению, опосредованному изоферментом CYP3A4 </w:t>
      </w:r>
      <w:r w:rsidRPr="00EA1331">
        <w:t>цитохрома Р450 (</w:t>
      </w:r>
      <w:r w:rsidRPr="00EA1331">
        <w:rPr>
          <w:lang w:val="en-US"/>
        </w:rPr>
        <w:t>CYP</w:t>
      </w:r>
      <w:r>
        <w:t>), до 3 основных метаболитов: М3, М4 и М10. Аналогичные результаты наблюдались в моделях биоматериалов, отличных от человека; однако низкие уровни (от 0,1 до 0,6% от исходного) специфического для животных окисленного метаболита (M1) наблюдались в препаратах крыс, собак и обезьян (токсикологические корреляции отсутствуют).</w:t>
      </w:r>
    </w:p>
    <w:p w14:paraId="0A9563DC" w14:textId="77777777" w:rsidR="00B35879" w:rsidRDefault="00B35879" w:rsidP="00B35879">
      <w:pPr>
        <w:spacing w:after="0" w:line="240" w:lineRule="auto"/>
        <w:ind w:firstLine="708"/>
        <w:rPr>
          <w:b/>
          <w:color w:val="000000" w:themeColor="text1"/>
        </w:rPr>
      </w:pPr>
      <w:r w:rsidRPr="00CC2CC0">
        <w:t xml:space="preserve">У всех видов барицитиниб выводился в основном в неизмененном виде. Присутствовали межвидовые различия в экскреторных путях (основные пути: люди </w:t>
      </w:r>
      <w:r>
        <w:t>–</w:t>
      </w:r>
      <w:r w:rsidRPr="00CC2CC0">
        <w:t xml:space="preserve"> моча, грызуны </w:t>
      </w:r>
      <w:r>
        <w:t>–</w:t>
      </w:r>
      <w:r w:rsidRPr="00CC2CC0">
        <w:t xml:space="preserve"> фекалии, собаки </w:t>
      </w:r>
      <w:r>
        <w:t>–</w:t>
      </w:r>
      <w:r w:rsidRPr="00CC2CC0">
        <w:t xml:space="preserve"> моча и фекалии). </w:t>
      </w:r>
    </w:p>
    <w:p w14:paraId="2024A433" w14:textId="65CBABDA" w:rsidR="00B35879" w:rsidRDefault="00B35879" w:rsidP="00B35879">
      <w:pPr>
        <w:spacing w:after="0" w:line="240" w:lineRule="auto"/>
        <w:ind w:firstLine="709"/>
      </w:pPr>
      <w:r>
        <w:t xml:space="preserve">В ходе исследований на животных установили, что клинически значимые конкурентные взаимодействия между лекарственными средствами маловероятны в следующих транспортных системах: </w:t>
      </w:r>
      <w:r w:rsidRPr="004B58CB">
        <w:t>OAT1 (транспортер органических анионов 1), транспортер органических катионов (OCT) 1</w:t>
      </w:r>
      <w:r>
        <w:t xml:space="preserve"> и </w:t>
      </w:r>
      <w:r w:rsidRPr="004B58CB">
        <w:t>2, ингибитор</w:t>
      </w:r>
      <w:r>
        <w:t>ы</w:t>
      </w:r>
      <w:r w:rsidRPr="004B58CB">
        <w:t xml:space="preserve"> полипептидов 1B1 и 1B3, переносящих органические анионы</w:t>
      </w:r>
      <w:r>
        <w:t xml:space="preserve"> (</w:t>
      </w:r>
      <w:r w:rsidRPr="004B58CB">
        <w:t>OATP1B1, OATP1B3</w:t>
      </w:r>
      <w:r>
        <w:t>)</w:t>
      </w:r>
      <w:r w:rsidRPr="004B58CB">
        <w:t xml:space="preserve"> и</w:t>
      </w:r>
      <w:r>
        <w:t xml:space="preserve"> </w:t>
      </w:r>
      <w:r w:rsidRPr="004B58CB">
        <w:t>мультирезистентный и токсина экструзии белок (MATE)</w:t>
      </w:r>
      <w:r>
        <w:t xml:space="preserve"> 1. Низкий риск конкурентных взаимодействий возможен в следующих транспортных системах: ОАТ3, Р-гликопротеине и МАТЕ2-К. Установили, что двукратное увеличение AUC происходило при одновременном ингибировании ОАТ3 пробенецидом, что коррелировало со снижением почечного </w:t>
      </w:r>
      <w:r w:rsidR="008F28F6">
        <w:rPr>
          <w:lang w:val="en-US"/>
        </w:rPr>
        <w:t>CL</w:t>
      </w:r>
      <w:r>
        <w:t xml:space="preserve"> барицитиниба на 70%. </w:t>
      </w:r>
    </w:p>
    <w:p w14:paraId="38BBF1A0" w14:textId="77777777" w:rsidR="00B35879" w:rsidRPr="001B62FA" w:rsidRDefault="00B35879" w:rsidP="00B35879">
      <w:pPr>
        <w:spacing w:after="0" w:line="240" w:lineRule="auto"/>
        <w:ind w:firstLine="709"/>
        <w:rPr>
          <w:highlight w:val="yellow"/>
          <w:lang w:eastAsia="en-US"/>
        </w:rPr>
      </w:pPr>
      <w:r>
        <w:lastRenderedPageBreak/>
        <w:t xml:space="preserve">В ходе исследований </w:t>
      </w:r>
      <w:r w:rsidRPr="00013904">
        <w:rPr>
          <w:i/>
          <w:iCs/>
          <w:lang w:val="en-US"/>
        </w:rPr>
        <w:t>in</w:t>
      </w:r>
      <w:r w:rsidRPr="00013904">
        <w:rPr>
          <w:i/>
          <w:iCs/>
        </w:rPr>
        <w:t xml:space="preserve"> </w:t>
      </w:r>
      <w:r w:rsidRPr="00013904">
        <w:rPr>
          <w:i/>
          <w:iCs/>
          <w:lang w:val="en-US"/>
        </w:rPr>
        <w:t>vitro</w:t>
      </w:r>
      <w:r>
        <w:t xml:space="preserve"> установили низкую вероятность лекарственных взаимодействий</w:t>
      </w:r>
      <w:r w:rsidRPr="00013904">
        <w:t xml:space="preserve"> </w:t>
      </w:r>
      <w:r>
        <w:t xml:space="preserve">барицитиниба с препаратами, ингибирующими изоферменты: CYP3A4, CYP2D6, CYP2C19, CYP2C9, CYP2C8, CYP2B6 или CYP1A2. </w:t>
      </w:r>
    </w:p>
    <w:p w14:paraId="1D314A57" w14:textId="785A10BC" w:rsidR="00B35879" w:rsidRPr="00A566FF" w:rsidRDefault="00B35879" w:rsidP="00B35879">
      <w:pPr>
        <w:spacing w:after="0" w:line="240" w:lineRule="auto"/>
        <w:ind w:firstLine="709"/>
        <w:rPr>
          <w:bCs/>
          <w:color w:val="000000" w:themeColor="text1"/>
          <w:lang w:bidi="ru-RU"/>
        </w:rPr>
      </w:pPr>
      <w:r w:rsidRPr="00A566FF">
        <w:rPr>
          <w:bCs/>
          <w:color w:val="000000" w:themeColor="text1"/>
          <w:lang w:bidi="ru-RU"/>
        </w:rPr>
        <w:t>Токсикологическая программа исследования бариц</w:t>
      </w:r>
      <w:r w:rsidR="00777BAE">
        <w:rPr>
          <w:bCs/>
          <w:color w:val="000000" w:themeColor="text1"/>
          <w:lang w:bidi="ru-RU"/>
        </w:rPr>
        <w:t>и</w:t>
      </w:r>
      <w:r w:rsidRPr="00A566FF">
        <w:rPr>
          <w:bCs/>
          <w:color w:val="000000" w:themeColor="text1"/>
          <w:lang w:bidi="ru-RU"/>
        </w:rPr>
        <w:t>тиниба 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06FD9C76" w14:textId="77777777" w:rsidR="00B35879" w:rsidRDefault="00B35879" w:rsidP="00B35879">
      <w:pPr>
        <w:autoSpaceDE w:val="0"/>
        <w:autoSpaceDN w:val="0"/>
        <w:adjustRightInd w:val="0"/>
        <w:spacing w:after="0" w:line="240" w:lineRule="auto"/>
        <w:ind w:firstLine="708"/>
      </w:pPr>
      <w:r w:rsidRPr="00A566FF">
        <w:t xml:space="preserve">Исследования однократной дозы </w:t>
      </w:r>
      <w:r>
        <w:t>барицитиниба</w:t>
      </w:r>
      <w:r w:rsidRPr="00A566FF">
        <w:t xml:space="preserve"> проводились на мышах</w:t>
      </w:r>
      <w:r>
        <w:t xml:space="preserve">, </w:t>
      </w:r>
      <w:r w:rsidRPr="00A566FF">
        <w:t>крысах</w:t>
      </w:r>
      <w:r>
        <w:t xml:space="preserve"> и собаках</w:t>
      </w:r>
      <w:r w:rsidRPr="00A566FF">
        <w:t xml:space="preserve">. Самая высокая нелетальная доза для мышей составила </w:t>
      </w:r>
      <w:r>
        <w:t xml:space="preserve">&gt;1200 </w:t>
      </w:r>
      <w:r w:rsidRPr="00A566FF">
        <w:t>мг/кг</w:t>
      </w:r>
      <w:r>
        <w:t>, у</w:t>
      </w:r>
      <w:r w:rsidRPr="00A566FF">
        <w:t xml:space="preserve"> крыс самая высокая нелетальная доза составила </w:t>
      </w:r>
      <w:r>
        <w:t>&gt;600</w:t>
      </w:r>
      <w:r w:rsidRPr="00A566FF">
        <w:t xml:space="preserve"> мг/кг</w:t>
      </w:r>
      <w:r>
        <w:t>,</w:t>
      </w:r>
      <w:r w:rsidRPr="00A566FF">
        <w:t xml:space="preserve"> для </w:t>
      </w:r>
      <w:r>
        <w:t xml:space="preserve">собак &gt;40 </w:t>
      </w:r>
      <w:r w:rsidRPr="00A566FF">
        <w:t>мг/кг</w:t>
      </w:r>
    </w:p>
    <w:p w14:paraId="4A681ED4" w14:textId="77777777" w:rsidR="00B35879" w:rsidRPr="00A566FF" w:rsidRDefault="00B35879" w:rsidP="00B35879">
      <w:pPr>
        <w:autoSpaceDE w:val="0"/>
        <w:autoSpaceDN w:val="0"/>
        <w:adjustRightInd w:val="0"/>
        <w:spacing w:after="0" w:line="240" w:lineRule="auto"/>
        <w:ind w:firstLine="708"/>
      </w:pPr>
      <w:r w:rsidRPr="00A566FF">
        <w:t xml:space="preserve">Исследования токсичности при повторном введении были выполнены на мышах (до </w:t>
      </w:r>
      <w:r>
        <w:t>26 недель</w:t>
      </w:r>
      <w:r w:rsidRPr="00A566FF">
        <w:t xml:space="preserve">), крысах (до </w:t>
      </w:r>
      <w:r>
        <w:t>90 недель</w:t>
      </w:r>
      <w:r w:rsidRPr="00A566FF">
        <w:t xml:space="preserve">) и собаках (до </w:t>
      </w:r>
      <w:r>
        <w:t>39 недель</w:t>
      </w:r>
      <w:r w:rsidRPr="00A566FF">
        <w:t xml:space="preserve">). </w:t>
      </w:r>
      <w:r>
        <w:t>Токсические эффекты при многократном введении были опосредованы фармакодинамическим действием барицитиниба и включали оппортунистические инфекции у собак (пиодемодекоз, межпальцевая гранулема) и повышение активности трансаминаз печени.</w:t>
      </w:r>
    </w:p>
    <w:p w14:paraId="17737B31" w14:textId="77777777" w:rsidR="00B35879" w:rsidRDefault="00B35879" w:rsidP="00B35879">
      <w:pPr>
        <w:spacing w:after="0" w:line="240" w:lineRule="auto"/>
        <w:ind w:firstLine="708"/>
      </w:pPr>
      <w:r w:rsidRPr="00A566FF">
        <w:rPr>
          <w:lang w:eastAsia="en-US"/>
        </w:rPr>
        <w:t xml:space="preserve">В доклинических исследованиях не было продемонстрировано генотоксичности и канцерогенности </w:t>
      </w:r>
      <w:r>
        <w:rPr>
          <w:lang w:eastAsia="en-US"/>
        </w:rPr>
        <w:t>барицитиниба (мыши, крысы)</w:t>
      </w:r>
      <w:r w:rsidRPr="00A566FF">
        <w:rPr>
          <w:lang w:eastAsia="en-US"/>
        </w:rPr>
        <w:t xml:space="preserve">. </w:t>
      </w:r>
    </w:p>
    <w:p w14:paraId="4449C7EA" w14:textId="77777777" w:rsidR="00B35879" w:rsidRPr="004634EA" w:rsidRDefault="00B35879" w:rsidP="00B35879">
      <w:pPr>
        <w:autoSpaceDE w:val="0"/>
        <w:autoSpaceDN w:val="0"/>
        <w:adjustRightInd w:val="0"/>
        <w:spacing w:after="0" w:line="240" w:lineRule="auto"/>
        <w:ind w:firstLine="708"/>
        <w:rPr>
          <w:color w:val="000000" w:themeColor="text1"/>
        </w:rPr>
      </w:pPr>
      <w:r>
        <w:t>В ходе исследования влияния барицитиниба на фертильность и ранее эмбриональное развитие животных установили, снижение общей способности к спариванию, снижение индекса копуляции самцов, дозозависимую тенденцию к снижению индекса фертильности самцов. Введение барицитиниба также значительно снижало индекс зачатия у самок. У самок крыс наблюдалось уменьшение количества желтых тел и мест имплантации, увеличение предимплантационных потерь, увеличение числа ранних внутриутробных смертей и увеличение комбинированной ранней и поздней внутриутробной смертности.</w:t>
      </w:r>
    </w:p>
    <w:p w14:paraId="5D872FED" w14:textId="77777777" w:rsidR="00B35879" w:rsidRPr="004634EA" w:rsidRDefault="00B35879" w:rsidP="00B35879">
      <w:pPr>
        <w:spacing w:after="0" w:line="240" w:lineRule="auto"/>
        <w:ind w:firstLine="709"/>
        <w:rPr>
          <w:color w:val="000000" w:themeColor="text1"/>
        </w:rPr>
      </w:pPr>
      <w:r>
        <w:t xml:space="preserve">В исследовании эмбриофетального развития крыс внутрижелудочное введение барицитиниба в течение 6–17 дней беременности вызывало повышение частоты неблагоприятных пороков развития костей конечностей и увеличение частоты развития пороков ребер. Барицитиниб также вызывал искривление седьмого ребра и искривления других ребер плодов. Пероральное введение барицитиниба кроликам не вызывало пороков развития плода, несмотря на наличие материнской смертности. </w:t>
      </w:r>
    </w:p>
    <w:p w14:paraId="264681B9" w14:textId="77777777" w:rsidR="00B35879" w:rsidRPr="00B35879" w:rsidRDefault="00B35879" w:rsidP="00B35879">
      <w:pPr>
        <w:spacing w:after="0" w:line="240" w:lineRule="auto"/>
        <w:ind w:firstLine="708"/>
      </w:pPr>
      <w:r>
        <w:t>В исследовании токсичности барицитиниба в отношении пре- и постнатального развития на крысах установили негативное воздействие на животных F</w:t>
      </w:r>
      <w:r w:rsidRPr="002D0549">
        <w:rPr>
          <w:vertAlign w:val="subscript"/>
        </w:rPr>
        <w:t>1</w:t>
      </w:r>
      <w:r>
        <w:t>, полученных от материнских особей, получавших барицитиниб. Неблагоприятные эффекты в отношении следующих поколений маловероятны.</w:t>
      </w:r>
    </w:p>
    <w:p w14:paraId="79EB5BE3" w14:textId="77777777" w:rsidR="00B35879" w:rsidRPr="002B7989" w:rsidRDefault="00B35879" w:rsidP="00B35879">
      <w:pPr>
        <w:autoSpaceDE w:val="0"/>
        <w:autoSpaceDN w:val="0"/>
        <w:adjustRightInd w:val="0"/>
        <w:spacing w:after="0" w:line="240" w:lineRule="auto"/>
        <w:ind w:firstLine="708"/>
        <w:rPr>
          <w:highlight w:val="yellow"/>
          <w:lang w:eastAsia="en-US"/>
        </w:rPr>
      </w:pPr>
      <w:r>
        <w:t xml:space="preserve">Барицитиниб не вызывал раздражения слизистой глаз, не выявили местно-раздражающего действия барицитиниба при нанесении на кожу кроликов. В токсикологических исследованиях при однократном или многократном введениях не было выявлено побочных эффектов со стороны ЖКТ. У барицитиниба отсутствует какой-либо фототоксический </w:t>
      </w:r>
      <w:r w:rsidRPr="001B62FA">
        <w:t>потенциал</w:t>
      </w:r>
      <w:r w:rsidRPr="001B62FA">
        <w:rPr>
          <w:lang w:eastAsia="en-US"/>
        </w:rPr>
        <w:t>.</w:t>
      </w:r>
    </w:p>
    <w:p w14:paraId="565F1DC8" w14:textId="77777777" w:rsidR="00B35879" w:rsidRDefault="00B35879" w:rsidP="00B35879">
      <w:pPr>
        <w:autoSpaceDE w:val="0"/>
        <w:autoSpaceDN w:val="0"/>
        <w:adjustRightInd w:val="0"/>
        <w:spacing w:after="0" w:line="240" w:lineRule="auto"/>
        <w:ind w:firstLine="708"/>
        <w:rPr>
          <w:highlight w:val="yellow"/>
          <w:lang w:eastAsia="en-US"/>
        </w:rPr>
      </w:pPr>
      <w:r w:rsidRPr="005D5965">
        <w:t xml:space="preserve">Впервые барицитиниб был одобрен в качестве </w:t>
      </w:r>
      <w:r>
        <w:t xml:space="preserve">средства для лечения РА умеренной и тяжелой степени </w:t>
      </w:r>
      <w:r w:rsidRPr="005D5965">
        <w:t>в 20</w:t>
      </w:r>
      <w:r>
        <w:t>18</w:t>
      </w:r>
      <w:r w:rsidRPr="005D5965">
        <w:t xml:space="preserve"> г. В России препарат был зарегистрирован в </w:t>
      </w:r>
      <w:r>
        <w:t>2018</w:t>
      </w:r>
      <w:r w:rsidRPr="005D5965">
        <w:t xml:space="preserve"> г. </w:t>
      </w:r>
      <w:r>
        <w:t xml:space="preserve">Барицитиниб является препаратом последнего поколения для лечения РА, АД, ОА и </w:t>
      </w:r>
      <w:r w:rsidRPr="00494670">
        <w:rPr>
          <w:lang w:val="en-US" w:eastAsia="ru-RU"/>
        </w:rPr>
        <w:t>COVID</w:t>
      </w:r>
      <w:r w:rsidRPr="00494670">
        <w:rPr>
          <w:lang w:eastAsia="ru-RU"/>
        </w:rPr>
        <w:t>-19</w:t>
      </w:r>
      <w:r>
        <w:t>, имеет</w:t>
      </w:r>
      <w:r w:rsidRPr="005D5965">
        <w:t xml:space="preserve"> обширн</w:t>
      </w:r>
      <w:r>
        <w:t xml:space="preserve">ую </w:t>
      </w:r>
      <w:r w:rsidRPr="005D5965">
        <w:t>доказательн</w:t>
      </w:r>
      <w:r>
        <w:t xml:space="preserve">ую </w:t>
      </w:r>
      <w:r w:rsidRPr="005D5965">
        <w:t>баз</w:t>
      </w:r>
      <w:r>
        <w:t xml:space="preserve">у, подтверждающую высокую эффективность. </w:t>
      </w:r>
    </w:p>
    <w:p w14:paraId="0263B821" w14:textId="77777777" w:rsidR="00B35879" w:rsidRPr="00DE4B82" w:rsidRDefault="00B35879" w:rsidP="00B35879">
      <w:pPr>
        <w:spacing w:after="0" w:line="240" w:lineRule="auto"/>
        <w:ind w:firstLine="709"/>
        <w:rPr>
          <w:color w:val="000000"/>
        </w:rPr>
      </w:pPr>
      <w:r w:rsidRPr="005E7F5E">
        <w:rPr>
          <w:color w:val="000000"/>
        </w:rPr>
        <w:t xml:space="preserve">Клиническая эффективность при первичной регистрации </w:t>
      </w:r>
      <w:r>
        <w:rPr>
          <w:color w:val="000000"/>
        </w:rPr>
        <w:t>барицитиниба</w:t>
      </w:r>
      <w:r w:rsidRPr="005E7F5E">
        <w:rPr>
          <w:color w:val="000000"/>
        </w:rPr>
        <w:t xml:space="preserve"> была изучена в 4 исследованиях II</w:t>
      </w:r>
      <w:r>
        <w:rPr>
          <w:color w:val="000000"/>
          <w:lang w:val="en-US"/>
        </w:rPr>
        <w:t>I</w:t>
      </w:r>
      <w:r w:rsidRPr="005E7F5E">
        <w:rPr>
          <w:color w:val="000000"/>
        </w:rPr>
        <w:t xml:space="preserve"> фазы</w:t>
      </w:r>
      <w:r>
        <w:rPr>
          <w:color w:val="000000"/>
        </w:rPr>
        <w:t xml:space="preserve"> (</w:t>
      </w:r>
      <w:r>
        <w:t>JADZ, 52 недели; JADV, 52 недели; JADX, 24 недели; JADW, 24 недели).</w:t>
      </w:r>
      <w:r w:rsidRPr="005E7F5E">
        <w:rPr>
          <w:color w:val="000000"/>
        </w:rPr>
        <w:t xml:space="preserve"> </w:t>
      </w:r>
      <w:r>
        <w:t xml:space="preserve">В общей сложности 3464 пациента получали барицитиниб в </w:t>
      </w:r>
      <w:r>
        <w:lastRenderedPageBreak/>
        <w:t>исследованиях РА, что составляет 4214,1 пациенто-лет воздействия; 2166 пациентов (62,5%) подвергались воздействию в течение ≥52 недель, а 467 пациентов (13,5%) подвергались воздействию в течение ≥104 недель. В ходе исследован</w:t>
      </w:r>
      <w:r w:rsidRPr="001B231E">
        <w:t xml:space="preserve">ия JADZ </w:t>
      </w:r>
      <w:r w:rsidRPr="00710D59">
        <w:rPr>
          <w:color w:val="000000"/>
        </w:rPr>
        <w:t xml:space="preserve">было показано превосходство </w:t>
      </w:r>
      <w:r>
        <w:rPr>
          <w:color w:val="000000"/>
        </w:rPr>
        <w:t xml:space="preserve">при применении только </w:t>
      </w:r>
      <w:r w:rsidRPr="00710D59">
        <w:rPr>
          <w:color w:val="000000"/>
        </w:rPr>
        <w:t xml:space="preserve">барицитиниба или комбинации </w:t>
      </w:r>
      <w:r>
        <w:rPr>
          <w:color w:val="000000"/>
        </w:rPr>
        <w:t>барицитиниб</w:t>
      </w:r>
      <w:r w:rsidRPr="00710D59">
        <w:rPr>
          <w:color w:val="000000"/>
        </w:rPr>
        <w:t xml:space="preserve">+MTX по сравнению с </w:t>
      </w:r>
      <w:r>
        <w:rPr>
          <w:color w:val="000000"/>
        </w:rPr>
        <w:t>монотерапией</w:t>
      </w:r>
      <w:r w:rsidRPr="00710D59">
        <w:rPr>
          <w:color w:val="000000"/>
        </w:rPr>
        <w:t xml:space="preserve"> MTX</w:t>
      </w:r>
      <w:r w:rsidRPr="001B231E">
        <w:rPr>
          <w:color w:val="000000"/>
        </w:rPr>
        <w:t xml:space="preserve"> </w:t>
      </w:r>
      <w:r w:rsidRPr="00710D59">
        <w:rPr>
          <w:color w:val="000000"/>
        </w:rPr>
        <w:t>для первичн</w:t>
      </w:r>
      <w:r>
        <w:rPr>
          <w:color w:val="000000"/>
        </w:rPr>
        <w:t xml:space="preserve">ой конечной точки – </w:t>
      </w:r>
      <w:r w:rsidRPr="00710D59">
        <w:rPr>
          <w:color w:val="000000"/>
        </w:rPr>
        <w:t>ACR20.</w:t>
      </w:r>
      <w:r>
        <w:rPr>
          <w:color w:val="000000"/>
        </w:rPr>
        <w:t xml:space="preserve"> Также б</w:t>
      </w:r>
      <w:r w:rsidRPr="00710D59">
        <w:rPr>
          <w:color w:val="000000"/>
        </w:rPr>
        <w:t xml:space="preserve">ыло </w:t>
      </w:r>
      <w:r>
        <w:rPr>
          <w:color w:val="000000"/>
        </w:rPr>
        <w:t xml:space="preserve">доказано </w:t>
      </w:r>
      <w:r w:rsidRPr="00710D59">
        <w:rPr>
          <w:color w:val="000000"/>
        </w:rPr>
        <w:t>превосходство</w:t>
      </w:r>
      <w:r>
        <w:rPr>
          <w:color w:val="000000"/>
        </w:rPr>
        <w:t xml:space="preserve"> барицитиниба в индукции ремиссии заболевания у </w:t>
      </w:r>
      <w:r w:rsidRPr="00710D59">
        <w:rPr>
          <w:color w:val="000000"/>
        </w:rPr>
        <w:t>пациентов, по различным показателям активности заболевания</w:t>
      </w:r>
      <w:r>
        <w:rPr>
          <w:color w:val="000000"/>
        </w:rPr>
        <w:t xml:space="preserve">. </w:t>
      </w:r>
      <w:r w:rsidRPr="00D262F3">
        <w:rPr>
          <w:color w:val="000000"/>
        </w:rPr>
        <w:t xml:space="preserve">Статистически значимо большая доля пациентов, получавших барицитиниб в дозе 4 мг, по сравнению с плацебо или </w:t>
      </w:r>
      <w:r>
        <w:rPr>
          <w:color w:val="000000"/>
        </w:rPr>
        <w:t>МТХ</w:t>
      </w:r>
      <w:r w:rsidRPr="00D262F3">
        <w:rPr>
          <w:color w:val="000000"/>
        </w:rPr>
        <w:t>, достигла ремиссии (SDAI ≤ 3,3 и CDAI</w:t>
      </w:r>
      <w:r>
        <w:rPr>
          <w:color w:val="000000"/>
        </w:rPr>
        <w:t xml:space="preserve"> </w:t>
      </w:r>
      <w:r w:rsidRPr="00D262F3">
        <w:rPr>
          <w:color w:val="000000"/>
        </w:rPr>
        <w:t>≤ 2,8) или низкой активности заболевания или ремиссии (DAS28-</w:t>
      </w:r>
      <w:r>
        <w:rPr>
          <w:color w:val="000000"/>
          <w:lang w:val="en-US"/>
        </w:rPr>
        <w:t>ESR</w:t>
      </w:r>
      <w:r w:rsidRPr="00D262F3">
        <w:rPr>
          <w:color w:val="000000"/>
        </w:rPr>
        <w:t xml:space="preserve"> или DAS28-</w:t>
      </w:r>
      <w:r>
        <w:rPr>
          <w:color w:val="000000"/>
          <w:lang w:val="en-US"/>
        </w:rPr>
        <w:t>hsCRP</w:t>
      </w:r>
      <w:r w:rsidRPr="00D262F3">
        <w:rPr>
          <w:color w:val="000000"/>
        </w:rPr>
        <w:t xml:space="preserve">≤ 3,2 и DAS28- </w:t>
      </w:r>
      <w:r>
        <w:rPr>
          <w:color w:val="000000"/>
          <w:lang w:val="en-US"/>
        </w:rPr>
        <w:t>ESR</w:t>
      </w:r>
      <w:r w:rsidRPr="00D262F3">
        <w:rPr>
          <w:color w:val="000000"/>
        </w:rPr>
        <w:t xml:space="preserve"> или DAS28</w:t>
      </w:r>
      <w:r>
        <w:rPr>
          <w:color w:val="000000"/>
        </w:rPr>
        <w:t>-</w:t>
      </w:r>
      <w:r>
        <w:rPr>
          <w:color w:val="000000"/>
          <w:lang w:val="en-US"/>
        </w:rPr>
        <w:t>hsCRP</w:t>
      </w:r>
      <w:r w:rsidRPr="00D262F3">
        <w:rPr>
          <w:color w:val="000000"/>
        </w:rPr>
        <w:t xml:space="preserve"> &lt; 2,6) на 12-й и 24-й неделях</w:t>
      </w:r>
      <w:r>
        <w:rPr>
          <w:color w:val="000000"/>
        </w:rPr>
        <w:t xml:space="preserve">. </w:t>
      </w:r>
      <w:r w:rsidRPr="00D262F3">
        <w:rPr>
          <w:color w:val="000000"/>
        </w:rPr>
        <w:t>Уже на 4-й неделе наблюдались более высокие показатели ремиссии по сравнению с плацебо. Показатели ремиссии и низкой активности заболевания сохранялись не менее 2 лет</w:t>
      </w:r>
      <w:r>
        <w:rPr>
          <w:color w:val="000000"/>
        </w:rPr>
        <w:t xml:space="preserve">. </w:t>
      </w:r>
    </w:p>
    <w:p w14:paraId="469B827C" w14:textId="3F4A0C6F" w:rsidR="00B35879" w:rsidRDefault="00B35879" w:rsidP="00B35879">
      <w:pPr>
        <w:spacing w:after="0" w:line="240" w:lineRule="auto"/>
        <w:ind w:firstLine="708"/>
      </w:pPr>
      <w:r w:rsidRPr="001B231E">
        <w:t xml:space="preserve">В ходе исследования </w:t>
      </w:r>
      <w:r w:rsidRPr="001B231E">
        <w:rPr>
          <w:lang w:val="en-US"/>
        </w:rPr>
        <w:t>JADV</w:t>
      </w:r>
      <w:r>
        <w:t xml:space="preserve"> </w:t>
      </w:r>
      <w:r w:rsidRPr="00710D59">
        <w:rPr>
          <w:color w:val="000000"/>
        </w:rPr>
        <w:t xml:space="preserve">оценивали эффективность и безопасность </w:t>
      </w:r>
      <w:r>
        <w:rPr>
          <w:color w:val="000000"/>
        </w:rPr>
        <w:t xml:space="preserve">барицитиниба </w:t>
      </w:r>
      <w:r w:rsidRPr="00710D59">
        <w:rPr>
          <w:color w:val="000000"/>
        </w:rPr>
        <w:t xml:space="preserve">у 1307 пациентов с неадекватным ответом на </w:t>
      </w:r>
      <w:r>
        <w:rPr>
          <w:color w:val="000000"/>
        </w:rPr>
        <w:t>МТХ</w:t>
      </w:r>
      <w:r w:rsidRPr="00710D59">
        <w:rPr>
          <w:color w:val="000000"/>
        </w:rPr>
        <w:t xml:space="preserve"> и у которых имелись признаки нарушения функции костной ткани</w:t>
      </w:r>
      <w:r>
        <w:rPr>
          <w:color w:val="000000"/>
        </w:rPr>
        <w:t xml:space="preserve"> (</w:t>
      </w:r>
      <w:r w:rsidRPr="00710D59">
        <w:rPr>
          <w:color w:val="000000"/>
        </w:rPr>
        <w:t>эрозия сустава</w:t>
      </w:r>
      <w:r>
        <w:rPr>
          <w:color w:val="000000"/>
        </w:rPr>
        <w:t>)</w:t>
      </w:r>
      <w:r w:rsidRPr="00710D59">
        <w:rPr>
          <w:color w:val="000000"/>
        </w:rPr>
        <w:t>.</w:t>
      </w:r>
      <w:r>
        <w:rPr>
          <w:color w:val="000000"/>
        </w:rPr>
        <w:t xml:space="preserve"> Анализ результатов </w:t>
      </w:r>
      <w:r w:rsidRPr="00710D59">
        <w:rPr>
          <w:color w:val="000000"/>
        </w:rPr>
        <w:t xml:space="preserve">показал превосходство </w:t>
      </w:r>
      <w:r>
        <w:rPr>
          <w:color w:val="000000"/>
        </w:rPr>
        <w:t>барицитиниба</w:t>
      </w:r>
      <w:r w:rsidRPr="00710D59">
        <w:rPr>
          <w:color w:val="000000"/>
        </w:rPr>
        <w:t xml:space="preserve"> 4 мг как над плацебо, так и над </w:t>
      </w:r>
      <w:r w:rsidRPr="00710D59">
        <w:rPr>
          <w:color w:val="000000"/>
          <w:lang w:val="en-US"/>
        </w:rPr>
        <w:t>ADA</w:t>
      </w:r>
      <w:r w:rsidRPr="00710D59">
        <w:rPr>
          <w:color w:val="000000"/>
        </w:rPr>
        <w:t xml:space="preserve">. </w:t>
      </w:r>
      <w:r w:rsidRPr="00710D59">
        <w:rPr>
          <w:color w:val="000000"/>
          <w:lang w:val="en-US"/>
        </w:rPr>
        <w:t>ACR</w:t>
      </w:r>
      <w:r w:rsidRPr="00710D59">
        <w:rPr>
          <w:color w:val="000000"/>
        </w:rPr>
        <w:t xml:space="preserve">20 на неделе 12 составлял 69,6% для </w:t>
      </w:r>
      <w:r>
        <w:rPr>
          <w:color w:val="000000"/>
        </w:rPr>
        <w:t>барицитиниба</w:t>
      </w:r>
      <w:r w:rsidRPr="00710D59">
        <w:rPr>
          <w:color w:val="000000"/>
        </w:rPr>
        <w:t xml:space="preserve"> 4 мг, 61,2% для </w:t>
      </w:r>
      <w:r w:rsidRPr="00710D59">
        <w:rPr>
          <w:color w:val="000000"/>
          <w:lang w:val="en-US"/>
        </w:rPr>
        <w:t>ADA</w:t>
      </w:r>
      <w:r w:rsidRPr="00710D59">
        <w:rPr>
          <w:color w:val="000000"/>
        </w:rPr>
        <w:t xml:space="preserve"> и 40,2% для плацебо (разница с плацебо 29,4 (95%ДИ 23,5</w:t>
      </w:r>
      <w:r>
        <w:rPr>
          <w:color w:val="000000"/>
        </w:rPr>
        <w:t>;</w:t>
      </w:r>
      <w:r w:rsidRPr="00710D59">
        <w:rPr>
          <w:color w:val="000000"/>
        </w:rPr>
        <w:t xml:space="preserve"> 35,4) и с </w:t>
      </w:r>
      <w:r w:rsidRPr="00710D59">
        <w:rPr>
          <w:color w:val="000000"/>
          <w:lang w:val="en-US"/>
        </w:rPr>
        <w:t>ADA</w:t>
      </w:r>
      <w:r w:rsidRPr="00710D59">
        <w:rPr>
          <w:color w:val="000000"/>
        </w:rPr>
        <w:t xml:space="preserve"> (8,4 (95%ДИ 1,7</w:t>
      </w:r>
      <w:r>
        <w:rPr>
          <w:color w:val="000000"/>
        </w:rPr>
        <w:t>;</w:t>
      </w:r>
      <w:r w:rsidRPr="00710D59">
        <w:rPr>
          <w:color w:val="000000"/>
        </w:rPr>
        <w:t xml:space="preserve"> 15,1)). </w:t>
      </w:r>
      <w:r>
        <w:rPr>
          <w:color w:val="000000"/>
        </w:rPr>
        <w:t>Превосходство барицитиниба над п</w:t>
      </w:r>
      <w:r w:rsidRPr="00710D59">
        <w:rPr>
          <w:color w:val="000000"/>
        </w:rPr>
        <w:t xml:space="preserve">лацебо и </w:t>
      </w:r>
      <w:r w:rsidRPr="00710D59">
        <w:rPr>
          <w:color w:val="000000"/>
          <w:lang w:val="en-US"/>
        </w:rPr>
        <w:t>ADA</w:t>
      </w:r>
      <w:r w:rsidRPr="00710D59">
        <w:rPr>
          <w:color w:val="000000"/>
        </w:rPr>
        <w:t xml:space="preserve"> был</w:t>
      </w:r>
      <w:r>
        <w:rPr>
          <w:color w:val="000000"/>
        </w:rPr>
        <w:t>о</w:t>
      </w:r>
      <w:r w:rsidRPr="00710D59">
        <w:rPr>
          <w:color w:val="000000"/>
        </w:rPr>
        <w:t xml:space="preserve"> подтвержден</w:t>
      </w:r>
      <w:r>
        <w:rPr>
          <w:color w:val="000000"/>
        </w:rPr>
        <w:t xml:space="preserve">о также </w:t>
      </w:r>
      <w:r w:rsidRPr="00710D59">
        <w:rPr>
          <w:color w:val="000000"/>
        </w:rPr>
        <w:t xml:space="preserve">для более строгих конечных точек </w:t>
      </w:r>
      <w:r>
        <w:rPr>
          <w:color w:val="000000"/>
        </w:rPr>
        <w:t xml:space="preserve">– </w:t>
      </w:r>
      <w:r w:rsidRPr="00710D59">
        <w:rPr>
          <w:color w:val="000000"/>
          <w:lang w:val="en-US"/>
        </w:rPr>
        <w:t>ACR</w:t>
      </w:r>
      <w:r w:rsidRPr="00710D59">
        <w:rPr>
          <w:color w:val="000000"/>
        </w:rPr>
        <w:t xml:space="preserve">50 и </w:t>
      </w:r>
      <w:r w:rsidRPr="00710D59">
        <w:rPr>
          <w:color w:val="000000"/>
          <w:lang w:val="en-US"/>
        </w:rPr>
        <w:t>ACR</w:t>
      </w:r>
      <w:r w:rsidRPr="00710D59">
        <w:rPr>
          <w:color w:val="000000"/>
        </w:rPr>
        <w:t xml:space="preserve">70, </w:t>
      </w:r>
      <w:r>
        <w:rPr>
          <w:color w:val="000000"/>
        </w:rPr>
        <w:t>при этом фармакодинамический эффект барицитиниба</w:t>
      </w:r>
      <w:r w:rsidRPr="00710D59">
        <w:rPr>
          <w:color w:val="000000"/>
        </w:rPr>
        <w:t xml:space="preserve"> сохранялся до 52 недел</w:t>
      </w:r>
      <w:r>
        <w:rPr>
          <w:color w:val="000000"/>
        </w:rPr>
        <w:t xml:space="preserve">ь. В исследовании </w:t>
      </w:r>
      <w:r w:rsidRPr="001B231E">
        <w:rPr>
          <w:lang w:val="en-US"/>
        </w:rPr>
        <w:t>JADX</w:t>
      </w:r>
      <w:r w:rsidRPr="00030B0B">
        <w:rPr>
          <w:i/>
          <w:iCs/>
        </w:rPr>
        <w:t xml:space="preserve"> </w:t>
      </w:r>
      <w:r w:rsidRPr="00710D59">
        <w:rPr>
          <w:color w:val="000000"/>
        </w:rPr>
        <w:t xml:space="preserve">оценивали эффективность и безопасность </w:t>
      </w:r>
      <w:r w:rsidR="006D17D4">
        <w:rPr>
          <w:color w:val="000000"/>
        </w:rPr>
        <w:t>барицитиниба</w:t>
      </w:r>
      <w:r>
        <w:rPr>
          <w:color w:val="000000"/>
        </w:rPr>
        <w:t xml:space="preserve"> </w:t>
      </w:r>
      <w:r w:rsidRPr="00710D59">
        <w:rPr>
          <w:color w:val="000000"/>
        </w:rPr>
        <w:t xml:space="preserve">у 684 пациентов с активным РА от умеренной до тяжелой степени, несмотря на предшествующее или текущее лечение </w:t>
      </w:r>
      <w:r w:rsidR="00D139A4">
        <w:rPr>
          <w:rFonts w:eastAsia="Times New Roman"/>
          <w:iCs/>
          <w:lang w:eastAsia="ru-RU"/>
        </w:rPr>
        <w:t>БМАРП</w:t>
      </w:r>
      <w:r w:rsidRPr="00710D59">
        <w:rPr>
          <w:color w:val="000000"/>
        </w:rPr>
        <w:t xml:space="preserve">. Пациентам, участвовавшим в этом исследовании, было разрешено продолжать терапию </w:t>
      </w:r>
      <w:r w:rsidR="00D139A4">
        <w:rPr>
          <w:rFonts w:eastAsia="Times New Roman"/>
          <w:iCs/>
          <w:lang w:eastAsia="ru-RU"/>
        </w:rPr>
        <w:t>БМАРП</w:t>
      </w:r>
      <w:r w:rsidRPr="00710D59">
        <w:rPr>
          <w:color w:val="000000"/>
        </w:rPr>
        <w:t xml:space="preserve"> во время исследования, если </w:t>
      </w:r>
      <w:r>
        <w:rPr>
          <w:color w:val="000000"/>
        </w:rPr>
        <w:t>она была начата до начала исследования</w:t>
      </w:r>
      <w:r w:rsidRPr="00710D59">
        <w:rPr>
          <w:color w:val="000000"/>
        </w:rPr>
        <w:t>.</w:t>
      </w:r>
      <w:r>
        <w:rPr>
          <w:color w:val="000000"/>
        </w:rPr>
        <w:t xml:space="preserve"> Прием б</w:t>
      </w:r>
      <w:r w:rsidRPr="00710D59">
        <w:rPr>
          <w:color w:val="000000"/>
        </w:rPr>
        <w:t>арицитиниб</w:t>
      </w:r>
      <w:r>
        <w:rPr>
          <w:color w:val="000000"/>
        </w:rPr>
        <w:t>а</w:t>
      </w:r>
      <w:r w:rsidRPr="00710D59">
        <w:rPr>
          <w:color w:val="000000"/>
        </w:rPr>
        <w:t xml:space="preserve"> в дозе 2 и 4 мг </w:t>
      </w:r>
      <w:r>
        <w:rPr>
          <w:color w:val="000000"/>
        </w:rPr>
        <w:t>1</w:t>
      </w:r>
      <w:r w:rsidRPr="00710D59">
        <w:rPr>
          <w:color w:val="000000"/>
        </w:rPr>
        <w:t xml:space="preserve"> р</w:t>
      </w:r>
      <w:r>
        <w:rPr>
          <w:color w:val="000000"/>
        </w:rPr>
        <w:t>/</w:t>
      </w:r>
      <w:r w:rsidRPr="00710D59">
        <w:rPr>
          <w:color w:val="000000"/>
        </w:rPr>
        <w:t xml:space="preserve">сутки </w:t>
      </w:r>
      <w:r>
        <w:rPr>
          <w:color w:val="000000"/>
        </w:rPr>
        <w:t>сопровождался развитием</w:t>
      </w:r>
      <w:r w:rsidRPr="00710D59">
        <w:rPr>
          <w:color w:val="000000"/>
        </w:rPr>
        <w:t xml:space="preserve"> клинически значимы</w:t>
      </w:r>
      <w:r>
        <w:rPr>
          <w:color w:val="000000"/>
        </w:rPr>
        <w:t>х</w:t>
      </w:r>
      <w:r w:rsidRPr="00710D59">
        <w:rPr>
          <w:color w:val="000000"/>
        </w:rPr>
        <w:t xml:space="preserve"> улучшени</w:t>
      </w:r>
      <w:r>
        <w:rPr>
          <w:color w:val="000000"/>
        </w:rPr>
        <w:t>й</w:t>
      </w:r>
      <w:r w:rsidRPr="00710D59">
        <w:rPr>
          <w:color w:val="000000"/>
        </w:rPr>
        <w:t xml:space="preserve"> по сравнению с плацебо </w:t>
      </w:r>
      <w:r>
        <w:rPr>
          <w:color w:val="000000"/>
        </w:rPr>
        <w:t xml:space="preserve">в отношении первичной конечной точки – </w:t>
      </w:r>
      <w:r w:rsidRPr="00710D59">
        <w:rPr>
          <w:color w:val="000000"/>
        </w:rPr>
        <w:t>ACR20/50/70,</w:t>
      </w:r>
      <w:r>
        <w:rPr>
          <w:color w:val="000000"/>
        </w:rPr>
        <w:t xml:space="preserve"> а также в отношении</w:t>
      </w:r>
      <w:r w:rsidRPr="00710D59">
        <w:rPr>
          <w:color w:val="000000"/>
        </w:rPr>
        <w:t xml:space="preserve"> ремиссии, физической функции, усталост</w:t>
      </w:r>
      <w:r>
        <w:rPr>
          <w:color w:val="000000"/>
        </w:rPr>
        <w:t>и</w:t>
      </w:r>
      <w:r w:rsidRPr="00710D59">
        <w:rPr>
          <w:color w:val="000000"/>
        </w:rPr>
        <w:t>, бол</w:t>
      </w:r>
      <w:r>
        <w:rPr>
          <w:color w:val="000000"/>
        </w:rPr>
        <w:t xml:space="preserve">и и показателей шкал качества жизни пациентов. </w:t>
      </w:r>
      <w:r w:rsidRPr="00710D59">
        <w:rPr>
          <w:color w:val="000000"/>
        </w:rPr>
        <w:t xml:space="preserve">Первичная конечная точка </w:t>
      </w:r>
      <w:r>
        <w:rPr>
          <w:color w:val="000000"/>
        </w:rPr>
        <w:t>–</w:t>
      </w:r>
      <w:r w:rsidRPr="00710D59">
        <w:rPr>
          <w:color w:val="000000"/>
        </w:rPr>
        <w:t xml:space="preserve"> ACR20 на неделе 12 составила 61,7% для </w:t>
      </w:r>
      <w:r>
        <w:rPr>
          <w:color w:val="000000"/>
        </w:rPr>
        <w:t>барицитиниба</w:t>
      </w:r>
      <w:r w:rsidRPr="00710D59">
        <w:rPr>
          <w:color w:val="000000"/>
        </w:rPr>
        <w:t xml:space="preserve"> 4 мг, 65,9% для </w:t>
      </w:r>
      <w:r>
        <w:rPr>
          <w:color w:val="000000"/>
        </w:rPr>
        <w:t>барицитиниба</w:t>
      </w:r>
      <w:r w:rsidRPr="00710D59">
        <w:rPr>
          <w:color w:val="000000"/>
        </w:rPr>
        <w:t xml:space="preserve"> 2 мг и 39,5% для плацебо (</w:t>
      </w:r>
      <w:r>
        <w:rPr>
          <w:color w:val="000000"/>
        </w:rPr>
        <w:t>от</w:t>
      </w:r>
      <w:r w:rsidRPr="00710D59">
        <w:rPr>
          <w:color w:val="000000"/>
        </w:rPr>
        <w:t>личия 22,2% (</w:t>
      </w:r>
      <w:r>
        <w:rPr>
          <w:color w:val="000000"/>
        </w:rPr>
        <w:t xml:space="preserve">95%ДИ </w:t>
      </w:r>
      <w:r w:rsidRPr="00710D59">
        <w:rPr>
          <w:color w:val="000000"/>
        </w:rPr>
        <w:t>13,2</w:t>
      </w:r>
      <w:r>
        <w:rPr>
          <w:color w:val="000000"/>
        </w:rPr>
        <w:t>;</w:t>
      </w:r>
      <w:r w:rsidRPr="00710D59">
        <w:rPr>
          <w:color w:val="000000"/>
        </w:rPr>
        <w:t xml:space="preserve"> 31,2) и 26,5% (</w:t>
      </w:r>
      <w:r>
        <w:rPr>
          <w:color w:val="000000"/>
        </w:rPr>
        <w:t xml:space="preserve">95%ДИ </w:t>
      </w:r>
      <w:r w:rsidRPr="00710D59">
        <w:rPr>
          <w:color w:val="000000"/>
        </w:rPr>
        <w:t>17,6</w:t>
      </w:r>
      <w:r>
        <w:rPr>
          <w:color w:val="000000"/>
        </w:rPr>
        <w:t>;</w:t>
      </w:r>
      <w:r w:rsidRPr="00710D59">
        <w:rPr>
          <w:color w:val="000000"/>
        </w:rPr>
        <w:t xml:space="preserve"> 35,3) для 4</w:t>
      </w:r>
      <w:r>
        <w:rPr>
          <w:color w:val="000000"/>
        </w:rPr>
        <w:t xml:space="preserve"> мг</w:t>
      </w:r>
      <w:r w:rsidRPr="00710D59">
        <w:rPr>
          <w:color w:val="000000"/>
        </w:rPr>
        <w:t xml:space="preserve"> и 2 мг</w:t>
      </w:r>
      <w:r>
        <w:rPr>
          <w:color w:val="000000"/>
        </w:rPr>
        <w:t xml:space="preserve"> барицитиниба</w:t>
      </w:r>
      <w:r w:rsidRPr="00710D59">
        <w:rPr>
          <w:color w:val="000000"/>
        </w:rPr>
        <w:t xml:space="preserve"> по сравнению с плацебо соответственно</w:t>
      </w:r>
      <w:r>
        <w:rPr>
          <w:color w:val="000000"/>
        </w:rPr>
        <w:t>. В и</w:t>
      </w:r>
      <w:r w:rsidRPr="00B54F1D">
        <w:rPr>
          <w:color w:val="000000"/>
        </w:rPr>
        <w:t>сследовани</w:t>
      </w:r>
      <w:r>
        <w:rPr>
          <w:color w:val="000000"/>
        </w:rPr>
        <w:t>и</w:t>
      </w:r>
      <w:r w:rsidRPr="00B54F1D">
        <w:rPr>
          <w:color w:val="000000"/>
        </w:rPr>
        <w:t xml:space="preserve"> JADW оценивали эффективность и безопасность </w:t>
      </w:r>
      <w:r>
        <w:rPr>
          <w:color w:val="000000"/>
        </w:rPr>
        <w:t xml:space="preserve">барицитиниба </w:t>
      </w:r>
      <w:r w:rsidRPr="00B54F1D">
        <w:rPr>
          <w:color w:val="000000"/>
        </w:rPr>
        <w:t xml:space="preserve">у 527 пациентов с активным РА от умеренной до тяжелой степени, </w:t>
      </w:r>
      <w:r>
        <w:rPr>
          <w:color w:val="000000"/>
        </w:rPr>
        <w:t>ранее получавшими</w:t>
      </w:r>
      <w:r w:rsidRPr="00B54F1D">
        <w:rPr>
          <w:color w:val="000000"/>
        </w:rPr>
        <w:t xml:space="preserve"> од</w:t>
      </w:r>
      <w:r>
        <w:rPr>
          <w:color w:val="000000"/>
        </w:rPr>
        <w:t xml:space="preserve">ин </w:t>
      </w:r>
      <w:r w:rsidRPr="00B54F1D">
        <w:rPr>
          <w:color w:val="000000"/>
        </w:rPr>
        <w:t>или нескольк</w:t>
      </w:r>
      <w:r>
        <w:rPr>
          <w:color w:val="000000"/>
        </w:rPr>
        <w:t>о</w:t>
      </w:r>
      <w:r w:rsidRPr="00B54F1D">
        <w:rPr>
          <w:color w:val="000000"/>
        </w:rPr>
        <w:t xml:space="preserve"> биологически</w:t>
      </w:r>
      <w:r>
        <w:rPr>
          <w:color w:val="000000"/>
        </w:rPr>
        <w:t>х</w:t>
      </w:r>
      <w:r w:rsidRPr="00B54F1D">
        <w:rPr>
          <w:color w:val="000000"/>
        </w:rPr>
        <w:t xml:space="preserve"> препарат</w:t>
      </w:r>
      <w:r>
        <w:rPr>
          <w:color w:val="000000"/>
        </w:rPr>
        <w:t xml:space="preserve">ов, </w:t>
      </w:r>
      <w:r w:rsidRPr="00B54F1D">
        <w:rPr>
          <w:color w:val="000000"/>
        </w:rPr>
        <w:t xml:space="preserve">включая по меньшей мере один ингибитор </w:t>
      </w:r>
      <w:r>
        <w:rPr>
          <w:color w:val="000000"/>
          <w:lang w:val="en-US"/>
        </w:rPr>
        <w:t>TNF</w:t>
      </w:r>
      <w:r w:rsidRPr="00B54F1D">
        <w:rPr>
          <w:color w:val="000000"/>
        </w:rPr>
        <w:t xml:space="preserve">. В </w:t>
      </w:r>
      <w:r>
        <w:rPr>
          <w:color w:val="000000"/>
        </w:rPr>
        <w:t>ходе исследования было уставлено превосходство барицитиниба над плацебо по первичной конечной точке (</w:t>
      </w:r>
      <w:r w:rsidRPr="00B54F1D">
        <w:rPr>
          <w:color w:val="000000"/>
        </w:rPr>
        <w:t>ACR20</w:t>
      </w:r>
      <w:r>
        <w:rPr>
          <w:color w:val="000000"/>
        </w:rPr>
        <w:t xml:space="preserve">) </w:t>
      </w:r>
      <w:r w:rsidRPr="00B54F1D">
        <w:rPr>
          <w:color w:val="000000"/>
        </w:rPr>
        <w:t>и дву</w:t>
      </w:r>
      <w:r>
        <w:rPr>
          <w:color w:val="000000"/>
        </w:rPr>
        <w:t>м</w:t>
      </w:r>
      <w:r w:rsidRPr="00B54F1D">
        <w:rPr>
          <w:color w:val="000000"/>
        </w:rPr>
        <w:t xml:space="preserve"> основны</w:t>
      </w:r>
      <w:r>
        <w:rPr>
          <w:color w:val="000000"/>
        </w:rPr>
        <w:t>м</w:t>
      </w:r>
      <w:r w:rsidRPr="00B54F1D">
        <w:rPr>
          <w:color w:val="000000"/>
        </w:rPr>
        <w:t xml:space="preserve"> вторичны</w:t>
      </w:r>
      <w:r>
        <w:rPr>
          <w:color w:val="000000"/>
        </w:rPr>
        <w:t>м</w:t>
      </w:r>
      <w:r w:rsidRPr="00B54F1D">
        <w:rPr>
          <w:color w:val="000000"/>
        </w:rPr>
        <w:t xml:space="preserve"> </w:t>
      </w:r>
      <w:r>
        <w:rPr>
          <w:color w:val="000000"/>
        </w:rPr>
        <w:t>точкам</w:t>
      </w:r>
      <w:r w:rsidRPr="00B54F1D">
        <w:rPr>
          <w:color w:val="000000"/>
        </w:rPr>
        <w:t xml:space="preserve"> (изменение HAQ-DI и DAS28-</w:t>
      </w:r>
      <w:r>
        <w:rPr>
          <w:color w:val="000000"/>
          <w:lang w:val="en-US"/>
        </w:rPr>
        <w:t>hsCRP</w:t>
      </w:r>
      <w:r w:rsidRPr="00B54F1D">
        <w:rPr>
          <w:color w:val="000000"/>
        </w:rPr>
        <w:t xml:space="preserve"> по сравнению с исходным уровнем).</w:t>
      </w:r>
      <w:r>
        <w:rPr>
          <w:color w:val="000000"/>
        </w:rPr>
        <w:t xml:space="preserve"> О</w:t>
      </w:r>
      <w:r w:rsidRPr="00B54F1D">
        <w:rPr>
          <w:color w:val="000000"/>
        </w:rPr>
        <w:t xml:space="preserve">твет первичной конечной точки ACR20 на неделе 12 составил 55,4% для </w:t>
      </w:r>
      <w:r>
        <w:rPr>
          <w:color w:val="000000"/>
        </w:rPr>
        <w:t>барицитиниба</w:t>
      </w:r>
      <w:r w:rsidRPr="00B54F1D">
        <w:rPr>
          <w:color w:val="000000"/>
        </w:rPr>
        <w:t xml:space="preserve"> 4 мг, 48,9% для </w:t>
      </w:r>
      <w:r>
        <w:rPr>
          <w:color w:val="000000"/>
        </w:rPr>
        <w:t>барицитиниба</w:t>
      </w:r>
      <w:r w:rsidRPr="00B54F1D">
        <w:rPr>
          <w:color w:val="000000"/>
        </w:rPr>
        <w:t xml:space="preserve"> 2 мг и 27,3% для плацебо (разница </w:t>
      </w:r>
      <w:r>
        <w:rPr>
          <w:color w:val="000000"/>
        </w:rPr>
        <w:t>барицитиниб</w:t>
      </w:r>
      <w:r w:rsidRPr="00B54F1D">
        <w:rPr>
          <w:color w:val="000000"/>
        </w:rPr>
        <w:t xml:space="preserve"> 4 мг по сравнению с плацебо 28,1% </w:t>
      </w:r>
      <w:r w:rsidRPr="00DC675E">
        <w:rPr>
          <w:color w:val="000000"/>
        </w:rPr>
        <w:t>[</w:t>
      </w:r>
      <w:r w:rsidRPr="00B54F1D">
        <w:rPr>
          <w:color w:val="000000"/>
        </w:rPr>
        <w:t>95%ДИ 18,2</w:t>
      </w:r>
      <w:r>
        <w:rPr>
          <w:color w:val="000000"/>
        </w:rPr>
        <w:t>;</w:t>
      </w:r>
      <w:r w:rsidRPr="00B54F1D">
        <w:rPr>
          <w:color w:val="000000"/>
        </w:rPr>
        <w:t xml:space="preserve"> 37,9</w:t>
      </w:r>
      <w:r w:rsidRPr="00DC675E">
        <w:rPr>
          <w:color w:val="000000"/>
        </w:rPr>
        <w:t>]</w:t>
      </w:r>
      <w:r w:rsidRPr="00B54F1D">
        <w:rPr>
          <w:color w:val="000000"/>
        </w:rPr>
        <w:t xml:space="preserve">, </w:t>
      </w:r>
      <w:r>
        <w:rPr>
          <w:color w:val="000000"/>
        </w:rPr>
        <w:t xml:space="preserve">барицитиниб </w:t>
      </w:r>
      <w:r w:rsidRPr="00B54F1D">
        <w:rPr>
          <w:color w:val="000000"/>
        </w:rPr>
        <w:t xml:space="preserve">2 мг по сравнению с плацебо 21,6 </w:t>
      </w:r>
      <w:r w:rsidRPr="00DC675E">
        <w:rPr>
          <w:color w:val="000000"/>
        </w:rPr>
        <w:t>[</w:t>
      </w:r>
      <w:r>
        <w:rPr>
          <w:color w:val="000000"/>
        </w:rPr>
        <w:t xml:space="preserve">95%ДИ </w:t>
      </w:r>
      <w:r w:rsidRPr="00B54F1D">
        <w:rPr>
          <w:color w:val="000000"/>
        </w:rPr>
        <w:t>11,7</w:t>
      </w:r>
      <w:r>
        <w:rPr>
          <w:color w:val="000000"/>
        </w:rPr>
        <w:t>;</w:t>
      </w:r>
      <w:r w:rsidRPr="00B54F1D">
        <w:rPr>
          <w:color w:val="000000"/>
        </w:rPr>
        <w:t xml:space="preserve"> 31,5</w:t>
      </w:r>
      <w:r w:rsidRPr="00DC675E">
        <w:rPr>
          <w:color w:val="000000"/>
        </w:rPr>
        <w:t>]</w:t>
      </w:r>
      <w:r w:rsidRPr="00B54F1D">
        <w:rPr>
          <w:color w:val="000000"/>
        </w:rPr>
        <w:t>).</w:t>
      </w:r>
      <w:r>
        <w:rPr>
          <w:color w:val="000000"/>
        </w:rPr>
        <w:t xml:space="preserve"> </w:t>
      </w:r>
    </w:p>
    <w:p w14:paraId="56E9A73D" w14:textId="77777777" w:rsidR="00B35879" w:rsidRDefault="00B35879" w:rsidP="00B35879">
      <w:pPr>
        <w:spacing w:after="0" w:line="240" w:lineRule="auto"/>
        <w:ind w:firstLine="708"/>
      </w:pPr>
      <w:r>
        <w:t>Эффективность и безопасность барицитиниба в качестве монотерапии или в комбинации с ТКС</w:t>
      </w:r>
      <w:r w:rsidRPr="006D538C">
        <w:t xml:space="preserve"> </w:t>
      </w:r>
      <w:r>
        <w:t xml:space="preserve">в отношении АД оценивались в 3 рандомизированных, двойных слепых, плацебо-контролируемых исследованиях III фазы, продолжительностью 16 недель (BREEZE-AD1, -AD2 и -AD7). По состоянию на дату окончания сбора данных 31 марта 2021 г. 1244 пациента получили барицитиниб, общая экспозиция составила 1362 пациенто-года. В ходе 16-недельной терапии изучали эффективность барицитиниба в </w:t>
      </w:r>
      <w:r>
        <w:lastRenderedPageBreak/>
        <w:t>качестве монотерапии (BREEZE-AD1, -AD2) или в комбинации с ТКС (BREEZE-AD7). Значительно большая часть пациентов, рандомизированных в группу барицитиниба в дозе 4 мг, достигла ответа IGA 0 или 1 (основной результат), улучшения по шкале EASI75 ≥ 4 балла по сравнению с плацебо на 16-й неделе. Значительно большая доля пациентов, рандомизированных в группу барицитиниба в дозе 4 мг, достигла улучшения на ≥ 4 баллов по шкале NRS по сравнению с плацебо (в течение первой недели лечения в исследовании BREEZE-AD1 и -AD2, и уже на 2-й неделе для BREEZE-AD7, p&lt;0,002). В обоих исследованиях монотерапии (BREEZE-AD1 и BREEZE-AD2) и в исследовании применения комбинации барицитиниба и ТКС (BREEZE-AD7) барицитиниб в дозе 4 мг значительно улучшал исходы, о которых сообщали пациенты, включая значения по шкале NRS, DLQI и HADS через 16 недель по сравнению с плацебо.</w:t>
      </w:r>
    </w:p>
    <w:p w14:paraId="5CC1B7FC" w14:textId="77777777" w:rsidR="00B35879" w:rsidRDefault="00B35879" w:rsidP="00B35879">
      <w:pPr>
        <w:spacing w:after="0" w:line="240" w:lineRule="auto"/>
        <w:ind w:firstLine="708"/>
      </w:pPr>
      <w:r w:rsidRPr="000D2BA7">
        <w:rPr>
          <w:color w:val="000000"/>
        </w:rPr>
        <w:t xml:space="preserve">Эффективность и безопасность </w:t>
      </w:r>
      <w:r>
        <w:rPr>
          <w:color w:val="000000"/>
        </w:rPr>
        <w:t xml:space="preserve">применения </w:t>
      </w:r>
      <w:r w:rsidRPr="000D2BA7">
        <w:rPr>
          <w:color w:val="000000"/>
        </w:rPr>
        <w:t xml:space="preserve">барицитиниба </w:t>
      </w:r>
      <w:r>
        <w:rPr>
          <w:color w:val="000000"/>
        </w:rPr>
        <w:t xml:space="preserve">в отношении ОА </w:t>
      </w:r>
      <w:r w:rsidRPr="000D2BA7">
        <w:rPr>
          <w:color w:val="000000"/>
        </w:rPr>
        <w:t xml:space="preserve">оценивали в исследовании фазы II/III </w:t>
      </w:r>
      <w:r>
        <w:rPr>
          <w:color w:val="000000"/>
        </w:rPr>
        <w:t xml:space="preserve">с </w:t>
      </w:r>
      <w:r w:rsidRPr="000D2BA7">
        <w:rPr>
          <w:color w:val="000000"/>
        </w:rPr>
        <w:t>адаптивн</w:t>
      </w:r>
      <w:r>
        <w:rPr>
          <w:color w:val="000000"/>
        </w:rPr>
        <w:t>ы</w:t>
      </w:r>
      <w:r w:rsidRPr="000D2BA7">
        <w:rPr>
          <w:color w:val="000000"/>
        </w:rPr>
        <w:t>м</w:t>
      </w:r>
      <w:r>
        <w:rPr>
          <w:color w:val="000000"/>
        </w:rPr>
        <w:t xml:space="preserve"> дизайном</w:t>
      </w:r>
      <w:r w:rsidRPr="000D2BA7">
        <w:rPr>
          <w:color w:val="000000"/>
        </w:rPr>
        <w:t xml:space="preserve"> (BRAVE-AA1) и в исследовании III фазы (BRAVE-AA2)</w:t>
      </w:r>
      <w:r>
        <w:rPr>
          <w:color w:val="000000"/>
        </w:rPr>
        <w:t>, а также исследование</w:t>
      </w:r>
      <w:r w:rsidRPr="00CC7D8F">
        <w:rPr>
          <w:color w:val="000000"/>
        </w:rPr>
        <w:t xml:space="preserve"> BREEZE-AD4 с участием пациентов</w:t>
      </w:r>
      <w:r>
        <w:rPr>
          <w:color w:val="000000"/>
        </w:rPr>
        <w:t xml:space="preserve"> с ОА</w:t>
      </w:r>
      <w:r w:rsidRPr="00CC7D8F">
        <w:rPr>
          <w:color w:val="000000"/>
        </w:rPr>
        <w:t>, получавших циклоспорин или с противопоказаниями к нему</w:t>
      </w:r>
      <w:r w:rsidRPr="000D2BA7">
        <w:rPr>
          <w:color w:val="000000"/>
        </w:rPr>
        <w:t xml:space="preserve">. </w:t>
      </w:r>
      <w:r>
        <w:t xml:space="preserve">В ходе исследований были собраны данные о 2531 пациенте, получавшем барицитиниб в течение 2247 пациенто-лет (средняя продолжительность 310 дней). В ходе исследований </w:t>
      </w:r>
      <w:r w:rsidRPr="0039408D">
        <w:rPr>
          <w:color w:val="000000"/>
        </w:rPr>
        <w:t xml:space="preserve">BRAVE-AA1 и BRAVE-AA2 </w:t>
      </w:r>
      <w:r w:rsidRPr="000D2BA7">
        <w:rPr>
          <w:color w:val="000000"/>
        </w:rPr>
        <w:t xml:space="preserve">значительно большая часть пациентов, получавших барицитиниб в дозе 4 мг </w:t>
      </w:r>
      <w:r>
        <w:rPr>
          <w:color w:val="000000"/>
        </w:rPr>
        <w:t>1</w:t>
      </w:r>
      <w:r w:rsidRPr="000D2BA7">
        <w:rPr>
          <w:color w:val="000000"/>
        </w:rPr>
        <w:t xml:space="preserve"> р</w:t>
      </w:r>
      <w:r>
        <w:rPr>
          <w:color w:val="000000"/>
        </w:rPr>
        <w:t>/с</w:t>
      </w:r>
      <w:r w:rsidRPr="000D2BA7">
        <w:rPr>
          <w:color w:val="000000"/>
        </w:rPr>
        <w:t>утки, достигла SALT ≤ 20 на 36-й неделе по сравнению с плацебо, начиная с 8-й недели в исследовании BRAVE-AA1 и на 12-й неделе в исследовании BRAVE-AA2. Постоянная эффективность наблюдалась по большинству вторичных конечных точек</w:t>
      </w:r>
      <w:r>
        <w:rPr>
          <w:color w:val="000000"/>
        </w:rPr>
        <w:t xml:space="preserve">. </w:t>
      </w:r>
      <w:r w:rsidRPr="00EC0364">
        <w:rPr>
          <w:color w:val="000000"/>
        </w:rPr>
        <w:t>Доля пациентов, получавших барицитиниб, достигших SALT ≤ 20, продолжала увеличиваться после 36-й недели, достигнув 39,0% пациентов, принимавших барицитиниб в дозе 4 мг на 52-й неделе</w:t>
      </w:r>
      <w:r>
        <w:rPr>
          <w:color w:val="000000"/>
        </w:rPr>
        <w:t>.</w:t>
      </w:r>
    </w:p>
    <w:p w14:paraId="0EBC1CCF" w14:textId="77777777" w:rsidR="00B35879" w:rsidRDefault="00B35879" w:rsidP="00B35879">
      <w:pPr>
        <w:spacing w:after="0" w:line="240" w:lineRule="auto"/>
        <w:ind w:firstLine="709"/>
      </w:pPr>
      <w:r>
        <w:t xml:space="preserve">Эффективность и безопасность применения барицитиниба в отношении </w:t>
      </w:r>
      <w:r>
        <w:rPr>
          <w:lang w:val="en-US"/>
        </w:rPr>
        <w:t>COVID</w:t>
      </w:r>
      <w:r w:rsidRPr="00C74C24">
        <w:t xml:space="preserve">-19 </w:t>
      </w:r>
      <w:r>
        <w:t xml:space="preserve">оценивались в двух рандомизированных двойных слепых плацебо контролируемых исследованиях </w:t>
      </w:r>
      <w:r>
        <w:rPr>
          <w:lang w:val="en-US"/>
        </w:rPr>
        <w:t>III</w:t>
      </w:r>
      <w:r>
        <w:t xml:space="preserve"> фазы: в исследовании АСТТ-2 оценивали барицитиниб 4 мг в комбинации с ремдесивиром в сравнении с плацебо в комбинации с ремдесивиром; в исследовании </w:t>
      </w:r>
      <w:r>
        <w:rPr>
          <w:lang w:val="en-US"/>
        </w:rPr>
        <w:t>COV</w:t>
      </w:r>
      <w:r w:rsidRPr="00937087">
        <w:t>-</w:t>
      </w:r>
      <w:r>
        <w:rPr>
          <w:lang w:val="en-US"/>
        </w:rPr>
        <w:t>BARRIER</w:t>
      </w:r>
      <w:r>
        <w:t xml:space="preserve"> оценивали барицитиниб 4 мг в режиме монотерапии в сравнении с плацебо. Пациенты могли оставаться на стандартной терапии в соответствии с местными рекомендациями. В ходе данных исследований барицитиниб получили 1280 пациентов.</w:t>
      </w:r>
    </w:p>
    <w:p w14:paraId="61A9F801" w14:textId="77777777" w:rsidR="00B35879" w:rsidRDefault="00B35879" w:rsidP="00B35879">
      <w:pPr>
        <w:spacing w:after="0" w:line="240" w:lineRule="auto"/>
        <w:ind w:firstLine="709"/>
      </w:pPr>
      <w:r>
        <w:t>Эффективность и безопасность применения барицитиниба оценивались в двух рандомизированных двойных слепых плацебо контролируемых исследованиях III фазы: в исследовании АСТТ-2 оценивали барицитиниб 4 мг в комбинации с ремдесивиром в сравнении с плацебо в комбинации с ремдесивиром; в исследовании COV-BARRIER оценивали барицитиниб 4 мг в режиме монотерапии в сравнении с плацебо. Пациенты могли оставаться на стандартной терапии в соответствии с местными рекомендациями.</w:t>
      </w:r>
    </w:p>
    <w:p w14:paraId="509C3127" w14:textId="77777777" w:rsidR="00B35879" w:rsidRDefault="00B35879" w:rsidP="00B35879">
      <w:pPr>
        <w:spacing w:after="0" w:line="240" w:lineRule="auto"/>
        <w:ind w:firstLine="709"/>
      </w:pPr>
      <w:r>
        <w:t xml:space="preserve">В ходе исследования АСТТ-2 установили, что наибольшее преимущество от терапии барицитинибом было отмечено у пациентов, нуждающихся в низкопоточной оксигенотерапии, неинвазивной вентиляции легких или высокопоточной оксигенотерапии. У пациентов, получавших барицитиниб с ремдесивиром, была выше вероятность достижения благоприятного клинического статуса (в соответствии с 8-ми бальной порядковой шкалой) на 15-ый день терапии, чем у пациентов, получавших плацебо с ремдесивиром. Доля смертельных исходов или случаев прогрессии заболевания, приводивших к необходимости неинвазивной вентиляции легких/высокопоточной оксигенотерапии или к инвазивной вентиляции легких к 29 дню наблюдения была ниже в группе пациентов, получавших барицитиниб с ремдесивиром (23%), по сравнению </w:t>
      </w:r>
      <w:r>
        <w:lastRenderedPageBreak/>
        <w:t>группой пациентов, получавших плацебо с ремдесивиром (28%). Доля пациентов, умерших к 29 дню составила 4,9% в группе барицитиниба с ремдесивиром по сравнению с 7,8% в группе плацебо с ремдесивиром.</w:t>
      </w:r>
    </w:p>
    <w:p w14:paraId="13168980" w14:textId="77777777" w:rsidR="00B35879" w:rsidRDefault="00B35879" w:rsidP="00B35879">
      <w:pPr>
        <w:spacing w:after="0" w:line="240" w:lineRule="auto"/>
        <w:ind w:firstLine="709"/>
      </w:pPr>
      <w:r>
        <w:t xml:space="preserve">В ходе исследования COV-BARRIER, что наибольшее преимущество от терапии барицитинибом было отмечено у пациентов, нуждающихся в низкопоточной оксигенотерапии, неинвазивной вентиляции легких или высокопоточной оксигенотерапии. У пациентов из группы барицитиниба к 14 дню терапии чаще наблюдалось улучшение клинического статуса по сравнению с пациентами из группы плацебо. </w:t>
      </w:r>
    </w:p>
    <w:p w14:paraId="62A5AF4A" w14:textId="0C3E728F" w:rsidR="00B35879" w:rsidRPr="0022557C" w:rsidRDefault="00B35879" w:rsidP="00B35879">
      <w:pPr>
        <w:autoSpaceDE w:val="0"/>
        <w:autoSpaceDN w:val="0"/>
        <w:adjustRightInd w:val="0"/>
        <w:spacing w:after="0" w:line="240" w:lineRule="auto"/>
        <w:ind w:firstLine="708"/>
        <w:rPr>
          <w:color w:val="000000"/>
        </w:rPr>
      </w:pPr>
      <w:r w:rsidRPr="0022557C">
        <w:rPr>
          <w:color w:val="000000"/>
        </w:rPr>
        <w:t xml:space="preserve">Влияние почечной недостаточности на фармакокинетику барицитиниба оценивали в клиническом фармакологическом исследовании JADL и последующих исследованиях </w:t>
      </w:r>
      <w:r>
        <w:rPr>
          <w:color w:val="000000"/>
          <w:lang w:val="en-US"/>
        </w:rPr>
        <w:t>II</w:t>
      </w:r>
      <w:r w:rsidRPr="003B4997">
        <w:rPr>
          <w:color w:val="000000"/>
        </w:rPr>
        <w:t xml:space="preserve"> </w:t>
      </w:r>
      <w:r>
        <w:rPr>
          <w:color w:val="000000"/>
        </w:rPr>
        <w:t xml:space="preserve">и </w:t>
      </w:r>
      <w:r>
        <w:rPr>
          <w:color w:val="000000"/>
          <w:lang w:val="en-US"/>
        </w:rPr>
        <w:t>III</w:t>
      </w:r>
      <w:r>
        <w:rPr>
          <w:color w:val="000000"/>
        </w:rPr>
        <w:t xml:space="preserve"> </w:t>
      </w:r>
      <w:r w:rsidRPr="0022557C">
        <w:rPr>
          <w:color w:val="000000"/>
        </w:rPr>
        <w:t>фазы</w:t>
      </w:r>
      <w:r>
        <w:rPr>
          <w:color w:val="000000"/>
        </w:rPr>
        <w:t xml:space="preserve">. В исследовании </w:t>
      </w:r>
      <w:r w:rsidRPr="0022557C">
        <w:rPr>
          <w:color w:val="000000"/>
        </w:rPr>
        <w:t xml:space="preserve">JADL </w:t>
      </w:r>
      <w:r>
        <w:rPr>
          <w:color w:val="000000"/>
        </w:rPr>
        <w:t>(</w:t>
      </w:r>
      <w:r w:rsidRPr="0022557C">
        <w:rPr>
          <w:color w:val="000000"/>
        </w:rPr>
        <w:t>открытое исследование фармакокинетики, фармакодинамически</w:t>
      </w:r>
      <w:r>
        <w:rPr>
          <w:color w:val="000000"/>
        </w:rPr>
        <w:t xml:space="preserve"> </w:t>
      </w:r>
      <w:r w:rsidRPr="0022557C">
        <w:rPr>
          <w:color w:val="000000"/>
        </w:rPr>
        <w:t xml:space="preserve">и безопасности однократной дозы </w:t>
      </w:r>
      <w:r>
        <w:rPr>
          <w:color w:val="000000"/>
        </w:rPr>
        <w:t xml:space="preserve">барицитиниба </w:t>
      </w:r>
      <w:r w:rsidRPr="0022557C">
        <w:rPr>
          <w:color w:val="000000"/>
        </w:rPr>
        <w:t>10 и 5 мг)</w:t>
      </w:r>
      <w:r>
        <w:rPr>
          <w:color w:val="000000"/>
        </w:rPr>
        <w:t xml:space="preserve"> участвовали </w:t>
      </w:r>
      <w:r w:rsidRPr="0022557C">
        <w:rPr>
          <w:color w:val="000000"/>
        </w:rPr>
        <w:t>субъект</w:t>
      </w:r>
      <w:r>
        <w:rPr>
          <w:color w:val="000000"/>
        </w:rPr>
        <w:t>ы</w:t>
      </w:r>
      <w:r w:rsidRPr="0022557C">
        <w:rPr>
          <w:color w:val="000000"/>
        </w:rPr>
        <w:t xml:space="preserve"> с различной степенью почечной недостаточности (легкая, умеренная, тяжелая почечная недостаточность или терминальная стадия почечной недостаточности, требующее гемодиализа</w:t>
      </w:r>
      <w:r>
        <w:rPr>
          <w:color w:val="000000"/>
        </w:rPr>
        <w:t xml:space="preserve">). </w:t>
      </w:r>
      <w:r w:rsidRPr="00C74C24">
        <w:rPr>
          <w:color w:val="000000"/>
        </w:rPr>
        <w:t>Умеренная печеночная недостаточность, возраст (возрастной диапазон от 19 до 83</w:t>
      </w:r>
      <w:r w:rsidRPr="0022557C">
        <w:rPr>
          <w:color w:val="000000"/>
        </w:rPr>
        <w:t xml:space="preserve"> лет) и скорость оседания эритроцитов не оказывали клинически значимого влияния на экспозицию барицитиниба</w:t>
      </w:r>
      <w:r>
        <w:rPr>
          <w:color w:val="000000"/>
        </w:rPr>
        <w:t xml:space="preserve"> </w:t>
      </w:r>
      <w:r w:rsidRPr="0022557C">
        <w:rPr>
          <w:color w:val="000000"/>
        </w:rPr>
        <w:t xml:space="preserve">Снижение почечного </w:t>
      </w:r>
      <w:r>
        <w:t>клиренса</w:t>
      </w:r>
      <w:r w:rsidRPr="0022557C">
        <w:rPr>
          <w:color w:val="000000"/>
        </w:rPr>
        <w:t xml:space="preserve"> барицитиниба и увеличение AUC наблюдались при увеличении тяжести почечной недостаточности</w:t>
      </w:r>
      <w:r>
        <w:rPr>
          <w:color w:val="000000"/>
        </w:rPr>
        <w:t xml:space="preserve">. </w:t>
      </w:r>
      <w:r w:rsidR="007F72CA">
        <w:t xml:space="preserve">У пациентов с </w:t>
      </w:r>
      <w:r w:rsidR="008F28F6">
        <w:rPr>
          <w:lang w:val="en-US"/>
        </w:rPr>
        <w:t>CL</w:t>
      </w:r>
      <w:r w:rsidR="007F72CA" w:rsidRPr="0029110D">
        <w:t xml:space="preserve"> </w:t>
      </w:r>
      <w:r w:rsidR="007F72CA">
        <w:t xml:space="preserve">креатинина от 30 до 60 мл/мин рекомендуемая доза препарата составляет 2 мг один раз в сутки. </w:t>
      </w:r>
      <w:r>
        <w:t>У пациентов с СКФ от 15 до 30 мл/мин/1,73 м</w:t>
      </w:r>
      <w:r>
        <w:rPr>
          <w:vertAlign w:val="superscript"/>
        </w:rPr>
        <w:t>2</w:t>
      </w:r>
      <w:r>
        <w:t xml:space="preserve"> рекомендуемая доза препарата составляет 2 мг каждые 48 ч. Перед началом применения барицитиниба у пациентов с СКФ от 15 до 30 мл/мин/1,73 м</w:t>
      </w:r>
      <w:r>
        <w:rPr>
          <w:vertAlign w:val="superscript"/>
        </w:rPr>
        <w:t xml:space="preserve">2 </w:t>
      </w:r>
      <w:r>
        <w:t>следует оценить соотношение потенциальной пользы к возможному риску. Пациентам с СКФ менее 15 мл/мин/1,73 м</w:t>
      </w:r>
      <w:r>
        <w:rPr>
          <w:vertAlign w:val="superscript"/>
        </w:rPr>
        <w:t>2</w:t>
      </w:r>
      <w:r>
        <w:t xml:space="preserve"> (терминальная стадия почечной недостаточности) применение барицитиниба противопоказано.</w:t>
      </w:r>
    </w:p>
    <w:p w14:paraId="0942A824" w14:textId="77777777" w:rsidR="00B35879" w:rsidRPr="00C74C24" w:rsidRDefault="00B35879" w:rsidP="00B35879">
      <w:pPr>
        <w:pStyle w:val="ab"/>
        <w:shd w:val="clear" w:color="auto" w:fill="FFFFFF"/>
        <w:spacing w:before="0" w:beforeAutospacing="0" w:after="0" w:afterAutospacing="0"/>
        <w:ind w:firstLine="708"/>
        <w:jc w:val="both"/>
      </w:pPr>
      <w:r w:rsidRPr="0022557C">
        <w:rPr>
          <w:color w:val="000000"/>
        </w:rPr>
        <w:t>Клинические исследования барицитиниба у пациентов с тяжелой печеночной недостаточностью не проводились</w:t>
      </w:r>
      <w:r>
        <w:t>.</w:t>
      </w:r>
    </w:p>
    <w:p w14:paraId="5D392306" w14:textId="086F85D1" w:rsidR="00B35879" w:rsidRDefault="00B35879" w:rsidP="00B35879">
      <w:pPr>
        <w:pStyle w:val="ab"/>
        <w:shd w:val="clear" w:color="auto" w:fill="FFFFFF"/>
        <w:spacing w:before="0" w:beforeAutospacing="0" w:after="0" w:afterAutospacing="0"/>
        <w:ind w:firstLine="708"/>
        <w:jc w:val="both"/>
      </w:pPr>
      <w:r w:rsidRPr="00915A5D">
        <w:t xml:space="preserve">Фармакокинетика барицитиниба оценивалась у небольшого числа пациентов педиатрического возраста (n=18, средний возраст 12,5 лет, вес 9,2–84,3 кг), получавших препарат в рамках благотворительной программы лечения редких аутовоспалительных заболеваний. Масса тела и функция почек значительно влияли на </w:t>
      </w:r>
      <w:r>
        <w:rPr>
          <w:lang w:val="en-US"/>
        </w:rPr>
        <w:t>Vd</w:t>
      </w:r>
      <w:r w:rsidRPr="00915A5D">
        <w:t xml:space="preserve"> и </w:t>
      </w:r>
      <w:r w:rsidR="008F28F6">
        <w:rPr>
          <w:lang w:val="en-US"/>
        </w:rPr>
        <w:t>CL</w:t>
      </w:r>
      <w:r w:rsidR="008F28F6" w:rsidRPr="00915A5D">
        <w:t xml:space="preserve"> </w:t>
      </w:r>
      <w:r w:rsidRPr="00915A5D">
        <w:t xml:space="preserve">соответственно, что указывает на необходимость дозирования в зависимости от массы тела и функции почек. Важно отметить, что </w:t>
      </w:r>
      <w:r w:rsidR="008F28F6">
        <w:rPr>
          <w:lang w:val="en-US"/>
        </w:rPr>
        <w:t>T</w:t>
      </w:r>
      <w:r w:rsidRPr="00AB1FF1">
        <w:rPr>
          <w:vertAlign w:val="subscript"/>
        </w:rPr>
        <w:t xml:space="preserve">1/2 </w:t>
      </w:r>
      <w:r w:rsidRPr="00915A5D">
        <w:t xml:space="preserve">барицитиниба был значительно короче у детей, особенно среди детей с массой тела менее 40 кг, и авторы этого исследования рекомендовали детям принимать </w:t>
      </w:r>
      <w:r>
        <w:t xml:space="preserve">барицитиниба </w:t>
      </w:r>
      <w:r w:rsidRPr="00915A5D">
        <w:t>от двух до четырех раз в день в зависимости от функции почек.</w:t>
      </w:r>
      <w:r>
        <w:t xml:space="preserve"> </w:t>
      </w:r>
    </w:p>
    <w:p w14:paraId="740194FD" w14:textId="77777777" w:rsidR="00B35879" w:rsidRPr="00CC7D8F" w:rsidRDefault="00B35879" w:rsidP="00B35879">
      <w:pPr>
        <w:spacing w:after="0" w:line="240" w:lineRule="auto"/>
        <w:ind w:firstLine="708"/>
      </w:pPr>
      <w:r w:rsidRPr="002E3A02">
        <w:t>Наиболее частыми побочными реакциями при применении барицитиниба являются повышение уровня холестерина ЛПНП (26,0%), инфекции верхних дыхательных путей (16,9%), головная боль (5,2%), простой герпес (3,2%) и инфекции мочевыводящих путей (2,9%).</w:t>
      </w:r>
    </w:p>
    <w:p w14:paraId="7BBD98C1" w14:textId="77777777" w:rsidR="00B35879" w:rsidRPr="002E3A02" w:rsidRDefault="00B35879" w:rsidP="00B35879">
      <w:pPr>
        <w:pStyle w:val="ab"/>
        <w:shd w:val="clear" w:color="auto" w:fill="FFFFFF"/>
        <w:spacing w:before="0" w:beforeAutospacing="0" w:after="0" w:afterAutospacing="0"/>
        <w:ind w:firstLine="708"/>
        <w:jc w:val="both"/>
        <w:rPr>
          <w:color w:val="000000"/>
        </w:rPr>
      </w:pPr>
      <w:r w:rsidRPr="002E3A02">
        <w:rPr>
          <w:color w:val="000000"/>
        </w:rPr>
        <w:t xml:space="preserve">На сегодняшний день барицитиниб является хорошо изученным препаратом группы ингибиторов </w:t>
      </w:r>
      <w:r w:rsidRPr="002E3A02">
        <w:rPr>
          <w:color w:val="000000"/>
          <w:lang w:val="en-US"/>
        </w:rPr>
        <w:t>JAK</w:t>
      </w:r>
      <w:r w:rsidRPr="002E3A02">
        <w:rPr>
          <w:color w:val="000000"/>
        </w:rPr>
        <w:t>.</w:t>
      </w:r>
    </w:p>
    <w:p w14:paraId="6B4AE772" w14:textId="77777777" w:rsidR="00B35879" w:rsidRPr="00907F84" w:rsidRDefault="00B35879" w:rsidP="00D03733">
      <w:pPr>
        <w:widowControl w:val="0"/>
        <w:tabs>
          <w:tab w:val="left" w:pos="8647"/>
        </w:tabs>
        <w:spacing w:after="0" w:line="240" w:lineRule="auto"/>
        <w:ind w:firstLine="709"/>
        <w:rPr>
          <w:rFonts w:eastAsia="Times New Roman"/>
          <w:b/>
          <w:lang w:eastAsia="ru-RU" w:bidi="ru-RU"/>
        </w:rPr>
      </w:pPr>
      <w:r w:rsidRPr="00907F84">
        <w:rPr>
          <w:rFonts w:eastAsia="Times New Roman"/>
          <w:lang w:eastAsia="ru-RU" w:bidi="ru-RU"/>
        </w:rPr>
        <w:t>Наиболее частыми нежелательными реакциями при применении барицитиниба являются:</w:t>
      </w:r>
      <w:r>
        <w:rPr>
          <w:rFonts w:eastAsia="Times New Roman"/>
          <w:lang w:eastAsia="ru-RU" w:bidi="ru-RU"/>
        </w:rPr>
        <w:t xml:space="preserve"> </w:t>
      </w:r>
      <w:r w:rsidRPr="00907F84">
        <w:rPr>
          <w:rFonts w:eastAsia="Times New Roman"/>
          <w:lang w:eastAsia="ru-RU" w:bidi="ru-RU"/>
        </w:rPr>
        <w:t>повышение ЛПНП ‚ инфекции верхних дыхательных путей, головная боль, простой герпес</w:t>
      </w:r>
      <w:r>
        <w:rPr>
          <w:rFonts w:eastAsia="Times New Roman"/>
          <w:lang w:eastAsia="ru-RU" w:bidi="ru-RU"/>
        </w:rPr>
        <w:t xml:space="preserve"> </w:t>
      </w:r>
      <w:r w:rsidRPr="00907F84">
        <w:rPr>
          <w:rFonts w:eastAsia="Times New Roman"/>
          <w:lang w:eastAsia="ru-RU" w:bidi="ru-RU"/>
        </w:rPr>
        <w:t>и инфекции мочевыводящих путей. У пациентов с ревматоидным артритом нечасто</w:t>
      </w:r>
      <w:r>
        <w:rPr>
          <w:rFonts w:eastAsia="Times New Roman"/>
          <w:lang w:eastAsia="ru-RU" w:bidi="ru-RU"/>
        </w:rPr>
        <w:t xml:space="preserve"> </w:t>
      </w:r>
      <w:r w:rsidRPr="00907F84">
        <w:rPr>
          <w:rFonts w:eastAsia="Times New Roman"/>
          <w:lang w:eastAsia="ru-RU" w:bidi="ru-RU"/>
        </w:rPr>
        <w:t>регистрировались случаи развития тяжелой пневмонии и тяжелого опоясывающего герпеса.</w:t>
      </w:r>
    </w:p>
    <w:p w14:paraId="1A8BCEC3" w14:textId="5B85A06F" w:rsidR="00D03733" w:rsidRPr="00D03733" w:rsidRDefault="00D03733" w:rsidP="00D03733">
      <w:pPr>
        <w:pStyle w:val="ab"/>
        <w:shd w:val="clear" w:color="auto" w:fill="FFFFFF"/>
        <w:spacing w:before="0" w:beforeAutospacing="0" w:after="0" w:afterAutospacing="0"/>
        <w:ind w:firstLine="708"/>
        <w:jc w:val="both"/>
        <w:rPr>
          <w:color w:val="000000"/>
        </w:rPr>
      </w:pPr>
      <w:r w:rsidRPr="00D03733">
        <w:rPr>
          <w:color w:val="000000"/>
        </w:rPr>
        <w:t xml:space="preserve">За время, прошедшее с момента регистрации препарата </w:t>
      </w:r>
      <w:r>
        <w:t>Олумиант</w:t>
      </w:r>
      <w:r w:rsidRPr="00A129EA">
        <w:rPr>
          <w:vertAlign w:val="superscript"/>
        </w:rPr>
        <w:t>®</w:t>
      </w:r>
      <w:r>
        <w:t xml:space="preserve">, </w:t>
      </w:r>
      <w:r w:rsidRPr="007F4B68">
        <w:t>таблетки,</w:t>
      </w:r>
      <w:r>
        <w:t xml:space="preserve"> </w:t>
      </w:r>
      <w:r w:rsidRPr="007F4B68">
        <w:t xml:space="preserve">покрытые пленочной оболочкой, </w:t>
      </w:r>
      <w:r>
        <w:t>2</w:t>
      </w:r>
      <w:r w:rsidRPr="007F4B68">
        <w:t xml:space="preserve"> мг</w:t>
      </w:r>
      <w:r>
        <w:t>, 4 мг</w:t>
      </w:r>
      <w:r w:rsidRPr="00A129EA">
        <w:rPr>
          <w:rFonts w:eastAsia="Calibri"/>
        </w:rPr>
        <w:t xml:space="preserve"> </w:t>
      </w:r>
      <w:r w:rsidRPr="00A129EA">
        <w:rPr>
          <w:color w:val="000000"/>
        </w:rPr>
        <w:t>(</w:t>
      </w:r>
      <w:r>
        <w:rPr>
          <w:color w:val="000000"/>
        </w:rPr>
        <w:t xml:space="preserve">производитель </w:t>
      </w:r>
      <w:r>
        <w:rPr>
          <w:rFonts w:eastAsia="Calibri"/>
          <w:bCs/>
        </w:rPr>
        <w:t xml:space="preserve">Лилли дель Карибе, Инк., </w:t>
      </w:r>
      <w:r>
        <w:rPr>
          <w:rFonts w:eastAsia="Calibri"/>
          <w:bCs/>
        </w:rPr>
        <w:lastRenderedPageBreak/>
        <w:t>Пуэрто-Рико</w:t>
      </w:r>
      <w:r w:rsidRPr="005F2B08">
        <w:rPr>
          <w:rFonts w:eastAsia="Calibri"/>
          <w:bCs/>
        </w:rPr>
        <w:t xml:space="preserve">; </w:t>
      </w:r>
      <w:r>
        <w:rPr>
          <w:rFonts w:eastAsia="Calibri"/>
          <w:bCs/>
        </w:rPr>
        <w:t>держатель</w:t>
      </w:r>
      <w:r w:rsidRPr="005F2B08">
        <w:rPr>
          <w:rFonts w:eastAsia="Calibri"/>
          <w:bCs/>
        </w:rPr>
        <w:t xml:space="preserve"> РУ: </w:t>
      </w:r>
      <w:r>
        <w:rPr>
          <w:rFonts w:eastAsia="Calibri"/>
          <w:bCs/>
        </w:rPr>
        <w:t>Эли Лилли Восток С.А., Швейцария</w:t>
      </w:r>
      <w:r w:rsidRPr="00A129EA">
        <w:rPr>
          <w:color w:val="000000"/>
        </w:rPr>
        <w:t>)</w:t>
      </w:r>
      <w:r w:rsidRPr="00D03733">
        <w:rPr>
          <w:color w:val="000000"/>
        </w:rPr>
        <w:t>, в открытых источниках не появилось новых данных, изменивших представление о профиле его безопасности, в том числе, не было выявлено каких-либо непредвиденных нежелательных явлений, а полученные данные о частоте и характере нежелательных явлений хорошо согласуются с ранее опубликованными работами.</w:t>
      </w:r>
    </w:p>
    <w:p w14:paraId="1003AB6F" w14:textId="20609EE6" w:rsidR="00B35879" w:rsidRDefault="00D03733" w:rsidP="00D03733">
      <w:pPr>
        <w:pStyle w:val="ab"/>
        <w:shd w:val="clear" w:color="auto" w:fill="FFFFFF"/>
        <w:spacing w:before="0" w:beforeAutospacing="0" w:after="0" w:afterAutospacing="0"/>
        <w:ind w:firstLine="708"/>
        <w:jc w:val="both"/>
        <w:rPr>
          <w:color w:val="000000"/>
        </w:rPr>
      </w:pPr>
      <w:r w:rsidRPr="00D03733">
        <w:rPr>
          <w:color w:val="000000"/>
        </w:rPr>
        <w:t xml:space="preserve">Имеющаяся информация свидетельствует, о том, что оригинальный препарата </w:t>
      </w:r>
      <w:r>
        <w:rPr>
          <w:color w:val="000000"/>
        </w:rPr>
        <w:t>барицитиниба</w:t>
      </w:r>
      <w:r w:rsidRPr="00D03733">
        <w:rPr>
          <w:color w:val="000000"/>
        </w:rPr>
        <w:t xml:space="preserve"> (препарат </w:t>
      </w:r>
      <w:r>
        <w:t>Олумиант</w:t>
      </w:r>
      <w:r w:rsidRPr="00D03733">
        <w:rPr>
          <w:color w:val="000000"/>
          <w:vertAlign w:val="superscript"/>
        </w:rPr>
        <w:t>®</w:t>
      </w:r>
      <w:r w:rsidRPr="00D03733">
        <w:rPr>
          <w:color w:val="000000"/>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2D49660F" w14:textId="58602ED2" w:rsidR="00D03733" w:rsidRPr="00D03733" w:rsidRDefault="002150D3" w:rsidP="00D03733">
      <w:pPr>
        <w:pStyle w:val="ab"/>
        <w:shd w:val="clear" w:color="auto" w:fill="FFFFFF"/>
        <w:spacing w:before="0" w:beforeAutospacing="0" w:after="0" w:afterAutospacing="0"/>
        <w:ind w:firstLine="708"/>
        <w:jc w:val="both"/>
        <w:rPr>
          <w:color w:val="000000"/>
        </w:rPr>
      </w:pPr>
      <w:r>
        <w:rPr>
          <w:lang w:val="en-US"/>
        </w:rPr>
        <w:t>DT</w:t>
      </w:r>
      <w:r w:rsidRPr="00981A5D">
        <w:t>-</w:t>
      </w:r>
      <w:r>
        <w:rPr>
          <w:lang w:val="en-US"/>
        </w:rPr>
        <w:t>BRC</w:t>
      </w:r>
      <w:r>
        <w:t>,</w:t>
      </w:r>
      <w:r w:rsidRPr="006870C6">
        <w:rPr>
          <w:color w:val="000000"/>
        </w:rPr>
        <w:t xml:space="preserve"> </w:t>
      </w:r>
      <w:r w:rsidRPr="007D730B">
        <w:rPr>
          <w:color w:val="000000"/>
        </w:rPr>
        <w:t>таблетки, покрытые пленочной оболочкой</w:t>
      </w:r>
      <w:r>
        <w:rPr>
          <w:color w:val="000000"/>
        </w:rPr>
        <w:t xml:space="preserve"> </w:t>
      </w:r>
      <w:r w:rsidR="00DD1FCF">
        <w:rPr>
          <w:color w:val="000000"/>
        </w:rPr>
        <w:t>–</w:t>
      </w:r>
      <w:r>
        <w:rPr>
          <w:color w:val="000000"/>
        </w:rPr>
        <w:t xml:space="preserve"> </w:t>
      </w:r>
      <w:r w:rsidRPr="007F36C3">
        <w:rPr>
          <w:bCs/>
        </w:rPr>
        <w:t xml:space="preserve">воспроизведенный препарат </w:t>
      </w:r>
      <w:r>
        <w:rPr>
          <w:bCs/>
        </w:rPr>
        <w:t>барицитиниба</w:t>
      </w:r>
      <w:r w:rsidRPr="007F36C3">
        <w:rPr>
          <w:bCs/>
        </w:rPr>
        <w:t>, разработанный дочерним подразделением ГК «Р-Фарм», Россия – ООО «Технология лекарств», по заказу АО «Р-Фарм».</w:t>
      </w:r>
      <w:r w:rsidRPr="00A129EA">
        <w:rPr>
          <w:bCs/>
        </w:rPr>
        <w:t xml:space="preserve"> </w:t>
      </w:r>
      <w:r w:rsidRPr="007D730B">
        <w:rPr>
          <w:color w:val="000000"/>
        </w:rPr>
        <w:t xml:space="preserve">Он полностью соответствует по </w:t>
      </w:r>
      <w:r w:rsidRPr="007D730B">
        <w:t xml:space="preserve">качественному и количественному составу действующего и вспомогательных веществ, лекарственной форме </w:t>
      </w:r>
      <w:r w:rsidRPr="007D730B">
        <w:rPr>
          <w:color w:val="000000"/>
        </w:rPr>
        <w:t xml:space="preserve">(таблетки, покрытые пленочной оболочкой) </w:t>
      </w:r>
      <w:r w:rsidRPr="007D730B">
        <w:t xml:space="preserve">и </w:t>
      </w:r>
      <w:r>
        <w:t>дозировке</w:t>
      </w:r>
      <w:r w:rsidRPr="007D730B">
        <w:t xml:space="preserve"> </w:t>
      </w:r>
      <w:r w:rsidRPr="007D730B">
        <w:rPr>
          <w:color w:val="000000"/>
        </w:rPr>
        <w:t>(4 мг)</w:t>
      </w:r>
      <w:r w:rsidRPr="00A129EA">
        <w:rPr>
          <w:color w:val="000000"/>
        </w:rPr>
        <w:t xml:space="preserve"> референтному препарату </w:t>
      </w:r>
      <w:r>
        <w:t>Олумиант</w:t>
      </w:r>
      <w:r w:rsidRPr="00A129EA">
        <w:rPr>
          <w:vertAlign w:val="superscript"/>
        </w:rPr>
        <w:t>®</w:t>
      </w:r>
      <w:r w:rsidRPr="00A129EA">
        <w:rPr>
          <w:rFonts w:eastAsia="Calibri"/>
        </w:rPr>
        <w:t xml:space="preserve"> </w:t>
      </w:r>
      <w:r w:rsidRPr="00A129EA">
        <w:rPr>
          <w:color w:val="000000"/>
        </w:rPr>
        <w:t>(</w:t>
      </w:r>
      <w:r>
        <w:rPr>
          <w:color w:val="000000"/>
        </w:rPr>
        <w:t xml:space="preserve">производитель </w:t>
      </w:r>
      <w:r>
        <w:rPr>
          <w:rFonts w:eastAsia="Calibri"/>
          <w:bCs/>
        </w:rPr>
        <w:t>Лилли дель Карибе, Инк., Пуэрто-Рико</w:t>
      </w:r>
      <w:r w:rsidRPr="005F2B08">
        <w:rPr>
          <w:rFonts w:eastAsia="Calibri"/>
          <w:bCs/>
        </w:rPr>
        <w:t xml:space="preserve">; </w:t>
      </w:r>
      <w:r>
        <w:rPr>
          <w:rFonts w:eastAsia="Calibri"/>
          <w:bCs/>
        </w:rPr>
        <w:t>держатель</w:t>
      </w:r>
      <w:r w:rsidRPr="005F2B08">
        <w:rPr>
          <w:rFonts w:eastAsia="Calibri"/>
          <w:bCs/>
        </w:rPr>
        <w:t xml:space="preserve"> РУ: </w:t>
      </w:r>
      <w:r>
        <w:rPr>
          <w:rFonts w:eastAsia="Calibri"/>
          <w:bCs/>
        </w:rPr>
        <w:t>Эли Лилли Восток С.А., Швейцария</w:t>
      </w:r>
      <w:r w:rsidRPr="00A129EA">
        <w:rPr>
          <w:color w:val="000000"/>
        </w:rPr>
        <w:t>)</w:t>
      </w:r>
      <w:r>
        <w:rPr>
          <w:color w:val="000000"/>
        </w:rPr>
        <w:t>, имея отличия в количественном и качественном составе оболочки таблетки</w:t>
      </w:r>
      <w:r w:rsidRPr="00A129EA">
        <w:rPr>
          <w:color w:val="000000"/>
        </w:rPr>
        <w:t>.</w:t>
      </w:r>
      <w:r w:rsidRPr="00A129EA">
        <w:t xml:space="preserve"> </w:t>
      </w:r>
      <w:r w:rsidRPr="007F36C3">
        <w:rPr>
          <w:color w:val="000000" w:themeColor="text1"/>
        </w:rPr>
        <w:t xml:space="preserve">Для доказательства эквивалентности препарата </w:t>
      </w:r>
      <w:r>
        <w:rPr>
          <w:bCs/>
          <w:lang w:val="en-US"/>
        </w:rPr>
        <w:t>D</w:t>
      </w:r>
      <w:r>
        <w:rPr>
          <w:lang w:val="en-US"/>
        </w:rPr>
        <w:t>T</w:t>
      </w:r>
      <w:r w:rsidRPr="00CA74B9">
        <w:t>-</w:t>
      </w:r>
      <w:r>
        <w:rPr>
          <w:lang w:val="en-US"/>
        </w:rPr>
        <w:t>BRC</w:t>
      </w:r>
      <w:r w:rsidRPr="007F36C3">
        <w:rPr>
          <w:color w:val="000000" w:themeColor="text1"/>
        </w:rPr>
        <w:t xml:space="preserve"> были проведены исследования сравнительной кинетики растворения в сравнении с референтным препаратом </w:t>
      </w:r>
      <w:r>
        <w:t>Олумиант</w:t>
      </w:r>
      <w:r w:rsidRPr="00D67EF0">
        <w:rPr>
          <w:vertAlign w:val="superscript"/>
        </w:rPr>
        <w:t>®</w:t>
      </w:r>
      <w:r>
        <w:rPr>
          <w:rFonts w:eastAsia="Calibri"/>
        </w:rPr>
        <w:t xml:space="preserve"> </w:t>
      </w:r>
      <w:r w:rsidRPr="006B2500">
        <w:rPr>
          <w:color w:val="000000"/>
        </w:rPr>
        <w:t>(</w:t>
      </w:r>
      <w:r>
        <w:rPr>
          <w:rFonts w:eastAsia="Calibri"/>
          <w:bCs/>
        </w:rPr>
        <w:t>Эли Лилли Восток С.А., Швейцария</w:t>
      </w:r>
      <w:r>
        <w:rPr>
          <w:color w:val="000000"/>
        </w:rPr>
        <w:t>)</w:t>
      </w:r>
      <w:r w:rsidRPr="007F36C3">
        <w:rPr>
          <w:rFonts w:eastAsiaTheme="minorHAnsi"/>
          <w:color w:val="000000" w:themeColor="text1"/>
          <w:lang w:eastAsia="en-US"/>
        </w:rPr>
        <w:t xml:space="preserve"> в дозировке </w:t>
      </w:r>
      <w:r>
        <w:rPr>
          <w:rFonts w:eastAsiaTheme="minorHAnsi"/>
          <w:color w:val="000000" w:themeColor="text1"/>
          <w:lang w:eastAsia="en-US"/>
        </w:rPr>
        <w:t>4</w:t>
      </w:r>
      <w:r w:rsidRPr="007F36C3">
        <w:rPr>
          <w:rFonts w:eastAsiaTheme="minorHAnsi"/>
          <w:color w:val="000000" w:themeColor="text1"/>
          <w:lang w:eastAsia="en-US"/>
        </w:rPr>
        <w:t xml:space="preserve"> мг </w:t>
      </w:r>
      <w:r w:rsidRPr="007F36C3">
        <w:rPr>
          <w:color w:val="000000" w:themeColor="text1"/>
        </w:rPr>
        <w:t xml:space="preserve">(в </w:t>
      </w:r>
      <w:r>
        <w:rPr>
          <w:color w:val="000000" w:themeColor="text1"/>
        </w:rPr>
        <w:t>двух</w:t>
      </w:r>
      <w:r w:rsidRPr="007F36C3">
        <w:rPr>
          <w:color w:val="000000" w:themeColor="text1"/>
        </w:rPr>
        <w:t xml:space="preserve"> модельных средах</w:t>
      </w:r>
      <w:r w:rsidRPr="00D547D7">
        <w:rPr>
          <w:color w:val="000000" w:themeColor="text1"/>
        </w:rPr>
        <w:t xml:space="preserve">: </w:t>
      </w:r>
      <w:r>
        <w:rPr>
          <w:spacing w:val="-4"/>
        </w:rPr>
        <w:t>буферных растворах</w:t>
      </w:r>
      <w:r w:rsidRPr="007F36C3">
        <w:rPr>
          <w:color w:val="000000" w:themeColor="text1"/>
        </w:rPr>
        <w:t xml:space="preserve"> с рН </w:t>
      </w:r>
      <w:r>
        <w:rPr>
          <w:color w:val="000000" w:themeColor="text1"/>
        </w:rPr>
        <w:t>1,2 и</w:t>
      </w:r>
      <w:r w:rsidRPr="007F36C3">
        <w:rPr>
          <w:color w:val="000000" w:themeColor="text1"/>
        </w:rPr>
        <w:t xml:space="preserve"> 6,8, а также в среде по НД (</w:t>
      </w:r>
      <w:r w:rsidRPr="000D6517">
        <w:rPr>
          <w:color w:val="000000" w:themeColor="text1"/>
        </w:rPr>
        <w:t>ацетатный буферный раствор рН 4,5</w:t>
      </w:r>
      <w:r w:rsidRPr="007F36C3">
        <w:rPr>
          <w:color w:val="000000" w:themeColor="text1"/>
        </w:rPr>
        <w:t xml:space="preserve">). Согласно полученным данным, кинетика растворения </w:t>
      </w:r>
      <w:r>
        <w:rPr>
          <w:bCs/>
          <w:lang w:val="en-US"/>
        </w:rPr>
        <w:t>D</w:t>
      </w:r>
      <w:r>
        <w:rPr>
          <w:lang w:val="en-US"/>
        </w:rPr>
        <w:t>T</w:t>
      </w:r>
      <w:r w:rsidRPr="00CA74B9">
        <w:t>-</w:t>
      </w:r>
      <w:r w:rsidRPr="002D255B">
        <w:t xml:space="preserve"> </w:t>
      </w:r>
      <w:r>
        <w:rPr>
          <w:lang w:val="en-US"/>
        </w:rPr>
        <w:t>BRC</w:t>
      </w:r>
      <w:r w:rsidRPr="007F36C3">
        <w:rPr>
          <w:color w:val="000000" w:themeColor="text1"/>
        </w:rPr>
        <w:t xml:space="preserve"> эквивалентна кинетике растворения референтного препарата </w:t>
      </w:r>
      <w:r>
        <w:t>Олумиант</w:t>
      </w:r>
      <w:r w:rsidRPr="00D67EF0">
        <w:rPr>
          <w:vertAlign w:val="superscript"/>
        </w:rPr>
        <w:t>®</w:t>
      </w:r>
      <w:r>
        <w:rPr>
          <w:rFonts w:eastAsia="Calibri"/>
        </w:rPr>
        <w:t xml:space="preserve">, </w:t>
      </w:r>
      <w:r w:rsidRPr="007F36C3">
        <w:rPr>
          <w:color w:val="000000" w:themeColor="text1"/>
        </w:rPr>
        <w:t>что позволяет предполагать также эквивалентность фармакологи</w:t>
      </w:r>
      <w:r>
        <w:rPr>
          <w:color w:val="000000" w:themeColor="text1"/>
        </w:rPr>
        <w:t>ческих свойств обоих препаратов</w:t>
      </w:r>
      <w:r w:rsidR="00D03733" w:rsidRPr="00D03733">
        <w:rPr>
          <w:color w:val="000000"/>
        </w:rPr>
        <w:t>.</w:t>
      </w:r>
    </w:p>
    <w:p w14:paraId="1D8D45A7" w14:textId="1A9D1C75" w:rsidR="00D03733" w:rsidRDefault="00D03733" w:rsidP="00D03733">
      <w:pPr>
        <w:pStyle w:val="ab"/>
        <w:shd w:val="clear" w:color="auto" w:fill="FFFFFF"/>
        <w:spacing w:before="0" w:beforeAutospacing="0" w:after="0" w:afterAutospacing="0"/>
        <w:ind w:firstLine="708"/>
        <w:jc w:val="both"/>
        <w:rPr>
          <w:color w:val="000000"/>
          <w:highlight w:val="yellow"/>
        </w:rPr>
      </w:pPr>
      <w:r w:rsidRPr="00D03733">
        <w:rPr>
          <w:color w:val="000000"/>
        </w:rPr>
        <w:t xml:space="preserve">Внедрение в клиническую практику нового воспроизведенного препарата </w:t>
      </w:r>
      <w:r>
        <w:rPr>
          <w:color w:val="000000"/>
        </w:rPr>
        <w:t>барицитиниба</w:t>
      </w:r>
      <w:r w:rsidRPr="00D03733">
        <w:rPr>
          <w:color w:val="000000"/>
        </w:rPr>
        <w:t xml:space="preserve"> позволит снизить цену современной терапии </w:t>
      </w:r>
      <w:r>
        <w:rPr>
          <w:color w:val="000000"/>
        </w:rPr>
        <w:t xml:space="preserve">ревматоидного артрита, очаговой алопеции, атопического дерматита и </w:t>
      </w:r>
      <w:r>
        <w:rPr>
          <w:color w:val="000000"/>
          <w:lang w:val="en-US"/>
        </w:rPr>
        <w:t>COVID</w:t>
      </w:r>
      <w:r w:rsidRPr="00D03733">
        <w:rPr>
          <w:color w:val="000000"/>
        </w:rPr>
        <w:t>-19</w:t>
      </w:r>
      <w:r>
        <w:rPr>
          <w:color w:val="000000"/>
        </w:rPr>
        <w:t xml:space="preserve"> </w:t>
      </w:r>
      <w:r w:rsidRPr="00D03733">
        <w:rPr>
          <w:color w:val="000000"/>
        </w:rPr>
        <w:t>и повысить её доступность.</w:t>
      </w:r>
    </w:p>
    <w:p w14:paraId="0BA20E9F" w14:textId="77777777" w:rsidR="00BC7E97" w:rsidRDefault="00BC7E97" w:rsidP="00D03733">
      <w:pPr>
        <w:spacing w:after="0" w:line="240" w:lineRule="auto"/>
        <w:rPr>
          <w:color w:val="000000"/>
        </w:rPr>
      </w:pPr>
    </w:p>
    <w:sectPr w:rsidR="00BC7E97" w:rsidSect="00AB01E2">
      <w:pgSz w:w="11906" w:h="16838"/>
      <w:pgMar w:top="1134" w:right="849" w:bottom="1134" w:left="1701" w:header="708"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859E" w16cex:dateUtc="2022-11-28T16:08:00Z"/>
  <w16cex:commentExtensible w16cex:durableId="272F85AE" w16cex:dateUtc="2022-11-28T16:08:00Z"/>
  <w16cex:commentExtensible w16cex:durableId="272F8A5A" w16cex:dateUtc="2022-11-28T16:28:00Z"/>
  <w16cex:commentExtensible w16cex:durableId="272F8E06" w16cex:dateUtc="2022-11-28T16:44:00Z"/>
  <w16cex:commentExtensible w16cex:durableId="272F8F3F" w16cex:dateUtc="2022-11-28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34FF95" w16cid:durableId="272F57F1"/>
  <w16cid:commentId w16cid:paraId="7D7B6227" w16cid:durableId="272F859E"/>
  <w16cid:commentId w16cid:paraId="34191BB9" w16cid:durableId="272F85AE"/>
  <w16cid:commentId w16cid:paraId="29C42ED7" w16cid:durableId="272F57F2"/>
  <w16cid:commentId w16cid:paraId="4AC5E09C" w16cid:durableId="272F57F3"/>
  <w16cid:commentId w16cid:paraId="7C2F47C0" w16cid:durableId="272F57F4"/>
  <w16cid:commentId w16cid:paraId="60D20A04" w16cid:durableId="272F8A5A"/>
  <w16cid:commentId w16cid:paraId="02E57A3A" w16cid:durableId="272F8E06"/>
  <w16cid:commentId w16cid:paraId="36F7F8A1" w16cid:durableId="272F8F3F"/>
  <w16cid:commentId w16cid:paraId="2BD80B5A" w16cid:durableId="272F57F5"/>
  <w16cid:commentId w16cid:paraId="21974A4C" w16cid:durableId="272F57F6"/>
  <w16cid:commentId w16cid:paraId="6F4957DD" w16cid:durableId="272F57F7"/>
  <w16cid:commentId w16cid:paraId="57B777D9" w16cid:durableId="272F57F8"/>
  <w16cid:commentId w16cid:paraId="4E7DE3CF" w16cid:durableId="272F57F9"/>
  <w16cid:commentId w16cid:paraId="28225D00" w16cid:durableId="272F57FA"/>
  <w16cid:commentId w16cid:paraId="4AB0BFF5" w16cid:durableId="272F57FB"/>
  <w16cid:commentId w16cid:paraId="24366A68" w16cid:durableId="272F57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C0F66" w14:textId="77777777" w:rsidR="00954DDF" w:rsidRDefault="00954DDF" w:rsidP="00E30437">
      <w:pPr>
        <w:spacing w:line="240" w:lineRule="auto"/>
      </w:pPr>
      <w:r>
        <w:separator/>
      </w:r>
    </w:p>
  </w:endnote>
  <w:endnote w:type="continuationSeparator" w:id="0">
    <w:p w14:paraId="5EEFDA1B" w14:textId="77777777" w:rsidR="00954DDF" w:rsidRDefault="00954DDF"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MT">
    <w:altName w:val="MS Gothic"/>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1"/>
    <w:family w:val="auto"/>
    <w:notTrueType/>
    <w:pitch w:val="default"/>
    <w:sig w:usb0="00000000"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EF16" w14:textId="77777777" w:rsidR="00615932" w:rsidRPr="00AB01E2" w:rsidRDefault="00615932" w:rsidP="00BF01A9">
    <w:pPr>
      <w:spacing w:after="0"/>
      <w:rPr>
        <w:sz w:val="20"/>
      </w:rPr>
    </w:pPr>
  </w:p>
  <w:tbl>
    <w:tblPr>
      <w:tblW w:w="9498" w:type="dxa"/>
      <w:tblInd w:w="-34" w:type="dxa"/>
      <w:tblLook w:val="04A0" w:firstRow="1" w:lastRow="0" w:firstColumn="1" w:lastColumn="0" w:noHBand="0" w:noVBand="1"/>
    </w:tblPr>
    <w:tblGrid>
      <w:gridCol w:w="3261"/>
      <w:gridCol w:w="3544"/>
      <w:gridCol w:w="2693"/>
    </w:tblGrid>
    <w:tr w:rsidR="00615932" w:rsidRPr="00A624A0" w14:paraId="48E32660" w14:textId="77777777" w:rsidTr="00AB1FF1">
      <w:tc>
        <w:tcPr>
          <w:tcW w:w="3261" w:type="dxa"/>
          <w:hideMark/>
        </w:tcPr>
        <w:p w14:paraId="6463542A" w14:textId="77777777" w:rsidR="00615932" w:rsidRPr="006A403D" w:rsidRDefault="00615932" w:rsidP="006A403D">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51A0CE56" w14:textId="7A9EC152" w:rsidR="00615932" w:rsidRPr="000F2FF3" w:rsidRDefault="00615932" w:rsidP="008B0D58">
          <w:pPr>
            <w:tabs>
              <w:tab w:val="center" w:pos="4395"/>
              <w:tab w:val="right" w:pos="9355"/>
            </w:tabs>
            <w:spacing w:after="0" w:line="240" w:lineRule="auto"/>
            <w:ind w:left="34"/>
            <w:jc w:val="center"/>
            <w:rPr>
              <w:rFonts w:eastAsia="Times New Roman"/>
              <w:lang w:eastAsia="en-US"/>
            </w:rPr>
          </w:pPr>
          <w:r w:rsidRPr="000F2FF3">
            <w:rPr>
              <w:rFonts w:eastAsia="Times New Roman"/>
              <w:lang w:eastAsia="en-US"/>
            </w:rPr>
            <w:t xml:space="preserve">Версия 1.0 от </w:t>
          </w:r>
          <w:r w:rsidR="000F2FF3" w:rsidRPr="000F2FF3">
            <w:rPr>
              <w:rFonts w:eastAsia="Times New Roman"/>
              <w:lang w:eastAsia="en-US"/>
            </w:rPr>
            <w:t>30</w:t>
          </w:r>
          <w:r w:rsidRPr="000F2FF3">
            <w:rPr>
              <w:rFonts w:eastAsia="Times New Roman"/>
              <w:lang w:eastAsia="en-US"/>
            </w:rPr>
            <w:t>-ноя-2022 г.</w:t>
          </w:r>
        </w:p>
      </w:tc>
      <w:tc>
        <w:tcPr>
          <w:tcW w:w="2693" w:type="dxa"/>
          <w:hideMark/>
        </w:tcPr>
        <w:p w14:paraId="2118A0F2" w14:textId="40AA8189" w:rsidR="00615932" w:rsidRPr="000F2FF3" w:rsidRDefault="00615932" w:rsidP="006A403D">
          <w:pPr>
            <w:tabs>
              <w:tab w:val="center" w:pos="4395"/>
              <w:tab w:val="right" w:pos="9355"/>
            </w:tabs>
            <w:spacing w:after="0" w:line="240" w:lineRule="auto"/>
            <w:ind w:left="129" w:right="-108"/>
            <w:jc w:val="right"/>
            <w:rPr>
              <w:rFonts w:eastAsia="Times New Roman"/>
              <w:lang w:eastAsia="en-US"/>
            </w:rPr>
          </w:pPr>
          <w:r w:rsidRPr="000F2FF3">
            <w:rPr>
              <w:rFonts w:eastAsia="Times New Roman"/>
              <w:lang w:eastAsia="en-US"/>
            </w:rPr>
            <w:t xml:space="preserve">Страница </w:t>
          </w:r>
          <w:r w:rsidRPr="000F2FF3">
            <w:rPr>
              <w:rFonts w:eastAsia="Times New Roman"/>
              <w:lang w:eastAsia="en-US"/>
            </w:rPr>
            <w:fldChar w:fldCharType="begin"/>
          </w:r>
          <w:r w:rsidRPr="000F2FF3">
            <w:rPr>
              <w:rFonts w:eastAsia="Times New Roman"/>
              <w:lang w:eastAsia="en-US"/>
            </w:rPr>
            <w:instrText>PAGE  \* Arabic  \* MERGEFORMAT</w:instrText>
          </w:r>
          <w:r w:rsidRPr="000F2FF3">
            <w:rPr>
              <w:rFonts w:eastAsia="Times New Roman"/>
              <w:lang w:eastAsia="en-US"/>
            </w:rPr>
            <w:fldChar w:fldCharType="separate"/>
          </w:r>
          <w:r w:rsidR="0029110D">
            <w:rPr>
              <w:rFonts w:eastAsia="Times New Roman"/>
              <w:noProof/>
              <w:lang w:eastAsia="en-US"/>
            </w:rPr>
            <w:t>2</w:t>
          </w:r>
          <w:r w:rsidRPr="000F2FF3">
            <w:rPr>
              <w:rFonts w:eastAsia="Times New Roman"/>
              <w:lang w:eastAsia="en-US"/>
            </w:rPr>
            <w:fldChar w:fldCharType="end"/>
          </w:r>
          <w:r w:rsidRPr="000F2FF3">
            <w:rPr>
              <w:rFonts w:eastAsia="Times New Roman"/>
              <w:lang w:eastAsia="en-US"/>
            </w:rPr>
            <w:t xml:space="preserve"> из </w:t>
          </w:r>
          <w:r w:rsidRPr="000F2FF3">
            <w:rPr>
              <w:rFonts w:eastAsia="Times New Roman"/>
              <w:lang w:eastAsia="en-US"/>
            </w:rPr>
            <w:fldChar w:fldCharType="begin"/>
          </w:r>
          <w:r w:rsidRPr="000F2FF3">
            <w:rPr>
              <w:rFonts w:eastAsia="Times New Roman"/>
              <w:lang w:eastAsia="en-US"/>
            </w:rPr>
            <w:instrText>NUMPAGES  \* Arabic  \* MERGEFORMAT</w:instrText>
          </w:r>
          <w:r w:rsidRPr="000F2FF3">
            <w:rPr>
              <w:rFonts w:eastAsia="Times New Roman"/>
              <w:lang w:eastAsia="en-US"/>
            </w:rPr>
            <w:fldChar w:fldCharType="separate"/>
          </w:r>
          <w:r w:rsidR="0029110D">
            <w:rPr>
              <w:rFonts w:eastAsia="Times New Roman"/>
              <w:noProof/>
              <w:lang w:eastAsia="en-US"/>
            </w:rPr>
            <w:t>133</w:t>
          </w:r>
          <w:r w:rsidRPr="000F2FF3">
            <w:rPr>
              <w:rFonts w:eastAsia="Times New Roman"/>
              <w:lang w:eastAsia="en-US"/>
            </w:rPr>
            <w:fldChar w:fldCharType="end"/>
          </w:r>
        </w:p>
      </w:tc>
    </w:tr>
  </w:tbl>
  <w:p w14:paraId="09E6F73C" w14:textId="77777777" w:rsidR="00615932" w:rsidRPr="000F2FF3" w:rsidRDefault="00615932" w:rsidP="00AB01E2">
    <w:pPr>
      <w:pStyle w:val="a6"/>
      <w:tabs>
        <w:tab w:val="left" w:pos="2268"/>
      </w:tabs>
      <w:spacing w:after="0" w:line="240"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41AD3" w14:textId="77777777" w:rsidR="00954DDF" w:rsidRDefault="00954DDF" w:rsidP="00E30437">
      <w:pPr>
        <w:spacing w:line="240" w:lineRule="auto"/>
      </w:pPr>
      <w:r>
        <w:separator/>
      </w:r>
    </w:p>
  </w:footnote>
  <w:footnote w:type="continuationSeparator" w:id="0">
    <w:p w14:paraId="056FD47D" w14:textId="77777777" w:rsidR="00954DDF" w:rsidRDefault="00954DDF" w:rsidP="00E30437">
      <w:pPr>
        <w:spacing w:line="240" w:lineRule="auto"/>
      </w:pPr>
      <w:r>
        <w:continuationSeparator/>
      </w:r>
    </w:p>
  </w:footnote>
  <w:footnote w:id="1">
    <w:p w14:paraId="05DCD6AA" w14:textId="5006191A" w:rsidR="00615932" w:rsidRPr="00512340" w:rsidRDefault="00615932" w:rsidP="00AB1FF1">
      <w:pPr>
        <w:spacing w:after="100" w:afterAutospacing="1" w:line="240" w:lineRule="auto"/>
      </w:pPr>
      <w:r w:rsidRPr="00FA040A">
        <w:rPr>
          <w:rStyle w:val="af"/>
          <w:sz w:val="20"/>
          <w:szCs w:val="20"/>
        </w:rPr>
        <w:footnoteRef/>
      </w:r>
      <w:r w:rsidRPr="00FA040A">
        <w:rPr>
          <w:sz w:val="20"/>
          <w:szCs w:val="20"/>
          <w:lang w:val="en-US"/>
        </w:rPr>
        <w:t xml:space="preserve"> </w:t>
      </w:r>
      <w:r w:rsidRPr="00512340">
        <w:rPr>
          <w:sz w:val="20"/>
          <w:szCs w:val="20"/>
          <w:lang w:val="en-US"/>
        </w:rPr>
        <w:t>Shi, Jack G.; Chen, Xuejun; Lee, Fiona; Emm, Thomas; Scherle, Peggy A.; Lo, Yvonne; Punwani, Naresh; Williams, William V.; Yeleswaram, Swamy (2014). The pharmacokinetics, pharmacodynamics, and safety of baricitinib, an oral JAK 1/2 inhibitor, in healthy volunteers. The Journal of Clinical Pharmacology, 54(12), 1354–1361. doi:10.1002/jcph.354</w:t>
      </w:r>
      <w:r w:rsidRPr="001D1389">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34" w:type="dxa"/>
      <w:tblLook w:val="04A0" w:firstRow="1" w:lastRow="0" w:firstColumn="1" w:lastColumn="0" w:noHBand="0" w:noVBand="1"/>
    </w:tblPr>
    <w:tblGrid>
      <w:gridCol w:w="4564"/>
      <w:gridCol w:w="5076"/>
    </w:tblGrid>
    <w:tr w:rsidR="00615932" w:rsidRPr="008C1807" w14:paraId="2042EAC4" w14:textId="77777777" w:rsidTr="00AB1FF1">
      <w:tc>
        <w:tcPr>
          <w:tcW w:w="4564" w:type="dxa"/>
          <w:vAlign w:val="bottom"/>
          <w:hideMark/>
        </w:tcPr>
        <w:p w14:paraId="7C3DA670" w14:textId="77777777" w:rsidR="00615932" w:rsidRPr="008C1807" w:rsidRDefault="00615932" w:rsidP="00AB1FF1">
          <w:pPr>
            <w:tabs>
              <w:tab w:val="center" w:pos="4677"/>
              <w:tab w:val="right" w:pos="9355"/>
            </w:tabs>
            <w:spacing w:after="0" w:line="240" w:lineRule="auto"/>
            <w:jc w:val="left"/>
            <w:rPr>
              <w:rFonts w:eastAsia="Times New Roman"/>
              <w:lang w:eastAsia="en-US"/>
            </w:rPr>
          </w:pPr>
          <w:r w:rsidRPr="008C1807">
            <w:rPr>
              <w:rFonts w:eastAsia="Times New Roman"/>
              <w:szCs w:val="22"/>
              <w:lang w:eastAsia="en-US"/>
            </w:rPr>
            <w:t>Брошюра исследователя</w:t>
          </w:r>
        </w:p>
        <w:p w14:paraId="45362A50" w14:textId="263BD797" w:rsidR="00615932" w:rsidRDefault="00615932" w:rsidP="00AB1FF1">
          <w:pPr>
            <w:tabs>
              <w:tab w:val="center" w:pos="4677"/>
              <w:tab w:val="right" w:pos="9355"/>
            </w:tabs>
            <w:spacing w:after="0" w:line="240" w:lineRule="auto"/>
            <w:jc w:val="left"/>
          </w:pPr>
          <w:r w:rsidRPr="008C1807">
            <w:rPr>
              <w:rFonts w:eastAsia="Times New Roman"/>
              <w:lang w:eastAsia="en-US"/>
            </w:rPr>
            <w:t xml:space="preserve">Номер протокола: </w:t>
          </w:r>
          <w:r w:rsidRPr="00981A5D">
            <w:t>CL041048154</w:t>
          </w:r>
        </w:p>
        <w:p w14:paraId="1A5208CD" w14:textId="3597FC0F" w:rsidR="00615932" w:rsidRPr="008F28F6" w:rsidRDefault="00615932" w:rsidP="00AB1FF1">
          <w:pPr>
            <w:tabs>
              <w:tab w:val="center" w:pos="4677"/>
              <w:tab w:val="right" w:pos="9355"/>
            </w:tabs>
            <w:spacing w:after="0" w:line="240" w:lineRule="auto"/>
            <w:jc w:val="left"/>
            <w:rPr>
              <w:rFonts w:eastAsia="Times New Roman"/>
              <w:lang w:eastAsia="en-US"/>
            </w:rPr>
          </w:pPr>
          <w:r>
            <w:t>Спонсор: АО «Р-Фарм»</w:t>
          </w:r>
          <w:r w:rsidR="008F28F6" w:rsidRPr="00AB1FF1">
            <w:t xml:space="preserve">, </w:t>
          </w:r>
          <w:r w:rsidR="008F28F6">
            <w:t>Россия</w:t>
          </w:r>
        </w:p>
      </w:tc>
      <w:tc>
        <w:tcPr>
          <w:tcW w:w="5076" w:type="dxa"/>
          <w:hideMark/>
        </w:tcPr>
        <w:p w14:paraId="582861F5" w14:textId="77777777" w:rsidR="00615932" w:rsidRPr="008C1807" w:rsidRDefault="00615932" w:rsidP="000108BC">
          <w:pPr>
            <w:tabs>
              <w:tab w:val="center" w:pos="4677"/>
              <w:tab w:val="right" w:pos="9355"/>
            </w:tabs>
            <w:spacing w:after="0" w:line="240" w:lineRule="auto"/>
            <w:jc w:val="right"/>
            <w:rPr>
              <w:rFonts w:eastAsia="Times New Roman"/>
              <w:lang w:eastAsia="en-US"/>
            </w:rPr>
          </w:pPr>
          <w:r w:rsidRPr="00EC20DD">
            <w:rPr>
              <w:noProof/>
              <w:lang w:eastAsia="ru-RU"/>
            </w:rPr>
            <w:drawing>
              <wp:inline distT="0" distB="0" distL="0" distR="0" wp14:anchorId="62C95007" wp14:editId="601006DD">
                <wp:extent cx="683260" cy="683260"/>
                <wp:effectExtent l="0" t="0" r="2540" b="2540"/>
                <wp:docPr id="16"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2353739" w14:textId="77777777" w:rsidR="00615932" w:rsidRPr="00AB01E2" w:rsidRDefault="00615932" w:rsidP="00A26EEC">
    <w:pPr>
      <w:tabs>
        <w:tab w:val="center" w:pos="4677"/>
        <w:tab w:val="right" w:pos="9355"/>
      </w:tabs>
      <w:spacing w:after="0" w:line="240"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F4CD" w14:textId="77777777" w:rsidR="00615932" w:rsidRDefault="00615932" w:rsidP="008A1A8F">
    <w:pPr>
      <w:pStyle w:val="a4"/>
      <w:jc w:val="left"/>
    </w:pPr>
    <w:r>
      <w:rPr>
        <w:noProof/>
        <w:lang w:eastAsia="ru-RU"/>
      </w:rPr>
      <w:drawing>
        <wp:anchor distT="0" distB="0" distL="114300" distR="114300" simplePos="0" relativeHeight="251660800"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19" name="Рисунок 1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27D1381D" w14:textId="77777777" w:rsidR="00615932" w:rsidRDefault="00615932">
    <w:pPr>
      <w:pStyle w:val="a4"/>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B99"/>
    <w:multiLevelType w:val="hybridMultilevel"/>
    <w:tmpl w:val="33C210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3F32D3A"/>
    <w:multiLevelType w:val="hybridMultilevel"/>
    <w:tmpl w:val="AD9E1A36"/>
    <w:lvl w:ilvl="0" w:tplc="041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45C7FD7"/>
    <w:multiLevelType w:val="hybridMultilevel"/>
    <w:tmpl w:val="7F9CFA7A"/>
    <w:lvl w:ilvl="0" w:tplc="130AB6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DB1A79"/>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871FF"/>
    <w:multiLevelType w:val="hybridMultilevel"/>
    <w:tmpl w:val="43D6EE7E"/>
    <w:lvl w:ilvl="0" w:tplc="0419000F">
      <w:start w:val="1"/>
      <w:numFmt w:val="decimal"/>
      <w:lvlText w:val="%1."/>
      <w:lvlJc w:val="left"/>
      <w:pPr>
        <w:tabs>
          <w:tab w:val="num" w:pos="720"/>
        </w:tabs>
        <w:ind w:left="720" w:hanging="360"/>
      </w:p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0466E2"/>
    <w:multiLevelType w:val="hybridMultilevel"/>
    <w:tmpl w:val="6AC43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512E06"/>
    <w:multiLevelType w:val="hybridMultilevel"/>
    <w:tmpl w:val="BF3E3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D2005C"/>
    <w:multiLevelType w:val="hybridMultilevel"/>
    <w:tmpl w:val="CC5A53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6444B0"/>
    <w:multiLevelType w:val="hybridMultilevel"/>
    <w:tmpl w:val="090E9FD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95079F"/>
    <w:multiLevelType w:val="multilevel"/>
    <w:tmpl w:val="097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40176"/>
    <w:multiLevelType w:val="multilevel"/>
    <w:tmpl w:val="A9E42430"/>
    <w:lvl w:ilvl="0">
      <w:start w:val="1"/>
      <w:numFmt w:val="bullet"/>
      <w:lvlText w:val=""/>
      <w:lvlJc w:val="left"/>
      <w:pPr>
        <w:ind w:left="720" w:hanging="360"/>
      </w:pPr>
      <w:rPr>
        <w:rFonts w:ascii="Symbol" w:hAnsi="Symbol"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5F08FB"/>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227937"/>
    <w:multiLevelType w:val="hybridMultilevel"/>
    <w:tmpl w:val="2B8AC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D711D7"/>
    <w:multiLevelType w:val="hybridMultilevel"/>
    <w:tmpl w:val="DE7263D0"/>
    <w:lvl w:ilvl="0" w:tplc="04190001">
      <w:start w:val="1"/>
      <w:numFmt w:val="bullet"/>
      <w:lvlText w:val=""/>
      <w:lvlJc w:val="left"/>
      <w:pPr>
        <w:ind w:left="2125" w:hanging="360"/>
      </w:pPr>
      <w:rPr>
        <w:rFonts w:ascii="Symbol" w:hAnsi="Symbol" w:hint="default"/>
      </w:rPr>
    </w:lvl>
    <w:lvl w:ilvl="1" w:tplc="04190003" w:tentative="1">
      <w:start w:val="1"/>
      <w:numFmt w:val="bullet"/>
      <w:lvlText w:val="o"/>
      <w:lvlJc w:val="left"/>
      <w:pPr>
        <w:ind w:left="2845" w:hanging="360"/>
      </w:pPr>
      <w:rPr>
        <w:rFonts w:ascii="Courier New" w:hAnsi="Courier New" w:cs="Courier New" w:hint="default"/>
      </w:rPr>
    </w:lvl>
    <w:lvl w:ilvl="2" w:tplc="04190005" w:tentative="1">
      <w:start w:val="1"/>
      <w:numFmt w:val="bullet"/>
      <w:lvlText w:val=""/>
      <w:lvlJc w:val="left"/>
      <w:pPr>
        <w:ind w:left="3565" w:hanging="360"/>
      </w:pPr>
      <w:rPr>
        <w:rFonts w:ascii="Wingdings" w:hAnsi="Wingdings" w:hint="default"/>
      </w:rPr>
    </w:lvl>
    <w:lvl w:ilvl="3" w:tplc="04190001" w:tentative="1">
      <w:start w:val="1"/>
      <w:numFmt w:val="bullet"/>
      <w:lvlText w:val=""/>
      <w:lvlJc w:val="left"/>
      <w:pPr>
        <w:ind w:left="4285" w:hanging="360"/>
      </w:pPr>
      <w:rPr>
        <w:rFonts w:ascii="Symbol" w:hAnsi="Symbol" w:hint="default"/>
      </w:rPr>
    </w:lvl>
    <w:lvl w:ilvl="4" w:tplc="04190003" w:tentative="1">
      <w:start w:val="1"/>
      <w:numFmt w:val="bullet"/>
      <w:lvlText w:val="o"/>
      <w:lvlJc w:val="left"/>
      <w:pPr>
        <w:ind w:left="5005" w:hanging="360"/>
      </w:pPr>
      <w:rPr>
        <w:rFonts w:ascii="Courier New" w:hAnsi="Courier New" w:cs="Courier New" w:hint="default"/>
      </w:rPr>
    </w:lvl>
    <w:lvl w:ilvl="5" w:tplc="04190005" w:tentative="1">
      <w:start w:val="1"/>
      <w:numFmt w:val="bullet"/>
      <w:lvlText w:val=""/>
      <w:lvlJc w:val="left"/>
      <w:pPr>
        <w:ind w:left="5725" w:hanging="360"/>
      </w:pPr>
      <w:rPr>
        <w:rFonts w:ascii="Wingdings" w:hAnsi="Wingdings" w:hint="default"/>
      </w:rPr>
    </w:lvl>
    <w:lvl w:ilvl="6" w:tplc="04190001" w:tentative="1">
      <w:start w:val="1"/>
      <w:numFmt w:val="bullet"/>
      <w:lvlText w:val=""/>
      <w:lvlJc w:val="left"/>
      <w:pPr>
        <w:ind w:left="6445" w:hanging="360"/>
      </w:pPr>
      <w:rPr>
        <w:rFonts w:ascii="Symbol" w:hAnsi="Symbol" w:hint="default"/>
      </w:rPr>
    </w:lvl>
    <w:lvl w:ilvl="7" w:tplc="04190003" w:tentative="1">
      <w:start w:val="1"/>
      <w:numFmt w:val="bullet"/>
      <w:lvlText w:val="o"/>
      <w:lvlJc w:val="left"/>
      <w:pPr>
        <w:ind w:left="7165" w:hanging="360"/>
      </w:pPr>
      <w:rPr>
        <w:rFonts w:ascii="Courier New" w:hAnsi="Courier New" w:cs="Courier New" w:hint="default"/>
      </w:rPr>
    </w:lvl>
    <w:lvl w:ilvl="8" w:tplc="04190005" w:tentative="1">
      <w:start w:val="1"/>
      <w:numFmt w:val="bullet"/>
      <w:lvlText w:val=""/>
      <w:lvlJc w:val="left"/>
      <w:pPr>
        <w:ind w:left="7885" w:hanging="360"/>
      </w:pPr>
      <w:rPr>
        <w:rFonts w:ascii="Wingdings" w:hAnsi="Wingdings" w:hint="default"/>
      </w:rPr>
    </w:lvl>
  </w:abstractNum>
  <w:abstractNum w:abstractNumId="15" w15:restartNumberingAfterBreak="0">
    <w:nsid w:val="22DD3F40"/>
    <w:multiLevelType w:val="hybridMultilevel"/>
    <w:tmpl w:val="2962D892"/>
    <w:lvl w:ilvl="0" w:tplc="406E26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5AC619D"/>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F579A"/>
    <w:multiLevelType w:val="hybridMultilevel"/>
    <w:tmpl w:val="54804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025839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6441729"/>
    <w:multiLevelType w:val="hybridMultilevel"/>
    <w:tmpl w:val="4EB4CF2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64A0573"/>
    <w:multiLevelType w:val="hybridMultilevel"/>
    <w:tmpl w:val="8E14F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F767C0"/>
    <w:multiLevelType w:val="hybridMultilevel"/>
    <w:tmpl w:val="F5B26D16"/>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3C8C7D8A"/>
    <w:multiLevelType w:val="hybridMultilevel"/>
    <w:tmpl w:val="F440C0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3F1A05BF"/>
    <w:multiLevelType w:val="hybridMultilevel"/>
    <w:tmpl w:val="26B2F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A30DC3"/>
    <w:multiLevelType w:val="hybridMultilevel"/>
    <w:tmpl w:val="45460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CF03F5"/>
    <w:multiLevelType w:val="hybridMultilevel"/>
    <w:tmpl w:val="FCA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15:restartNumberingAfterBreak="0">
    <w:nsid w:val="499F29CE"/>
    <w:multiLevelType w:val="hybridMultilevel"/>
    <w:tmpl w:val="E9FE7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0EE78AD"/>
    <w:multiLevelType w:val="hybridMultilevel"/>
    <w:tmpl w:val="ACF6D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456B9C"/>
    <w:multiLevelType w:val="hybridMultilevel"/>
    <w:tmpl w:val="1B1E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32" w15:restartNumberingAfterBreak="0">
    <w:nsid w:val="5BFE6BAB"/>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F4263"/>
    <w:multiLevelType w:val="hybridMultilevel"/>
    <w:tmpl w:val="8720364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5DED145A"/>
    <w:multiLevelType w:val="hybridMultilevel"/>
    <w:tmpl w:val="F202D13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15:restartNumberingAfterBreak="0">
    <w:nsid w:val="600A3A4F"/>
    <w:multiLevelType w:val="hybridMultilevel"/>
    <w:tmpl w:val="44C25A6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2E944AF"/>
    <w:multiLevelType w:val="hybridMultilevel"/>
    <w:tmpl w:val="7880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B1140"/>
    <w:multiLevelType w:val="hybridMultilevel"/>
    <w:tmpl w:val="EC1C9120"/>
    <w:lvl w:ilvl="0" w:tplc="5122DD86">
      <w:start w:val="1"/>
      <w:numFmt w:val="bullet"/>
      <w:lvlText w:val=""/>
      <w:lvlJc w:val="left"/>
      <w:pPr>
        <w:ind w:left="420" w:hanging="420"/>
      </w:pPr>
      <w:rPr>
        <w:rFonts w:ascii="Symbol" w:hAnsi="Symbol" w:hint="default"/>
      </w:rPr>
    </w:lvl>
    <w:lvl w:ilvl="1" w:tplc="04190001">
      <w:start w:val="1"/>
      <w:numFmt w:val="bullet"/>
      <w:lvlText w:val=""/>
      <w:lvlJc w:val="left"/>
      <w:pPr>
        <w:ind w:left="840" w:hanging="420"/>
      </w:pPr>
      <w:rPr>
        <w:rFonts w:ascii="Symbol" w:hAnsi="Symbol" w:hint="default"/>
      </w:rPr>
    </w:lvl>
    <w:lvl w:ilvl="2" w:tplc="8056DF7E" w:tentative="1">
      <w:start w:val="1"/>
      <w:numFmt w:val="bullet"/>
      <w:lvlText w:val=""/>
      <w:lvlJc w:val="left"/>
      <w:pPr>
        <w:ind w:left="1260" w:hanging="420"/>
      </w:pPr>
      <w:rPr>
        <w:rFonts w:ascii="Wingdings" w:hAnsi="Wingdings" w:hint="default"/>
      </w:rPr>
    </w:lvl>
    <w:lvl w:ilvl="3" w:tplc="A01CC402" w:tentative="1">
      <w:start w:val="1"/>
      <w:numFmt w:val="bullet"/>
      <w:lvlText w:val=""/>
      <w:lvlJc w:val="left"/>
      <w:pPr>
        <w:ind w:left="1680" w:hanging="420"/>
      </w:pPr>
      <w:rPr>
        <w:rFonts w:ascii="Wingdings" w:hAnsi="Wingdings" w:hint="default"/>
      </w:rPr>
    </w:lvl>
    <w:lvl w:ilvl="4" w:tplc="0EB0B98E" w:tentative="1">
      <w:start w:val="1"/>
      <w:numFmt w:val="bullet"/>
      <w:lvlText w:val=""/>
      <w:lvlJc w:val="left"/>
      <w:pPr>
        <w:ind w:left="2100" w:hanging="420"/>
      </w:pPr>
      <w:rPr>
        <w:rFonts w:ascii="Wingdings" w:hAnsi="Wingdings" w:hint="default"/>
      </w:rPr>
    </w:lvl>
    <w:lvl w:ilvl="5" w:tplc="F6FE0C46" w:tentative="1">
      <w:start w:val="1"/>
      <w:numFmt w:val="bullet"/>
      <w:lvlText w:val=""/>
      <w:lvlJc w:val="left"/>
      <w:pPr>
        <w:ind w:left="2520" w:hanging="420"/>
      </w:pPr>
      <w:rPr>
        <w:rFonts w:ascii="Wingdings" w:hAnsi="Wingdings" w:hint="default"/>
      </w:rPr>
    </w:lvl>
    <w:lvl w:ilvl="6" w:tplc="4ADEBDEA" w:tentative="1">
      <w:start w:val="1"/>
      <w:numFmt w:val="bullet"/>
      <w:lvlText w:val=""/>
      <w:lvlJc w:val="left"/>
      <w:pPr>
        <w:ind w:left="2940" w:hanging="420"/>
      </w:pPr>
      <w:rPr>
        <w:rFonts w:ascii="Wingdings" w:hAnsi="Wingdings" w:hint="default"/>
      </w:rPr>
    </w:lvl>
    <w:lvl w:ilvl="7" w:tplc="3C422512" w:tentative="1">
      <w:start w:val="1"/>
      <w:numFmt w:val="bullet"/>
      <w:lvlText w:val=""/>
      <w:lvlJc w:val="left"/>
      <w:pPr>
        <w:ind w:left="3360" w:hanging="420"/>
      </w:pPr>
      <w:rPr>
        <w:rFonts w:ascii="Wingdings" w:hAnsi="Wingdings" w:hint="default"/>
      </w:rPr>
    </w:lvl>
    <w:lvl w:ilvl="8" w:tplc="66A4FDA8" w:tentative="1">
      <w:start w:val="1"/>
      <w:numFmt w:val="bullet"/>
      <w:lvlText w:val=""/>
      <w:lvlJc w:val="left"/>
      <w:pPr>
        <w:ind w:left="3780" w:hanging="420"/>
      </w:pPr>
      <w:rPr>
        <w:rFonts w:ascii="Wingdings" w:hAnsi="Wingdings" w:hint="default"/>
      </w:rPr>
    </w:lvl>
  </w:abstractNum>
  <w:abstractNum w:abstractNumId="38" w15:restartNumberingAfterBreak="0">
    <w:nsid w:val="6E5D34EF"/>
    <w:multiLevelType w:val="hybridMultilevel"/>
    <w:tmpl w:val="C0A89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F0F5E94"/>
    <w:multiLevelType w:val="hybridMultilevel"/>
    <w:tmpl w:val="2DC09A54"/>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0" w15:restartNumberingAfterBreak="0">
    <w:nsid w:val="72125E7E"/>
    <w:multiLevelType w:val="hybridMultilevel"/>
    <w:tmpl w:val="ED6CCD4C"/>
    <w:lvl w:ilvl="0" w:tplc="CEB465C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A53556"/>
    <w:multiLevelType w:val="hybridMultilevel"/>
    <w:tmpl w:val="CCC67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A666189"/>
    <w:multiLevelType w:val="hybridMultilevel"/>
    <w:tmpl w:val="F50A2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ED3800"/>
    <w:multiLevelType w:val="hybridMultilevel"/>
    <w:tmpl w:val="2CD8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8"/>
  </w:num>
  <w:num w:numId="7">
    <w:abstractNumId w:val="10"/>
  </w:num>
  <w:num w:numId="8">
    <w:abstractNumId w:val="3"/>
  </w:num>
  <w:num w:numId="9">
    <w:abstractNumId w:val="6"/>
  </w:num>
  <w:num w:numId="10">
    <w:abstractNumId w:val="12"/>
  </w:num>
  <w:num w:numId="11">
    <w:abstractNumId w:val="26"/>
  </w:num>
  <w:num w:numId="12">
    <w:abstractNumId w:val="36"/>
  </w:num>
  <w:num w:numId="13">
    <w:abstractNumId w:val="30"/>
  </w:num>
  <w:num w:numId="14">
    <w:abstractNumId w:val="42"/>
  </w:num>
  <w:num w:numId="15">
    <w:abstractNumId w:val="38"/>
  </w:num>
  <w:num w:numId="16">
    <w:abstractNumId w:val="0"/>
  </w:num>
  <w:num w:numId="17">
    <w:abstractNumId w:val="33"/>
  </w:num>
  <w:num w:numId="18">
    <w:abstractNumId w:val="32"/>
  </w:num>
  <w:num w:numId="19">
    <w:abstractNumId w:val="32"/>
    <w:lvlOverride w:ilvl="0">
      <w:startOverride w:val="1"/>
    </w:lvlOverride>
    <w:lvlOverride w:ilvl="1"/>
    <w:lvlOverride w:ilvl="2"/>
    <w:lvlOverride w:ilvl="3"/>
    <w:lvlOverride w:ilvl="4"/>
    <w:lvlOverride w:ilvl="5"/>
    <w:lvlOverride w:ilvl="6"/>
    <w:lvlOverride w:ilvl="7"/>
    <w:lvlOverride w:ilvl="8"/>
  </w:num>
  <w:num w:numId="20">
    <w:abstractNumId w:val="16"/>
  </w:num>
  <w:num w:numId="21">
    <w:abstractNumId w:val="23"/>
  </w:num>
  <w:num w:numId="22">
    <w:abstractNumId w:val="13"/>
  </w:num>
  <w:num w:numId="23">
    <w:abstractNumId w:val="20"/>
  </w:num>
  <w:num w:numId="24">
    <w:abstractNumId w:val="20"/>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44"/>
  </w:num>
  <w:num w:numId="27">
    <w:abstractNumId w:val="43"/>
  </w:num>
  <w:num w:numId="28">
    <w:abstractNumId w:val="4"/>
    <w:lvlOverride w:ilvl="0">
      <w:startOverride w:val="1"/>
    </w:lvlOverride>
    <w:lvlOverride w:ilvl="1"/>
    <w:lvlOverride w:ilvl="2"/>
    <w:lvlOverride w:ilvl="3"/>
    <w:lvlOverride w:ilvl="4"/>
    <w:lvlOverride w:ilvl="5"/>
    <w:lvlOverride w:ilvl="6"/>
    <w:lvlOverride w:ilvl="7"/>
    <w:lvlOverride w:ilvl="8"/>
  </w:num>
  <w:num w:numId="29">
    <w:abstractNumId w:val="9"/>
  </w:num>
  <w:num w:numId="30">
    <w:abstractNumId w:val="4"/>
  </w:num>
  <w:num w:numId="31">
    <w:abstractNumId w:val="39"/>
  </w:num>
  <w:num w:numId="32">
    <w:abstractNumId w:val="7"/>
  </w:num>
  <w:num w:numId="33">
    <w:abstractNumId w:val="35"/>
  </w:num>
  <w:num w:numId="34">
    <w:abstractNumId w:val="17"/>
  </w:num>
  <w:num w:numId="35">
    <w:abstractNumId w:val="29"/>
  </w:num>
  <w:num w:numId="36">
    <w:abstractNumId w:val="34"/>
  </w:num>
  <w:num w:numId="37">
    <w:abstractNumId w:val="5"/>
  </w:num>
  <w:num w:numId="38">
    <w:abstractNumId w:val="22"/>
  </w:num>
  <w:num w:numId="39">
    <w:abstractNumId w:val="40"/>
  </w:num>
  <w:num w:numId="40">
    <w:abstractNumId w:val="24"/>
  </w:num>
  <w:num w:numId="41">
    <w:abstractNumId w:val="1"/>
  </w:num>
  <w:num w:numId="42">
    <w:abstractNumId w:val="25"/>
  </w:num>
  <w:num w:numId="43">
    <w:abstractNumId w:val="2"/>
  </w:num>
  <w:num w:numId="44">
    <w:abstractNumId w:val="37"/>
  </w:num>
  <w:num w:numId="45">
    <w:abstractNumId w:val="14"/>
  </w:num>
  <w:num w:numId="46">
    <w:abstractNumId w:val="19"/>
  </w:num>
  <w:num w:numId="47">
    <w:abstractNumId w:val="15"/>
  </w:num>
  <w:num w:numId="48">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964"/>
    <w:rsid w:val="00000011"/>
    <w:rsid w:val="00001212"/>
    <w:rsid w:val="00001690"/>
    <w:rsid w:val="00001B0B"/>
    <w:rsid w:val="00001BDB"/>
    <w:rsid w:val="00001C4E"/>
    <w:rsid w:val="00002443"/>
    <w:rsid w:val="000027F0"/>
    <w:rsid w:val="00002B8B"/>
    <w:rsid w:val="000033BF"/>
    <w:rsid w:val="0000471C"/>
    <w:rsid w:val="000054E2"/>
    <w:rsid w:val="00005644"/>
    <w:rsid w:val="00005E88"/>
    <w:rsid w:val="00006DD4"/>
    <w:rsid w:val="000108BC"/>
    <w:rsid w:val="000125BA"/>
    <w:rsid w:val="0001273E"/>
    <w:rsid w:val="00013904"/>
    <w:rsid w:val="00014CAE"/>
    <w:rsid w:val="00014DB5"/>
    <w:rsid w:val="00015441"/>
    <w:rsid w:val="0001594F"/>
    <w:rsid w:val="00015DE8"/>
    <w:rsid w:val="00016423"/>
    <w:rsid w:val="0002045C"/>
    <w:rsid w:val="000204DF"/>
    <w:rsid w:val="000222E6"/>
    <w:rsid w:val="0002347F"/>
    <w:rsid w:val="00023835"/>
    <w:rsid w:val="00023B50"/>
    <w:rsid w:val="0002540B"/>
    <w:rsid w:val="0002546E"/>
    <w:rsid w:val="0002585E"/>
    <w:rsid w:val="00026755"/>
    <w:rsid w:val="00026CE6"/>
    <w:rsid w:val="00030B0B"/>
    <w:rsid w:val="00032826"/>
    <w:rsid w:val="000335ED"/>
    <w:rsid w:val="00034136"/>
    <w:rsid w:val="00034298"/>
    <w:rsid w:val="000345A1"/>
    <w:rsid w:val="000350F1"/>
    <w:rsid w:val="0003513C"/>
    <w:rsid w:val="0003556A"/>
    <w:rsid w:val="000356E4"/>
    <w:rsid w:val="00035EBB"/>
    <w:rsid w:val="00035FD8"/>
    <w:rsid w:val="0003611D"/>
    <w:rsid w:val="00036506"/>
    <w:rsid w:val="000371C1"/>
    <w:rsid w:val="00037364"/>
    <w:rsid w:val="000379C5"/>
    <w:rsid w:val="00040485"/>
    <w:rsid w:val="000407C8"/>
    <w:rsid w:val="0004095C"/>
    <w:rsid w:val="00040AD6"/>
    <w:rsid w:val="00040BAF"/>
    <w:rsid w:val="00040BFF"/>
    <w:rsid w:val="00040F40"/>
    <w:rsid w:val="000418CA"/>
    <w:rsid w:val="00041FBD"/>
    <w:rsid w:val="0004213E"/>
    <w:rsid w:val="0004220D"/>
    <w:rsid w:val="00042226"/>
    <w:rsid w:val="0004273B"/>
    <w:rsid w:val="00042B37"/>
    <w:rsid w:val="00042E1D"/>
    <w:rsid w:val="0004378C"/>
    <w:rsid w:val="00043D31"/>
    <w:rsid w:val="00044D6C"/>
    <w:rsid w:val="00045855"/>
    <w:rsid w:val="00045CA8"/>
    <w:rsid w:val="00046160"/>
    <w:rsid w:val="00046717"/>
    <w:rsid w:val="00046FB8"/>
    <w:rsid w:val="00047FE3"/>
    <w:rsid w:val="0005124B"/>
    <w:rsid w:val="00052AE8"/>
    <w:rsid w:val="00052E18"/>
    <w:rsid w:val="00052E9A"/>
    <w:rsid w:val="00053099"/>
    <w:rsid w:val="000530A0"/>
    <w:rsid w:val="00054ACA"/>
    <w:rsid w:val="00054E11"/>
    <w:rsid w:val="00054E1F"/>
    <w:rsid w:val="00055713"/>
    <w:rsid w:val="000600A4"/>
    <w:rsid w:val="0006251A"/>
    <w:rsid w:val="00062C0D"/>
    <w:rsid w:val="000635FB"/>
    <w:rsid w:val="00063E7F"/>
    <w:rsid w:val="0006544D"/>
    <w:rsid w:val="00066301"/>
    <w:rsid w:val="00066B07"/>
    <w:rsid w:val="0006721D"/>
    <w:rsid w:val="00067FE5"/>
    <w:rsid w:val="000712C9"/>
    <w:rsid w:val="0007201B"/>
    <w:rsid w:val="00074723"/>
    <w:rsid w:val="00074A7A"/>
    <w:rsid w:val="000750AC"/>
    <w:rsid w:val="00075C1F"/>
    <w:rsid w:val="00077C26"/>
    <w:rsid w:val="00077E57"/>
    <w:rsid w:val="00080229"/>
    <w:rsid w:val="000804A1"/>
    <w:rsid w:val="000810CB"/>
    <w:rsid w:val="000811B8"/>
    <w:rsid w:val="000814C6"/>
    <w:rsid w:val="00081D65"/>
    <w:rsid w:val="00082879"/>
    <w:rsid w:val="00082DE6"/>
    <w:rsid w:val="0008318B"/>
    <w:rsid w:val="0008437E"/>
    <w:rsid w:val="00085301"/>
    <w:rsid w:val="000866A4"/>
    <w:rsid w:val="00087425"/>
    <w:rsid w:val="000875C9"/>
    <w:rsid w:val="00087856"/>
    <w:rsid w:val="00087ADC"/>
    <w:rsid w:val="00087AE6"/>
    <w:rsid w:val="00087E16"/>
    <w:rsid w:val="000901F1"/>
    <w:rsid w:val="00092835"/>
    <w:rsid w:val="0009294A"/>
    <w:rsid w:val="00093197"/>
    <w:rsid w:val="000942CF"/>
    <w:rsid w:val="00094508"/>
    <w:rsid w:val="0009455B"/>
    <w:rsid w:val="00094BA7"/>
    <w:rsid w:val="0009565A"/>
    <w:rsid w:val="000958E0"/>
    <w:rsid w:val="000958ED"/>
    <w:rsid w:val="00095D49"/>
    <w:rsid w:val="0009632E"/>
    <w:rsid w:val="0009648F"/>
    <w:rsid w:val="00096CCC"/>
    <w:rsid w:val="00097512"/>
    <w:rsid w:val="000977B3"/>
    <w:rsid w:val="00097A53"/>
    <w:rsid w:val="00097F8A"/>
    <w:rsid w:val="00097F8F"/>
    <w:rsid w:val="000A2222"/>
    <w:rsid w:val="000A4403"/>
    <w:rsid w:val="000A51A1"/>
    <w:rsid w:val="000A51B9"/>
    <w:rsid w:val="000A52C5"/>
    <w:rsid w:val="000A57C9"/>
    <w:rsid w:val="000A5C9A"/>
    <w:rsid w:val="000A71FC"/>
    <w:rsid w:val="000A74C0"/>
    <w:rsid w:val="000B065F"/>
    <w:rsid w:val="000B2310"/>
    <w:rsid w:val="000B2916"/>
    <w:rsid w:val="000B3228"/>
    <w:rsid w:val="000B39E1"/>
    <w:rsid w:val="000B4C37"/>
    <w:rsid w:val="000B51C7"/>
    <w:rsid w:val="000B52F7"/>
    <w:rsid w:val="000B565E"/>
    <w:rsid w:val="000B60DF"/>
    <w:rsid w:val="000B67D2"/>
    <w:rsid w:val="000B6B06"/>
    <w:rsid w:val="000B7983"/>
    <w:rsid w:val="000C12C8"/>
    <w:rsid w:val="000C25F7"/>
    <w:rsid w:val="000C2C6B"/>
    <w:rsid w:val="000C3608"/>
    <w:rsid w:val="000C37CF"/>
    <w:rsid w:val="000C43B5"/>
    <w:rsid w:val="000C4D7F"/>
    <w:rsid w:val="000C576B"/>
    <w:rsid w:val="000C5B2B"/>
    <w:rsid w:val="000C6594"/>
    <w:rsid w:val="000C68EA"/>
    <w:rsid w:val="000C6E1B"/>
    <w:rsid w:val="000C71CB"/>
    <w:rsid w:val="000C732A"/>
    <w:rsid w:val="000D022D"/>
    <w:rsid w:val="000D0844"/>
    <w:rsid w:val="000D0F05"/>
    <w:rsid w:val="000D2BA7"/>
    <w:rsid w:val="000D30DC"/>
    <w:rsid w:val="000D3866"/>
    <w:rsid w:val="000D493D"/>
    <w:rsid w:val="000D54F4"/>
    <w:rsid w:val="000D5549"/>
    <w:rsid w:val="000D5EC2"/>
    <w:rsid w:val="000D6517"/>
    <w:rsid w:val="000D665B"/>
    <w:rsid w:val="000D721D"/>
    <w:rsid w:val="000D72AF"/>
    <w:rsid w:val="000D7DEA"/>
    <w:rsid w:val="000E0110"/>
    <w:rsid w:val="000E07C1"/>
    <w:rsid w:val="000E2159"/>
    <w:rsid w:val="000E26AA"/>
    <w:rsid w:val="000E284F"/>
    <w:rsid w:val="000E2C49"/>
    <w:rsid w:val="000E30EF"/>
    <w:rsid w:val="000E3911"/>
    <w:rsid w:val="000E44D0"/>
    <w:rsid w:val="000E4F46"/>
    <w:rsid w:val="000E5281"/>
    <w:rsid w:val="000E53F8"/>
    <w:rsid w:val="000E5C4F"/>
    <w:rsid w:val="000E60F3"/>
    <w:rsid w:val="000E65D2"/>
    <w:rsid w:val="000E66E5"/>
    <w:rsid w:val="000E68DC"/>
    <w:rsid w:val="000F033D"/>
    <w:rsid w:val="000F0D35"/>
    <w:rsid w:val="000F29E4"/>
    <w:rsid w:val="000F2FF3"/>
    <w:rsid w:val="000F44CE"/>
    <w:rsid w:val="000F4FE4"/>
    <w:rsid w:val="000F5D3C"/>
    <w:rsid w:val="000F6B1E"/>
    <w:rsid w:val="000F6F6E"/>
    <w:rsid w:val="000F77B8"/>
    <w:rsid w:val="00101165"/>
    <w:rsid w:val="0010366C"/>
    <w:rsid w:val="00103805"/>
    <w:rsid w:val="001047B1"/>
    <w:rsid w:val="001054EA"/>
    <w:rsid w:val="0010578D"/>
    <w:rsid w:val="0010671C"/>
    <w:rsid w:val="00106D33"/>
    <w:rsid w:val="00110422"/>
    <w:rsid w:val="00110C51"/>
    <w:rsid w:val="001114E0"/>
    <w:rsid w:val="001117FB"/>
    <w:rsid w:val="00112BAF"/>
    <w:rsid w:val="00112FA0"/>
    <w:rsid w:val="00113100"/>
    <w:rsid w:val="00113B7E"/>
    <w:rsid w:val="00113CFD"/>
    <w:rsid w:val="00114F2D"/>
    <w:rsid w:val="001162DD"/>
    <w:rsid w:val="0011678E"/>
    <w:rsid w:val="00116914"/>
    <w:rsid w:val="00116DE4"/>
    <w:rsid w:val="00116E77"/>
    <w:rsid w:val="0011725B"/>
    <w:rsid w:val="00117CD5"/>
    <w:rsid w:val="00117EBC"/>
    <w:rsid w:val="001207DC"/>
    <w:rsid w:val="00120C1C"/>
    <w:rsid w:val="0012125D"/>
    <w:rsid w:val="00121608"/>
    <w:rsid w:val="001217CC"/>
    <w:rsid w:val="0012180B"/>
    <w:rsid w:val="0012234E"/>
    <w:rsid w:val="00123BF7"/>
    <w:rsid w:val="00125DA9"/>
    <w:rsid w:val="00126037"/>
    <w:rsid w:val="00126547"/>
    <w:rsid w:val="00126AC7"/>
    <w:rsid w:val="00126C54"/>
    <w:rsid w:val="001272F9"/>
    <w:rsid w:val="00130274"/>
    <w:rsid w:val="00130DF6"/>
    <w:rsid w:val="00131704"/>
    <w:rsid w:val="00131FB7"/>
    <w:rsid w:val="0013413F"/>
    <w:rsid w:val="00134469"/>
    <w:rsid w:val="00134F88"/>
    <w:rsid w:val="001353FC"/>
    <w:rsid w:val="00135736"/>
    <w:rsid w:val="001357FF"/>
    <w:rsid w:val="00135B64"/>
    <w:rsid w:val="00135B70"/>
    <w:rsid w:val="00136DA7"/>
    <w:rsid w:val="0013791D"/>
    <w:rsid w:val="0013795F"/>
    <w:rsid w:val="00140FF0"/>
    <w:rsid w:val="00141358"/>
    <w:rsid w:val="00141548"/>
    <w:rsid w:val="00141F58"/>
    <w:rsid w:val="00142421"/>
    <w:rsid w:val="00142DDD"/>
    <w:rsid w:val="0014378E"/>
    <w:rsid w:val="00143E65"/>
    <w:rsid w:val="00144D33"/>
    <w:rsid w:val="001451CD"/>
    <w:rsid w:val="00150014"/>
    <w:rsid w:val="00150890"/>
    <w:rsid w:val="00150DF0"/>
    <w:rsid w:val="001514E9"/>
    <w:rsid w:val="00152EA4"/>
    <w:rsid w:val="00153177"/>
    <w:rsid w:val="00153559"/>
    <w:rsid w:val="00153C05"/>
    <w:rsid w:val="00154240"/>
    <w:rsid w:val="001546CC"/>
    <w:rsid w:val="001547B1"/>
    <w:rsid w:val="00156465"/>
    <w:rsid w:val="001564A1"/>
    <w:rsid w:val="001569DB"/>
    <w:rsid w:val="001579FF"/>
    <w:rsid w:val="00157A17"/>
    <w:rsid w:val="00157B2D"/>
    <w:rsid w:val="00161F13"/>
    <w:rsid w:val="00162B68"/>
    <w:rsid w:val="0016322C"/>
    <w:rsid w:val="00163389"/>
    <w:rsid w:val="00165908"/>
    <w:rsid w:val="00166B20"/>
    <w:rsid w:val="00166CEE"/>
    <w:rsid w:val="0016723E"/>
    <w:rsid w:val="00167CD8"/>
    <w:rsid w:val="00170901"/>
    <w:rsid w:val="00171052"/>
    <w:rsid w:val="0017123D"/>
    <w:rsid w:val="001715A0"/>
    <w:rsid w:val="00171708"/>
    <w:rsid w:val="0017244F"/>
    <w:rsid w:val="00174A97"/>
    <w:rsid w:val="00175830"/>
    <w:rsid w:val="0017715E"/>
    <w:rsid w:val="001809F2"/>
    <w:rsid w:val="00181305"/>
    <w:rsid w:val="001818A3"/>
    <w:rsid w:val="00182BC3"/>
    <w:rsid w:val="001833FC"/>
    <w:rsid w:val="0018352B"/>
    <w:rsid w:val="00183C16"/>
    <w:rsid w:val="00184102"/>
    <w:rsid w:val="001843D3"/>
    <w:rsid w:val="00184815"/>
    <w:rsid w:val="00184A7E"/>
    <w:rsid w:val="00184AA4"/>
    <w:rsid w:val="00184AE7"/>
    <w:rsid w:val="00184D29"/>
    <w:rsid w:val="00185F94"/>
    <w:rsid w:val="00186D08"/>
    <w:rsid w:val="001874D4"/>
    <w:rsid w:val="001875DA"/>
    <w:rsid w:val="00190C78"/>
    <w:rsid w:val="001913E6"/>
    <w:rsid w:val="001920D1"/>
    <w:rsid w:val="001927FB"/>
    <w:rsid w:val="0019362C"/>
    <w:rsid w:val="00193A32"/>
    <w:rsid w:val="00195552"/>
    <w:rsid w:val="00195B2F"/>
    <w:rsid w:val="00195D1F"/>
    <w:rsid w:val="00195DD1"/>
    <w:rsid w:val="00196420"/>
    <w:rsid w:val="00196706"/>
    <w:rsid w:val="00197D63"/>
    <w:rsid w:val="001A061D"/>
    <w:rsid w:val="001A0CC2"/>
    <w:rsid w:val="001A1116"/>
    <w:rsid w:val="001A133E"/>
    <w:rsid w:val="001A17B2"/>
    <w:rsid w:val="001A1B3F"/>
    <w:rsid w:val="001A254C"/>
    <w:rsid w:val="001A255F"/>
    <w:rsid w:val="001A3FB8"/>
    <w:rsid w:val="001A4539"/>
    <w:rsid w:val="001A48B1"/>
    <w:rsid w:val="001A4CF3"/>
    <w:rsid w:val="001A4DB7"/>
    <w:rsid w:val="001A4E91"/>
    <w:rsid w:val="001A5136"/>
    <w:rsid w:val="001A63E9"/>
    <w:rsid w:val="001A694A"/>
    <w:rsid w:val="001A6C47"/>
    <w:rsid w:val="001A7035"/>
    <w:rsid w:val="001A7516"/>
    <w:rsid w:val="001A7A1A"/>
    <w:rsid w:val="001B05F8"/>
    <w:rsid w:val="001B069B"/>
    <w:rsid w:val="001B087B"/>
    <w:rsid w:val="001B0883"/>
    <w:rsid w:val="001B0C1F"/>
    <w:rsid w:val="001B0EDF"/>
    <w:rsid w:val="001B13AE"/>
    <w:rsid w:val="001B1959"/>
    <w:rsid w:val="001B1AB7"/>
    <w:rsid w:val="001B1D49"/>
    <w:rsid w:val="001B2117"/>
    <w:rsid w:val="001B231E"/>
    <w:rsid w:val="001B3989"/>
    <w:rsid w:val="001B4661"/>
    <w:rsid w:val="001B4EAC"/>
    <w:rsid w:val="001B5BFC"/>
    <w:rsid w:val="001B5F59"/>
    <w:rsid w:val="001B6133"/>
    <w:rsid w:val="001B62FA"/>
    <w:rsid w:val="001B747B"/>
    <w:rsid w:val="001B7A03"/>
    <w:rsid w:val="001C0897"/>
    <w:rsid w:val="001C1092"/>
    <w:rsid w:val="001C1333"/>
    <w:rsid w:val="001C2147"/>
    <w:rsid w:val="001C2408"/>
    <w:rsid w:val="001C2804"/>
    <w:rsid w:val="001C303E"/>
    <w:rsid w:val="001C3CB5"/>
    <w:rsid w:val="001C3F73"/>
    <w:rsid w:val="001C3F8C"/>
    <w:rsid w:val="001C414F"/>
    <w:rsid w:val="001C5D29"/>
    <w:rsid w:val="001C6008"/>
    <w:rsid w:val="001C61AE"/>
    <w:rsid w:val="001C749C"/>
    <w:rsid w:val="001C7C81"/>
    <w:rsid w:val="001D01DC"/>
    <w:rsid w:val="001D036D"/>
    <w:rsid w:val="001D0852"/>
    <w:rsid w:val="001D0E8D"/>
    <w:rsid w:val="001D1352"/>
    <w:rsid w:val="001D1A0F"/>
    <w:rsid w:val="001D1B28"/>
    <w:rsid w:val="001D2DA4"/>
    <w:rsid w:val="001D508E"/>
    <w:rsid w:val="001D5730"/>
    <w:rsid w:val="001D680F"/>
    <w:rsid w:val="001D6A8F"/>
    <w:rsid w:val="001D77AD"/>
    <w:rsid w:val="001E238B"/>
    <w:rsid w:val="001E24BF"/>
    <w:rsid w:val="001E3712"/>
    <w:rsid w:val="001E3E70"/>
    <w:rsid w:val="001E4F6E"/>
    <w:rsid w:val="001E5C52"/>
    <w:rsid w:val="001E6191"/>
    <w:rsid w:val="001E6CC1"/>
    <w:rsid w:val="001E7928"/>
    <w:rsid w:val="001E7B10"/>
    <w:rsid w:val="001F00C7"/>
    <w:rsid w:val="001F11A9"/>
    <w:rsid w:val="001F12C9"/>
    <w:rsid w:val="001F2019"/>
    <w:rsid w:val="001F226C"/>
    <w:rsid w:val="001F2C91"/>
    <w:rsid w:val="001F320E"/>
    <w:rsid w:val="001F36E9"/>
    <w:rsid w:val="001F3AAE"/>
    <w:rsid w:val="001F5135"/>
    <w:rsid w:val="001F5BD2"/>
    <w:rsid w:val="001F7441"/>
    <w:rsid w:val="001F74FE"/>
    <w:rsid w:val="001F7A3C"/>
    <w:rsid w:val="001F7DF5"/>
    <w:rsid w:val="002002E8"/>
    <w:rsid w:val="00200BB2"/>
    <w:rsid w:val="00201DAC"/>
    <w:rsid w:val="002023C0"/>
    <w:rsid w:val="00202EF1"/>
    <w:rsid w:val="0020316C"/>
    <w:rsid w:val="002033C5"/>
    <w:rsid w:val="002033D4"/>
    <w:rsid w:val="002036F0"/>
    <w:rsid w:val="00203FF9"/>
    <w:rsid w:val="0020411B"/>
    <w:rsid w:val="00204926"/>
    <w:rsid w:val="00205515"/>
    <w:rsid w:val="00207789"/>
    <w:rsid w:val="00211456"/>
    <w:rsid w:val="002116C0"/>
    <w:rsid w:val="00214324"/>
    <w:rsid w:val="00214796"/>
    <w:rsid w:val="00214C68"/>
    <w:rsid w:val="002150D3"/>
    <w:rsid w:val="0021533A"/>
    <w:rsid w:val="00216079"/>
    <w:rsid w:val="0021658D"/>
    <w:rsid w:val="002165DD"/>
    <w:rsid w:val="002165ED"/>
    <w:rsid w:val="0021733B"/>
    <w:rsid w:val="00217FBC"/>
    <w:rsid w:val="00220511"/>
    <w:rsid w:val="002206B4"/>
    <w:rsid w:val="002211BA"/>
    <w:rsid w:val="00221E23"/>
    <w:rsid w:val="0022207E"/>
    <w:rsid w:val="002225F5"/>
    <w:rsid w:val="00222A71"/>
    <w:rsid w:val="00222E79"/>
    <w:rsid w:val="00222F1F"/>
    <w:rsid w:val="0022398E"/>
    <w:rsid w:val="002239A7"/>
    <w:rsid w:val="00223D14"/>
    <w:rsid w:val="0022428A"/>
    <w:rsid w:val="002248FB"/>
    <w:rsid w:val="002251E0"/>
    <w:rsid w:val="00225497"/>
    <w:rsid w:val="0022557C"/>
    <w:rsid w:val="00225ABA"/>
    <w:rsid w:val="00226D6E"/>
    <w:rsid w:val="00230027"/>
    <w:rsid w:val="0023074E"/>
    <w:rsid w:val="00231F5C"/>
    <w:rsid w:val="00232045"/>
    <w:rsid w:val="00233C70"/>
    <w:rsid w:val="00233EAA"/>
    <w:rsid w:val="00234D97"/>
    <w:rsid w:val="0023594B"/>
    <w:rsid w:val="00235A12"/>
    <w:rsid w:val="00236114"/>
    <w:rsid w:val="00236167"/>
    <w:rsid w:val="00237D1D"/>
    <w:rsid w:val="00240749"/>
    <w:rsid w:val="00241247"/>
    <w:rsid w:val="00241C63"/>
    <w:rsid w:val="00242206"/>
    <w:rsid w:val="002424DB"/>
    <w:rsid w:val="00243623"/>
    <w:rsid w:val="00244713"/>
    <w:rsid w:val="00244EE7"/>
    <w:rsid w:val="002466F9"/>
    <w:rsid w:val="00246AA3"/>
    <w:rsid w:val="002473ED"/>
    <w:rsid w:val="00247B35"/>
    <w:rsid w:val="00247C36"/>
    <w:rsid w:val="00250418"/>
    <w:rsid w:val="00251504"/>
    <w:rsid w:val="0025168A"/>
    <w:rsid w:val="00251911"/>
    <w:rsid w:val="00251BD4"/>
    <w:rsid w:val="002544AA"/>
    <w:rsid w:val="00254F56"/>
    <w:rsid w:val="002550E3"/>
    <w:rsid w:val="00255C3D"/>
    <w:rsid w:val="002562A3"/>
    <w:rsid w:val="002568C3"/>
    <w:rsid w:val="002570EC"/>
    <w:rsid w:val="00257761"/>
    <w:rsid w:val="002609F2"/>
    <w:rsid w:val="002621AB"/>
    <w:rsid w:val="00262592"/>
    <w:rsid w:val="002659E2"/>
    <w:rsid w:val="00265D41"/>
    <w:rsid w:val="00266614"/>
    <w:rsid w:val="00266931"/>
    <w:rsid w:val="00271FF1"/>
    <w:rsid w:val="002720AE"/>
    <w:rsid w:val="002721D4"/>
    <w:rsid w:val="00272241"/>
    <w:rsid w:val="00272958"/>
    <w:rsid w:val="002731E8"/>
    <w:rsid w:val="00273F38"/>
    <w:rsid w:val="002745F6"/>
    <w:rsid w:val="00274AD6"/>
    <w:rsid w:val="00275519"/>
    <w:rsid w:val="00275956"/>
    <w:rsid w:val="002761A3"/>
    <w:rsid w:val="00277934"/>
    <w:rsid w:val="0028138D"/>
    <w:rsid w:val="00281D6A"/>
    <w:rsid w:val="00281DBF"/>
    <w:rsid w:val="002824E2"/>
    <w:rsid w:val="00282BBC"/>
    <w:rsid w:val="00283233"/>
    <w:rsid w:val="002836E7"/>
    <w:rsid w:val="002842C1"/>
    <w:rsid w:val="00284466"/>
    <w:rsid w:val="002847AC"/>
    <w:rsid w:val="00284823"/>
    <w:rsid w:val="00284BA8"/>
    <w:rsid w:val="00285A41"/>
    <w:rsid w:val="00286042"/>
    <w:rsid w:val="00287596"/>
    <w:rsid w:val="0028773E"/>
    <w:rsid w:val="00290BA1"/>
    <w:rsid w:val="0029110D"/>
    <w:rsid w:val="0029180E"/>
    <w:rsid w:val="00291A15"/>
    <w:rsid w:val="002932B6"/>
    <w:rsid w:val="00294554"/>
    <w:rsid w:val="002947DD"/>
    <w:rsid w:val="002949FA"/>
    <w:rsid w:val="00294D7B"/>
    <w:rsid w:val="00294F5B"/>
    <w:rsid w:val="0029516E"/>
    <w:rsid w:val="0029697E"/>
    <w:rsid w:val="00296E16"/>
    <w:rsid w:val="00297C67"/>
    <w:rsid w:val="002A04AC"/>
    <w:rsid w:val="002A088F"/>
    <w:rsid w:val="002A0C42"/>
    <w:rsid w:val="002A1826"/>
    <w:rsid w:val="002A1AAB"/>
    <w:rsid w:val="002A29F7"/>
    <w:rsid w:val="002A337C"/>
    <w:rsid w:val="002A43A3"/>
    <w:rsid w:val="002A44A6"/>
    <w:rsid w:val="002A50E5"/>
    <w:rsid w:val="002A6456"/>
    <w:rsid w:val="002A67C5"/>
    <w:rsid w:val="002A6D00"/>
    <w:rsid w:val="002A7722"/>
    <w:rsid w:val="002A797F"/>
    <w:rsid w:val="002A7B4A"/>
    <w:rsid w:val="002B0109"/>
    <w:rsid w:val="002B1106"/>
    <w:rsid w:val="002B1A87"/>
    <w:rsid w:val="002B216E"/>
    <w:rsid w:val="002B336C"/>
    <w:rsid w:val="002B4201"/>
    <w:rsid w:val="002B453E"/>
    <w:rsid w:val="002B47A2"/>
    <w:rsid w:val="002B51C6"/>
    <w:rsid w:val="002B5BC3"/>
    <w:rsid w:val="002B6CFA"/>
    <w:rsid w:val="002B73D3"/>
    <w:rsid w:val="002B7989"/>
    <w:rsid w:val="002B7BF8"/>
    <w:rsid w:val="002B7E2C"/>
    <w:rsid w:val="002C037D"/>
    <w:rsid w:val="002C1289"/>
    <w:rsid w:val="002C15ED"/>
    <w:rsid w:val="002C1C48"/>
    <w:rsid w:val="002C2154"/>
    <w:rsid w:val="002C2939"/>
    <w:rsid w:val="002C366F"/>
    <w:rsid w:val="002C4D5A"/>
    <w:rsid w:val="002C5F97"/>
    <w:rsid w:val="002C6223"/>
    <w:rsid w:val="002C74D1"/>
    <w:rsid w:val="002D0419"/>
    <w:rsid w:val="002D0549"/>
    <w:rsid w:val="002D0576"/>
    <w:rsid w:val="002D06D7"/>
    <w:rsid w:val="002D124C"/>
    <w:rsid w:val="002D12DC"/>
    <w:rsid w:val="002D186E"/>
    <w:rsid w:val="002D1F04"/>
    <w:rsid w:val="002D3BD1"/>
    <w:rsid w:val="002D4087"/>
    <w:rsid w:val="002D423D"/>
    <w:rsid w:val="002D54CE"/>
    <w:rsid w:val="002D55BC"/>
    <w:rsid w:val="002D6490"/>
    <w:rsid w:val="002E0885"/>
    <w:rsid w:val="002E24BD"/>
    <w:rsid w:val="002E25C3"/>
    <w:rsid w:val="002E32AF"/>
    <w:rsid w:val="002E35D0"/>
    <w:rsid w:val="002E38F3"/>
    <w:rsid w:val="002E392D"/>
    <w:rsid w:val="002E3A02"/>
    <w:rsid w:val="002E3E2F"/>
    <w:rsid w:val="002E4EB8"/>
    <w:rsid w:val="002E4EC2"/>
    <w:rsid w:val="002E4F02"/>
    <w:rsid w:val="002E52FB"/>
    <w:rsid w:val="002E6C14"/>
    <w:rsid w:val="002E6D71"/>
    <w:rsid w:val="002E7015"/>
    <w:rsid w:val="002E7351"/>
    <w:rsid w:val="002E7A13"/>
    <w:rsid w:val="002E7B18"/>
    <w:rsid w:val="002F0EC7"/>
    <w:rsid w:val="002F120D"/>
    <w:rsid w:val="002F152D"/>
    <w:rsid w:val="002F18CF"/>
    <w:rsid w:val="002F1D05"/>
    <w:rsid w:val="002F21D3"/>
    <w:rsid w:val="002F25DA"/>
    <w:rsid w:val="002F2C48"/>
    <w:rsid w:val="002F31F0"/>
    <w:rsid w:val="002F38F1"/>
    <w:rsid w:val="002F4A02"/>
    <w:rsid w:val="002F5256"/>
    <w:rsid w:val="002F60BB"/>
    <w:rsid w:val="002F65D5"/>
    <w:rsid w:val="002F6A11"/>
    <w:rsid w:val="002F6F27"/>
    <w:rsid w:val="002F71EE"/>
    <w:rsid w:val="00300928"/>
    <w:rsid w:val="0030118B"/>
    <w:rsid w:val="00301E3F"/>
    <w:rsid w:val="003020BB"/>
    <w:rsid w:val="00302A80"/>
    <w:rsid w:val="0030301C"/>
    <w:rsid w:val="003031D3"/>
    <w:rsid w:val="00303247"/>
    <w:rsid w:val="00303670"/>
    <w:rsid w:val="003037FD"/>
    <w:rsid w:val="00304221"/>
    <w:rsid w:val="0030556A"/>
    <w:rsid w:val="0030583F"/>
    <w:rsid w:val="0030688C"/>
    <w:rsid w:val="00306A17"/>
    <w:rsid w:val="00306A51"/>
    <w:rsid w:val="00307408"/>
    <w:rsid w:val="003079EC"/>
    <w:rsid w:val="00307ADB"/>
    <w:rsid w:val="00307EF7"/>
    <w:rsid w:val="0031013E"/>
    <w:rsid w:val="00310F23"/>
    <w:rsid w:val="0031139D"/>
    <w:rsid w:val="003120A3"/>
    <w:rsid w:val="00314A91"/>
    <w:rsid w:val="003158E8"/>
    <w:rsid w:val="00316D9B"/>
    <w:rsid w:val="003173F7"/>
    <w:rsid w:val="00317443"/>
    <w:rsid w:val="00317538"/>
    <w:rsid w:val="00317AD3"/>
    <w:rsid w:val="0032024D"/>
    <w:rsid w:val="00321C7B"/>
    <w:rsid w:val="0032251E"/>
    <w:rsid w:val="00322B00"/>
    <w:rsid w:val="00323394"/>
    <w:rsid w:val="003239B1"/>
    <w:rsid w:val="00323BBC"/>
    <w:rsid w:val="003241A3"/>
    <w:rsid w:val="0032423C"/>
    <w:rsid w:val="00324492"/>
    <w:rsid w:val="00325C45"/>
    <w:rsid w:val="00326A2B"/>
    <w:rsid w:val="00327205"/>
    <w:rsid w:val="00327603"/>
    <w:rsid w:val="00330DDB"/>
    <w:rsid w:val="00331076"/>
    <w:rsid w:val="003317B3"/>
    <w:rsid w:val="00331A02"/>
    <w:rsid w:val="00331ACC"/>
    <w:rsid w:val="00331D76"/>
    <w:rsid w:val="00332DCB"/>
    <w:rsid w:val="003346BB"/>
    <w:rsid w:val="003349FA"/>
    <w:rsid w:val="0033576A"/>
    <w:rsid w:val="00335D5B"/>
    <w:rsid w:val="00336187"/>
    <w:rsid w:val="0033628C"/>
    <w:rsid w:val="003365EB"/>
    <w:rsid w:val="00336ACE"/>
    <w:rsid w:val="0033742B"/>
    <w:rsid w:val="00337987"/>
    <w:rsid w:val="003426D8"/>
    <w:rsid w:val="00344F7D"/>
    <w:rsid w:val="00344F87"/>
    <w:rsid w:val="003462CE"/>
    <w:rsid w:val="00346858"/>
    <w:rsid w:val="00346B04"/>
    <w:rsid w:val="00346ED4"/>
    <w:rsid w:val="00351F3D"/>
    <w:rsid w:val="0035201A"/>
    <w:rsid w:val="0035243B"/>
    <w:rsid w:val="003527AF"/>
    <w:rsid w:val="00353A5C"/>
    <w:rsid w:val="00355601"/>
    <w:rsid w:val="003557E4"/>
    <w:rsid w:val="00355A93"/>
    <w:rsid w:val="00357885"/>
    <w:rsid w:val="0036085D"/>
    <w:rsid w:val="0036133B"/>
    <w:rsid w:val="00361B55"/>
    <w:rsid w:val="00362664"/>
    <w:rsid w:val="00363A85"/>
    <w:rsid w:val="00363AB8"/>
    <w:rsid w:val="00363B12"/>
    <w:rsid w:val="00364319"/>
    <w:rsid w:val="003663BD"/>
    <w:rsid w:val="00366EED"/>
    <w:rsid w:val="003670E9"/>
    <w:rsid w:val="00367DE5"/>
    <w:rsid w:val="00367E90"/>
    <w:rsid w:val="00372759"/>
    <w:rsid w:val="00372AC1"/>
    <w:rsid w:val="00372B61"/>
    <w:rsid w:val="00372FFC"/>
    <w:rsid w:val="00373726"/>
    <w:rsid w:val="00373A54"/>
    <w:rsid w:val="00374019"/>
    <w:rsid w:val="00374F32"/>
    <w:rsid w:val="003751DD"/>
    <w:rsid w:val="00376E87"/>
    <w:rsid w:val="00377F41"/>
    <w:rsid w:val="003807CD"/>
    <w:rsid w:val="00380EFF"/>
    <w:rsid w:val="00380F2D"/>
    <w:rsid w:val="003813AF"/>
    <w:rsid w:val="003822AB"/>
    <w:rsid w:val="00382401"/>
    <w:rsid w:val="003836A7"/>
    <w:rsid w:val="00383B2F"/>
    <w:rsid w:val="00383F50"/>
    <w:rsid w:val="0038491F"/>
    <w:rsid w:val="00386316"/>
    <w:rsid w:val="00390353"/>
    <w:rsid w:val="003904D6"/>
    <w:rsid w:val="00390613"/>
    <w:rsid w:val="00390F4B"/>
    <w:rsid w:val="00391738"/>
    <w:rsid w:val="0039330B"/>
    <w:rsid w:val="00393FA3"/>
    <w:rsid w:val="0039408D"/>
    <w:rsid w:val="00394A85"/>
    <w:rsid w:val="00394EEC"/>
    <w:rsid w:val="00394F18"/>
    <w:rsid w:val="00395C9D"/>
    <w:rsid w:val="00395FBC"/>
    <w:rsid w:val="00396C9E"/>
    <w:rsid w:val="00396F3B"/>
    <w:rsid w:val="00396F89"/>
    <w:rsid w:val="003A0C4A"/>
    <w:rsid w:val="003A1981"/>
    <w:rsid w:val="003A1BA3"/>
    <w:rsid w:val="003A2424"/>
    <w:rsid w:val="003A244C"/>
    <w:rsid w:val="003A2DB8"/>
    <w:rsid w:val="003A3709"/>
    <w:rsid w:val="003A37D2"/>
    <w:rsid w:val="003A389F"/>
    <w:rsid w:val="003A3A27"/>
    <w:rsid w:val="003A41D1"/>
    <w:rsid w:val="003A42F8"/>
    <w:rsid w:val="003A4539"/>
    <w:rsid w:val="003A5CCE"/>
    <w:rsid w:val="003A6916"/>
    <w:rsid w:val="003A70C4"/>
    <w:rsid w:val="003A72A3"/>
    <w:rsid w:val="003B05A3"/>
    <w:rsid w:val="003B0A33"/>
    <w:rsid w:val="003B10B9"/>
    <w:rsid w:val="003B15F3"/>
    <w:rsid w:val="003B1C02"/>
    <w:rsid w:val="003B1F86"/>
    <w:rsid w:val="003B3841"/>
    <w:rsid w:val="003B42A6"/>
    <w:rsid w:val="003B4997"/>
    <w:rsid w:val="003B4E96"/>
    <w:rsid w:val="003B55D3"/>
    <w:rsid w:val="003B5865"/>
    <w:rsid w:val="003B59FF"/>
    <w:rsid w:val="003B60E0"/>
    <w:rsid w:val="003B6194"/>
    <w:rsid w:val="003B63B1"/>
    <w:rsid w:val="003B6930"/>
    <w:rsid w:val="003B79A7"/>
    <w:rsid w:val="003C02BD"/>
    <w:rsid w:val="003C09CD"/>
    <w:rsid w:val="003C170E"/>
    <w:rsid w:val="003C1878"/>
    <w:rsid w:val="003C1ECE"/>
    <w:rsid w:val="003C2034"/>
    <w:rsid w:val="003C273A"/>
    <w:rsid w:val="003C2A26"/>
    <w:rsid w:val="003C2C65"/>
    <w:rsid w:val="003C3091"/>
    <w:rsid w:val="003C45BA"/>
    <w:rsid w:val="003C5CA4"/>
    <w:rsid w:val="003C6251"/>
    <w:rsid w:val="003C63A1"/>
    <w:rsid w:val="003C7690"/>
    <w:rsid w:val="003C7B04"/>
    <w:rsid w:val="003D0C91"/>
    <w:rsid w:val="003D0E6E"/>
    <w:rsid w:val="003D1DC6"/>
    <w:rsid w:val="003D258B"/>
    <w:rsid w:val="003D259F"/>
    <w:rsid w:val="003D28E4"/>
    <w:rsid w:val="003D2A24"/>
    <w:rsid w:val="003D2D21"/>
    <w:rsid w:val="003D2F77"/>
    <w:rsid w:val="003D3434"/>
    <w:rsid w:val="003D3B73"/>
    <w:rsid w:val="003D3CEA"/>
    <w:rsid w:val="003D4269"/>
    <w:rsid w:val="003D492A"/>
    <w:rsid w:val="003D4B47"/>
    <w:rsid w:val="003D5FC1"/>
    <w:rsid w:val="003D6809"/>
    <w:rsid w:val="003D6DF1"/>
    <w:rsid w:val="003D771E"/>
    <w:rsid w:val="003E020B"/>
    <w:rsid w:val="003E0B1C"/>
    <w:rsid w:val="003E0F69"/>
    <w:rsid w:val="003E1A0F"/>
    <w:rsid w:val="003E1B22"/>
    <w:rsid w:val="003E341D"/>
    <w:rsid w:val="003E3427"/>
    <w:rsid w:val="003E3484"/>
    <w:rsid w:val="003E35A0"/>
    <w:rsid w:val="003E369C"/>
    <w:rsid w:val="003E3743"/>
    <w:rsid w:val="003E45A9"/>
    <w:rsid w:val="003E5B74"/>
    <w:rsid w:val="003E6794"/>
    <w:rsid w:val="003E7134"/>
    <w:rsid w:val="003E7567"/>
    <w:rsid w:val="003E774F"/>
    <w:rsid w:val="003E7D20"/>
    <w:rsid w:val="003E7F6A"/>
    <w:rsid w:val="003F00D3"/>
    <w:rsid w:val="003F1060"/>
    <w:rsid w:val="003F1480"/>
    <w:rsid w:val="003F1CA1"/>
    <w:rsid w:val="003F2C1E"/>
    <w:rsid w:val="003F39AE"/>
    <w:rsid w:val="003F4D48"/>
    <w:rsid w:val="003F4FD2"/>
    <w:rsid w:val="003F50EE"/>
    <w:rsid w:val="003F5887"/>
    <w:rsid w:val="003F7488"/>
    <w:rsid w:val="003F7BC9"/>
    <w:rsid w:val="004000F3"/>
    <w:rsid w:val="00400276"/>
    <w:rsid w:val="004008D1"/>
    <w:rsid w:val="004017DE"/>
    <w:rsid w:val="004029E9"/>
    <w:rsid w:val="0040308A"/>
    <w:rsid w:val="0040387A"/>
    <w:rsid w:val="00403D2A"/>
    <w:rsid w:val="004046BC"/>
    <w:rsid w:val="00404D1A"/>
    <w:rsid w:val="00405414"/>
    <w:rsid w:val="004056B3"/>
    <w:rsid w:val="00405D97"/>
    <w:rsid w:val="00406AA6"/>
    <w:rsid w:val="00406B2B"/>
    <w:rsid w:val="00407A74"/>
    <w:rsid w:val="00407B05"/>
    <w:rsid w:val="004110C7"/>
    <w:rsid w:val="00411DA1"/>
    <w:rsid w:val="00413391"/>
    <w:rsid w:val="004135EB"/>
    <w:rsid w:val="004143E3"/>
    <w:rsid w:val="00415E5A"/>
    <w:rsid w:val="00416A44"/>
    <w:rsid w:val="00417394"/>
    <w:rsid w:val="00417CA7"/>
    <w:rsid w:val="00421212"/>
    <w:rsid w:val="00421AF0"/>
    <w:rsid w:val="004224E9"/>
    <w:rsid w:val="004226CA"/>
    <w:rsid w:val="00422EB4"/>
    <w:rsid w:val="0042322F"/>
    <w:rsid w:val="00424F6E"/>
    <w:rsid w:val="0042557E"/>
    <w:rsid w:val="00425726"/>
    <w:rsid w:val="0042579C"/>
    <w:rsid w:val="004258C4"/>
    <w:rsid w:val="00425C04"/>
    <w:rsid w:val="0042656B"/>
    <w:rsid w:val="00426744"/>
    <w:rsid w:val="004268F9"/>
    <w:rsid w:val="004272B5"/>
    <w:rsid w:val="004277BF"/>
    <w:rsid w:val="00430098"/>
    <w:rsid w:val="00430812"/>
    <w:rsid w:val="004309C1"/>
    <w:rsid w:val="00431451"/>
    <w:rsid w:val="00431A97"/>
    <w:rsid w:val="00432160"/>
    <w:rsid w:val="00433124"/>
    <w:rsid w:val="00433983"/>
    <w:rsid w:val="00434B3A"/>
    <w:rsid w:val="004353DB"/>
    <w:rsid w:val="00435C81"/>
    <w:rsid w:val="00435D7E"/>
    <w:rsid w:val="00436132"/>
    <w:rsid w:val="00436781"/>
    <w:rsid w:val="00436B9B"/>
    <w:rsid w:val="0043700A"/>
    <w:rsid w:val="004400FE"/>
    <w:rsid w:val="00440795"/>
    <w:rsid w:val="0044120A"/>
    <w:rsid w:val="004416B6"/>
    <w:rsid w:val="00442ED1"/>
    <w:rsid w:val="00442F7F"/>
    <w:rsid w:val="00443D4D"/>
    <w:rsid w:val="004440D2"/>
    <w:rsid w:val="00444238"/>
    <w:rsid w:val="00444348"/>
    <w:rsid w:val="004443B4"/>
    <w:rsid w:val="00444517"/>
    <w:rsid w:val="0044453A"/>
    <w:rsid w:val="004458A4"/>
    <w:rsid w:val="00445F5A"/>
    <w:rsid w:val="00445FC3"/>
    <w:rsid w:val="004463F9"/>
    <w:rsid w:val="004471C9"/>
    <w:rsid w:val="004475E1"/>
    <w:rsid w:val="00447B3C"/>
    <w:rsid w:val="00447EA3"/>
    <w:rsid w:val="00447F84"/>
    <w:rsid w:val="0045072F"/>
    <w:rsid w:val="00450815"/>
    <w:rsid w:val="004509CB"/>
    <w:rsid w:val="004514A7"/>
    <w:rsid w:val="004517E4"/>
    <w:rsid w:val="00451B3F"/>
    <w:rsid w:val="004523A0"/>
    <w:rsid w:val="00453479"/>
    <w:rsid w:val="004541CE"/>
    <w:rsid w:val="0045466C"/>
    <w:rsid w:val="004548F9"/>
    <w:rsid w:val="00454E44"/>
    <w:rsid w:val="00455FD1"/>
    <w:rsid w:val="0045707F"/>
    <w:rsid w:val="0045721C"/>
    <w:rsid w:val="004579E5"/>
    <w:rsid w:val="004579EB"/>
    <w:rsid w:val="00457EED"/>
    <w:rsid w:val="00461A01"/>
    <w:rsid w:val="004627FF"/>
    <w:rsid w:val="00462A0D"/>
    <w:rsid w:val="00463151"/>
    <w:rsid w:val="004634EA"/>
    <w:rsid w:val="00463565"/>
    <w:rsid w:val="004636A1"/>
    <w:rsid w:val="00463A86"/>
    <w:rsid w:val="004658A7"/>
    <w:rsid w:val="00465B00"/>
    <w:rsid w:val="00466B14"/>
    <w:rsid w:val="00466EE7"/>
    <w:rsid w:val="004671B6"/>
    <w:rsid w:val="004708F5"/>
    <w:rsid w:val="0047172D"/>
    <w:rsid w:val="0047185A"/>
    <w:rsid w:val="004727A0"/>
    <w:rsid w:val="00473C9F"/>
    <w:rsid w:val="00474F0F"/>
    <w:rsid w:val="00475246"/>
    <w:rsid w:val="00475562"/>
    <w:rsid w:val="00475DA0"/>
    <w:rsid w:val="00475F2C"/>
    <w:rsid w:val="00476A48"/>
    <w:rsid w:val="00476CB9"/>
    <w:rsid w:val="00477408"/>
    <w:rsid w:val="00477C57"/>
    <w:rsid w:val="00481C1C"/>
    <w:rsid w:val="004821AD"/>
    <w:rsid w:val="0048403A"/>
    <w:rsid w:val="00484259"/>
    <w:rsid w:val="00484413"/>
    <w:rsid w:val="00484630"/>
    <w:rsid w:val="00484CB7"/>
    <w:rsid w:val="00484D05"/>
    <w:rsid w:val="00485190"/>
    <w:rsid w:val="0048520D"/>
    <w:rsid w:val="00485970"/>
    <w:rsid w:val="00485BEB"/>
    <w:rsid w:val="004903D2"/>
    <w:rsid w:val="004904AA"/>
    <w:rsid w:val="0049092B"/>
    <w:rsid w:val="00491384"/>
    <w:rsid w:val="00491837"/>
    <w:rsid w:val="00491CBF"/>
    <w:rsid w:val="00491E17"/>
    <w:rsid w:val="004920DD"/>
    <w:rsid w:val="004927FF"/>
    <w:rsid w:val="00492FFE"/>
    <w:rsid w:val="00494670"/>
    <w:rsid w:val="004949F1"/>
    <w:rsid w:val="00495DC8"/>
    <w:rsid w:val="004A053D"/>
    <w:rsid w:val="004A064E"/>
    <w:rsid w:val="004A0B9D"/>
    <w:rsid w:val="004A0D4F"/>
    <w:rsid w:val="004A194B"/>
    <w:rsid w:val="004A1E90"/>
    <w:rsid w:val="004A2007"/>
    <w:rsid w:val="004A20AF"/>
    <w:rsid w:val="004A294B"/>
    <w:rsid w:val="004A2E64"/>
    <w:rsid w:val="004A4493"/>
    <w:rsid w:val="004A4930"/>
    <w:rsid w:val="004A533D"/>
    <w:rsid w:val="004A5641"/>
    <w:rsid w:val="004A5A69"/>
    <w:rsid w:val="004A6AFD"/>
    <w:rsid w:val="004A6E00"/>
    <w:rsid w:val="004A6EAE"/>
    <w:rsid w:val="004A7406"/>
    <w:rsid w:val="004A76D5"/>
    <w:rsid w:val="004B06F2"/>
    <w:rsid w:val="004B0D5C"/>
    <w:rsid w:val="004B11BF"/>
    <w:rsid w:val="004B14CA"/>
    <w:rsid w:val="004B1F9F"/>
    <w:rsid w:val="004B37B1"/>
    <w:rsid w:val="004B4890"/>
    <w:rsid w:val="004B48BD"/>
    <w:rsid w:val="004B509D"/>
    <w:rsid w:val="004B58CB"/>
    <w:rsid w:val="004B6AAA"/>
    <w:rsid w:val="004B78A1"/>
    <w:rsid w:val="004C0B23"/>
    <w:rsid w:val="004C18E9"/>
    <w:rsid w:val="004C29BD"/>
    <w:rsid w:val="004C3440"/>
    <w:rsid w:val="004C4120"/>
    <w:rsid w:val="004C4313"/>
    <w:rsid w:val="004C489F"/>
    <w:rsid w:val="004C4CAD"/>
    <w:rsid w:val="004C4CCF"/>
    <w:rsid w:val="004C505D"/>
    <w:rsid w:val="004C52D6"/>
    <w:rsid w:val="004C5682"/>
    <w:rsid w:val="004C5A6A"/>
    <w:rsid w:val="004D05C1"/>
    <w:rsid w:val="004D1235"/>
    <w:rsid w:val="004D1236"/>
    <w:rsid w:val="004D1426"/>
    <w:rsid w:val="004D193D"/>
    <w:rsid w:val="004D200D"/>
    <w:rsid w:val="004D22F4"/>
    <w:rsid w:val="004D2ADE"/>
    <w:rsid w:val="004D2CEC"/>
    <w:rsid w:val="004D2E4C"/>
    <w:rsid w:val="004D30AE"/>
    <w:rsid w:val="004D39AB"/>
    <w:rsid w:val="004D3AC5"/>
    <w:rsid w:val="004D4837"/>
    <w:rsid w:val="004D4A96"/>
    <w:rsid w:val="004D4CEB"/>
    <w:rsid w:val="004D52F2"/>
    <w:rsid w:val="004D540F"/>
    <w:rsid w:val="004D6656"/>
    <w:rsid w:val="004E01CC"/>
    <w:rsid w:val="004E080B"/>
    <w:rsid w:val="004E29AC"/>
    <w:rsid w:val="004E4029"/>
    <w:rsid w:val="004E43EA"/>
    <w:rsid w:val="004E47F7"/>
    <w:rsid w:val="004E5169"/>
    <w:rsid w:val="004E5822"/>
    <w:rsid w:val="004E5A3A"/>
    <w:rsid w:val="004E5BC0"/>
    <w:rsid w:val="004E6D99"/>
    <w:rsid w:val="004E78AE"/>
    <w:rsid w:val="004F0DE7"/>
    <w:rsid w:val="004F2104"/>
    <w:rsid w:val="004F226F"/>
    <w:rsid w:val="004F328C"/>
    <w:rsid w:val="004F3464"/>
    <w:rsid w:val="004F4616"/>
    <w:rsid w:val="004F4BA7"/>
    <w:rsid w:val="004F5F4B"/>
    <w:rsid w:val="00500617"/>
    <w:rsid w:val="00501826"/>
    <w:rsid w:val="0050307F"/>
    <w:rsid w:val="005042F2"/>
    <w:rsid w:val="00504419"/>
    <w:rsid w:val="0050623D"/>
    <w:rsid w:val="005100ED"/>
    <w:rsid w:val="00511EB4"/>
    <w:rsid w:val="00512340"/>
    <w:rsid w:val="00512E56"/>
    <w:rsid w:val="00512FE1"/>
    <w:rsid w:val="005134FA"/>
    <w:rsid w:val="0051605E"/>
    <w:rsid w:val="00516063"/>
    <w:rsid w:val="00516F5F"/>
    <w:rsid w:val="00520493"/>
    <w:rsid w:val="00520C09"/>
    <w:rsid w:val="00520E23"/>
    <w:rsid w:val="0052103F"/>
    <w:rsid w:val="00521618"/>
    <w:rsid w:val="00521C21"/>
    <w:rsid w:val="00521CBF"/>
    <w:rsid w:val="0052291B"/>
    <w:rsid w:val="00522A10"/>
    <w:rsid w:val="00523074"/>
    <w:rsid w:val="005237CB"/>
    <w:rsid w:val="00523B3B"/>
    <w:rsid w:val="0052493C"/>
    <w:rsid w:val="005249A1"/>
    <w:rsid w:val="00524D90"/>
    <w:rsid w:val="00526104"/>
    <w:rsid w:val="00526C80"/>
    <w:rsid w:val="005307EF"/>
    <w:rsid w:val="00530DFC"/>
    <w:rsid w:val="0053191A"/>
    <w:rsid w:val="00531FD4"/>
    <w:rsid w:val="00532AA2"/>
    <w:rsid w:val="00532DF4"/>
    <w:rsid w:val="0053515C"/>
    <w:rsid w:val="0053688E"/>
    <w:rsid w:val="005369E8"/>
    <w:rsid w:val="00536B42"/>
    <w:rsid w:val="00536EB6"/>
    <w:rsid w:val="005370D7"/>
    <w:rsid w:val="005375BA"/>
    <w:rsid w:val="00542E5D"/>
    <w:rsid w:val="00543258"/>
    <w:rsid w:val="005436BA"/>
    <w:rsid w:val="00543794"/>
    <w:rsid w:val="00544CC6"/>
    <w:rsid w:val="005456D4"/>
    <w:rsid w:val="005459C8"/>
    <w:rsid w:val="00546983"/>
    <w:rsid w:val="00547284"/>
    <w:rsid w:val="005474EA"/>
    <w:rsid w:val="005477D0"/>
    <w:rsid w:val="00550895"/>
    <w:rsid w:val="00551205"/>
    <w:rsid w:val="005512A9"/>
    <w:rsid w:val="00551FE9"/>
    <w:rsid w:val="00552632"/>
    <w:rsid w:val="00552641"/>
    <w:rsid w:val="00552A9D"/>
    <w:rsid w:val="00553821"/>
    <w:rsid w:val="00556E28"/>
    <w:rsid w:val="00556EE7"/>
    <w:rsid w:val="00557093"/>
    <w:rsid w:val="00557435"/>
    <w:rsid w:val="00557F15"/>
    <w:rsid w:val="00560339"/>
    <w:rsid w:val="005606FB"/>
    <w:rsid w:val="00560946"/>
    <w:rsid w:val="00560FA6"/>
    <w:rsid w:val="005616B3"/>
    <w:rsid w:val="00561FF9"/>
    <w:rsid w:val="00562401"/>
    <w:rsid w:val="005629D0"/>
    <w:rsid w:val="005647BC"/>
    <w:rsid w:val="0056524D"/>
    <w:rsid w:val="0056552B"/>
    <w:rsid w:val="00565B09"/>
    <w:rsid w:val="00565CB1"/>
    <w:rsid w:val="00566832"/>
    <w:rsid w:val="00567406"/>
    <w:rsid w:val="00567F30"/>
    <w:rsid w:val="00570153"/>
    <w:rsid w:val="0057148A"/>
    <w:rsid w:val="00571A77"/>
    <w:rsid w:val="00571C0C"/>
    <w:rsid w:val="005724DF"/>
    <w:rsid w:val="00572DC4"/>
    <w:rsid w:val="005731FC"/>
    <w:rsid w:val="00573206"/>
    <w:rsid w:val="00573AA4"/>
    <w:rsid w:val="00574324"/>
    <w:rsid w:val="005746DE"/>
    <w:rsid w:val="0057488E"/>
    <w:rsid w:val="0057499E"/>
    <w:rsid w:val="00574EBB"/>
    <w:rsid w:val="0057556B"/>
    <w:rsid w:val="0057627A"/>
    <w:rsid w:val="00576C5E"/>
    <w:rsid w:val="00577643"/>
    <w:rsid w:val="00577C2F"/>
    <w:rsid w:val="005810D3"/>
    <w:rsid w:val="00581D1D"/>
    <w:rsid w:val="00581D5E"/>
    <w:rsid w:val="0058201D"/>
    <w:rsid w:val="00582578"/>
    <w:rsid w:val="0058329E"/>
    <w:rsid w:val="00583D9C"/>
    <w:rsid w:val="00584253"/>
    <w:rsid w:val="00584C90"/>
    <w:rsid w:val="005854FF"/>
    <w:rsid w:val="0058556C"/>
    <w:rsid w:val="005858CA"/>
    <w:rsid w:val="00585D63"/>
    <w:rsid w:val="00586422"/>
    <w:rsid w:val="00586710"/>
    <w:rsid w:val="00587D21"/>
    <w:rsid w:val="00591060"/>
    <w:rsid w:val="005913FF"/>
    <w:rsid w:val="00592564"/>
    <w:rsid w:val="00592A29"/>
    <w:rsid w:val="00594A9F"/>
    <w:rsid w:val="00595727"/>
    <w:rsid w:val="00595887"/>
    <w:rsid w:val="00595D69"/>
    <w:rsid w:val="00596C21"/>
    <w:rsid w:val="0059785C"/>
    <w:rsid w:val="005A0455"/>
    <w:rsid w:val="005A11F4"/>
    <w:rsid w:val="005A1C03"/>
    <w:rsid w:val="005A1C51"/>
    <w:rsid w:val="005A25D8"/>
    <w:rsid w:val="005A346B"/>
    <w:rsid w:val="005A4480"/>
    <w:rsid w:val="005A49C3"/>
    <w:rsid w:val="005A4A7E"/>
    <w:rsid w:val="005A52D8"/>
    <w:rsid w:val="005A5981"/>
    <w:rsid w:val="005A65BF"/>
    <w:rsid w:val="005A6649"/>
    <w:rsid w:val="005A6763"/>
    <w:rsid w:val="005A6C7C"/>
    <w:rsid w:val="005A6CCE"/>
    <w:rsid w:val="005A74C2"/>
    <w:rsid w:val="005A7A9E"/>
    <w:rsid w:val="005B1025"/>
    <w:rsid w:val="005B10DF"/>
    <w:rsid w:val="005B11AD"/>
    <w:rsid w:val="005B2243"/>
    <w:rsid w:val="005B44EB"/>
    <w:rsid w:val="005B474E"/>
    <w:rsid w:val="005B477E"/>
    <w:rsid w:val="005B4E49"/>
    <w:rsid w:val="005B4F19"/>
    <w:rsid w:val="005B62D1"/>
    <w:rsid w:val="005C0FA0"/>
    <w:rsid w:val="005C11EC"/>
    <w:rsid w:val="005C1B8A"/>
    <w:rsid w:val="005C33EE"/>
    <w:rsid w:val="005C3B17"/>
    <w:rsid w:val="005C3F89"/>
    <w:rsid w:val="005C478B"/>
    <w:rsid w:val="005C51C2"/>
    <w:rsid w:val="005C5E71"/>
    <w:rsid w:val="005C605E"/>
    <w:rsid w:val="005C64E2"/>
    <w:rsid w:val="005C678A"/>
    <w:rsid w:val="005C7B44"/>
    <w:rsid w:val="005D02FB"/>
    <w:rsid w:val="005D0373"/>
    <w:rsid w:val="005D0A8D"/>
    <w:rsid w:val="005D0F1C"/>
    <w:rsid w:val="005D0FAC"/>
    <w:rsid w:val="005D11AF"/>
    <w:rsid w:val="005D206E"/>
    <w:rsid w:val="005D2DF4"/>
    <w:rsid w:val="005D2E5B"/>
    <w:rsid w:val="005D38A6"/>
    <w:rsid w:val="005D5965"/>
    <w:rsid w:val="005D6130"/>
    <w:rsid w:val="005D6292"/>
    <w:rsid w:val="005D6E8A"/>
    <w:rsid w:val="005D763A"/>
    <w:rsid w:val="005E0914"/>
    <w:rsid w:val="005E0BBC"/>
    <w:rsid w:val="005E1B68"/>
    <w:rsid w:val="005E24BB"/>
    <w:rsid w:val="005E2C67"/>
    <w:rsid w:val="005E3D03"/>
    <w:rsid w:val="005E44BE"/>
    <w:rsid w:val="005E48B7"/>
    <w:rsid w:val="005E56D8"/>
    <w:rsid w:val="005E5C45"/>
    <w:rsid w:val="005E6358"/>
    <w:rsid w:val="005E63C4"/>
    <w:rsid w:val="005E64A2"/>
    <w:rsid w:val="005E69A0"/>
    <w:rsid w:val="005E6B49"/>
    <w:rsid w:val="005E7410"/>
    <w:rsid w:val="005E7D42"/>
    <w:rsid w:val="005E7F5E"/>
    <w:rsid w:val="005F0115"/>
    <w:rsid w:val="005F2208"/>
    <w:rsid w:val="005F297D"/>
    <w:rsid w:val="005F29F7"/>
    <w:rsid w:val="005F2B08"/>
    <w:rsid w:val="005F35D8"/>
    <w:rsid w:val="005F38EF"/>
    <w:rsid w:val="005F3A6D"/>
    <w:rsid w:val="005F4584"/>
    <w:rsid w:val="005F6618"/>
    <w:rsid w:val="005F7831"/>
    <w:rsid w:val="006007D4"/>
    <w:rsid w:val="00601696"/>
    <w:rsid w:val="00601A8C"/>
    <w:rsid w:val="00602318"/>
    <w:rsid w:val="006024AF"/>
    <w:rsid w:val="00602EF0"/>
    <w:rsid w:val="00604D7D"/>
    <w:rsid w:val="006056EF"/>
    <w:rsid w:val="00606548"/>
    <w:rsid w:val="00606765"/>
    <w:rsid w:val="0060678D"/>
    <w:rsid w:val="0060723A"/>
    <w:rsid w:val="00607C2D"/>
    <w:rsid w:val="00610A2C"/>
    <w:rsid w:val="00610DAD"/>
    <w:rsid w:val="00610E65"/>
    <w:rsid w:val="006125D2"/>
    <w:rsid w:val="00612816"/>
    <w:rsid w:val="00612C05"/>
    <w:rsid w:val="00612FCC"/>
    <w:rsid w:val="00613DA1"/>
    <w:rsid w:val="006148AF"/>
    <w:rsid w:val="006153B0"/>
    <w:rsid w:val="00615932"/>
    <w:rsid w:val="00615BB3"/>
    <w:rsid w:val="00615DAD"/>
    <w:rsid w:val="006161F9"/>
    <w:rsid w:val="00616A00"/>
    <w:rsid w:val="006205C6"/>
    <w:rsid w:val="00620A2F"/>
    <w:rsid w:val="0062260B"/>
    <w:rsid w:val="00624024"/>
    <w:rsid w:val="00624279"/>
    <w:rsid w:val="0062457C"/>
    <w:rsid w:val="00624885"/>
    <w:rsid w:val="00624A46"/>
    <w:rsid w:val="00624BF1"/>
    <w:rsid w:val="00624CE2"/>
    <w:rsid w:val="0062572B"/>
    <w:rsid w:val="006311B1"/>
    <w:rsid w:val="00631764"/>
    <w:rsid w:val="0063226D"/>
    <w:rsid w:val="006326B5"/>
    <w:rsid w:val="0063296B"/>
    <w:rsid w:val="00632E2F"/>
    <w:rsid w:val="00634D43"/>
    <w:rsid w:val="006359CF"/>
    <w:rsid w:val="00636158"/>
    <w:rsid w:val="0063645A"/>
    <w:rsid w:val="006365A3"/>
    <w:rsid w:val="006366BA"/>
    <w:rsid w:val="00636B9A"/>
    <w:rsid w:val="00636F03"/>
    <w:rsid w:val="006374D0"/>
    <w:rsid w:val="006403AD"/>
    <w:rsid w:val="00640A9F"/>
    <w:rsid w:val="00641454"/>
    <w:rsid w:val="00641765"/>
    <w:rsid w:val="006425E2"/>
    <w:rsid w:val="006437EF"/>
    <w:rsid w:val="00643887"/>
    <w:rsid w:val="00644707"/>
    <w:rsid w:val="00644839"/>
    <w:rsid w:val="00644904"/>
    <w:rsid w:val="00644A3F"/>
    <w:rsid w:val="00644BAE"/>
    <w:rsid w:val="00644F4B"/>
    <w:rsid w:val="006452E8"/>
    <w:rsid w:val="00645442"/>
    <w:rsid w:val="0064570B"/>
    <w:rsid w:val="00646862"/>
    <w:rsid w:val="006476A8"/>
    <w:rsid w:val="006477C1"/>
    <w:rsid w:val="006478F6"/>
    <w:rsid w:val="00650255"/>
    <w:rsid w:val="006505DE"/>
    <w:rsid w:val="0065140E"/>
    <w:rsid w:val="00651440"/>
    <w:rsid w:val="0065231D"/>
    <w:rsid w:val="00652395"/>
    <w:rsid w:val="006525B2"/>
    <w:rsid w:val="0065272C"/>
    <w:rsid w:val="006527AF"/>
    <w:rsid w:val="0065548C"/>
    <w:rsid w:val="0065607E"/>
    <w:rsid w:val="0065673F"/>
    <w:rsid w:val="00657AB1"/>
    <w:rsid w:val="006608D5"/>
    <w:rsid w:val="00660F86"/>
    <w:rsid w:val="00661025"/>
    <w:rsid w:val="00661BE8"/>
    <w:rsid w:val="006625D8"/>
    <w:rsid w:val="00662D2E"/>
    <w:rsid w:val="00663E7F"/>
    <w:rsid w:val="006647BB"/>
    <w:rsid w:val="0066562E"/>
    <w:rsid w:val="00666F7A"/>
    <w:rsid w:val="006679BD"/>
    <w:rsid w:val="00667B27"/>
    <w:rsid w:val="00667D19"/>
    <w:rsid w:val="00670F65"/>
    <w:rsid w:val="00671B22"/>
    <w:rsid w:val="00672C8A"/>
    <w:rsid w:val="0067300F"/>
    <w:rsid w:val="006740E4"/>
    <w:rsid w:val="006743F8"/>
    <w:rsid w:val="00674FF1"/>
    <w:rsid w:val="0067533F"/>
    <w:rsid w:val="00675583"/>
    <w:rsid w:val="00675693"/>
    <w:rsid w:val="00676029"/>
    <w:rsid w:val="0067623B"/>
    <w:rsid w:val="00676705"/>
    <w:rsid w:val="00680B41"/>
    <w:rsid w:val="00681224"/>
    <w:rsid w:val="006819A5"/>
    <w:rsid w:val="00681AC1"/>
    <w:rsid w:val="006826A6"/>
    <w:rsid w:val="0068301B"/>
    <w:rsid w:val="0068393C"/>
    <w:rsid w:val="00683ED7"/>
    <w:rsid w:val="006845A3"/>
    <w:rsid w:val="00684DE5"/>
    <w:rsid w:val="006856BF"/>
    <w:rsid w:val="00686B31"/>
    <w:rsid w:val="00686C6D"/>
    <w:rsid w:val="006870C6"/>
    <w:rsid w:val="00687390"/>
    <w:rsid w:val="00690BDC"/>
    <w:rsid w:val="00691450"/>
    <w:rsid w:val="006916ED"/>
    <w:rsid w:val="00691918"/>
    <w:rsid w:val="00691B55"/>
    <w:rsid w:val="00691F22"/>
    <w:rsid w:val="0069279B"/>
    <w:rsid w:val="00692BB8"/>
    <w:rsid w:val="00695F0D"/>
    <w:rsid w:val="00696205"/>
    <w:rsid w:val="006967C7"/>
    <w:rsid w:val="00697158"/>
    <w:rsid w:val="006A1A39"/>
    <w:rsid w:val="006A1C00"/>
    <w:rsid w:val="006A21BF"/>
    <w:rsid w:val="006A2224"/>
    <w:rsid w:val="006A2678"/>
    <w:rsid w:val="006A2EBE"/>
    <w:rsid w:val="006A3734"/>
    <w:rsid w:val="006A3992"/>
    <w:rsid w:val="006A3AAE"/>
    <w:rsid w:val="006A3F1A"/>
    <w:rsid w:val="006A403D"/>
    <w:rsid w:val="006A4422"/>
    <w:rsid w:val="006A5654"/>
    <w:rsid w:val="006A6241"/>
    <w:rsid w:val="006A6C4C"/>
    <w:rsid w:val="006A7D16"/>
    <w:rsid w:val="006A7FF9"/>
    <w:rsid w:val="006B01CB"/>
    <w:rsid w:val="006B0460"/>
    <w:rsid w:val="006B0657"/>
    <w:rsid w:val="006B0E62"/>
    <w:rsid w:val="006B1DC9"/>
    <w:rsid w:val="006B300B"/>
    <w:rsid w:val="006B37AB"/>
    <w:rsid w:val="006B41FA"/>
    <w:rsid w:val="006B6517"/>
    <w:rsid w:val="006B68D7"/>
    <w:rsid w:val="006B69DD"/>
    <w:rsid w:val="006B6A0F"/>
    <w:rsid w:val="006C1121"/>
    <w:rsid w:val="006C1A23"/>
    <w:rsid w:val="006C1D21"/>
    <w:rsid w:val="006C20D3"/>
    <w:rsid w:val="006C3544"/>
    <w:rsid w:val="006C3A12"/>
    <w:rsid w:val="006C3D03"/>
    <w:rsid w:val="006C4F0C"/>
    <w:rsid w:val="006C53DA"/>
    <w:rsid w:val="006C66CF"/>
    <w:rsid w:val="006C78E5"/>
    <w:rsid w:val="006C7A44"/>
    <w:rsid w:val="006C7B84"/>
    <w:rsid w:val="006C7E6A"/>
    <w:rsid w:val="006C7EEC"/>
    <w:rsid w:val="006D142C"/>
    <w:rsid w:val="006D1668"/>
    <w:rsid w:val="006D17D4"/>
    <w:rsid w:val="006D2414"/>
    <w:rsid w:val="006D2782"/>
    <w:rsid w:val="006D28B7"/>
    <w:rsid w:val="006D2D86"/>
    <w:rsid w:val="006D308A"/>
    <w:rsid w:val="006D3570"/>
    <w:rsid w:val="006D35DB"/>
    <w:rsid w:val="006D382A"/>
    <w:rsid w:val="006D3CAE"/>
    <w:rsid w:val="006D538C"/>
    <w:rsid w:val="006D576B"/>
    <w:rsid w:val="006D608F"/>
    <w:rsid w:val="006D618A"/>
    <w:rsid w:val="006D6500"/>
    <w:rsid w:val="006D7040"/>
    <w:rsid w:val="006D7B08"/>
    <w:rsid w:val="006E0CB0"/>
    <w:rsid w:val="006E1535"/>
    <w:rsid w:val="006E1F31"/>
    <w:rsid w:val="006E2404"/>
    <w:rsid w:val="006E4946"/>
    <w:rsid w:val="006E4F40"/>
    <w:rsid w:val="006E5315"/>
    <w:rsid w:val="006E62C3"/>
    <w:rsid w:val="006E63EA"/>
    <w:rsid w:val="006E6FFB"/>
    <w:rsid w:val="006E7872"/>
    <w:rsid w:val="006F04E2"/>
    <w:rsid w:val="006F0CFC"/>
    <w:rsid w:val="006F0FA7"/>
    <w:rsid w:val="006F12E9"/>
    <w:rsid w:val="006F1840"/>
    <w:rsid w:val="006F19CA"/>
    <w:rsid w:val="006F1B09"/>
    <w:rsid w:val="006F3D4D"/>
    <w:rsid w:val="006F42FA"/>
    <w:rsid w:val="006F5583"/>
    <w:rsid w:val="006F7ED3"/>
    <w:rsid w:val="00700CCF"/>
    <w:rsid w:val="0070125A"/>
    <w:rsid w:val="00701CBA"/>
    <w:rsid w:val="00702112"/>
    <w:rsid w:val="00702491"/>
    <w:rsid w:val="0070362E"/>
    <w:rsid w:val="00703CB8"/>
    <w:rsid w:val="00705026"/>
    <w:rsid w:val="00705C2F"/>
    <w:rsid w:val="007070A2"/>
    <w:rsid w:val="00707512"/>
    <w:rsid w:val="00707745"/>
    <w:rsid w:val="00707857"/>
    <w:rsid w:val="00707900"/>
    <w:rsid w:val="00710384"/>
    <w:rsid w:val="007107D4"/>
    <w:rsid w:val="00710D59"/>
    <w:rsid w:val="007121F2"/>
    <w:rsid w:val="00713C42"/>
    <w:rsid w:val="00713E93"/>
    <w:rsid w:val="00713EC9"/>
    <w:rsid w:val="007142D7"/>
    <w:rsid w:val="00714493"/>
    <w:rsid w:val="00714857"/>
    <w:rsid w:val="007160F5"/>
    <w:rsid w:val="0071614B"/>
    <w:rsid w:val="00716CDC"/>
    <w:rsid w:val="0071721E"/>
    <w:rsid w:val="00717FA5"/>
    <w:rsid w:val="0072104D"/>
    <w:rsid w:val="0072149F"/>
    <w:rsid w:val="00722AF0"/>
    <w:rsid w:val="00723379"/>
    <w:rsid w:val="0072339E"/>
    <w:rsid w:val="00724344"/>
    <w:rsid w:val="007247D7"/>
    <w:rsid w:val="0072582C"/>
    <w:rsid w:val="00725936"/>
    <w:rsid w:val="0072741F"/>
    <w:rsid w:val="00727BCA"/>
    <w:rsid w:val="00727F41"/>
    <w:rsid w:val="007304D0"/>
    <w:rsid w:val="00730C57"/>
    <w:rsid w:val="00730D3F"/>
    <w:rsid w:val="00730FFD"/>
    <w:rsid w:val="00731096"/>
    <w:rsid w:val="00732404"/>
    <w:rsid w:val="0073267F"/>
    <w:rsid w:val="00733160"/>
    <w:rsid w:val="0073366F"/>
    <w:rsid w:val="00733D8E"/>
    <w:rsid w:val="00734395"/>
    <w:rsid w:val="00735585"/>
    <w:rsid w:val="007359C9"/>
    <w:rsid w:val="00735D21"/>
    <w:rsid w:val="00736458"/>
    <w:rsid w:val="007367D8"/>
    <w:rsid w:val="00737481"/>
    <w:rsid w:val="00737855"/>
    <w:rsid w:val="00737A56"/>
    <w:rsid w:val="00737D0A"/>
    <w:rsid w:val="00740289"/>
    <w:rsid w:val="0074028C"/>
    <w:rsid w:val="007408A4"/>
    <w:rsid w:val="00740EE9"/>
    <w:rsid w:val="00740F58"/>
    <w:rsid w:val="00742058"/>
    <w:rsid w:val="007426F9"/>
    <w:rsid w:val="0074280D"/>
    <w:rsid w:val="0074337F"/>
    <w:rsid w:val="007436D4"/>
    <w:rsid w:val="00743F39"/>
    <w:rsid w:val="0074421F"/>
    <w:rsid w:val="00745063"/>
    <w:rsid w:val="00745600"/>
    <w:rsid w:val="007456F5"/>
    <w:rsid w:val="007465FB"/>
    <w:rsid w:val="00746ADE"/>
    <w:rsid w:val="00746E6A"/>
    <w:rsid w:val="007477FE"/>
    <w:rsid w:val="00747F03"/>
    <w:rsid w:val="007502CA"/>
    <w:rsid w:val="00751B5A"/>
    <w:rsid w:val="0075344B"/>
    <w:rsid w:val="007537FD"/>
    <w:rsid w:val="007541A7"/>
    <w:rsid w:val="00754591"/>
    <w:rsid w:val="00755022"/>
    <w:rsid w:val="007552E8"/>
    <w:rsid w:val="00755B29"/>
    <w:rsid w:val="007562E3"/>
    <w:rsid w:val="007566D6"/>
    <w:rsid w:val="007569EC"/>
    <w:rsid w:val="00756A7C"/>
    <w:rsid w:val="00756AFD"/>
    <w:rsid w:val="00756BC6"/>
    <w:rsid w:val="007571F7"/>
    <w:rsid w:val="00757843"/>
    <w:rsid w:val="00757CE0"/>
    <w:rsid w:val="00760981"/>
    <w:rsid w:val="00760ADA"/>
    <w:rsid w:val="00761113"/>
    <w:rsid w:val="007616E1"/>
    <w:rsid w:val="00762766"/>
    <w:rsid w:val="00763A80"/>
    <w:rsid w:val="007642FE"/>
    <w:rsid w:val="00764FBE"/>
    <w:rsid w:val="00765298"/>
    <w:rsid w:val="00765DD8"/>
    <w:rsid w:val="007661C5"/>
    <w:rsid w:val="00767A82"/>
    <w:rsid w:val="00767F4A"/>
    <w:rsid w:val="00770B85"/>
    <w:rsid w:val="00770FA0"/>
    <w:rsid w:val="00771BCC"/>
    <w:rsid w:val="00772165"/>
    <w:rsid w:val="00772651"/>
    <w:rsid w:val="007736B0"/>
    <w:rsid w:val="00774631"/>
    <w:rsid w:val="0077567F"/>
    <w:rsid w:val="00775AAF"/>
    <w:rsid w:val="00775BA7"/>
    <w:rsid w:val="00776C0D"/>
    <w:rsid w:val="00776C38"/>
    <w:rsid w:val="00776F3F"/>
    <w:rsid w:val="00777BAE"/>
    <w:rsid w:val="007801BA"/>
    <w:rsid w:val="00780E12"/>
    <w:rsid w:val="00780E5A"/>
    <w:rsid w:val="00781215"/>
    <w:rsid w:val="00781AE0"/>
    <w:rsid w:val="0078213E"/>
    <w:rsid w:val="00782D2B"/>
    <w:rsid w:val="00783C29"/>
    <w:rsid w:val="00784F35"/>
    <w:rsid w:val="0078793B"/>
    <w:rsid w:val="00787C4B"/>
    <w:rsid w:val="0079018A"/>
    <w:rsid w:val="00791722"/>
    <w:rsid w:val="00791D2B"/>
    <w:rsid w:val="00793C86"/>
    <w:rsid w:val="0079414A"/>
    <w:rsid w:val="007944E6"/>
    <w:rsid w:val="00794641"/>
    <w:rsid w:val="0079497E"/>
    <w:rsid w:val="00795255"/>
    <w:rsid w:val="0079526F"/>
    <w:rsid w:val="007952C2"/>
    <w:rsid w:val="00795DD4"/>
    <w:rsid w:val="00796623"/>
    <w:rsid w:val="00797D34"/>
    <w:rsid w:val="007A08A9"/>
    <w:rsid w:val="007A1E7C"/>
    <w:rsid w:val="007A2314"/>
    <w:rsid w:val="007A4295"/>
    <w:rsid w:val="007A59A6"/>
    <w:rsid w:val="007A5A2E"/>
    <w:rsid w:val="007A5D34"/>
    <w:rsid w:val="007B0174"/>
    <w:rsid w:val="007B093B"/>
    <w:rsid w:val="007B0940"/>
    <w:rsid w:val="007B209B"/>
    <w:rsid w:val="007B218F"/>
    <w:rsid w:val="007B25ED"/>
    <w:rsid w:val="007B31AF"/>
    <w:rsid w:val="007B3515"/>
    <w:rsid w:val="007B3F9F"/>
    <w:rsid w:val="007B41F6"/>
    <w:rsid w:val="007B4627"/>
    <w:rsid w:val="007B5610"/>
    <w:rsid w:val="007B56FD"/>
    <w:rsid w:val="007B5BB5"/>
    <w:rsid w:val="007B7074"/>
    <w:rsid w:val="007B71E6"/>
    <w:rsid w:val="007B735B"/>
    <w:rsid w:val="007C0CE4"/>
    <w:rsid w:val="007C148A"/>
    <w:rsid w:val="007C297E"/>
    <w:rsid w:val="007C2D80"/>
    <w:rsid w:val="007C3B84"/>
    <w:rsid w:val="007C4DE0"/>
    <w:rsid w:val="007C50C9"/>
    <w:rsid w:val="007C52DA"/>
    <w:rsid w:val="007C628D"/>
    <w:rsid w:val="007C7D21"/>
    <w:rsid w:val="007D0077"/>
    <w:rsid w:val="007D0873"/>
    <w:rsid w:val="007D1D0C"/>
    <w:rsid w:val="007D243C"/>
    <w:rsid w:val="007D3428"/>
    <w:rsid w:val="007D3ABA"/>
    <w:rsid w:val="007D3F37"/>
    <w:rsid w:val="007D5006"/>
    <w:rsid w:val="007D5132"/>
    <w:rsid w:val="007D5382"/>
    <w:rsid w:val="007D6476"/>
    <w:rsid w:val="007D730B"/>
    <w:rsid w:val="007E00CC"/>
    <w:rsid w:val="007E0401"/>
    <w:rsid w:val="007E168C"/>
    <w:rsid w:val="007E1B43"/>
    <w:rsid w:val="007E29FC"/>
    <w:rsid w:val="007E2FB9"/>
    <w:rsid w:val="007E30E7"/>
    <w:rsid w:val="007E39A2"/>
    <w:rsid w:val="007E4440"/>
    <w:rsid w:val="007E5C23"/>
    <w:rsid w:val="007E5CF6"/>
    <w:rsid w:val="007E77E9"/>
    <w:rsid w:val="007E7E52"/>
    <w:rsid w:val="007F0446"/>
    <w:rsid w:val="007F0496"/>
    <w:rsid w:val="007F07A9"/>
    <w:rsid w:val="007F1535"/>
    <w:rsid w:val="007F2320"/>
    <w:rsid w:val="007F2782"/>
    <w:rsid w:val="007F3829"/>
    <w:rsid w:val="007F4978"/>
    <w:rsid w:val="007F4B68"/>
    <w:rsid w:val="007F5597"/>
    <w:rsid w:val="007F68B9"/>
    <w:rsid w:val="007F6BCB"/>
    <w:rsid w:val="007F7191"/>
    <w:rsid w:val="007F72CA"/>
    <w:rsid w:val="007F7749"/>
    <w:rsid w:val="00800040"/>
    <w:rsid w:val="008000F1"/>
    <w:rsid w:val="008008C5"/>
    <w:rsid w:val="00802FFD"/>
    <w:rsid w:val="00804274"/>
    <w:rsid w:val="008046A7"/>
    <w:rsid w:val="0080567D"/>
    <w:rsid w:val="00806F9B"/>
    <w:rsid w:val="00806FE3"/>
    <w:rsid w:val="00807A58"/>
    <w:rsid w:val="0081007B"/>
    <w:rsid w:val="008100D3"/>
    <w:rsid w:val="00810746"/>
    <w:rsid w:val="008111BB"/>
    <w:rsid w:val="0081221B"/>
    <w:rsid w:val="00812417"/>
    <w:rsid w:val="00814CD9"/>
    <w:rsid w:val="0081541C"/>
    <w:rsid w:val="00815CC0"/>
    <w:rsid w:val="0081670A"/>
    <w:rsid w:val="00816C03"/>
    <w:rsid w:val="00817C86"/>
    <w:rsid w:val="00817D08"/>
    <w:rsid w:val="00817E85"/>
    <w:rsid w:val="0082224D"/>
    <w:rsid w:val="00823426"/>
    <w:rsid w:val="00823ABB"/>
    <w:rsid w:val="00825C65"/>
    <w:rsid w:val="00826400"/>
    <w:rsid w:val="00826BCB"/>
    <w:rsid w:val="00830775"/>
    <w:rsid w:val="00831D39"/>
    <w:rsid w:val="008325D7"/>
    <w:rsid w:val="00832E8A"/>
    <w:rsid w:val="008333AD"/>
    <w:rsid w:val="0083363A"/>
    <w:rsid w:val="00833719"/>
    <w:rsid w:val="008337DF"/>
    <w:rsid w:val="0083419A"/>
    <w:rsid w:val="0083478B"/>
    <w:rsid w:val="008347E6"/>
    <w:rsid w:val="008367F0"/>
    <w:rsid w:val="008374C9"/>
    <w:rsid w:val="0083760E"/>
    <w:rsid w:val="008401FF"/>
    <w:rsid w:val="008411FE"/>
    <w:rsid w:val="00841485"/>
    <w:rsid w:val="00841EF8"/>
    <w:rsid w:val="00841FCA"/>
    <w:rsid w:val="00842F8A"/>
    <w:rsid w:val="00843A17"/>
    <w:rsid w:val="00845214"/>
    <w:rsid w:val="008458CD"/>
    <w:rsid w:val="008462FF"/>
    <w:rsid w:val="008464A2"/>
    <w:rsid w:val="00847137"/>
    <w:rsid w:val="00847311"/>
    <w:rsid w:val="008475FE"/>
    <w:rsid w:val="00850053"/>
    <w:rsid w:val="0085037B"/>
    <w:rsid w:val="00850436"/>
    <w:rsid w:val="00850E0E"/>
    <w:rsid w:val="00850FC1"/>
    <w:rsid w:val="00851AA3"/>
    <w:rsid w:val="00852024"/>
    <w:rsid w:val="0085288D"/>
    <w:rsid w:val="00854A13"/>
    <w:rsid w:val="00855165"/>
    <w:rsid w:val="008551F2"/>
    <w:rsid w:val="0085541F"/>
    <w:rsid w:val="008557FE"/>
    <w:rsid w:val="00856172"/>
    <w:rsid w:val="00856CA4"/>
    <w:rsid w:val="00857290"/>
    <w:rsid w:val="008572E1"/>
    <w:rsid w:val="00857C8F"/>
    <w:rsid w:val="0086134D"/>
    <w:rsid w:val="00862640"/>
    <w:rsid w:val="00862A3D"/>
    <w:rsid w:val="00863362"/>
    <w:rsid w:val="00863507"/>
    <w:rsid w:val="0086532C"/>
    <w:rsid w:val="008653ED"/>
    <w:rsid w:val="008660D6"/>
    <w:rsid w:val="0086631B"/>
    <w:rsid w:val="00867177"/>
    <w:rsid w:val="00867876"/>
    <w:rsid w:val="00867CB3"/>
    <w:rsid w:val="00867E24"/>
    <w:rsid w:val="00867E51"/>
    <w:rsid w:val="00867F41"/>
    <w:rsid w:val="00870E6B"/>
    <w:rsid w:val="0087161A"/>
    <w:rsid w:val="0087208F"/>
    <w:rsid w:val="008735F8"/>
    <w:rsid w:val="00873DAA"/>
    <w:rsid w:val="00874190"/>
    <w:rsid w:val="00875113"/>
    <w:rsid w:val="00875187"/>
    <w:rsid w:val="00876695"/>
    <w:rsid w:val="008766E7"/>
    <w:rsid w:val="00876EAD"/>
    <w:rsid w:val="008778E6"/>
    <w:rsid w:val="008812B3"/>
    <w:rsid w:val="008824F2"/>
    <w:rsid w:val="008826BB"/>
    <w:rsid w:val="008828C2"/>
    <w:rsid w:val="00883AFA"/>
    <w:rsid w:val="0088457F"/>
    <w:rsid w:val="00884B05"/>
    <w:rsid w:val="00884B4D"/>
    <w:rsid w:val="00884C56"/>
    <w:rsid w:val="008852C2"/>
    <w:rsid w:val="00885843"/>
    <w:rsid w:val="00885B7B"/>
    <w:rsid w:val="00886341"/>
    <w:rsid w:val="008863C9"/>
    <w:rsid w:val="00886D14"/>
    <w:rsid w:val="008871D5"/>
    <w:rsid w:val="008878AB"/>
    <w:rsid w:val="00887B4E"/>
    <w:rsid w:val="00887C05"/>
    <w:rsid w:val="00887D27"/>
    <w:rsid w:val="008905AD"/>
    <w:rsid w:val="008918BE"/>
    <w:rsid w:val="00892622"/>
    <w:rsid w:val="008932AA"/>
    <w:rsid w:val="008934AA"/>
    <w:rsid w:val="00894928"/>
    <w:rsid w:val="00895541"/>
    <w:rsid w:val="00895AFA"/>
    <w:rsid w:val="00895E20"/>
    <w:rsid w:val="00896D64"/>
    <w:rsid w:val="00896D86"/>
    <w:rsid w:val="00897D29"/>
    <w:rsid w:val="00897F80"/>
    <w:rsid w:val="008A0209"/>
    <w:rsid w:val="008A0F15"/>
    <w:rsid w:val="008A1A8F"/>
    <w:rsid w:val="008A2F78"/>
    <w:rsid w:val="008A360D"/>
    <w:rsid w:val="008A378F"/>
    <w:rsid w:val="008A3B5C"/>
    <w:rsid w:val="008A53D0"/>
    <w:rsid w:val="008A670C"/>
    <w:rsid w:val="008A78EE"/>
    <w:rsid w:val="008B01E5"/>
    <w:rsid w:val="008B0D58"/>
    <w:rsid w:val="008B17E4"/>
    <w:rsid w:val="008B19DB"/>
    <w:rsid w:val="008B23EE"/>
    <w:rsid w:val="008B29A7"/>
    <w:rsid w:val="008B4F00"/>
    <w:rsid w:val="008B5C68"/>
    <w:rsid w:val="008B5D58"/>
    <w:rsid w:val="008B63C1"/>
    <w:rsid w:val="008B7227"/>
    <w:rsid w:val="008B7237"/>
    <w:rsid w:val="008B7A24"/>
    <w:rsid w:val="008B7EDF"/>
    <w:rsid w:val="008B7EEB"/>
    <w:rsid w:val="008B7EF8"/>
    <w:rsid w:val="008B7FBF"/>
    <w:rsid w:val="008C1121"/>
    <w:rsid w:val="008C153E"/>
    <w:rsid w:val="008C1807"/>
    <w:rsid w:val="008C2014"/>
    <w:rsid w:val="008C22B0"/>
    <w:rsid w:val="008C39C9"/>
    <w:rsid w:val="008C39CE"/>
    <w:rsid w:val="008C3A58"/>
    <w:rsid w:val="008C4014"/>
    <w:rsid w:val="008C4F9D"/>
    <w:rsid w:val="008C5ACD"/>
    <w:rsid w:val="008C6714"/>
    <w:rsid w:val="008C6732"/>
    <w:rsid w:val="008C6808"/>
    <w:rsid w:val="008C7A05"/>
    <w:rsid w:val="008D0430"/>
    <w:rsid w:val="008D0BB1"/>
    <w:rsid w:val="008D16DA"/>
    <w:rsid w:val="008D2961"/>
    <w:rsid w:val="008D38E0"/>
    <w:rsid w:val="008D40EE"/>
    <w:rsid w:val="008D60E4"/>
    <w:rsid w:val="008E375E"/>
    <w:rsid w:val="008E39B8"/>
    <w:rsid w:val="008E4BAE"/>
    <w:rsid w:val="008E4F82"/>
    <w:rsid w:val="008E5EAF"/>
    <w:rsid w:val="008E6C1C"/>
    <w:rsid w:val="008E6CB9"/>
    <w:rsid w:val="008E7231"/>
    <w:rsid w:val="008F0B67"/>
    <w:rsid w:val="008F0CEC"/>
    <w:rsid w:val="008F28F6"/>
    <w:rsid w:val="008F2D80"/>
    <w:rsid w:val="008F3E9C"/>
    <w:rsid w:val="008F42EE"/>
    <w:rsid w:val="008F501F"/>
    <w:rsid w:val="008F50CC"/>
    <w:rsid w:val="008F510F"/>
    <w:rsid w:val="008F59AF"/>
    <w:rsid w:val="008F5D6B"/>
    <w:rsid w:val="008F5F27"/>
    <w:rsid w:val="008F62B6"/>
    <w:rsid w:val="008F674C"/>
    <w:rsid w:val="008F76DB"/>
    <w:rsid w:val="008F7AF4"/>
    <w:rsid w:val="008F7CAB"/>
    <w:rsid w:val="0090047C"/>
    <w:rsid w:val="0090050C"/>
    <w:rsid w:val="009008B3"/>
    <w:rsid w:val="00900CBF"/>
    <w:rsid w:val="00900F1F"/>
    <w:rsid w:val="00901289"/>
    <w:rsid w:val="00902755"/>
    <w:rsid w:val="00902DE4"/>
    <w:rsid w:val="00903E44"/>
    <w:rsid w:val="00904478"/>
    <w:rsid w:val="00904DC6"/>
    <w:rsid w:val="00905581"/>
    <w:rsid w:val="0090602D"/>
    <w:rsid w:val="00906AF6"/>
    <w:rsid w:val="00907C42"/>
    <w:rsid w:val="00907F84"/>
    <w:rsid w:val="00910271"/>
    <w:rsid w:val="00910D14"/>
    <w:rsid w:val="009118AC"/>
    <w:rsid w:val="0091200D"/>
    <w:rsid w:val="0091224F"/>
    <w:rsid w:val="009126C6"/>
    <w:rsid w:val="00912F19"/>
    <w:rsid w:val="009133DC"/>
    <w:rsid w:val="0091347B"/>
    <w:rsid w:val="00913CC8"/>
    <w:rsid w:val="00913FDD"/>
    <w:rsid w:val="00914635"/>
    <w:rsid w:val="00915556"/>
    <w:rsid w:val="00915A5D"/>
    <w:rsid w:val="00915FF7"/>
    <w:rsid w:val="009164F0"/>
    <w:rsid w:val="0091664F"/>
    <w:rsid w:val="00916D90"/>
    <w:rsid w:val="00920850"/>
    <w:rsid w:val="00920973"/>
    <w:rsid w:val="00920BB0"/>
    <w:rsid w:val="00921282"/>
    <w:rsid w:val="00921B04"/>
    <w:rsid w:val="00922F2D"/>
    <w:rsid w:val="00923520"/>
    <w:rsid w:val="00923964"/>
    <w:rsid w:val="00924B31"/>
    <w:rsid w:val="00924B4C"/>
    <w:rsid w:val="009251DB"/>
    <w:rsid w:val="0092572B"/>
    <w:rsid w:val="00925FFE"/>
    <w:rsid w:val="009262D5"/>
    <w:rsid w:val="00926F96"/>
    <w:rsid w:val="0093084F"/>
    <w:rsid w:val="00930C99"/>
    <w:rsid w:val="0093167F"/>
    <w:rsid w:val="00931C17"/>
    <w:rsid w:val="009323CF"/>
    <w:rsid w:val="009333D1"/>
    <w:rsid w:val="009338E2"/>
    <w:rsid w:val="00934072"/>
    <w:rsid w:val="0093434C"/>
    <w:rsid w:val="0093489B"/>
    <w:rsid w:val="009348A6"/>
    <w:rsid w:val="009350D0"/>
    <w:rsid w:val="00935389"/>
    <w:rsid w:val="00935FAA"/>
    <w:rsid w:val="00936090"/>
    <w:rsid w:val="0093635F"/>
    <w:rsid w:val="009365F8"/>
    <w:rsid w:val="00937087"/>
    <w:rsid w:val="009378D0"/>
    <w:rsid w:val="00937D35"/>
    <w:rsid w:val="0094042B"/>
    <w:rsid w:val="009404D1"/>
    <w:rsid w:val="00941770"/>
    <w:rsid w:val="009417CA"/>
    <w:rsid w:val="00941872"/>
    <w:rsid w:val="009439BB"/>
    <w:rsid w:val="00943A7C"/>
    <w:rsid w:val="00943B3D"/>
    <w:rsid w:val="009441C2"/>
    <w:rsid w:val="009443EF"/>
    <w:rsid w:val="00944BB9"/>
    <w:rsid w:val="00944DD5"/>
    <w:rsid w:val="00945010"/>
    <w:rsid w:val="00945343"/>
    <w:rsid w:val="0094572F"/>
    <w:rsid w:val="00945DB8"/>
    <w:rsid w:val="009461E8"/>
    <w:rsid w:val="009464D5"/>
    <w:rsid w:val="009468F6"/>
    <w:rsid w:val="00946CBF"/>
    <w:rsid w:val="0094787A"/>
    <w:rsid w:val="00947C0D"/>
    <w:rsid w:val="00947C4F"/>
    <w:rsid w:val="009508A6"/>
    <w:rsid w:val="00950E3B"/>
    <w:rsid w:val="009510AF"/>
    <w:rsid w:val="009531B9"/>
    <w:rsid w:val="00953B42"/>
    <w:rsid w:val="00954DDF"/>
    <w:rsid w:val="00955A79"/>
    <w:rsid w:val="00955AAA"/>
    <w:rsid w:val="0096083F"/>
    <w:rsid w:val="00960B93"/>
    <w:rsid w:val="00960CA8"/>
    <w:rsid w:val="00960CEB"/>
    <w:rsid w:val="00961F93"/>
    <w:rsid w:val="00962BF4"/>
    <w:rsid w:val="00963B80"/>
    <w:rsid w:val="00965653"/>
    <w:rsid w:val="00966C60"/>
    <w:rsid w:val="00967DDA"/>
    <w:rsid w:val="00970D98"/>
    <w:rsid w:val="00970DBB"/>
    <w:rsid w:val="0097158A"/>
    <w:rsid w:val="0097167E"/>
    <w:rsid w:val="00971D85"/>
    <w:rsid w:val="009720A9"/>
    <w:rsid w:val="009728E5"/>
    <w:rsid w:val="00973A5A"/>
    <w:rsid w:val="00973C41"/>
    <w:rsid w:val="00974DEA"/>
    <w:rsid w:val="00975360"/>
    <w:rsid w:val="00975CCC"/>
    <w:rsid w:val="009761CA"/>
    <w:rsid w:val="00976F71"/>
    <w:rsid w:val="00980908"/>
    <w:rsid w:val="009813F2"/>
    <w:rsid w:val="00982034"/>
    <w:rsid w:val="0098226F"/>
    <w:rsid w:val="009832F2"/>
    <w:rsid w:val="0098334C"/>
    <w:rsid w:val="00983B1B"/>
    <w:rsid w:val="00984A87"/>
    <w:rsid w:val="00984E51"/>
    <w:rsid w:val="0098627B"/>
    <w:rsid w:val="0098668F"/>
    <w:rsid w:val="009868BC"/>
    <w:rsid w:val="00986AA3"/>
    <w:rsid w:val="00987061"/>
    <w:rsid w:val="00987686"/>
    <w:rsid w:val="00987755"/>
    <w:rsid w:val="00987925"/>
    <w:rsid w:val="00987937"/>
    <w:rsid w:val="00987D57"/>
    <w:rsid w:val="00990A91"/>
    <w:rsid w:val="00991A3E"/>
    <w:rsid w:val="00991D3B"/>
    <w:rsid w:val="00993AAF"/>
    <w:rsid w:val="00995849"/>
    <w:rsid w:val="009959D9"/>
    <w:rsid w:val="00995CDD"/>
    <w:rsid w:val="0099638F"/>
    <w:rsid w:val="009969DD"/>
    <w:rsid w:val="00996A95"/>
    <w:rsid w:val="00997A0D"/>
    <w:rsid w:val="009A0C91"/>
    <w:rsid w:val="009A0E99"/>
    <w:rsid w:val="009A244D"/>
    <w:rsid w:val="009A33E3"/>
    <w:rsid w:val="009A4CA0"/>
    <w:rsid w:val="009A51FF"/>
    <w:rsid w:val="009A55BF"/>
    <w:rsid w:val="009A5D03"/>
    <w:rsid w:val="009A5E69"/>
    <w:rsid w:val="009A67ED"/>
    <w:rsid w:val="009B0091"/>
    <w:rsid w:val="009B012B"/>
    <w:rsid w:val="009B0335"/>
    <w:rsid w:val="009B20AA"/>
    <w:rsid w:val="009B344E"/>
    <w:rsid w:val="009B3CE1"/>
    <w:rsid w:val="009B3D0A"/>
    <w:rsid w:val="009B4E71"/>
    <w:rsid w:val="009B4EC7"/>
    <w:rsid w:val="009B5A4C"/>
    <w:rsid w:val="009B64EA"/>
    <w:rsid w:val="009B6949"/>
    <w:rsid w:val="009B6D32"/>
    <w:rsid w:val="009B7482"/>
    <w:rsid w:val="009C0506"/>
    <w:rsid w:val="009C0BC6"/>
    <w:rsid w:val="009C0E40"/>
    <w:rsid w:val="009C1835"/>
    <w:rsid w:val="009C2102"/>
    <w:rsid w:val="009C2A5D"/>
    <w:rsid w:val="009C2F63"/>
    <w:rsid w:val="009C354A"/>
    <w:rsid w:val="009C3C3E"/>
    <w:rsid w:val="009C3F3F"/>
    <w:rsid w:val="009C4174"/>
    <w:rsid w:val="009C50A2"/>
    <w:rsid w:val="009C667D"/>
    <w:rsid w:val="009C6846"/>
    <w:rsid w:val="009C7F53"/>
    <w:rsid w:val="009D187A"/>
    <w:rsid w:val="009D1CA1"/>
    <w:rsid w:val="009D2912"/>
    <w:rsid w:val="009D3DC0"/>
    <w:rsid w:val="009D44C6"/>
    <w:rsid w:val="009D4D07"/>
    <w:rsid w:val="009D59E3"/>
    <w:rsid w:val="009D5FDA"/>
    <w:rsid w:val="009D61D3"/>
    <w:rsid w:val="009D6320"/>
    <w:rsid w:val="009D6BB4"/>
    <w:rsid w:val="009D6BFF"/>
    <w:rsid w:val="009D7034"/>
    <w:rsid w:val="009D7106"/>
    <w:rsid w:val="009D7472"/>
    <w:rsid w:val="009D7F42"/>
    <w:rsid w:val="009E1483"/>
    <w:rsid w:val="009E1AB8"/>
    <w:rsid w:val="009E1BD0"/>
    <w:rsid w:val="009E2288"/>
    <w:rsid w:val="009E2FC1"/>
    <w:rsid w:val="009E4030"/>
    <w:rsid w:val="009E4727"/>
    <w:rsid w:val="009E49FF"/>
    <w:rsid w:val="009E54F2"/>
    <w:rsid w:val="009E62E0"/>
    <w:rsid w:val="009E68EB"/>
    <w:rsid w:val="009E6D84"/>
    <w:rsid w:val="009E700E"/>
    <w:rsid w:val="009E7D0F"/>
    <w:rsid w:val="009F1F04"/>
    <w:rsid w:val="009F20FD"/>
    <w:rsid w:val="009F520F"/>
    <w:rsid w:val="009F530D"/>
    <w:rsid w:val="009F58C0"/>
    <w:rsid w:val="009F5A9E"/>
    <w:rsid w:val="009F602D"/>
    <w:rsid w:val="009F6377"/>
    <w:rsid w:val="009F6B98"/>
    <w:rsid w:val="009F701B"/>
    <w:rsid w:val="009F7255"/>
    <w:rsid w:val="009F7F2C"/>
    <w:rsid w:val="00A002F4"/>
    <w:rsid w:val="00A0111C"/>
    <w:rsid w:val="00A01528"/>
    <w:rsid w:val="00A019F9"/>
    <w:rsid w:val="00A02D7E"/>
    <w:rsid w:val="00A03280"/>
    <w:rsid w:val="00A03655"/>
    <w:rsid w:val="00A03954"/>
    <w:rsid w:val="00A03AC8"/>
    <w:rsid w:val="00A03B83"/>
    <w:rsid w:val="00A04022"/>
    <w:rsid w:val="00A043A6"/>
    <w:rsid w:val="00A051D7"/>
    <w:rsid w:val="00A05343"/>
    <w:rsid w:val="00A0574E"/>
    <w:rsid w:val="00A06BDB"/>
    <w:rsid w:val="00A105C7"/>
    <w:rsid w:val="00A1083A"/>
    <w:rsid w:val="00A10D80"/>
    <w:rsid w:val="00A111AA"/>
    <w:rsid w:val="00A11671"/>
    <w:rsid w:val="00A11971"/>
    <w:rsid w:val="00A124BB"/>
    <w:rsid w:val="00A12637"/>
    <w:rsid w:val="00A129EA"/>
    <w:rsid w:val="00A12C48"/>
    <w:rsid w:val="00A132E2"/>
    <w:rsid w:val="00A13694"/>
    <w:rsid w:val="00A13913"/>
    <w:rsid w:val="00A13D87"/>
    <w:rsid w:val="00A14237"/>
    <w:rsid w:val="00A14800"/>
    <w:rsid w:val="00A14B42"/>
    <w:rsid w:val="00A14DA4"/>
    <w:rsid w:val="00A1699B"/>
    <w:rsid w:val="00A16FFE"/>
    <w:rsid w:val="00A1727B"/>
    <w:rsid w:val="00A1732C"/>
    <w:rsid w:val="00A17362"/>
    <w:rsid w:val="00A17479"/>
    <w:rsid w:val="00A1748C"/>
    <w:rsid w:val="00A17925"/>
    <w:rsid w:val="00A17F9C"/>
    <w:rsid w:val="00A2026E"/>
    <w:rsid w:val="00A210BC"/>
    <w:rsid w:val="00A210C2"/>
    <w:rsid w:val="00A219C5"/>
    <w:rsid w:val="00A2306E"/>
    <w:rsid w:val="00A23D89"/>
    <w:rsid w:val="00A23FF6"/>
    <w:rsid w:val="00A24E94"/>
    <w:rsid w:val="00A259CE"/>
    <w:rsid w:val="00A25F85"/>
    <w:rsid w:val="00A25FF5"/>
    <w:rsid w:val="00A26EEC"/>
    <w:rsid w:val="00A31748"/>
    <w:rsid w:val="00A32CDF"/>
    <w:rsid w:val="00A3301D"/>
    <w:rsid w:val="00A333AA"/>
    <w:rsid w:val="00A35577"/>
    <w:rsid w:val="00A36D56"/>
    <w:rsid w:val="00A36F81"/>
    <w:rsid w:val="00A37342"/>
    <w:rsid w:val="00A40902"/>
    <w:rsid w:val="00A40BBB"/>
    <w:rsid w:val="00A41EEA"/>
    <w:rsid w:val="00A42DE3"/>
    <w:rsid w:val="00A448AD"/>
    <w:rsid w:val="00A44E96"/>
    <w:rsid w:val="00A468D9"/>
    <w:rsid w:val="00A50C40"/>
    <w:rsid w:val="00A50D34"/>
    <w:rsid w:val="00A5124B"/>
    <w:rsid w:val="00A516B8"/>
    <w:rsid w:val="00A52758"/>
    <w:rsid w:val="00A52ED4"/>
    <w:rsid w:val="00A532ED"/>
    <w:rsid w:val="00A53959"/>
    <w:rsid w:val="00A5444D"/>
    <w:rsid w:val="00A54C14"/>
    <w:rsid w:val="00A54F2A"/>
    <w:rsid w:val="00A55198"/>
    <w:rsid w:val="00A552BE"/>
    <w:rsid w:val="00A556CC"/>
    <w:rsid w:val="00A56167"/>
    <w:rsid w:val="00A566FF"/>
    <w:rsid w:val="00A56922"/>
    <w:rsid w:val="00A56BAA"/>
    <w:rsid w:val="00A56D43"/>
    <w:rsid w:val="00A56D59"/>
    <w:rsid w:val="00A57A3D"/>
    <w:rsid w:val="00A6013F"/>
    <w:rsid w:val="00A61518"/>
    <w:rsid w:val="00A6151D"/>
    <w:rsid w:val="00A616F0"/>
    <w:rsid w:val="00A61B23"/>
    <w:rsid w:val="00A624A0"/>
    <w:rsid w:val="00A62CA5"/>
    <w:rsid w:val="00A63966"/>
    <w:rsid w:val="00A6406F"/>
    <w:rsid w:val="00A644A5"/>
    <w:rsid w:val="00A644F7"/>
    <w:rsid w:val="00A647D7"/>
    <w:rsid w:val="00A6487B"/>
    <w:rsid w:val="00A64A4F"/>
    <w:rsid w:val="00A65001"/>
    <w:rsid w:val="00A6529B"/>
    <w:rsid w:val="00A659BF"/>
    <w:rsid w:val="00A65B71"/>
    <w:rsid w:val="00A66721"/>
    <w:rsid w:val="00A669D1"/>
    <w:rsid w:val="00A66A77"/>
    <w:rsid w:val="00A66A9C"/>
    <w:rsid w:val="00A67638"/>
    <w:rsid w:val="00A67700"/>
    <w:rsid w:val="00A678AE"/>
    <w:rsid w:val="00A67A52"/>
    <w:rsid w:val="00A7098B"/>
    <w:rsid w:val="00A70FF7"/>
    <w:rsid w:val="00A726FF"/>
    <w:rsid w:val="00A72CBF"/>
    <w:rsid w:val="00A73213"/>
    <w:rsid w:val="00A73AB9"/>
    <w:rsid w:val="00A74203"/>
    <w:rsid w:val="00A74292"/>
    <w:rsid w:val="00A74456"/>
    <w:rsid w:val="00A74EB3"/>
    <w:rsid w:val="00A75234"/>
    <w:rsid w:val="00A75DCA"/>
    <w:rsid w:val="00A7619F"/>
    <w:rsid w:val="00A762D1"/>
    <w:rsid w:val="00A76728"/>
    <w:rsid w:val="00A76761"/>
    <w:rsid w:val="00A76DCF"/>
    <w:rsid w:val="00A76E1D"/>
    <w:rsid w:val="00A7712B"/>
    <w:rsid w:val="00A80784"/>
    <w:rsid w:val="00A80974"/>
    <w:rsid w:val="00A81881"/>
    <w:rsid w:val="00A820B6"/>
    <w:rsid w:val="00A82831"/>
    <w:rsid w:val="00A82A58"/>
    <w:rsid w:val="00A82ED8"/>
    <w:rsid w:val="00A83172"/>
    <w:rsid w:val="00A83359"/>
    <w:rsid w:val="00A8487D"/>
    <w:rsid w:val="00A84FA4"/>
    <w:rsid w:val="00A86F14"/>
    <w:rsid w:val="00A873F3"/>
    <w:rsid w:val="00A8757F"/>
    <w:rsid w:val="00A877C1"/>
    <w:rsid w:val="00A90377"/>
    <w:rsid w:val="00A903F0"/>
    <w:rsid w:val="00A9063F"/>
    <w:rsid w:val="00A908F2"/>
    <w:rsid w:val="00A9131A"/>
    <w:rsid w:val="00A91591"/>
    <w:rsid w:val="00A91613"/>
    <w:rsid w:val="00A9176B"/>
    <w:rsid w:val="00A9259A"/>
    <w:rsid w:val="00A93C60"/>
    <w:rsid w:val="00A94D9A"/>
    <w:rsid w:val="00A956A5"/>
    <w:rsid w:val="00A96578"/>
    <w:rsid w:val="00A96900"/>
    <w:rsid w:val="00A969DA"/>
    <w:rsid w:val="00A96A52"/>
    <w:rsid w:val="00A96B38"/>
    <w:rsid w:val="00A9714F"/>
    <w:rsid w:val="00A97397"/>
    <w:rsid w:val="00AA1784"/>
    <w:rsid w:val="00AA2187"/>
    <w:rsid w:val="00AA22BB"/>
    <w:rsid w:val="00AA2477"/>
    <w:rsid w:val="00AA322F"/>
    <w:rsid w:val="00AA3FB2"/>
    <w:rsid w:val="00AA6019"/>
    <w:rsid w:val="00AA6626"/>
    <w:rsid w:val="00AA6CC3"/>
    <w:rsid w:val="00AA6F20"/>
    <w:rsid w:val="00AA710E"/>
    <w:rsid w:val="00AA72DF"/>
    <w:rsid w:val="00AA7419"/>
    <w:rsid w:val="00AA7CCC"/>
    <w:rsid w:val="00AB01E2"/>
    <w:rsid w:val="00AB1FF1"/>
    <w:rsid w:val="00AB20DF"/>
    <w:rsid w:val="00AB21F4"/>
    <w:rsid w:val="00AB23F2"/>
    <w:rsid w:val="00AB387B"/>
    <w:rsid w:val="00AB4460"/>
    <w:rsid w:val="00AB4C03"/>
    <w:rsid w:val="00AB4C17"/>
    <w:rsid w:val="00AB4C3C"/>
    <w:rsid w:val="00AB58D7"/>
    <w:rsid w:val="00AB60C8"/>
    <w:rsid w:val="00AB753D"/>
    <w:rsid w:val="00AB75BD"/>
    <w:rsid w:val="00AB7A4E"/>
    <w:rsid w:val="00AB7EC0"/>
    <w:rsid w:val="00AC0309"/>
    <w:rsid w:val="00AC1669"/>
    <w:rsid w:val="00AC2D0B"/>
    <w:rsid w:val="00AC2F55"/>
    <w:rsid w:val="00AC35CB"/>
    <w:rsid w:val="00AC42D4"/>
    <w:rsid w:val="00AC4453"/>
    <w:rsid w:val="00AC4FE7"/>
    <w:rsid w:val="00AC533D"/>
    <w:rsid w:val="00AC5ADB"/>
    <w:rsid w:val="00AC609D"/>
    <w:rsid w:val="00AC60DE"/>
    <w:rsid w:val="00AC738B"/>
    <w:rsid w:val="00AC7537"/>
    <w:rsid w:val="00AC756B"/>
    <w:rsid w:val="00AC7A9F"/>
    <w:rsid w:val="00AC7EDB"/>
    <w:rsid w:val="00AD058D"/>
    <w:rsid w:val="00AD07CF"/>
    <w:rsid w:val="00AD0E57"/>
    <w:rsid w:val="00AD0ED8"/>
    <w:rsid w:val="00AD301D"/>
    <w:rsid w:val="00AD5BFA"/>
    <w:rsid w:val="00AD5D5B"/>
    <w:rsid w:val="00AD62F6"/>
    <w:rsid w:val="00AD6BBA"/>
    <w:rsid w:val="00AD7C97"/>
    <w:rsid w:val="00AD7F89"/>
    <w:rsid w:val="00AE08A8"/>
    <w:rsid w:val="00AE140E"/>
    <w:rsid w:val="00AE214C"/>
    <w:rsid w:val="00AE234E"/>
    <w:rsid w:val="00AE3660"/>
    <w:rsid w:val="00AE396A"/>
    <w:rsid w:val="00AE42C4"/>
    <w:rsid w:val="00AE4621"/>
    <w:rsid w:val="00AE4CA5"/>
    <w:rsid w:val="00AE5464"/>
    <w:rsid w:val="00AE6488"/>
    <w:rsid w:val="00AE6917"/>
    <w:rsid w:val="00AE6ED4"/>
    <w:rsid w:val="00AE6FE4"/>
    <w:rsid w:val="00AE7DD1"/>
    <w:rsid w:val="00AE7E1A"/>
    <w:rsid w:val="00AF1568"/>
    <w:rsid w:val="00AF1F6B"/>
    <w:rsid w:val="00AF2F4F"/>
    <w:rsid w:val="00AF347E"/>
    <w:rsid w:val="00AF3CF3"/>
    <w:rsid w:val="00AF443C"/>
    <w:rsid w:val="00AF4630"/>
    <w:rsid w:val="00AF5822"/>
    <w:rsid w:val="00AF582F"/>
    <w:rsid w:val="00AF602C"/>
    <w:rsid w:val="00AF66C9"/>
    <w:rsid w:val="00AF71E1"/>
    <w:rsid w:val="00AF71EE"/>
    <w:rsid w:val="00B00690"/>
    <w:rsid w:val="00B00902"/>
    <w:rsid w:val="00B011FB"/>
    <w:rsid w:val="00B02672"/>
    <w:rsid w:val="00B026EE"/>
    <w:rsid w:val="00B042F3"/>
    <w:rsid w:val="00B04F05"/>
    <w:rsid w:val="00B07303"/>
    <w:rsid w:val="00B07826"/>
    <w:rsid w:val="00B078BB"/>
    <w:rsid w:val="00B07A60"/>
    <w:rsid w:val="00B07BB4"/>
    <w:rsid w:val="00B10E43"/>
    <w:rsid w:val="00B1110B"/>
    <w:rsid w:val="00B112EB"/>
    <w:rsid w:val="00B11D9B"/>
    <w:rsid w:val="00B12301"/>
    <w:rsid w:val="00B126F8"/>
    <w:rsid w:val="00B13949"/>
    <w:rsid w:val="00B13EDE"/>
    <w:rsid w:val="00B14743"/>
    <w:rsid w:val="00B15747"/>
    <w:rsid w:val="00B162BE"/>
    <w:rsid w:val="00B1699C"/>
    <w:rsid w:val="00B16F11"/>
    <w:rsid w:val="00B20A81"/>
    <w:rsid w:val="00B2107C"/>
    <w:rsid w:val="00B212B6"/>
    <w:rsid w:val="00B216DB"/>
    <w:rsid w:val="00B232F3"/>
    <w:rsid w:val="00B23B07"/>
    <w:rsid w:val="00B23B4F"/>
    <w:rsid w:val="00B25142"/>
    <w:rsid w:val="00B25CE2"/>
    <w:rsid w:val="00B25F19"/>
    <w:rsid w:val="00B274B2"/>
    <w:rsid w:val="00B27E3F"/>
    <w:rsid w:val="00B30A5C"/>
    <w:rsid w:val="00B30D48"/>
    <w:rsid w:val="00B30F15"/>
    <w:rsid w:val="00B312AE"/>
    <w:rsid w:val="00B32654"/>
    <w:rsid w:val="00B3363E"/>
    <w:rsid w:val="00B336AB"/>
    <w:rsid w:val="00B34325"/>
    <w:rsid w:val="00B34419"/>
    <w:rsid w:val="00B34904"/>
    <w:rsid w:val="00B34A1C"/>
    <w:rsid w:val="00B35869"/>
    <w:rsid w:val="00B35879"/>
    <w:rsid w:val="00B35E86"/>
    <w:rsid w:val="00B35EB5"/>
    <w:rsid w:val="00B3600E"/>
    <w:rsid w:val="00B361FB"/>
    <w:rsid w:val="00B362B3"/>
    <w:rsid w:val="00B372A3"/>
    <w:rsid w:val="00B37535"/>
    <w:rsid w:val="00B40174"/>
    <w:rsid w:val="00B401D5"/>
    <w:rsid w:val="00B40CA6"/>
    <w:rsid w:val="00B41365"/>
    <w:rsid w:val="00B41933"/>
    <w:rsid w:val="00B42490"/>
    <w:rsid w:val="00B42A51"/>
    <w:rsid w:val="00B431F4"/>
    <w:rsid w:val="00B4342D"/>
    <w:rsid w:val="00B4388E"/>
    <w:rsid w:val="00B43952"/>
    <w:rsid w:val="00B444A1"/>
    <w:rsid w:val="00B4472D"/>
    <w:rsid w:val="00B454D2"/>
    <w:rsid w:val="00B4701A"/>
    <w:rsid w:val="00B47726"/>
    <w:rsid w:val="00B47781"/>
    <w:rsid w:val="00B479A2"/>
    <w:rsid w:val="00B51340"/>
    <w:rsid w:val="00B52F73"/>
    <w:rsid w:val="00B5358F"/>
    <w:rsid w:val="00B54118"/>
    <w:rsid w:val="00B54F1D"/>
    <w:rsid w:val="00B56DD2"/>
    <w:rsid w:val="00B60205"/>
    <w:rsid w:val="00B6103A"/>
    <w:rsid w:val="00B61840"/>
    <w:rsid w:val="00B62B39"/>
    <w:rsid w:val="00B63440"/>
    <w:rsid w:val="00B634CF"/>
    <w:rsid w:val="00B63FDD"/>
    <w:rsid w:val="00B647D2"/>
    <w:rsid w:val="00B64936"/>
    <w:rsid w:val="00B653E4"/>
    <w:rsid w:val="00B655E3"/>
    <w:rsid w:val="00B65DF5"/>
    <w:rsid w:val="00B66C76"/>
    <w:rsid w:val="00B6769A"/>
    <w:rsid w:val="00B678C1"/>
    <w:rsid w:val="00B67962"/>
    <w:rsid w:val="00B7092C"/>
    <w:rsid w:val="00B70DA3"/>
    <w:rsid w:val="00B7118B"/>
    <w:rsid w:val="00B71378"/>
    <w:rsid w:val="00B72D93"/>
    <w:rsid w:val="00B72DAB"/>
    <w:rsid w:val="00B7395B"/>
    <w:rsid w:val="00B744B0"/>
    <w:rsid w:val="00B748A0"/>
    <w:rsid w:val="00B75645"/>
    <w:rsid w:val="00B75F4E"/>
    <w:rsid w:val="00B7656C"/>
    <w:rsid w:val="00B76B17"/>
    <w:rsid w:val="00B76CBA"/>
    <w:rsid w:val="00B76F77"/>
    <w:rsid w:val="00B76FAC"/>
    <w:rsid w:val="00B776F2"/>
    <w:rsid w:val="00B77B96"/>
    <w:rsid w:val="00B804A9"/>
    <w:rsid w:val="00B80894"/>
    <w:rsid w:val="00B83720"/>
    <w:rsid w:val="00B8484E"/>
    <w:rsid w:val="00B85084"/>
    <w:rsid w:val="00B85C2E"/>
    <w:rsid w:val="00B90A62"/>
    <w:rsid w:val="00B90E58"/>
    <w:rsid w:val="00B91072"/>
    <w:rsid w:val="00B92032"/>
    <w:rsid w:val="00B92C15"/>
    <w:rsid w:val="00B936E6"/>
    <w:rsid w:val="00B94388"/>
    <w:rsid w:val="00B94DD0"/>
    <w:rsid w:val="00B95870"/>
    <w:rsid w:val="00B96012"/>
    <w:rsid w:val="00B96067"/>
    <w:rsid w:val="00B960FE"/>
    <w:rsid w:val="00BA0418"/>
    <w:rsid w:val="00BA13CC"/>
    <w:rsid w:val="00BA1E06"/>
    <w:rsid w:val="00BA1F0E"/>
    <w:rsid w:val="00BA2057"/>
    <w:rsid w:val="00BA28C5"/>
    <w:rsid w:val="00BA2D96"/>
    <w:rsid w:val="00BA396C"/>
    <w:rsid w:val="00BA44CE"/>
    <w:rsid w:val="00BA4563"/>
    <w:rsid w:val="00BA4793"/>
    <w:rsid w:val="00BA483F"/>
    <w:rsid w:val="00BA4C1A"/>
    <w:rsid w:val="00BA542F"/>
    <w:rsid w:val="00BA54DE"/>
    <w:rsid w:val="00BA5788"/>
    <w:rsid w:val="00BA5D70"/>
    <w:rsid w:val="00BA6243"/>
    <w:rsid w:val="00BA6CA6"/>
    <w:rsid w:val="00BA6F50"/>
    <w:rsid w:val="00BA7296"/>
    <w:rsid w:val="00BA765A"/>
    <w:rsid w:val="00BA7B38"/>
    <w:rsid w:val="00BA7E93"/>
    <w:rsid w:val="00BB0662"/>
    <w:rsid w:val="00BB0D52"/>
    <w:rsid w:val="00BB0F90"/>
    <w:rsid w:val="00BB3A14"/>
    <w:rsid w:val="00BB3B2A"/>
    <w:rsid w:val="00BB5104"/>
    <w:rsid w:val="00BB7194"/>
    <w:rsid w:val="00BB7858"/>
    <w:rsid w:val="00BB7EFD"/>
    <w:rsid w:val="00BC0151"/>
    <w:rsid w:val="00BC07B0"/>
    <w:rsid w:val="00BC09BB"/>
    <w:rsid w:val="00BC0C92"/>
    <w:rsid w:val="00BC1305"/>
    <w:rsid w:val="00BC1647"/>
    <w:rsid w:val="00BC3642"/>
    <w:rsid w:val="00BC373B"/>
    <w:rsid w:val="00BC39DD"/>
    <w:rsid w:val="00BC3CE5"/>
    <w:rsid w:val="00BC3D2F"/>
    <w:rsid w:val="00BC4AE9"/>
    <w:rsid w:val="00BC589C"/>
    <w:rsid w:val="00BC59D1"/>
    <w:rsid w:val="00BC6448"/>
    <w:rsid w:val="00BC792B"/>
    <w:rsid w:val="00BC7E97"/>
    <w:rsid w:val="00BD0DB1"/>
    <w:rsid w:val="00BD21B7"/>
    <w:rsid w:val="00BD2E3F"/>
    <w:rsid w:val="00BD2ECE"/>
    <w:rsid w:val="00BD2FD9"/>
    <w:rsid w:val="00BD3DBA"/>
    <w:rsid w:val="00BD4279"/>
    <w:rsid w:val="00BD493B"/>
    <w:rsid w:val="00BD4C8F"/>
    <w:rsid w:val="00BD64BE"/>
    <w:rsid w:val="00BD64DE"/>
    <w:rsid w:val="00BD719A"/>
    <w:rsid w:val="00BD733F"/>
    <w:rsid w:val="00BD7388"/>
    <w:rsid w:val="00BE07A4"/>
    <w:rsid w:val="00BE0BE9"/>
    <w:rsid w:val="00BE0D80"/>
    <w:rsid w:val="00BE0F06"/>
    <w:rsid w:val="00BE27CF"/>
    <w:rsid w:val="00BE2CB8"/>
    <w:rsid w:val="00BE449D"/>
    <w:rsid w:val="00BE4F25"/>
    <w:rsid w:val="00BE4F31"/>
    <w:rsid w:val="00BE5794"/>
    <w:rsid w:val="00BE5905"/>
    <w:rsid w:val="00BE5C56"/>
    <w:rsid w:val="00BE6496"/>
    <w:rsid w:val="00BE764A"/>
    <w:rsid w:val="00BE7DE1"/>
    <w:rsid w:val="00BF01A9"/>
    <w:rsid w:val="00BF09AA"/>
    <w:rsid w:val="00BF1649"/>
    <w:rsid w:val="00BF2565"/>
    <w:rsid w:val="00BF29B1"/>
    <w:rsid w:val="00BF3450"/>
    <w:rsid w:val="00BF407C"/>
    <w:rsid w:val="00BF4322"/>
    <w:rsid w:val="00BF61D8"/>
    <w:rsid w:val="00BF6A49"/>
    <w:rsid w:val="00BF78EC"/>
    <w:rsid w:val="00BF7E7E"/>
    <w:rsid w:val="00BF7F4A"/>
    <w:rsid w:val="00C00E9D"/>
    <w:rsid w:val="00C01A2B"/>
    <w:rsid w:val="00C01A66"/>
    <w:rsid w:val="00C01DEE"/>
    <w:rsid w:val="00C024ED"/>
    <w:rsid w:val="00C026DA"/>
    <w:rsid w:val="00C02AFB"/>
    <w:rsid w:val="00C02F93"/>
    <w:rsid w:val="00C0440F"/>
    <w:rsid w:val="00C0510B"/>
    <w:rsid w:val="00C055E4"/>
    <w:rsid w:val="00C0584F"/>
    <w:rsid w:val="00C05FB9"/>
    <w:rsid w:val="00C06500"/>
    <w:rsid w:val="00C06847"/>
    <w:rsid w:val="00C0737B"/>
    <w:rsid w:val="00C0798B"/>
    <w:rsid w:val="00C07B18"/>
    <w:rsid w:val="00C101FC"/>
    <w:rsid w:val="00C10388"/>
    <w:rsid w:val="00C10641"/>
    <w:rsid w:val="00C10E04"/>
    <w:rsid w:val="00C11A74"/>
    <w:rsid w:val="00C12DE5"/>
    <w:rsid w:val="00C139C9"/>
    <w:rsid w:val="00C14C46"/>
    <w:rsid w:val="00C1503A"/>
    <w:rsid w:val="00C16708"/>
    <w:rsid w:val="00C16B7A"/>
    <w:rsid w:val="00C16F21"/>
    <w:rsid w:val="00C2158C"/>
    <w:rsid w:val="00C22627"/>
    <w:rsid w:val="00C23542"/>
    <w:rsid w:val="00C23B01"/>
    <w:rsid w:val="00C24817"/>
    <w:rsid w:val="00C258CC"/>
    <w:rsid w:val="00C25BA6"/>
    <w:rsid w:val="00C25ECB"/>
    <w:rsid w:val="00C26801"/>
    <w:rsid w:val="00C26D66"/>
    <w:rsid w:val="00C27A43"/>
    <w:rsid w:val="00C27FD9"/>
    <w:rsid w:val="00C305C0"/>
    <w:rsid w:val="00C309D1"/>
    <w:rsid w:val="00C310D6"/>
    <w:rsid w:val="00C31947"/>
    <w:rsid w:val="00C328A8"/>
    <w:rsid w:val="00C33B0A"/>
    <w:rsid w:val="00C33E53"/>
    <w:rsid w:val="00C3427D"/>
    <w:rsid w:val="00C343E3"/>
    <w:rsid w:val="00C34E4A"/>
    <w:rsid w:val="00C351F1"/>
    <w:rsid w:val="00C351F6"/>
    <w:rsid w:val="00C35DD8"/>
    <w:rsid w:val="00C36CCC"/>
    <w:rsid w:val="00C36F21"/>
    <w:rsid w:val="00C40040"/>
    <w:rsid w:val="00C401FE"/>
    <w:rsid w:val="00C411E4"/>
    <w:rsid w:val="00C41655"/>
    <w:rsid w:val="00C41E20"/>
    <w:rsid w:val="00C42547"/>
    <w:rsid w:val="00C432C4"/>
    <w:rsid w:val="00C437E7"/>
    <w:rsid w:val="00C44690"/>
    <w:rsid w:val="00C44771"/>
    <w:rsid w:val="00C44951"/>
    <w:rsid w:val="00C4512A"/>
    <w:rsid w:val="00C45CB2"/>
    <w:rsid w:val="00C4651C"/>
    <w:rsid w:val="00C500F3"/>
    <w:rsid w:val="00C512F4"/>
    <w:rsid w:val="00C51717"/>
    <w:rsid w:val="00C51BD8"/>
    <w:rsid w:val="00C52754"/>
    <w:rsid w:val="00C52C3A"/>
    <w:rsid w:val="00C5351E"/>
    <w:rsid w:val="00C5433F"/>
    <w:rsid w:val="00C54343"/>
    <w:rsid w:val="00C54428"/>
    <w:rsid w:val="00C547DD"/>
    <w:rsid w:val="00C54A24"/>
    <w:rsid w:val="00C54FD9"/>
    <w:rsid w:val="00C556CE"/>
    <w:rsid w:val="00C568E1"/>
    <w:rsid w:val="00C57890"/>
    <w:rsid w:val="00C61148"/>
    <w:rsid w:val="00C612AB"/>
    <w:rsid w:val="00C6132F"/>
    <w:rsid w:val="00C6142C"/>
    <w:rsid w:val="00C62A22"/>
    <w:rsid w:val="00C62C2B"/>
    <w:rsid w:val="00C634BE"/>
    <w:rsid w:val="00C63CDF"/>
    <w:rsid w:val="00C64C8E"/>
    <w:rsid w:val="00C65A2B"/>
    <w:rsid w:val="00C65A43"/>
    <w:rsid w:val="00C66CB7"/>
    <w:rsid w:val="00C67784"/>
    <w:rsid w:val="00C67A82"/>
    <w:rsid w:val="00C706D1"/>
    <w:rsid w:val="00C724B4"/>
    <w:rsid w:val="00C7266F"/>
    <w:rsid w:val="00C73E06"/>
    <w:rsid w:val="00C74C24"/>
    <w:rsid w:val="00C7506B"/>
    <w:rsid w:val="00C75355"/>
    <w:rsid w:val="00C75951"/>
    <w:rsid w:val="00C75B60"/>
    <w:rsid w:val="00C75F91"/>
    <w:rsid w:val="00C76A6E"/>
    <w:rsid w:val="00C76B22"/>
    <w:rsid w:val="00C76CE1"/>
    <w:rsid w:val="00C77055"/>
    <w:rsid w:val="00C77333"/>
    <w:rsid w:val="00C77A0F"/>
    <w:rsid w:val="00C80240"/>
    <w:rsid w:val="00C80505"/>
    <w:rsid w:val="00C814A3"/>
    <w:rsid w:val="00C81AA5"/>
    <w:rsid w:val="00C81D97"/>
    <w:rsid w:val="00C81E34"/>
    <w:rsid w:val="00C82860"/>
    <w:rsid w:val="00C8309E"/>
    <w:rsid w:val="00C83565"/>
    <w:rsid w:val="00C842FC"/>
    <w:rsid w:val="00C8536A"/>
    <w:rsid w:val="00C8586A"/>
    <w:rsid w:val="00C86B15"/>
    <w:rsid w:val="00C86F0C"/>
    <w:rsid w:val="00C87314"/>
    <w:rsid w:val="00C87344"/>
    <w:rsid w:val="00C8786A"/>
    <w:rsid w:val="00C87A01"/>
    <w:rsid w:val="00C90AD7"/>
    <w:rsid w:val="00C9130C"/>
    <w:rsid w:val="00C913D9"/>
    <w:rsid w:val="00C914D0"/>
    <w:rsid w:val="00C91A3C"/>
    <w:rsid w:val="00C93721"/>
    <w:rsid w:val="00C946FE"/>
    <w:rsid w:val="00C95081"/>
    <w:rsid w:val="00C95450"/>
    <w:rsid w:val="00C96AAC"/>
    <w:rsid w:val="00C96D04"/>
    <w:rsid w:val="00C96E71"/>
    <w:rsid w:val="00C97348"/>
    <w:rsid w:val="00C9749C"/>
    <w:rsid w:val="00C977F9"/>
    <w:rsid w:val="00C97CB0"/>
    <w:rsid w:val="00CA0ACA"/>
    <w:rsid w:val="00CA1011"/>
    <w:rsid w:val="00CA2776"/>
    <w:rsid w:val="00CA36B9"/>
    <w:rsid w:val="00CA54F4"/>
    <w:rsid w:val="00CA59FF"/>
    <w:rsid w:val="00CA6941"/>
    <w:rsid w:val="00CA7404"/>
    <w:rsid w:val="00CA7E84"/>
    <w:rsid w:val="00CB017A"/>
    <w:rsid w:val="00CB0B7B"/>
    <w:rsid w:val="00CB0C2D"/>
    <w:rsid w:val="00CB1703"/>
    <w:rsid w:val="00CB1951"/>
    <w:rsid w:val="00CB2E11"/>
    <w:rsid w:val="00CB380A"/>
    <w:rsid w:val="00CB3850"/>
    <w:rsid w:val="00CB4CC1"/>
    <w:rsid w:val="00CB6360"/>
    <w:rsid w:val="00CB6404"/>
    <w:rsid w:val="00CB6543"/>
    <w:rsid w:val="00CB743A"/>
    <w:rsid w:val="00CB77F1"/>
    <w:rsid w:val="00CB7F26"/>
    <w:rsid w:val="00CC0338"/>
    <w:rsid w:val="00CC03AB"/>
    <w:rsid w:val="00CC1751"/>
    <w:rsid w:val="00CC17E8"/>
    <w:rsid w:val="00CC1922"/>
    <w:rsid w:val="00CC29A8"/>
    <w:rsid w:val="00CC2B30"/>
    <w:rsid w:val="00CC2BE2"/>
    <w:rsid w:val="00CC2CC0"/>
    <w:rsid w:val="00CC2D09"/>
    <w:rsid w:val="00CC2E5D"/>
    <w:rsid w:val="00CC3B27"/>
    <w:rsid w:val="00CC405E"/>
    <w:rsid w:val="00CC560C"/>
    <w:rsid w:val="00CC569A"/>
    <w:rsid w:val="00CC651B"/>
    <w:rsid w:val="00CC6671"/>
    <w:rsid w:val="00CC6AB9"/>
    <w:rsid w:val="00CC7D8F"/>
    <w:rsid w:val="00CD03E3"/>
    <w:rsid w:val="00CD060E"/>
    <w:rsid w:val="00CD10DA"/>
    <w:rsid w:val="00CD1730"/>
    <w:rsid w:val="00CD19CA"/>
    <w:rsid w:val="00CD490C"/>
    <w:rsid w:val="00CD583A"/>
    <w:rsid w:val="00CD588F"/>
    <w:rsid w:val="00CD6DF5"/>
    <w:rsid w:val="00CE0D86"/>
    <w:rsid w:val="00CE2FCC"/>
    <w:rsid w:val="00CE31F4"/>
    <w:rsid w:val="00CE35B1"/>
    <w:rsid w:val="00CE39AF"/>
    <w:rsid w:val="00CE446F"/>
    <w:rsid w:val="00CE57A3"/>
    <w:rsid w:val="00CE5E8A"/>
    <w:rsid w:val="00CE78C3"/>
    <w:rsid w:val="00CF182D"/>
    <w:rsid w:val="00CF1BE3"/>
    <w:rsid w:val="00CF1DDF"/>
    <w:rsid w:val="00CF2256"/>
    <w:rsid w:val="00CF4ACA"/>
    <w:rsid w:val="00CF61F1"/>
    <w:rsid w:val="00CF6559"/>
    <w:rsid w:val="00CF67FE"/>
    <w:rsid w:val="00CF6A7F"/>
    <w:rsid w:val="00CF6EBF"/>
    <w:rsid w:val="00CF712A"/>
    <w:rsid w:val="00D00C6E"/>
    <w:rsid w:val="00D011EC"/>
    <w:rsid w:val="00D0120A"/>
    <w:rsid w:val="00D01C56"/>
    <w:rsid w:val="00D01DF9"/>
    <w:rsid w:val="00D02274"/>
    <w:rsid w:val="00D0349B"/>
    <w:rsid w:val="00D03733"/>
    <w:rsid w:val="00D03847"/>
    <w:rsid w:val="00D03EC3"/>
    <w:rsid w:val="00D0418F"/>
    <w:rsid w:val="00D041D2"/>
    <w:rsid w:val="00D049AD"/>
    <w:rsid w:val="00D05C97"/>
    <w:rsid w:val="00D07073"/>
    <w:rsid w:val="00D077E1"/>
    <w:rsid w:val="00D07A87"/>
    <w:rsid w:val="00D104E5"/>
    <w:rsid w:val="00D10A30"/>
    <w:rsid w:val="00D11B37"/>
    <w:rsid w:val="00D11E47"/>
    <w:rsid w:val="00D1202C"/>
    <w:rsid w:val="00D135DB"/>
    <w:rsid w:val="00D139A4"/>
    <w:rsid w:val="00D14DDE"/>
    <w:rsid w:val="00D14FCD"/>
    <w:rsid w:val="00D15102"/>
    <w:rsid w:val="00D152BC"/>
    <w:rsid w:val="00D167DF"/>
    <w:rsid w:val="00D17F25"/>
    <w:rsid w:val="00D20844"/>
    <w:rsid w:val="00D21406"/>
    <w:rsid w:val="00D21480"/>
    <w:rsid w:val="00D21850"/>
    <w:rsid w:val="00D21DDE"/>
    <w:rsid w:val="00D22BAE"/>
    <w:rsid w:val="00D22BE3"/>
    <w:rsid w:val="00D231CF"/>
    <w:rsid w:val="00D241EE"/>
    <w:rsid w:val="00D2472B"/>
    <w:rsid w:val="00D2480E"/>
    <w:rsid w:val="00D24C55"/>
    <w:rsid w:val="00D25CA4"/>
    <w:rsid w:val="00D262F3"/>
    <w:rsid w:val="00D264A5"/>
    <w:rsid w:val="00D27E1E"/>
    <w:rsid w:val="00D30341"/>
    <w:rsid w:val="00D30973"/>
    <w:rsid w:val="00D30D3F"/>
    <w:rsid w:val="00D314BC"/>
    <w:rsid w:val="00D31BA1"/>
    <w:rsid w:val="00D32883"/>
    <w:rsid w:val="00D32FF7"/>
    <w:rsid w:val="00D3338C"/>
    <w:rsid w:val="00D35B00"/>
    <w:rsid w:val="00D35D87"/>
    <w:rsid w:val="00D36003"/>
    <w:rsid w:val="00D36470"/>
    <w:rsid w:val="00D36F2F"/>
    <w:rsid w:val="00D3768E"/>
    <w:rsid w:val="00D40BD9"/>
    <w:rsid w:val="00D41167"/>
    <w:rsid w:val="00D41B8E"/>
    <w:rsid w:val="00D41BC2"/>
    <w:rsid w:val="00D4286A"/>
    <w:rsid w:val="00D42AD5"/>
    <w:rsid w:val="00D45868"/>
    <w:rsid w:val="00D45CA4"/>
    <w:rsid w:val="00D45F45"/>
    <w:rsid w:val="00D50852"/>
    <w:rsid w:val="00D50938"/>
    <w:rsid w:val="00D50B6D"/>
    <w:rsid w:val="00D51953"/>
    <w:rsid w:val="00D51F28"/>
    <w:rsid w:val="00D52120"/>
    <w:rsid w:val="00D54A22"/>
    <w:rsid w:val="00D54FAF"/>
    <w:rsid w:val="00D559A0"/>
    <w:rsid w:val="00D560EB"/>
    <w:rsid w:val="00D563F7"/>
    <w:rsid w:val="00D56C45"/>
    <w:rsid w:val="00D56EDF"/>
    <w:rsid w:val="00D60096"/>
    <w:rsid w:val="00D62987"/>
    <w:rsid w:val="00D63333"/>
    <w:rsid w:val="00D63442"/>
    <w:rsid w:val="00D63B78"/>
    <w:rsid w:val="00D64B2E"/>
    <w:rsid w:val="00D665EA"/>
    <w:rsid w:val="00D66EF1"/>
    <w:rsid w:val="00D678A0"/>
    <w:rsid w:val="00D702E8"/>
    <w:rsid w:val="00D7091E"/>
    <w:rsid w:val="00D70D82"/>
    <w:rsid w:val="00D70E63"/>
    <w:rsid w:val="00D731D8"/>
    <w:rsid w:val="00D74F7D"/>
    <w:rsid w:val="00D75900"/>
    <w:rsid w:val="00D76932"/>
    <w:rsid w:val="00D800C2"/>
    <w:rsid w:val="00D80B1B"/>
    <w:rsid w:val="00D80F15"/>
    <w:rsid w:val="00D80F77"/>
    <w:rsid w:val="00D81818"/>
    <w:rsid w:val="00D82FD6"/>
    <w:rsid w:val="00D8457A"/>
    <w:rsid w:val="00D84713"/>
    <w:rsid w:val="00D84D5A"/>
    <w:rsid w:val="00D84DC4"/>
    <w:rsid w:val="00D8576B"/>
    <w:rsid w:val="00D85FD0"/>
    <w:rsid w:val="00D86359"/>
    <w:rsid w:val="00D86CE7"/>
    <w:rsid w:val="00D8760B"/>
    <w:rsid w:val="00D91750"/>
    <w:rsid w:val="00D91961"/>
    <w:rsid w:val="00D91ADB"/>
    <w:rsid w:val="00D927FE"/>
    <w:rsid w:val="00D93756"/>
    <w:rsid w:val="00D93A3D"/>
    <w:rsid w:val="00D93BE9"/>
    <w:rsid w:val="00D95C53"/>
    <w:rsid w:val="00D96A35"/>
    <w:rsid w:val="00D96E6D"/>
    <w:rsid w:val="00D979BF"/>
    <w:rsid w:val="00DA01B0"/>
    <w:rsid w:val="00DA02D4"/>
    <w:rsid w:val="00DA10CF"/>
    <w:rsid w:val="00DA2947"/>
    <w:rsid w:val="00DA4061"/>
    <w:rsid w:val="00DA452D"/>
    <w:rsid w:val="00DA4E43"/>
    <w:rsid w:val="00DA53CA"/>
    <w:rsid w:val="00DA5660"/>
    <w:rsid w:val="00DA5FF8"/>
    <w:rsid w:val="00DA7C43"/>
    <w:rsid w:val="00DB0172"/>
    <w:rsid w:val="00DB044B"/>
    <w:rsid w:val="00DB0548"/>
    <w:rsid w:val="00DB1C8C"/>
    <w:rsid w:val="00DB25F1"/>
    <w:rsid w:val="00DB2714"/>
    <w:rsid w:val="00DB3554"/>
    <w:rsid w:val="00DB3E42"/>
    <w:rsid w:val="00DB3E60"/>
    <w:rsid w:val="00DB436D"/>
    <w:rsid w:val="00DB46DB"/>
    <w:rsid w:val="00DB6076"/>
    <w:rsid w:val="00DB7710"/>
    <w:rsid w:val="00DB7D06"/>
    <w:rsid w:val="00DC05FC"/>
    <w:rsid w:val="00DC0C91"/>
    <w:rsid w:val="00DC17B0"/>
    <w:rsid w:val="00DC1C80"/>
    <w:rsid w:val="00DC2624"/>
    <w:rsid w:val="00DC4AFF"/>
    <w:rsid w:val="00DC57AA"/>
    <w:rsid w:val="00DC5C68"/>
    <w:rsid w:val="00DC5E11"/>
    <w:rsid w:val="00DC675E"/>
    <w:rsid w:val="00DC6B79"/>
    <w:rsid w:val="00DD1452"/>
    <w:rsid w:val="00DD18D0"/>
    <w:rsid w:val="00DD1EB7"/>
    <w:rsid w:val="00DD1FCF"/>
    <w:rsid w:val="00DD32C7"/>
    <w:rsid w:val="00DD3600"/>
    <w:rsid w:val="00DD49D4"/>
    <w:rsid w:val="00DD566E"/>
    <w:rsid w:val="00DD678C"/>
    <w:rsid w:val="00DD6E57"/>
    <w:rsid w:val="00DD6F71"/>
    <w:rsid w:val="00DD7260"/>
    <w:rsid w:val="00DD78AF"/>
    <w:rsid w:val="00DE0133"/>
    <w:rsid w:val="00DE05F6"/>
    <w:rsid w:val="00DE0812"/>
    <w:rsid w:val="00DE087D"/>
    <w:rsid w:val="00DE0CB7"/>
    <w:rsid w:val="00DE1ED9"/>
    <w:rsid w:val="00DE4DE1"/>
    <w:rsid w:val="00DE5067"/>
    <w:rsid w:val="00DE53D8"/>
    <w:rsid w:val="00DE57EA"/>
    <w:rsid w:val="00DE5959"/>
    <w:rsid w:val="00DE5A2A"/>
    <w:rsid w:val="00DE6BE8"/>
    <w:rsid w:val="00DE7A4C"/>
    <w:rsid w:val="00DE7CAB"/>
    <w:rsid w:val="00DF0806"/>
    <w:rsid w:val="00DF08DC"/>
    <w:rsid w:val="00DF0A45"/>
    <w:rsid w:val="00DF0D53"/>
    <w:rsid w:val="00DF0F18"/>
    <w:rsid w:val="00DF1D27"/>
    <w:rsid w:val="00DF1DE7"/>
    <w:rsid w:val="00DF268D"/>
    <w:rsid w:val="00DF269D"/>
    <w:rsid w:val="00DF26B6"/>
    <w:rsid w:val="00DF3CDD"/>
    <w:rsid w:val="00DF4972"/>
    <w:rsid w:val="00DF49F6"/>
    <w:rsid w:val="00DF4F0A"/>
    <w:rsid w:val="00DF5B23"/>
    <w:rsid w:val="00DF66A8"/>
    <w:rsid w:val="00DF6932"/>
    <w:rsid w:val="00DF6BAF"/>
    <w:rsid w:val="00DF6D1C"/>
    <w:rsid w:val="00E00636"/>
    <w:rsid w:val="00E00B80"/>
    <w:rsid w:val="00E00EDC"/>
    <w:rsid w:val="00E0160B"/>
    <w:rsid w:val="00E01C50"/>
    <w:rsid w:val="00E02330"/>
    <w:rsid w:val="00E024AC"/>
    <w:rsid w:val="00E02553"/>
    <w:rsid w:val="00E03121"/>
    <w:rsid w:val="00E03130"/>
    <w:rsid w:val="00E0339C"/>
    <w:rsid w:val="00E03C6D"/>
    <w:rsid w:val="00E04FBA"/>
    <w:rsid w:val="00E06345"/>
    <w:rsid w:val="00E070C6"/>
    <w:rsid w:val="00E07616"/>
    <w:rsid w:val="00E10AF0"/>
    <w:rsid w:val="00E1183F"/>
    <w:rsid w:val="00E11A66"/>
    <w:rsid w:val="00E12CB4"/>
    <w:rsid w:val="00E12D25"/>
    <w:rsid w:val="00E130A1"/>
    <w:rsid w:val="00E13ECB"/>
    <w:rsid w:val="00E1407B"/>
    <w:rsid w:val="00E1515C"/>
    <w:rsid w:val="00E15762"/>
    <w:rsid w:val="00E15855"/>
    <w:rsid w:val="00E16C0D"/>
    <w:rsid w:val="00E176F4"/>
    <w:rsid w:val="00E2007F"/>
    <w:rsid w:val="00E20388"/>
    <w:rsid w:val="00E2055A"/>
    <w:rsid w:val="00E21E9B"/>
    <w:rsid w:val="00E22231"/>
    <w:rsid w:val="00E222C8"/>
    <w:rsid w:val="00E22D84"/>
    <w:rsid w:val="00E22EED"/>
    <w:rsid w:val="00E23A4D"/>
    <w:rsid w:val="00E23F78"/>
    <w:rsid w:val="00E244EA"/>
    <w:rsid w:val="00E24A1B"/>
    <w:rsid w:val="00E2753B"/>
    <w:rsid w:val="00E27591"/>
    <w:rsid w:val="00E275FB"/>
    <w:rsid w:val="00E27F4D"/>
    <w:rsid w:val="00E30437"/>
    <w:rsid w:val="00E30A15"/>
    <w:rsid w:val="00E31EA9"/>
    <w:rsid w:val="00E32B6E"/>
    <w:rsid w:val="00E335CC"/>
    <w:rsid w:val="00E33A1A"/>
    <w:rsid w:val="00E34EAC"/>
    <w:rsid w:val="00E35882"/>
    <w:rsid w:val="00E358BF"/>
    <w:rsid w:val="00E35D53"/>
    <w:rsid w:val="00E36028"/>
    <w:rsid w:val="00E368D3"/>
    <w:rsid w:val="00E3692B"/>
    <w:rsid w:val="00E4083E"/>
    <w:rsid w:val="00E40F23"/>
    <w:rsid w:val="00E41097"/>
    <w:rsid w:val="00E410A0"/>
    <w:rsid w:val="00E4254A"/>
    <w:rsid w:val="00E43008"/>
    <w:rsid w:val="00E43B9B"/>
    <w:rsid w:val="00E44445"/>
    <w:rsid w:val="00E44764"/>
    <w:rsid w:val="00E45779"/>
    <w:rsid w:val="00E4647C"/>
    <w:rsid w:val="00E47397"/>
    <w:rsid w:val="00E47CB9"/>
    <w:rsid w:val="00E50E99"/>
    <w:rsid w:val="00E513F1"/>
    <w:rsid w:val="00E52B32"/>
    <w:rsid w:val="00E52CDB"/>
    <w:rsid w:val="00E532B4"/>
    <w:rsid w:val="00E53909"/>
    <w:rsid w:val="00E53A69"/>
    <w:rsid w:val="00E53B41"/>
    <w:rsid w:val="00E53F81"/>
    <w:rsid w:val="00E55C7B"/>
    <w:rsid w:val="00E56361"/>
    <w:rsid w:val="00E576CB"/>
    <w:rsid w:val="00E60D21"/>
    <w:rsid w:val="00E610E9"/>
    <w:rsid w:val="00E61AC9"/>
    <w:rsid w:val="00E62C75"/>
    <w:rsid w:val="00E62EB2"/>
    <w:rsid w:val="00E630FF"/>
    <w:rsid w:val="00E64CE8"/>
    <w:rsid w:val="00E65813"/>
    <w:rsid w:val="00E66370"/>
    <w:rsid w:val="00E66716"/>
    <w:rsid w:val="00E66B40"/>
    <w:rsid w:val="00E66BA7"/>
    <w:rsid w:val="00E66F41"/>
    <w:rsid w:val="00E67C64"/>
    <w:rsid w:val="00E7049F"/>
    <w:rsid w:val="00E71965"/>
    <w:rsid w:val="00E72CB8"/>
    <w:rsid w:val="00E72D5A"/>
    <w:rsid w:val="00E73881"/>
    <w:rsid w:val="00E73BEE"/>
    <w:rsid w:val="00E74BD1"/>
    <w:rsid w:val="00E755E6"/>
    <w:rsid w:val="00E75618"/>
    <w:rsid w:val="00E76364"/>
    <w:rsid w:val="00E7696B"/>
    <w:rsid w:val="00E76FEC"/>
    <w:rsid w:val="00E77F48"/>
    <w:rsid w:val="00E80C51"/>
    <w:rsid w:val="00E80CDF"/>
    <w:rsid w:val="00E810EB"/>
    <w:rsid w:val="00E8162F"/>
    <w:rsid w:val="00E816BA"/>
    <w:rsid w:val="00E81C6F"/>
    <w:rsid w:val="00E8210D"/>
    <w:rsid w:val="00E82F18"/>
    <w:rsid w:val="00E832A1"/>
    <w:rsid w:val="00E83AD0"/>
    <w:rsid w:val="00E84234"/>
    <w:rsid w:val="00E848F1"/>
    <w:rsid w:val="00E84C1C"/>
    <w:rsid w:val="00E85287"/>
    <w:rsid w:val="00E855AC"/>
    <w:rsid w:val="00E85C37"/>
    <w:rsid w:val="00E85C54"/>
    <w:rsid w:val="00E8689A"/>
    <w:rsid w:val="00E87F22"/>
    <w:rsid w:val="00E9007A"/>
    <w:rsid w:val="00E90351"/>
    <w:rsid w:val="00E90436"/>
    <w:rsid w:val="00E91385"/>
    <w:rsid w:val="00E91449"/>
    <w:rsid w:val="00E91613"/>
    <w:rsid w:val="00E9194F"/>
    <w:rsid w:val="00E92097"/>
    <w:rsid w:val="00E924A9"/>
    <w:rsid w:val="00E92AF5"/>
    <w:rsid w:val="00E93874"/>
    <w:rsid w:val="00E93D13"/>
    <w:rsid w:val="00E93EA4"/>
    <w:rsid w:val="00E95327"/>
    <w:rsid w:val="00E95EC3"/>
    <w:rsid w:val="00E97B62"/>
    <w:rsid w:val="00EA0341"/>
    <w:rsid w:val="00EA1331"/>
    <w:rsid w:val="00EA179F"/>
    <w:rsid w:val="00EA1880"/>
    <w:rsid w:val="00EA18F0"/>
    <w:rsid w:val="00EA20CD"/>
    <w:rsid w:val="00EA22BB"/>
    <w:rsid w:val="00EA285F"/>
    <w:rsid w:val="00EA2CB6"/>
    <w:rsid w:val="00EA4288"/>
    <w:rsid w:val="00EA444A"/>
    <w:rsid w:val="00EA491F"/>
    <w:rsid w:val="00EA5197"/>
    <w:rsid w:val="00EA5D20"/>
    <w:rsid w:val="00EA6359"/>
    <w:rsid w:val="00EA7707"/>
    <w:rsid w:val="00EA7926"/>
    <w:rsid w:val="00EB0167"/>
    <w:rsid w:val="00EB0650"/>
    <w:rsid w:val="00EB0A14"/>
    <w:rsid w:val="00EB145C"/>
    <w:rsid w:val="00EB1841"/>
    <w:rsid w:val="00EB189A"/>
    <w:rsid w:val="00EB3923"/>
    <w:rsid w:val="00EB399B"/>
    <w:rsid w:val="00EB42CF"/>
    <w:rsid w:val="00EB51D9"/>
    <w:rsid w:val="00EB5415"/>
    <w:rsid w:val="00EB72B0"/>
    <w:rsid w:val="00EB73C7"/>
    <w:rsid w:val="00EB753D"/>
    <w:rsid w:val="00EB77C9"/>
    <w:rsid w:val="00EB7A8C"/>
    <w:rsid w:val="00EC0364"/>
    <w:rsid w:val="00EC0826"/>
    <w:rsid w:val="00EC08FF"/>
    <w:rsid w:val="00EC0D10"/>
    <w:rsid w:val="00EC1560"/>
    <w:rsid w:val="00EC20DD"/>
    <w:rsid w:val="00EC2DB0"/>
    <w:rsid w:val="00EC34FD"/>
    <w:rsid w:val="00EC3F1C"/>
    <w:rsid w:val="00EC4352"/>
    <w:rsid w:val="00EC4E52"/>
    <w:rsid w:val="00EC58C6"/>
    <w:rsid w:val="00EC5E03"/>
    <w:rsid w:val="00EC5FB5"/>
    <w:rsid w:val="00EC7281"/>
    <w:rsid w:val="00EC7F2A"/>
    <w:rsid w:val="00ED0533"/>
    <w:rsid w:val="00ED11EE"/>
    <w:rsid w:val="00ED1A8E"/>
    <w:rsid w:val="00ED26F3"/>
    <w:rsid w:val="00ED31D2"/>
    <w:rsid w:val="00ED3BE9"/>
    <w:rsid w:val="00ED4DC4"/>
    <w:rsid w:val="00ED640A"/>
    <w:rsid w:val="00ED6509"/>
    <w:rsid w:val="00ED7268"/>
    <w:rsid w:val="00ED7B50"/>
    <w:rsid w:val="00EE1170"/>
    <w:rsid w:val="00EE2A52"/>
    <w:rsid w:val="00EE38AE"/>
    <w:rsid w:val="00EE4A89"/>
    <w:rsid w:val="00EE5932"/>
    <w:rsid w:val="00EE5F05"/>
    <w:rsid w:val="00EE64FC"/>
    <w:rsid w:val="00EF0410"/>
    <w:rsid w:val="00EF12F8"/>
    <w:rsid w:val="00EF1D38"/>
    <w:rsid w:val="00EF2349"/>
    <w:rsid w:val="00EF4063"/>
    <w:rsid w:val="00EF5984"/>
    <w:rsid w:val="00EF5BE7"/>
    <w:rsid w:val="00EF6F78"/>
    <w:rsid w:val="00EF78FE"/>
    <w:rsid w:val="00EF7983"/>
    <w:rsid w:val="00F003D2"/>
    <w:rsid w:val="00F01357"/>
    <w:rsid w:val="00F0147A"/>
    <w:rsid w:val="00F01B37"/>
    <w:rsid w:val="00F02CC4"/>
    <w:rsid w:val="00F02CF8"/>
    <w:rsid w:val="00F03D33"/>
    <w:rsid w:val="00F03D93"/>
    <w:rsid w:val="00F04037"/>
    <w:rsid w:val="00F04FF3"/>
    <w:rsid w:val="00F051A1"/>
    <w:rsid w:val="00F0558B"/>
    <w:rsid w:val="00F06EE0"/>
    <w:rsid w:val="00F071E4"/>
    <w:rsid w:val="00F10DC1"/>
    <w:rsid w:val="00F11051"/>
    <w:rsid w:val="00F11157"/>
    <w:rsid w:val="00F113C9"/>
    <w:rsid w:val="00F114CE"/>
    <w:rsid w:val="00F1184E"/>
    <w:rsid w:val="00F11EF8"/>
    <w:rsid w:val="00F1294E"/>
    <w:rsid w:val="00F13C5A"/>
    <w:rsid w:val="00F13E13"/>
    <w:rsid w:val="00F13FF4"/>
    <w:rsid w:val="00F16C5A"/>
    <w:rsid w:val="00F1711C"/>
    <w:rsid w:val="00F1783B"/>
    <w:rsid w:val="00F17A5B"/>
    <w:rsid w:val="00F200EB"/>
    <w:rsid w:val="00F20A73"/>
    <w:rsid w:val="00F222D9"/>
    <w:rsid w:val="00F23E58"/>
    <w:rsid w:val="00F2447F"/>
    <w:rsid w:val="00F24765"/>
    <w:rsid w:val="00F2478F"/>
    <w:rsid w:val="00F2483E"/>
    <w:rsid w:val="00F24964"/>
    <w:rsid w:val="00F24A13"/>
    <w:rsid w:val="00F24D8D"/>
    <w:rsid w:val="00F25A75"/>
    <w:rsid w:val="00F25BBB"/>
    <w:rsid w:val="00F2628E"/>
    <w:rsid w:val="00F26440"/>
    <w:rsid w:val="00F27802"/>
    <w:rsid w:val="00F27CF2"/>
    <w:rsid w:val="00F302A3"/>
    <w:rsid w:val="00F3038E"/>
    <w:rsid w:val="00F312A8"/>
    <w:rsid w:val="00F31380"/>
    <w:rsid w:val="00F319BA"/>
    <w:rsid w:val="00F32248"/>
    <w:rsid w:val="00F322AB"/>
    <w:rsid w:val="00F323CF"/>
    <w:rsid w:val="00F33033"/>
    <w:rsid w:val="00F33AA4"/>
    <w:rsid w:val="00F3566A"/>
    <w:rsid w:val="00F35890"/>
    <w:rsid w:val="00F35E64"/>
    <w:rsid w:val="00F365B5"/>
    <w:rsid w:val="00F36B92"/>
    <w:rsid w:val="00F3706B"/>
    <w:rsid w:val="00F371CE"/>
    <w:rsid w:val="00F37EE0"/>
    <w:rsid w:val="00F41238"/>
    <w:rsid w:val="00F41430"/>
    <w:rsid w:val="00F42215"/>
    <w:rsid w:val="00F42555"/>
    <w:rsid w:val="00F4400C"/>
    <w:rsid w:val="00F445FE"/>
    <w:rsid w:val="00F446EA"/>
    <w:rsid w:val="00F44728"/>
    <w:rsid w:val="00F450DA"/>
    <w:rsid w:val="00F45102"/>
    <w:rsid w:val="00F45B74"/>
    <w:rsid w:val="00F46C57"/>
    <w:rsid w:val="00F471FA"/>
    <w:rsid w:val="00F47F45"/>
    <w:rsid w:val="00F5118A"/>
    <w:rsid w:val="00F51B74"/>
    <w:rsid w:val="00F5214E"/>
    <w:rsid w:val="00F52213"/>
    <w:rsid w:val="00F52699"/>
    <w:rsid w:val="00F52C23"/>
    <w:rsid w:val="00F531CA"/>
    <w:rsid w:val="00F531ED"/>
    <w:rsid w:val="00F538AE"/>
    <w:rsid w:val="00F54C09"/>
    <w:rsid w:val="00F54F75"/>
    <w:rsid w:val="00F55444"/>
    <w:rsid w:val="00F56A6C"/>
    <w:rsid w:val="00F5707A"/>
    <w:rsid w:val="00F57550"/>
    <w:rsid w:val="00F57B6B"/>
    <w:rsid w:val="00F614A9"/>
    <w:rsid w:val="00F615F7"/>
    <w:rsid w:val="00F633A3"/>
    <w:rsid w:val="00F6406E"/>
    <w:rsid w:val="00F64282"/>
    <w:rsid w:val="00F646D7"/>
    <w:rsid w:val="00F64999"/>
    <w:rsid w:val="00F651CD"/>
    <w:rsid w:val="00F65FD2"/>
    <w:rsid w:val="00F6639A"/>
    <w:rsid w:val="00F668F6"/>
    <w:rsid w:val="00F708F8"/>
    <w:rsid w:val="00F71303"/>
    <w:rsid w:val="00F7184B"/>
    <w:rsid w:val="00F726D3"/>
    <w:rsid w:val="00F73F8B"/>
    <w:rsid w:val="00F74AC7"/>
    <w:rsid w:val="00F74D10"/>
    <w:rsid w:val="00F76C55"/>
    <w:rsid w:val="00F76EAC"/>
    <w:rsid w:val="00F8242B"/>
    <w:rsid w:val="00F82781"/>
    <w:rsid w:val="00F83E7F"/>
    <w:rsid w:val="00F84437"/>
    <w:rsid w:val="00F8554A"/>
    <w:rsid w:val="00F85A72"/>
    <w:rsid w:val="00F861E0"/>
    <w:rsid w:val="00F879DF"/>
    <w:rsid w:val="00F87ABC"/>
    <w:rsid w:val="00F91047"/>
    <w:rsid w:val="00F92815"/>
    <w:rsid w:val="00F92A13"/>
    <w:rsid w:val="00F937D2"/>
    <w:rsid w:val="00F9381A"/>
    <w:rsid w:val="00F93D34"/>
    <w:rsid w:val="00F9403B"/>
    <w:rsid w:val="00F9408D"/>
    <w:rsid w:val="00F941B2"/>
    <w:rsid w:val="00F94230"/>
    <w:rsid w:val="00F95B63"/>
    <w:rsid w:val="00F95F29"/>
    <w:rsid w:val="00F96A0A"/>
    <w:rsid w:val="00F96F44"/>
    <w:rsid w:val="00F971FD"/>
    <w:rsid w:val="00F97531"/>
    <w:rsid w:val="00FA0539"/>
    <w:rsid w:val="00FA066F"/>
    <w:rsid w:val="00FA10B0"/>
    <w:rsid w:val="00FA2DBA"/>
    <w:rsid w:val="00FA2E86"/>
    <w:rsid w:val="00FA3699"/>
    <w:rsid w:val="00FA454E"/>
    <w:rsid w:val="00FA5608"/>
    <w:rsid w:val="00FA568B"/>
    <w:rsid w:val="00FA7F41"/>
    <w:rsid w:val="00FB1045"/>
    <w:rsid w:val="00FB10EE"/>
    <w:rsid w:val="00FB1211"/>
    <w:rsid w:val="00FB167E"/>
    <w:rsid w:val="00FB23DC"/>
    <w:rsid w:val="00FB271E"/>
    <w:rsid w:val="00FB2AA0"/>
    <w:rsid w:val="00FB3043"/>
    <w:rsid w:val="00FB36D5"/>
    <w:rsid w:val="00FB37C4"/>
    <w:rsid w:val="00FB39B8"/>
    <w:rsid w:val="00FB41B5"/>
    <w:rsid w:val="00FB50E9"/>
    <w:rsid w:val="00FB67FF"/>
    <w:rsid w:val="00FB70CA"/>
    <w:rsid w:val="00FB7B26"/>
    <w:rsid w:val="00FC0BA6"/>
    <w:rsid w:val="00FC0F48"/>
    <w:rsid w:val="00FC212D"/>
    <w:rsid w:val="00FC3968"/>
    <w:rsid w:val="00FC4322"/>
    <w:rsid w:val="00FC4673"/>
    <w:rsid w:val="00FC4FA1"/>
    <w:rsid w:val="00FC58DE"/>
    <w:rsid w:val="00FC593E"/>
    <w:rsid w:val="00FC6539"/>
    <w:rsid w:val="00FC67DA"/>
    <w:rsid w:val="00FC737F"/>
    <w:rsid w:val="00FC747D"/>
    <w:rsid w:val="00FC76D9"/>
    <w:rsid w:val="00FC7ACE"/>
    <w:rsid w:val="00FC7D02"/>
    <w:rsid w:val="00FC7E5B"/>
    <w:rsid w:val="00FD05EF"/>
    <w:rsid w:val="00FD07BF"/>
    <w:rsid w:val="00FD0B41"/>
    <w:rsid w:val="00FD0FCB"/>
    <w:rsid w:val="00FD1007"/>
    <w:rsid w:val="00FD2ADA"/>
    <w:rsid w:val="00FD3EF8"/>
    <w:rsid w:val="00FD494D"/>
    <w:rsid w:val="00FD4BCE"/>
    <w:rsid w:val="00FD4E78"/>
    <w:rsid w:val="00FD5935"/>
    <w:rsid w:val="00FD73FF"/>
    <w:rsid w:val="00FD7F27"/>
    <w:rsid w:val="00FD7F42"/>
    <w:rsid w:val="00FE016C"/>
    <w:rsid w:val="00FE0313"/>
    <w:rsid w:val="00FE097C"/>
    <w:rsid w:val="00FE28B3"/>
    <w:rsid w:val="00FE3033"/>
    <w:rsid w:val="00FE49AC"/>
    <w:rsid w:val="00FE4AA3"/>
    <w:rsid w:val="00FE52AD"/>
    <w:rsid w:val="00FE5CFA"/>
    <w:rsid w:val="00FE6B0A"/>
    <w:rsid w:val="00FE7B35"/>
    <w:rsid w:val="00FF18B7"/>
    <w:rsid w:val="00FF2210"/>
    <w:rsid w:val="00FF23E2"/>
    <w:rsid w:val="00FF2776"/>
    <w:rsid w:val="00FF369B"/>
    <w:rsid w:val="00FF392A"/>
    <w:rsid w:val="00FF441E"/>
    <w:rsid w:val="00FF491C"/>
    <w:rsid w:val="00FF4FD8"/>
    <w:rsid w:val="00FF54A8"/>
    <w:rsid w:val="00FF6006"/>
    <w:rsid w:val="00FF6BAE"/>
    <w:rsid w:val="00FF6C98"/>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3C88"/>
  <w15:docId w15:val="{69BFC76C-6723-4C68-9B71-47E26A16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432"/>
    <w:qFormat/>
    <w:rsid w:val="00BC7E97"/>
    <w:pPr>
      <w:jc w:val="both"/>
    </w:pPr>
    <w:rPr>
      <w:rFonts w:ascii="Times New Roman"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qFormat/>
    <w:rsid w:val="00A3301D"/>
    <w:pPr>
      <w:keepNext/>
      <w:spacing w:before="120" w:after="0" w:line="240" w:lineRule="auto"/>
      <w:outlineLvl w:val="2"/>
    </w:pPr>
    <w:rPr>
      <w:b/>
      <w:bCs/>
      <w:szCs w:val="26"/>
    </w:rPr>
  </w:style>
  <w:style w:type="paragraph" w:styleId="4">
    <w:name w:val="heading 4"/>
    <w:basedOn w:val="a0"/>
    <w:next w:val="a0"/>
    <w:link w:val="40"/>
    <w:unhideWhenUsed/>
    <w:qFormat/>
    <w:rsid w:val="00052AE8"/>
    <w:pPr>
      <w:keepNext/>
      <w:spacing w:before="120" w:after="0" w:line="240" w:lineRule="auto"/>
      <w:outlineLvl w:val="3"/>
    </w:pPr>
    <w:rPr>
      <w:rFonts w:eastAsia="Times New Roman"/>
      <w:b/>
      <w:bCs/>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A3301D"/>
    <w:rPr>
      <w:rFonts w:ascii="Times New Roman" w:hAnsi="Times New Roman" w:cs="Times New Roman"/>
      <w:b/>
      <w:bCs/>
      <w:sz w:val="24"/>
      <w:szCs w:val="26"/>
      <w:lang w:eastAsia="ja-JP"/>
    </w:rPr>
  </w:style>
  <w:style w:type="character" w:customStyle="1" w:styleId="40">
    <w:name w:val="Заголовок 4 Знак"/>
    <w:basedOn w:val="a1"/>
    <w:link w:val="4"/>
    <w:rsid w:val="00052AE8"/>
    <w:rPr>
      <w:rFonts w:ascii="Times New Roman" w:eastAsia="Times New Roman" w:hAnsi="Times New Roman" w:cs="Times New Roman"/>
      <w:b/>
      <w:bCs/>
      <w:sz w:val="24"/>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qFormat/>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325C45"/>
    <w:pPr>
      <w:tabs>
        <w:tab w:val="right" w:leader="dot" w:pos="9214"/>
      </w:tabs>
      <w:spacing w:after="0" w:line="240" w:lineRule="auto"/>
    </w:pPr>
    <w:rPr>
      <w:noProof/>
    </w:rPr>
  </w:style>
  <w:style w:type="character" w:styleId="aa">
    <w:name w:val="Hyperlink"/>
    <w:uiPriority w:val="99"/>
    <w:rsid w:val="00E30437"/>
    <w:rPr>
      <w:color w:val="0000FF"/>
      <w:u w:val="single"/>
    </w:rPr>
  </w:style>
  <w:style w:type="paragraph" w:styleId="21">
    <w:name w:val="toc 2"/>
    <w:basedOn w:val="a0"/>
    <w:next w:val="a0"/>
    <w:autoRedefine/>
    <w:uiPriority w:val="39"/>
    <w:rsid w:val="00521618"/>
    <w:pPr>
      <w:tabs>
        <w:tab w:val="left" w:pos="880"/>
        <w:tab w:val="right" w:leader="dot" w:pos="9345"/>
      </w:tabs>
      <w:spacing w:after="0" w:line="240" w:lineRule="auto"/>
    </w:pPr>
  </w:style>
  <w:style w:type="paragraph" w:styleId="ab">
    <w:name w:val="Normal (Web)"/>
    <w:basedOn w:val="a0"/>
    <w:uiPriority w:val="99"/>
    <w:qFormat/>
    <w:rsid w:val="00E30437"/>
    <w:pPr>
      <w:spacing w:before="100" w:beforeAutospacing="1" w:after="100" w:afterAutospacing="1" w:line="240" w:lineRule="auto"/>
      <w:jc w:val="left"/>
    </w:pPr>
    <w:rPr>
      <w:rFonts w:eastAsia="Times New Roman"/>
      <w:lang w:eastAsia="ru-RU"/>
    </w:rPr>
  </w:style>
  <w:style w:type="paragraph" w:styleId="31">
    <w:name w:val="toc 3"/>
    <w:basedOn w:val="a0"/>
    <w:next w:val="a0"/>
    <w:autoRedefine/>
    <w:uiPriority w:val="39"/>
    <w:rsid w:val="00325C45"/>
    <w:pPr>
      <w:tabs>
        <w:tab w:val="left" w:pos="1100"/>
        <w:tab w:val="right" w:leader="dot" w:pos="9356"/>
      </w:tabs>
      <w:spacing w:after="0" w:line="240" w:lineRule="auto"/>
      <w:ind w:firstLine="284"/>
    </w:pPr>
    <w:rPr>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rsid w:val="00E30437"/>
    <w:pPr>
      <w:spacing w:line="240" w:lineRule="auto"/>
      <w:jc w:val="left"/>
    </w:pPr>
    <w:rPr>
      <w:rFonts w:eastAsia="Times New Roman"/>
      <w:sz w:val="20"/>
      <w:szCs w:val="20"/>
      <w:lang w:eastAsia="ru-RU"/>
    </w:rPr>
  </w:style>
  <w:style w:type="character" w:customStyle="1" w:styleId="ae">
    <w:name w:val="Текст сноски Знак"/>
    <w:basedOn w:val="a1"/>
    <w:link w:val="ad"/>
    <w:uiPriority w:val="99"/>
    <w:semiHidden/>
    <w:rsid w:val="00E30437"/>
    <w:rPr>
      <w:rFonts w:ascii="Times New Roman" w:eastAsia="Times New Roman" w:hAnsi="Times New Roman" w:cs="Times New Roman"/>
      <w:sz w:val="20"/>
      <w:szCs w:val="20"/>
      <w:lang w:eastAsia="ru-RU"/>
    </w:rPr>
  </w:style>
  <w:style w:type="character" w:styleId="af">
    <w:name w:val="footnote reference"/>
    <w:uiPriority w:val="99"/>
    <w:semiHidden/>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rsid w:val="00E30437"/>
    <w:pPr>
      <w:spacing w:line="240" w:lineRule="auto"/>
    </w:pPr>
    <w:rPr>
      <w:rFonts w:ascii="Tahoma" w:hAnsi="Tahoma"/>
      <w:sz w:val="16"/>
      <w:szCs w:val="16"/>
    </w:rPr>
  </w:style>
  <w:style w:type="character" w:customStyle="1" w:styleId="af2">
    <w:name w:val="Текст выноски Знак"/>
    <w:basedOn w:val="a1"/>
    <w:link w:val="af1"/>
    <w:rsid w:val="00E30437"/>
    <w:rPr>
      <w:rFonts w:ascii="Tahoma" w:eastAsia="MS Mincho" w:hAnsi="Tahoma" w:cs="Times New Roman"/>
      <w:sz w:val="16"/>
      <w:szCs w:val="16"/>
      <w:lang w:eastAsia="ja-JP"/>
    </w:rPr>
  </w:style>
  <w:style w:type="paragraph" w:styleId="af3">
    <w:name w:val="List Paragraph"/>
    <w:aliases w:val="ТАБЛИЦА1,Список простой нумер"/>
    <w:basedOn w:val="a0"/>
    <w:link w:val="af4"/>
    <w:uiPriority w:val="34"/>
    <w:qFormat/>
    <w:rsid w:val="00E30437"/>
    <w:pPr>
      <w:ind w:left="720"/>
      <w:contextualSpacing/>
    </w:pPr>
  </w:style>
  <w:style w:type="character" w:styleId="af5">
    <w:name w:val="annotation reference"/>
    <w:uiPriority w:val="99"/>
    <w:rsid w:val="00E30437"/>
    <w:rPr>
      <w:sz w:val="16"/>
      <w:szCs w:val="16"/>
    </w:rPr>
  </w:style>
  <w:style w:type="paragraph" w:styleId="af6">
    <w:name w:val="annotation text"/>
    <w:basedOn w:val="a0"/>
    <w:link w:val="af7"/>
    <w:uiPriority w:val="99"/>
    <w:rsid w:val="00E30437"/>
    <w:pPr>
      <w:spacing w:line="240" w:lineRule="auto"/>
    </w:pPr>
    <w:rPr>
      <w:sz w:val="20"/>
      <w:szCs w:val="20"/>
    </w:rPr>
  </w:style>
  <w:style w:type="character" w:customStyle="1" w:styleId="af7">
    <w:name w:val="Текст примечания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pPr>
      <w:spacing w:after="0" w:line="240" w:lineRule="auto"/>
    </w:pPr>
    <w:rPr>
      <w:rFonts w:ascii="Times New Roman"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pPr>
      <w:spacing w:line="240" w:lineRule="auto"/>
    </w:pPr>
    <w:rPr>
      <w:rFonts w:eastAsia="Times New Roman" w:cs="Arial Unicode MS"/>
      <w:sz w:val="28"/>
      <w:szCs w:val="28"/>
      <w:lang w:val="en-US" w:eastAsia="ru-RU"/>
    </w:rPr>
  </w:style>
  <w:style w:type="paragraph" w:styleId="41">
    <w:name w:val="toc 4"/>
    <w:basedOn w:val="a0"/>
    <w:next w:val="a0"/>
    <w:autoRedefine/>
    <w:uiPriority w:val="39"/>
    <w:rsid w:val="00B216DB"/>
    <w:pPr>
      <w:tabs>
        <w:tab w:val="right" w:leader="dot" w:pos="9346"/>
      </w:tabs>
      <w:spacing w:after="0"/>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link w:val="aff2"/>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3">
    <w:name w:val="Body Text Indent"/>
    <w:aliases w:val=" Знак3 Знак Знак, Знак3,Знак3 Знак Знак,Знак3"/>
    <w:basedOn w:val="a0"/>
    <w:link w:val="aff4"/>
    <w:rsid w:val="00E30437"/>
    <w:pPr>
      <w:spacing w:after="120"/>
      <w:ind w:left="283"/>
    </w:pPr>
  </w:style>
  <w:style w:type="character" w:customStyle="1" w:styleId="aff4">
    <w:name w:val="Основной текст с отступом Знак"/>
    <w:aliases w:val=" Знак3 Знак Знак Знак, Знак3 Знак,Знак3 Знак Знак Знак,Знак3 Знак"/>
    <w:basedOn w:val="a1"/>
    <w:link w:val="aff3"/>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5"/>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5">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tabs>
        <w:tab w:val="num" w:pos="360"/>
      </w:tabs>
      <w:spacing w:before="0" w:after="0"/>
      <w:ind w:left="0" w:firstLine="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6">
    <w:name w:val="ШАБЛОН Знак"/>
    <w:link w:val="aff7"/>
    <w:uiPriority w:val="99"/>
    <w:locked/>
    <w:rsid w:val="00DE087D"/>
    <w:rPr>
      <w:rFonts w:ascii="Times New Roman" w:hAnsi="Times New Roman" w:cs="Tahoma"/>
      <w:sz w:val="24"/>
      <w:szCs w:val="24"/>
    </w:rPr>
  </w:style>
  <w:style w:type="paragraph" w:customStyle="1" w:styleId="aff7">
    <w:name w:val="ШАБЛОН"/>
    <w:basedOn w:val="af1"/>
    <w:link w:val="aff6"/>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
    <w:basedOn w:val="a1"/>
    <w:link w:val="af3"/>
    <w:uiPriority w:val="34"/>
    <w:locked/>
    <w:rsid w:val="0081221B"/>
    <w:rPr>
      <w:rFonts w:ascii="Times New Roman" w:eastAsia="MS Mincho" w:hAnsi="Times New Roman" w:cs="Times New Roman"/>
      <w:sz w:val="24"/>
      <w:szCs w:val="24"/>
      <w:lang w:eastAsia="ja-JP"/>
    </w:rPr>
  </w:style>
  <w:style w:type="character" w:customStyle="1" w:styleId="18">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9">
    <w:name w:val="Таблица"/>
    <w:basedOn w:val="a0"/>
    <w:link w:val="affa"/>
    <w:qFormat/>
    <w:rsid w:val="00F3566A"/>
    <w:pPr>
      <w:spacing w:before="120" w:after="0" w:line="360" w:lineRule="auto"/>
    </w:pPr>
    <w:rPr>
      <w:rFonts w:eastAsiaTheme="minorHAnsi"/>
      <w:b/>
      <w:lang w:eastAsia="en-US"/>
    </w:rPr>
  </w:style>
  <w:style w:type="character" w:customStyle="1" w:styleId="affa">
    <w:name w:val="Таблица Знак"/>
    <w:basedOn w:val="a1"/>
    <w:link w:val="aff9"/>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СФ_Текст"/>
    <w:link w:val="affc"/>
    <w:qFormat/>
    <w:rsid w:val="006C7E6A"/>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c">
    <w:name w:val="СФ_Текст Знак"/>
    <w:basedOn w:val="a1"/>
    <w:link w:val="affb"/>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9">
    <w:name w:val="Заголовок1"/>
    <w:basedOn w:val="a0"/>
    <w:link w:val="affd"/>
    <w:qFormat/>
    <w:rsid w:val="009E62E0"/>
    <w:pPr>
      <w:spacing w:before="120" w:after="0" w:line="360" w:lineRule="auto"/>
      <w:jc w:val="center"/>
    </w:pPr>
    <w:rPr>
      <w:rFonts w:eastAsiaTheme="minorHAnsi"/>
      <w:b/>
      <w:caps/>
      <w:color w:val="000000"/>
      <w:lang w:eastAsia="en-US"/>
    </w:rPr>
  </w:style>
  <w:style w:type="character" w:customStyle="1" w:styleId="affd">
    <w:name w:val="Заголовок Знак"/>
    <w:basedOn w:val="a1"/>
    <w:link w:val="19"/>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e">
    <w:name w:val="table of figures"/>
    <w:basedOn w:val="a0"/>
    <w:next w:val="a0"/>
    <w:uiPriority w:val="99"/>
    <w:unhideWhenUsed/>
    <w:rsid w:val="009E62E0"/>
    <w:pPr>
      <w:spacing w:before="120" w:after="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spacing w:after="0" w:line="240" w:lineRule="auto"/>
    </w:pPr>
    <w:rPr>
      <w:rFonts w:eastAsia="Times New Roman"/>
      <w:lang w:eastAsia="ru-RU"/>
    </w:rPr>
  </w:style>
  <w:style w:type="paragraph" w:styleId="2a">
    <w:name w:val="List 2"/>
    <w:basedOn w:val="a0"/>
    <w:rsid w:val="009E62E0"/>
    <w:pPr>
      <w:spacing w:after="0" w:line="240" w:lineRule="auto"/>
      <w:ind w:left="566" w:hanging="283"/>
      <w:jc w:val="left"/>
    </w:pPr>
    <w:rPr>
      <w:rFonts w:ascii="Calibri" w:eastAsia="Calibri" w:hAnsi="Calibri"/>
      <w:lang w:eastAsia="en-US"/>
    </w:rPr>
  </w:style>
  <w:style w:type="paragraph" w:customStyle="1" w:styleId="afff">
    <w:name w:val="Таб. осн."/>
    <w:basedOn w:val="a0"/>
    <w:rsid w:val="009E62E0"/>
    <w:pPr>
      <w:spacing w:before="60" w:after="60" w:line="240" w:lineRule="auto"/>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A3301D"/>
    <w:pPr>
      <w:widowControl w:val="0"/>
      <w:autoSpaceDE w:val="0"/>
      <w:autoSpaceDN w:val="0"/>
      <w:adjustRightInd w:val="0"/>
      <w:spacing w:after="0" w:line="240" w:lineRule="auto"/>
    </w:pPr>
    <w:rPr>
      <w:rFonts w:eastAsia="Times New Roman"/>
      <w:snapToGrid w:val="0"/>
      <w:szCs w:val="20"/>
      <w:lang w:eastAsia="ru-RU"/>
    </w:rPr>
  </w:style>
  <w:style w:type="character" w:customStyle="1" w:styleId="OT0">
    <w:name w:val="OT Знак"/>
    <w:link w:val="OT"/>
    <w:rsid w:val="00A3301D"/>
    <w:rPr>
      <w:rFonts w:ascii="Times New Roman" w:eastAsia="Times New Roman" w:hAnsi="Times New Roman" w:cs="Times New Roman"/>
      <w:snapToGrid w:val="0"/>
      <w:sz w:val="24"/>
      <w:szCs w:val="20"/>
      <w:lang w:eastAsia="ru-RU"/>
    </w:rPr>
  </w:style>
  <w:style w:type="paragraph" w:customStyle="1" w:styleId="20TableFootnote">
    <w:name w:val="20Table Footnote"/>
    <w:rsid w:val="009E62E0"/>
    <w:pPr>
      <w:spacing w:before="60" w:after="60" w:line="240" w:lineRule="auto"/>
    </w:pPr>
    <w:rPr>
      <w:rFonts w:ascii="Times New Roman" w:hAnsi="Times New Roman" w:cs="Times New Roman"/>
      <w:sz w:val="20"/>
      <w:szCs w:val="20"/>
      <w:lang w:val="en-US"/>
    </w:rPr>
  </w:style>
  <w:style w:type="character" w:customStyle="1" w:styleId="jrnl">
    <w:name w:val="jrnl"/>
    <w:basedOn w:val="a1"/>
    <w:rsid w:val="009E62E0"/>
  </w:style>
  <w:style w:type="paragraph" w:customStyle="1" w:styleId="1a">
    <w:name w:val="Название1"/>
    <w:basedOn w:val="a0"/>
    <w:rsid w:val="009E62E0"/>
    <w:pPr>
      <w:spacing w:before="100" w:beforeAutospacing="1" w:after="100" w:afterAutospacing="1" w:line="240" w:lineRule="auto"/>
      <w:jc w:val="left"/>
    </w:pPr>
    <w:rPr>
      <w:rFonts w:eastAsia="Times New Roman"/>
      <w:lang w:eastAsia="ru-RU"/>
    </w:rPr>
  </w:style>
  <w:style w:type="paragraph" w:customStyle="1" w:styleId="1b">
    <w:name w:val="Таблица1"/>
    <w:basedOn w:val="aff1"/>
    <w:link w:val="1c"/>
    <w:qFormat/>
    <w:rsid w:val="009E62E0"/>
    <w:pPr>
      <w:keepNext/>
      <w:spacing w:after="120" w:line="240" w:lineRule="auto"/>
    </w:pPr>
  </w:style>
  <w:style w:type="character" w:customStyle="1" w:styleId="aff2">
    <w:name w:val="Название объекта Знак"/>
    <w:basedOn w:val="a1"/>
    <w:link w:val="aff1"/>
    <w:rsid w:val="009E62E0"/>
    <w:rPr>
      <w:rFonts w:ascii="Times New Roman" w:eastAsia="Times New Roman" w:hAnsi="Times New Roman" w:cs="Times New Roman"/>
      <w:sz w:val="24"/>
      <w:szCs w:val="20"/>
      <w:lang w:eastAsia="ru-RU"/>
    </w:rPr>
  </w:style>
  <w:style w:type="character" w:customStyle="1" w:styleId="1c">
    <w:name w:val="Таблица1 Знак"/>
    <w:basedOn w:val="aff2"/>
    <w:link w:val="1b"/>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0">
    <w:name w:val="No Spacing"/>
    <w:uiPriority w:val="1"/>
    <w:qFormat/>
    <w:rsid w:val="009E62E0"/>
    <w:pPr>
      <w:spacing w:after="0" w:line="240" w:lineRule="auto"/>
    </w:pPr>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6">
    <w:name w:val="TableGrid6"/>
    <w:rsid w:val="00705C2F"/>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afff1">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39"/>
    <w:rsid w:val="00F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8">
    <w:name w:val="TableGrid8"/>
    <w:rsid w:val="00444517"/>
    <w:pPr>
      <w:spacing w:after="0" w:line="240" w:lineRule="auto"/>
    </w:pPr>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1"/>
    <w:rsid w:val="006161F9"/>
    <w:rPr>
      <w:rFonts w:ascii="TimesNewRomanPSMT" w:hAnsi="TimesNewRomanPSMT" w:hint="default"/>
      <w:b w:val="0"/>
      <w:bCs w:val="0"/>
      <w:i w:val="0"/>
      <w:iCs w:val="0"/>
      <w:color w:val="000000"/>
      <w:sz w:val="18"/>
      <w:szCs w:val="18"/>
    </w:rPr>
  </w:style>
  <w:style w:type="character" w:customStyle="1" w:styleId="fontstyle31">
    <w:name w:val="fontstyle31"/>
    <w:basedOn w:val="a1"/>
    <w:rsid w:val="00113100"/>
    <w:rPr>
      <w:rFonts w:ascii="TimesNewRomanPS-BoldItalicMT" w:hAnsi="TimesNewRomanPS-BoldItalicMT" w:hint="default"/>
      <w:b/>
      <w:bCs/>
      <w:i/>
      <w:iCs/>
      <w:color w:val="000000"/>
      <w:sz w:val="24"/>
      <w:szCs w:val="24"/>
    </w:rPr>
  </w:style>
  <w:style w:type="character" w:customStyle="1" w:styleId="fontstyle41">
    <w:name w:val="fontstyle41"/>
    <w:basedOn w:val="a1"/>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a1"/>
    <w:rsid w:val="00113100"/>
  </w:style>
  <w:style w:type="character" w:customStyle="1" w:styleId="fontstyle51">
    <w:name w:val="fontstyle51"/>
    <w:basedOn w:val="a1"/>
    <w:rsid w:val="00113100"/>
    <w:rPr>
      <w:rFonts w:ascii="SymbolMT" w:hAnsi="SymbolMT" w:hint="default"/>
      <w:b w:val="0"/>
      <w:bCs w:val="0"/>
      <w:i w:val="0"/>
      <w:iCs w:val="0"/>
      <w:color w:val="000000"/>
      <w:sz w:val="22"/>
      <w:szCs w:val="22"/>
    </w:rPr>
  </w:style>
  <w:style w:type="character" w:customStyle="1" w:styleId="nowrap">
    <w:name w:val="nowrap"/>
    <w:basedOn w:val="a1"/>
    <w:rsid w:val="00CB4CC1"/>
  </w:style>
  <w:style w:type="character" w:customStyle="1" w:styleId="author">
    <w:name w:val="author"/>
    <w:basedOn w:val="a1"/>
    <w:rsid w:val="003822AB"/>
  </w:style>
  <w:style w:type="character" w:customStyle="1" w:styleId="articletitle">
    <w:name w:val="articletitle"/>
    <w:basedOn w:val="a1"/>
    <w:rsid w:val="003822AB"/>
  </w:style>
  <w:style w:type="character" w:customStyle="1" w:styleId="journaltitle">
    <w:name w:val="journaltitle"/>
    <w:basedOn w:val="a1"/>
    <w:rsid w:val="003822AB"/>
  </w:style>
  <w:style w:type="character" w:customStyle="1" w:styleId="vol">
    <w:name w:val="vol"/>
    <w:basedOn w:val="a1"/>
    <w:rsid w:val="003822AB"/>
  </w:style>
  <w:style w:type="character" w:customStyle="1" w:styleId="pubyear">
    <w:name w:val="pubyear"/>
    <w:basedOn w:val="a1"/>
    <w:rsid w:val="003822AB"/>
  </w:style>
  <w:style w:type="character" w:customStyle="1" w:styleId="pagefirst">
    <w:name w:val="pagefirst"/>
    <w:basedOn w:val="a1"/>
    <w:rsid w:val="00D35D87"/>
  </w:style>
  <w:style w:type="character" w:customStyle="1" w:styleId="pagelast">
    <w:name w:val="pagelast"/>
    <w:basedOn w:val="a1"/>
    <w:rsid w:val="00D35D87"/>
  </w:style>
  <w:style w:type="paragraph" w:styleId="afff2">
    <w:name w:val="Bibliography"/>
    <w:basedOn w:val="a0"/>
    <w:next w:val="a0"/>
    <w:uiPriority w:val="37"/>
    <w:unhideWhenUsed/>
    <w:rsid w:val="00BC59D1"/>
    <w:pPr>
      <w:tabs>
        <w:tab w:val="left" w:pos="384"/>
      </w:tabs>
      <w:spacing w:after="0" w:line="240" w:lineRule="auto"/>
      <w:ind w:left="384" w:hanging="384"/>
    </w:pPr>
  </w:style>
  <w:style w:type="character" w:customStyle="1" w:styleId="2Corbel">
    <w:name w:val="Основной текст (2) + Corbel"/>
    <w:aliases w:val="9,5 pt,Основной текст (2) + 9"/>
    <w:basedOn w:val="a1"/>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b">
    <w:name w:val="Основной текст (2) + Полужирный"/>
    <w:basedOn w:val="a1"/>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3">
    <w:name w:val="Подпись к таблице_"/>
    <w:basedOn w:val="a1"/>
    <w:link w:val="afff4"/>
    <w:locked/>
    <w:rsid w:val="00491CBF"/>
    <w:rPr>
      <w:rFonts w:ascii="Times New Roman" w:eastAsia="Times New Roman" w:hAnsi="Times New Roman" w:cs="Times New Roman"/>
      <w:b/>
      <w:bCs/>
      <w:shd w:val="clear" w:color="auto" w:fill="FFFFFF"/>
    </w:rPr>
  </w:style>
  <w:style w:type="paragraph" w:customStyle="1" w:styleId="afff4">
    <w:name w:val="Подпись к таблице"/>
    <w:basedOn w:val="a0"/>
    <w:link w:val="afff3"/>
    <w:rsid w:val="00491CBF"/>
    <w:pPr>
      <w:widowControl w:val="0"/>
      <w:shd w:val="clear" w:color="auto" w:fill="FFFFFF"/>
      <w:spacing w:after="0" w:line="254" w:lineRule="exact"/>
      <w:ind w:firstLine="360"/>
    </w:pPr>
    <w:rPr>
      <w:rFonts w:eastAsia="Times New Roman"/>
      <w:b/>
      <w:bCs/>
      <w:sz w:val="22"/>
      <w:szCs w:val="22"/>
      <w:lang w:eastAsia="en-US"/>
    </w:rPr>
  </w:style>
  <w:style w:type="character" w:customStyle="1" w:styleId="210pt">
    <w:name w:val="Основной текст (2) + 10 pt"/>
    <w:basedOn w:val="28"/>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8"/>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7">
    <w:name w:val="Основной текст (3)_"/>
    <w:basedOn w:val="a1"/>
    <w:link w:val="38"/>
    <w:locked/>
    <w:rsid w:val="008863C9"/>
    <w:rPr>
      <w:rFonts w:ascii="Times New Roman" w:eastAsia="Times New Roman" w:hAnsi="Times New Roman" w:cs="Times New Roman"/>
      <w:b/>
      <w:bCs/>
      <w:shd w:val="clear" w:color="auto" w:fill="FFFFFF"/>
    </w:rPr>
  </w:style>
  <w:style w:type="paragraph" w:customStyle="1" w:styleId="38">
    <w:name w:val="Основной текст (3)"/>
    <w:basedOn w:val="a0"/>
    <w:link w:val="37"/>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a1"/>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1"/>
    <w:uiPriority w:val="99"/>
    <w:semiHidden/>
    <w:unhideWhenUsed/>
    <w:rsid w:val="00AB20DF"/>
    <w:rPr>
      <w:color w:val="605E5C"/>
      <w:shd w:val="clear" w:color="auto" w:fill="E1DFDD"/>
    </w:rPr>
  </w:style>
  <w:style w:type="character" w:customStyle="1" w:styleId="afff5">
    <w:name w:val="_"/>
    <w:basedOn w:val="a1"/>
    <w:rsid w:val="00AB20DF"/>
  </w:style>
  <w:style w:type="character" w:customStyle="1" w:styleId="hitinf">
    <w:name w:val="hit_inf"/>
    <w:basedOn w:val="a1"/>
    <w:rsid w:val="00AB20DF"/>
  </w:style>
  <w:style w:type="character" w:customStyle="1" w:styleId="hitsyn">
    <w:name w:val="hit_syn"/>
    <w:basedOn w:val="a1"/>
    <w:rsid w:val="00AB20DF"/>
  </w:style>
  <w:style w:type="character" w:customStyle="1" w:styleId="blk">
    <w:name w:val="blk"/>
    <w:rsid w:val="00AB20DF"/>
  </w:style>
  <w:style w:type="character" w:customStyle="1" w:styleId="1d">
    <w:name w:val="Основной текст1"/>
    <w:basedOn w:val="a1"/>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ff6">
    <w:name w:val="Основной текст_"/>
    <w:basedOn w:val="a1"/>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a1"/>
    <w:rsid w:val="003D0C91"/>
  </w:style>
  <w:style w:type="paragraph" w:customStyle="1" w:styleId="opispole">
    <w:name w:val="opis_pole"/>
    <w:basedOn w:val="a0"/>
    <w:rsid w:val="00184AA4"/>
    <w:pPr>
      <w:spacing w:before="100" w:beforeAutospacing="1" w:after="100" w:afterAutospacing="1" w:line="240" w:lineRule="auto"/>
      <w:jc w:val="left"/>
    </w:pPr>
    <w:rPr>
      <w:rFonts w:eastAsia="Times New Roman"/>
      <w:lang w:eastAsia="ru-RU"/>
    </w:rPr>
  </w:style>
  <w:style w:type="paragraph" w:customStyle="1" w:styleId="tablesubscr">
    <w:name w:val="tablesubscr"/>
    <w:basedOn w:val="a0"/>
    <w:rsid w:val="00184AA4"/>
    <w:pPr>
      <w:spacing w:before="100" w:beforeAutospacing="1" w:after="100" w:afterAutospacing="1" w:line="240" w:lineRule="auto"/>
      <w:jc w:val="left"/>
    </w:pPr>
    <w:rPr>
      <w:rFonts w:eastAsia="Times New Roman"/>
      <w:lang w:eastAsia="ru-RU"/>
    </w:rPr>
  </w:style>
  <w:style w:type="character" w:customStyle="1" w:styleId="w">
    <w:name w:val="w"/>
    <w:basedOn w:val="a1"/>
    <w:rsid w:val="005B1025"/>
  </w:style>
  <w:style w:type="character" w:customStyle="1" w:styleId="med1">
    <w:name w:val="med1"/>
    <w:basedOn w:val="a1"/>
    <w:rsid w:val="00557F15"/>
  </w:style>
  <w:style w:type="character" w:customStyle="1" w:styleId="2c">
    <w:name w:val="Неразрешенное упоминание2"/>
    <w:basedOn w:val="a1"/>
    <w:uiPriority w:val="99"/>
    <w:semiHidden/>
    <w:unhideWhenUsed/>
    <w:rsid w:val="001920D1"/>
    <w:rPr>
      <w:color w:val="605E5C"/>
      <w:shd w:val="clear" w:color="auto" w:fill="E1DFDD"/>
    </w:rPr>
  </w:style>
  <w:style w:type="table" w:customStyle="1" w:styleId="1e">
    <w:name w:val="Сетка таблицы светлая1"/>
    <w:basedOn w:val="a2"/>
    <w:uiPriority w:val="40"/>
    <w:rsid w:val="004D6656"/>
    <w:pPr>
      <w:spacing w:after="0" w:line="240" w:lineRule="auto"/>
    </w:pPr>
    <w:rPr>
      <w:rFonts w:ascii="Calibri" w:eastAsia="Calibri" w:hAnsi="Calibri" w:cs="Times New Roman"/>
      <w:sz w:val="20"/>
      <w:szCs w:val="20"/>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6216978">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5264450">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36" Type="http://schemas.microsoft.com/office/2016/09/relationships/commentsIds" Target="commentsIds.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image" Target="media/image11.PNG"/><Relationship Id="rId35"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m.goncharov\Desktop\&#1041;&#1072;&#1088;&#1080;&#1094;&#1080;&#1090;&#1080;&#1085;&#1080;&#1073;%20&#1058;&#1057;&#1050;&#1056;\&#1058;&#1057;&#1050;&#1056;_021022_4&#1084;&#107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m.goncharov\Desktop\&#1041;&#1072;&#1088;&#1080;&#1094;&#1080;&#1090;&#1080;&#1085;&#1080;&#1073;%20&#1058;&#1057;&#1050;&#1056;\&#1058;&#1057;&#1050;&#1056;_021022_4&#1084;&#107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m.goncharov\Desktop\&#1041;&#1072;&#1088;&#1080;&#1094;&#1080;&#1090;&#1080;&#1085;&#1080;&#1073;%20&#1058;&#1057;&#1050;&#1056;\&#1058;&#1057;&#1050;&#1056;_021022_4&#1084;&#107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93715262932878"/>
          <c:y val="4.8191376520412804E-2"/>
          <c:w val="0.84072253099615224"/>
          <c:h val="0.74873513151281623"/>
        </c:manualLayout>
      </c:layout>
      <c:scatterChart>
        <c:scatterStyle val="lineMarker"/>
        <c:varyColors val="0"/>
        <c:ser>
          <c:idx val="0"/>
          <c:order val="0"/>
          <c:tx>
            <c:v>БАРИЦИТИНИБ</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6.412997007268063E-3"/>
                  <c:y val="-5.51470588235294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419-4E42-952C-4B41535FF5F5}"/>
                </c:ext>
              </c:extLst>
            </c:dLbl>
            <c:dLbl>
              <c:idx val="2"/>
              <c:layout>
                <c:manualLayout>
                  <c:x val="0"/>
                  <c:y val="-5.51470588235294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419-4E42-952C-4B41535FF5F5}"/>
                </c:ext>
              </c:extLst>
            </c:dLbl>
            <c:dLbl>
              <c:idx val="3"/>
              <c:layout>
                <c:manualLayout>
                  <c:x val="0"/>
                  <c:y val="-4.90196078431372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419-4E42-952C-4B41535FF5F5}"/>
                </c:ext>
              </c:extLst>
            </c:dLbl>
            <c:dLbl>
              <c:idx val="4"/>
              <c:layout>
                <c:manualLayout>
                  <c:x val="-2.1376656690892761E-3"/>
                  <c:y val="-5.5147058823529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419-4E42-952C-4B41535FF5F5}"/>
                </c:ext>
              </c:extLst>
            </c:dLbl>
            <c:dLbl>
              <c:idx val="5"/>
              <c:layout>
                <c:manualLayout>
                  <c:x val="-4.2753313381788654E-3"/>
                  <c:y val="-4.28921568627451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419-4E42-952C-4B41535FF5F5}"/>
                </c:ext>
              </c:extLst>
            </c:dLbl>
            <c:spPr>
              <a:noFill/>
              <a:ln>
                <a:noFill/>
              </a:ln>
              <a:effectLst/>
            </c:spPr>
            <c:txPr>
              <a:bodyPr rot="0" vert="horz"/>
              <a:lstStyle/>
              <a:p>
                <a:pPr>
                  <a:defRPr/>
                </a:pPr>
                <a:endParaRPr lang="ru-RU"/>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ТСКР_1.2!$B$55:$G$55</c:f>
              <c:numCache>
                <c:formatCode>General</c:formatCode>
                <c:ptCount val="6"/>
                <c:pt idx="0">
                  <c:v>0</c:v>
                </c:pt>
                <c:pt idx="1">
                  <c:v>5</c:v>
                </c:pt>
                <c:pt idx="2">
                  <c:v>10</c:v>
                </c:pt>
                <c:pt idx="3">
                  <c:v>15</c:v>
                </c:pt>
                <c:pt idx="4">
                  <c:v>20</c:v>
                </c:pt>
                <c:pt idx="5">
                  <c:v>30</c:v>
                </c:pt>
              </c:numCache>
            </c:numRef>
          </c:xVal>
          <c:yVal>
            <c:numRef>
              <c:f>ТСКР_1.2!$B$56:$G$56</c:f>
              <c:numCache>
                <c:formatCode>0</c:formatCode>
                <c:ptCount val="6"/>
                <c:pt idx="0" formatCode="General">
                  <c:v>0</c:v>
                </c:pt>
                <c:pt idx="1">
                  <c:v>101.9309931576223</c:v>
                </c:pt>
                <c:pt idx="2">
                  <c:v>101.94699006834428</c:v>
                </c:pt>
                <c:pt idx="3">
                  <c:v>101.89817794110074</c:v>
                </c:pt>
                <c:pt idx="4">
                  <c:v>101.96812601321024</c:v>
                </c:pt>
                <c:pt idx="5">
                  <c:v>101.95133863051952</c:v>
                </c:pt>
              </c:numCache>
            </c:numRef>
          </c:yVal>
          <c:smooth val="0"/>
          <c:extLst>
            <c:ext xmlns:c16="http://schemas.microsoft.com/office/drawing/2014/chart" uri="{C3380CC4-5D6E-409C-BE32-E72D297353CC}">
              <c16:uniqueId val="{00000000-37BF-445E-B8B6-75F17A9552CC}"/>
            </c:ext>
          </c:extLst>
        </c:ser>
        <c:ser>
          <c:idx val="1"/>
          <c:order val="1"/>
          <c:tx>
            <c:v>Олумиант</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4.2753313381786694E-3"/>
                  <c:y val="5.68412505075111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419-4E42-952C-4B41535FF5F5}"/>
                </c:ext>
              </c:extLst>
            </c:dLbl>
            <c:dLbl>
              <c:idx val="2"/>
              <c:layout>
                <c:manualLayout>
                  <c:x val="6.412997007268063E-3"/>
                  <c:y val="4.87210718635809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419-4E42-952C-4B41535FF5F5}"/>
                </c:ext>
              </c:extLst>
            </c:dLbl>
            <c:dLbl>
              <c:idx val="3"/>
              <c:layout>
                <c:manualLayout>
                  <c:x val="-1.2825994014536126E-2"/>
                  <c:y val="8.12017864393016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419-4E42-952C-4B41535FF5F5}"/>
                </c:ext>
              </c:extLst>
            </c:dLbl>
            <c:dLbl>
              <c:idx val="4"/>
              <c:layout>
                <c:manualLayout>
                  <c:x val="7.8380169078874692E-17"/>
                  <c:y val="5.27811611855460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419-4E42-952C-4B41535FF5F5}"/>
                </c:ext>
              </c:extLst>
            </c:dLbl>
            <c:dLbl>
              <c:idx val="5"/>
              <c:layout>
                <c:manualLayout>
                  <c:x val="2.1376656690891976E-3"/>
                  <c:y val="6.0901339829476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419-4E42-952C-4B41535FF5F5}"/>
                </c:ext>
              </c:extLst>
            </c:dLbl>
            <c:spPr>
              <a:noFill/>
              <a:ln>
                <a:noFill/>
              </a:ln>
              <a:effectLst/>
            </c:spPr>
            <c:txPr>
              <a:bodyPr rot="0" vert="horz"/>
              <a:lstStyle/>
              <a:p>
                <a:pPr>
                  <a:defRPr/>
                </a:pPr>
                <a:endParaRPr lang="ru-RU"/>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ТСКР_1.2!$B$55:$G$55</c:f>
              <c:numCache>
                <c:formatCode>General</c:formatCode>
                <c:ptCount val="6"/>
                <c:pt idx="0">
                  <c:v>0</c:v>
                </c:pt>
                <c:pt idx="1">
                  <c:v>5</c:v>
                </c:pt>
                <c:pt idx="2">
                  <c:v>10</c:v>
                </c:pt>
                <c:pt idx="3">
                  <c:v>15</c:v>
                </c:pt>
                <c:pt idx="4">
                  <c:v>20</c:v>
                </c:pt>
                <c:pt idx="5">
                  <c:v>30</c:v>
                </c:pt>
              </c:numCache>
            </c:numRef>
          </c:xVal>
          <c:yVal>
            <c:numRef>
              <c:f>ТСКР_1.2!$B$57:$G$57</c:f>
              <c:numCache>
                <c:formatCode>0</c:formatCode>
                <c:ptCount val="6"/>
                <c:pt idx="0" formatCode="General">
                  <c:v>0</c:v>
                </c:pt>
                <c:pt idx="1">
                  <c:v>101.08189750077919</c:v>
                </c:pt>
                <c:pt idx="2">
                  <c:v>101.07089028467242</c:v>
                </c:pt>
                <c:pt idx="3">
                  <c:v>101.06935978692725</c:v>
                </c:pt>
                <c:pt idx="4">
                  <c:v>101.1103817643701</c:v>
                </c:pt>
                <c:pt idx="5">
                  <c:v>101.1050636711949</c:v>
                </c:pt>
              </c:numCache>
            </c:numRef>
          </c:yVal>
          <c:smooth val="0"/>
          <c:extLst>
            <c:ext xmlns:c16="http://schemas.microsoft.com/office/drawing/2014/chart" uri="{C3380CC4-5D6E-409C-BE32-E72D297353CC}">
              <c16:uniqueId val="{00000001-37BF-445E-B8B6-75F17A9552CC}"/>
            </c:ext>
          </c:extLst>
        </c:ser>
        <c:dLbls>
          <c:dLblPos val="r"/>
          <c:showLegendKey val="0"/>
          <c:showVal val="1"/>
          <c:showCatName val="0"/>
          <c:showSerName val="0"/>
          <c:showPercent val="0"/>
          <c:showBubbleSize val="0"/>
        </c:dLbls>
        <c:axId val="236690048"/>
        <c:axId val="268584832"/>
      </c:scatterChart>
      <c:valAx>
        <c:axId val="23669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ru-RU"/>
                  <a:t>Время, мин</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268584832"/>
        <c:crosses val="autoZero"/>
        <c:crossBetween val="midCat"/>
      </c:valAx>
      <c:valAx>
        <c:axId val="26858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ru-RU"/>
                  <a:t>Высвобождение,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236690048"/>
        <c:crosses val="autoZero"/>
        <c:crossBetween val="midCat"/>
      </c:valAx>
      <c:spPr>
        <a:noFill/>
        <a:ln>
          <a:noFill/>
        </a:ln>
        <a:effectLst/>
      </c:spPr>
    </c:plotArea>
    <c:legend>
      <c:legendPos val="t"/>
      <c:layout>
        <c:manualLayout>
          <c:xMode val="edge"/>
          <c:yMode val="edge"/>
          <c:x val="0.56896967881152527"/>
          <c:y val="0.41006902151847341"/>
          <c:w val="0.37082507162021594"/>
          <c:h val="0.15586683700961221"/>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93715262932878"/>
          <c:y val="5.197777500711314E-2"/>
          <c:w val="0.84072253099615224"/>
          <c:h val="0.74615458390478295"/>
        </c:manualLayout>
      </c:layout>
      <c:scatterChart>
        <c:scatterStyle val="lineMarker"/>
        <c:varyColors val="0"/>
        <c:ser>
          <c:idx val="0"/>
          <c:order val="0"/>
          <c:tx>
            <c:v>БАРИЦИТИНИБ</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4"/>
              <c:layout>
                <c:manualLayout>
                  <c:x val="-8.5506626763574185E-3"/>
                  <c:y val="3.75939849624060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A22-43A8-A2AE-4F1F79633281}"/>
                </c:ext>
              </c:extLst>
            </c:dLbl>
            <c:dLbl>
              <c:idx val="5"/>
              <c:layout>
                <c:manualLayout>
                  <c:x val="-8.5506626763575747E-3"/>
                  <c:y val="5.63909774436090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A22-43A8-A2AE-4F1F79633281}"/>
                </c:ext>
              </c:extLst>
            </c:dLbl>
            <c:spPr>
              <a:noFill/>
              <a:ln>
                <a:noFill/>
              </a:ln>
              <a:effectLst/>
            </c:spPr>
            <c:txPr>
              <a:bodyPr rot="0" vert="horz"/>
              <a:lstStyle/>
              <a:p>
                <a:pPr>
                  <a:defRPr/>
                </a:pPr>
                <a:endParaRPr lang="ru-RU"/>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ТСКР_4.5!$B$55:$G$55</c:f>
              <c:numCache>
                <c:formatCode>General</c:formatCode>
                <c:ptCount val="6"/>
                <c:pt idx="0">
                  <c:v>0</c:v>
                </c:pt>
                <c:pt idx="1">
                  <c:v>5</c:v>
                </c:pt>
                <c:pt idx="2">
                  <c:v>10</c:v>
                </c:pt>
                <c:pt idx="3">
                  <c:v>15</c:v>
                </c:pt>
                <c:pt idx="4">
                  <c:v>20</c:v>
                </c:pt>
                <c:pt idx="5">
                  <c:v>30</c:v>
                </c:pt>
              </c:numCache>
            </c:numRef>
          </c:xVal>
          <c:yVal>
            <c:numRef>
              <c:f>ТСКР_4.5!$B$56:$G$56</c:f>
              <c:numCache>
                <c:formatCode>0</c:formatCode>
                <c:ptCount val="6"/>
                <c:pt idx="0" formatCode="General">
                  <c:v>0</c:v>
                </c:pt>
                <c:pt idx="1">
                  <c:v>66.720243399482328</c:v>
                </c:pt>
                <c:pt idx="2">
                  <c:v>81.259695115697738</c:v>
                </c:pt>
                <c:pt idx="3">
                  <c:v>87.927145531265026</c:v>
                </c:pt>
                <c:pt idx="4">
                  <c:v>92.85812501502248</c:v>
                </c:pt>
                <c:pt idx="5">
                  <c:v>96.907022989250947</c:v>
                </c:pt>
              </c:numCache>
            </c:numRef>
          </c:yVal>
          <c:smooth val="0"/>
          <c:extLst>
            <c:ext xmlns:c16="http://schemas.microsoft.com/office/drawing/2014/chart" uri="{C3380CC4-5D6E-409C-BE32-E72D297353CC}">
              <c16:uniqueId val="{00000000-91BE-4716-AA67-B32A4B5672F1}"/>
            </c:ext>
          </c:extLst>
        </c:ser>
        <c:ser>
          <c:idx val="1"/>
          <c:order val="1"/>
          <c:tx>
            <c:v>Олумиант</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2825994014536126E-2"/>
                  <c:y val="-9.39849624060150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A22-43A8-A2AE-4F1F79633281}"/>
                </c:ext>
              </c:extLst>
            </c:dLbl>
            <c:dLbl>
              <c:idx val="2"/>
              <c:layout>
                <c:manualLayout>
                  <c:x val="-2.1376656690893546E-3"/>
                  <c:y val="-5.63909774436090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A22-43A8-A2AE-4F1F79633281}"/>
                </c:ext>
              </c:extLst>
            </c:dLbl>
            <c:dLbl>
              <c:idx val="3"/>
              <c:layout>
                <c:manualLayout>
                  <c:x val="-1.9238991021804191E-2"/>
                  <c:y val="-5.6390977443609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A22-43A8-A2AE-4F1F79633281}"/>
                </c:ext>
              </c:extLst>
            </c:dLbl>
            <c:dLbl>
              <c:idx val="4"/>
              <c:layout>
                <c:manualLayout>
                  <c:x val="-1.4963659683625482E-2"/>
                  <c:y val="-6.89223057644110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A22-43A8-A2AE-4F1F79633281}"/>
                </c:ext>
              </c:extLst>
            </c:dLbl>
            <c:dLbl>
              <c:idx val="5"/>
              <c:layout>
                <c:manualLayout>
                  <c:x val="-1.2825994014536284E-2"/>
                  <c:y val="-7.51879699248120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A22-43A8-A2AE-4F1F79633281}"/>
                </c:ext>
              </c:extLst>
            </c:dLbl>
            <c:spPr>
              <a:noFill/>
              <a:ln>
                <a:noFill/>
              </a:ln>
              <a:effectLst/>
            </c:spPr>
            <c:txPr>
              <a:bodyPr rot="0" vert="horz"/>
              <a:lstStyle/>
              <a:p>
                <a:pPr>
                  <a:defRPr/>
                </a:pPr>
                <a:endParaRPr lang="ru-RU"/>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ТСКР_4.5!$B$55:$G$55</c:f>
              <c:numCache>
                <c:formatCode>General</c:formatCode>
                <c:ptCount val="6"/>
                <c:pt idx="0">
                  <c:v>0</c:v>
                </c:pt>
                <c:pt idx="1">
                  <c:v>5</c:v>
                </c:pt>
                <c:pt idx="2">
                  <c:v>10</c:v>
                </c:pt>
                <c:pt idx="3">
                  <c:v>15</c:v>
                </c:pt>
                <c:pt idx="4">
                  <c:v>20</c:v>
                </c:pt>
                <c:pt idx="5">
                  <c:v>30</c:v>
                </c:pt>
              </c:numCache>
            </c:numRef>
          </c:xVal>
          <c:yVal>
            <c:numRef>
              <c:f>ТСКР_4.5!$B$57:$G$57</c:f>
              <c:numCache>
                <c:formatCode>0</c:formatCode>
                <c:ptCount val="6"/>
                <c:pt idx="0" formatCode="General">
                  <c:v>0</c:v>
                </c:pt>
                <c:pt idx="1">
                  <c:v>70.981099550615866</c:v>
                </c:pt>
                <c:pt idx="2">
                  <c:v>88.44595093142685</c:v>
                </c:pt>
                <c:pt idx="3">
                  <c:v>93.840029400800134</c:v>
                </c:pt>
                <c:pt idx="4">
                  <c:v>96.302397144040086</c:v>
                </c:pt>
                <c:pt idx="5">
                  <c:v>98.534369122976372</c:v>
                </c:pt>
              </c:numCache>
            </c:numRef>
          </c:yVal>
          <c:smooth val="0"/>
          <c:extLst>
            <c:ext xmlns:c16="http://schemas.microsoft.com/office/drawing/2014/chart" uri="{C3380CC4-5D6E-409C-BE32-E72D297353CC}">
              <c16:uniqueId val="{00000001-91BE-4716-AA67-B32A4B5672F1}"/>
            </c:ext>
          </c:extLst>
        </c:ser>
        <c:dLbls>
          <c:dLblPos val="r"/>
          <c:showLegendKey val="0"/>
          <c:showVal val="1"/>
          <c:showCatName val="0"/>
          <c:showSerName val="0"/>
          <c:showPercent val="0"/>
          <c:showBubbleSize val="0"/>
        </c:dLbls>
        <c:axId val="311417472"/>
        <c:axId val="317680640"/>
      </c:scatterChart>
      <c:valAx>
        <c:axId val="31141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ru-RU"/>
                  <a:t>Время, мин</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317680640"/>
        <c:crosses val="autoZero"/>
        <c:crossBetween val="midCat"/>
      </c:valAx>
      <c:valAx>
        <c:axId val="31768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ru-RU"/>
                  <a:t>Высвобождение,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311417472"/>
        <c:crosses val="autoZero"/>
        <c:crossBetween val="midCat"/>
      </c:valAx>
      <c:spPr>
        <a:noFill/>
        <a:ln>
          <a:noFill/>
        </a:ln>
        <a:effectLst/>
      </c:spPr>
    </c:plotArea>
    <c:legend>
      <c:legendPos val="t"/>
      <c:layout>
        <c:manualLayout>
          <c:xMode val="edge"/>
          <c:yMode val="edge"/>
          <c:x val="0.59248400117150812"/>
          <c:y val="0.42630937880633374"/>
          <c:w val="0.27463011651119495"/>
          <c:h val="0.17963745712767498"/>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93715262932878"/>
          <c:y val="6.3045544787670757E-2"/>
          <c:w val="0.84072253099615224"/>
          <c:h val="0.71695022497187855"/>
        </c:manualLayout>
      </c:layout>
      <c:scatterChart>
        <c:scatterStyle val="lineMarker"/>
        <c:varyColors val="0"/>
        <c:ser>
          <c:idx val="0"/>
          <c:order val="0"/>
          <c:tx>
            <c:v>БАРИЦИТИНИБ</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8.5506626763574185E-3"/>
                  <c:y val="1.71821305841924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61F-4F24-AD9A-2C4549FC7102}"/>
                </c:ext>
              </c:extLst>
            </c:dLbl>
            <c:dLbl>
              <c:idx val="4"/>
              <c:layout>
                <c:manualLayout>
                  <c:x val="-1.2825994014536126E-2"/>
                  <c:y val="4.58190148911798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61F-4F24-AD9A-2C4549FC7102}"/>
                </c:ext>
              </c:extLst>
            </c:dLbl>
            <c:dLbl>
              <c:idx val="5"/>
              <c:layout>
                <c:manualLayout>
                  <c:x val="-1.4963659683625482E-2"/>
                  <c:y val="5.15463917525772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61F-4F24-AD9A-2C4549FC7102}"/>
                </c:ext>
              </c:extLst>
            </c:dLbl>
            <c:spPr>
              <a:noFill/>
              <a:ln>
                <a:noFill/>
              </a:ln>
              <a:effectLst/>
            </c:spPr>
            <c:txPr>
              <a:bodyPr rot="0" vert="horz"/>
              <a:lstStyle/>
              <a:p>
                <a:pPr>
                  <a:defRPr/>
                </a:pPr>
                <a:endParaRPr lang="ru-RU"/>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ТСКР_6.8!$B$55:$G$55</c:f>
              <c:numCache>
                <c:formatCode>General</c:formatCode>
                <c:ptCount val="6"/>
                <c:pt idx="0">
                  <c:v>0</c:v>
                </c:pt>
                <c:pt idx="1">
                  <c:v>5</c:v>
                </c:pt>
                <c:pt idx="2">
                  <c:v>10</c:v>
                </c:pt>
                <c:pt idx="3">
                  <c:v>15</c:v>
                </c:pt>
                <c:pt idx="4">
                  <c:v>20</c:v>
                </c:pt>
                <c:pt idx="5">
                  <c:v>30</c:v>
                </c:pt>
              </c:numCache>
            </c:numRef>
          </c:xVal>
          <c:yVal>
            <c:numRef>
              <c:f>ТСКР_6.8!$B$56:$G$56</c:f>
              <c:numCache>
                <c:formatCode>0</c:formatCode>
                <c:ptCount val="6"/>
                <c:pt idx="0" formatCode="General">
                  <c:v>0</c:v>
                </c:pt>
                <c:pt idx="1">
                  <c:v>63.899930873035089</c:v>
                </c:pt>
                <c:pt idx="2">
                  <c:v>75.951366274167455</c:v>
                </c:pt>
                <c:pt idx="3">
                  <c:v>86.21779596068383</c:v>
                </c:pt>
                <c:pt idx="4">
                  <c:v>90.59591129914611</c:v>
                </c:pt>
                <c:pt idx="5">
                  <c:v>96.133324469826164</c:v>
                </c:pt>
              </c:numCache>
            </c:numRef>
          </c:yVal>
          <c:smooth val="0"/>
          <c:extLst>
            <c:ext xmlns:c16="http://schemas.microsoft.com/office/drawing/2014/chart" uri="{C3380CC4-5D6E-409C-BE32-E72D297353CC}">
              <c16:uniqueId val="{00000000-ADE8-4493-9247-3E709C4F47FE}"/>
            </c:ext>
          </c:extLst>
        </c:ser>
        <c:ser>
          <c:idx val="1"/>
          <c:order val="1"/>
          <c:tx>
            <c:v>Олумиант</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2825994014536126E-2"/>
                  <c:y val="-9.16380297823597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61F-4F24-AD9A-2C4549FC7102}"/>
                </c:ext>
              </c:extLst>
            </c:dLbl>
            <c:dLbl>
              <c:idx val="2"/>
              <c:layout>
                <c:manualLayout>
                  <c:x val="-1.7101325352714837E-2"/>
                  <c:y val="-6.87285223367697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61F-4F24-AD9A-2C4549FC7102}"/>
                </c:ext>
              </c:extLst>
            </c:dLbl>
            <c:dLbl>
              <c:idx val="3"/>
              <c:layout>
                <c:manualLayout>
                  <c:x val="-1.2825994014536126E-2"/>
                  <c:y val="-8.018327605956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61F-4F24-AD9A-2C4549FC7102}"/>
                </c:ext>
              </c:extLst>
            </c:dLbl>
            <c:dLbl>
              <c:idx val="4"/>
              <c:layout>
                <c:manualLayout>
                  <c:x val="-1.2825994014536126E-2"/>
                  <c:y val="-7.44558991981672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61F-4F24-AD9A-2C4549FC7102}"/>
                </c:ext>
              </c:extLst>
            </c:dLbl>
            <c:dLbl>
              <c:idx val="5"/>
              <c:layout>
                <c:manualLayout>
                  <c:x val="-2.1376656690893545E-2"/>
                  <c:y val="-4.5819014891179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61F-4F24-AD9A-2C4549FC7102}"/>
                </c:ext>
              </c:extLst>
            </c:dLbl>
            <c:spPr>
              <a:noFill/>
              <a:ln>
                <a:noFill/>
              </a:ln>
              <a:effectLst/>
            </c:spPr>
            <c:txPr>
              <a:bodyPr rot="0" vert="horz"/>
              <a:lstStyle/>
              <a:p>
                <a:pPr>
                  <a:defRPr/>
                </a:pPr>
                <a:endParaRPr lang="ru-RU"/>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ТСКР_6.8!$B$55:$G$55</c:f>
              <c:numCache>
                <c:formatCode>General</c:formatCode>
                <c:ptCount val="6"/>
                <c:pt idx="0">
                  <c:v>0</c:v>
                </c:pt>
                <c:pt idx="1">
                  <c:v>5</c:v>
                </c:pt>
                <c:pt idx="2">
                  <c:v>10</c:v>
                </c:pt>
                <c:pt idx="3">
                  <c:v>15</c:v>
                </c:pt>
                <c:pt idx="4">
                  <c:v>20</c:v>
                </c:pt>
                <c:pt idx="5">
                  <c:v>30</c:v>
                </c:pt>
              </c:numCache>
            </c:numRef>
          </c:xVal>
          <c:yVal>
            <c:numRef>
              <c:f>ТСКР_6.8!$B$57:$G$57</c:f>
              <c:numCache>
                <c:formatCode>0</c:formatCode>
                <c:ptCount val="6"/>
                <c:pt idx="0" formatCode="General">
                  <c:v>0</c:v>
                </c:pt>
                <c:pt idx="1">
                  <c:v>66.012329896210403</c:v>
                </c:pt>
                <c:pt idx="2">
                  <c:v>84.975500050808151</c:v>
                </c:pt>
                <c:pt idx="3">
                  <c:v>91.387910935555581</c:v>
                </c:pt>
                <c:pt idx="4">
                  <c:v>95.039361929006134</c:v>
                </c:pt>
                <c:pt idx="5">
                  <c:v>98.734813659269037</c:v>
                </c:pt>
              </c:numCache>
            </c:numRef>
          </c:yVal>
          <c:smooth val="0"/>
          <c:extLst>
            <c:ext xmlns:c16="http://schemas.microsoft.com/office/drawing/2014/chart" uri="{C3380CC4-5D6E-409C-BE32-E72D297353CC}">
              <c16:uniqueId val="{00000001-ADE8-4493-9247-3E709C4F47FE}"/>
            </c:ext>
          </c:extLst>
        </c:ser>
        <c:dLbls>
          <c:dLblPos val="r"/>
          <c:showLegendKey val="0"/>
          <c:showVal val="1"/>
          <c:showCatName val="0"/>
          <c:showSerName val="0"/>
          <c:showPercent val="0"/>
          <c:showBubbleSize val="0"/>
        </c:dLbls>
        <c:axId val="232060416"/>
        <c:axId val="232062336"/>
      </c:scatterChart>
      <c:valAx>
        <c:axId val="232060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ru-RU"/>
                  <a:t>Время, мин</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232062336"/>
        <c:crosses val="autoZero"/>
        <c:crossBetween val="midCat"/>
      </c:valAx>
      <c:valAx>
        <c:axId val="23206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ru-RU"/>
                  <a:t>Высвобождение,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232060416"/>
        <c:crosses val="autoZero"/>
        <c:crossBetween val="midCat"/>
      </c:valAx>
      <c:spPr>
        <a:noFill/>
        <a:ln>
          <a:noFill/>
        </a:ln>
        <a:effectLst/>
      </c:spPr>
    </c:plotArea>
    <c:legend>
      <c:legendPos val="t"/>
      <c:layout>
        <c:manualLayout>
          <c:xMode val="edge"/>
          <c:yMode val="edge"/>
          <c:x val="0.61614358380491019"/>
          <c:y val="0.41006902151847341"/>
          <c:w val="0.31495507535692285"/>
          <c:h val="0.13868082263164119"/>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388F27C0-300C-4B41-B9FC-3C2A2C520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133</Pages>
  <Words>74090</Words>
  <Characters>422316</Characters>
  <Application>Microsoft Office Word</Application>
  <DocSecurity>0</DocSecurity>
  <Lines>3519</Lines>
  <Paragraphs>990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495416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Никольская Мария Викторовна</dc:creator>
  <cp:lastModifiedBy>Filon, Olga</cp:lastModifiedBy>
  <cp:revision>19</cp:revision>
  <cp:lastPrinted>2018-02-02T15:14:00Z</cp:lastPrinted>
  <dcterms:created xsi:type="dcterms:W3CDTF">2022-11-28T16:07:00Z</dcterms:created>
  <dcterms:modified xsi:type="dcterms:W3CDTF">2022-12-05T16:30:00Z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id="Fr6Niu87"/&gt;&lt;style id="http://www.zotero.org/styles/gost-r-7-0-5-2008-numeric"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