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3870"/>
        <w:gridCol w:w="5486"/>
      </w:tblGrid>
      <w:tr w:rsidR="00C035FA" w14:paraId="6F8D079E" w14:textId="77777777">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tcPr>
          <w:p w14:paraId="743FCC81" w14:textId="77777777" w:rsidR="00C035FA" w:rsidRPr="00B247E2" w:rsidRDefault="00C035FA">
            <w:pPr>
              <w:spacing w:after="0" w:line="240" w:lineRule="auto"/>
              <w:jc w:val="center"/>
              <w:rPr>
                <w:b/>
                <w:color w:val="000000" w:themeColor="text1"/>
                <w:sz w:val="28"/>
                <w:szCs w:val="28"/>
                <w:lang w:val="en-US"/>
              </w:rPr>
            </w:pPr>
          </w:p>
          <w:p w14:paraId="4E955484" w14:textId="77777777" w:rsidR="00C035FA" w:rsidRPr="00E14858" w:rsidRDefault="008D5756">
            <w:pPr>
              <w:spacing w:after="0" w:line="240" w:lineRule="auto"/>
              <w:jc w:val="center"/>
              <w:rPr>
                <w:b/>
                <w:color w:val="000000" w:themeColor="text1"/>
                <w:sz w:val="32"/>
                <w:szCs w:val="28"/>
                <w:lang w:val="en-US"/>
              </w:rPr>
            </w:pPr>
            <w:r>
              <w:rPr>
                <w:b/>
                <w:color w:val="000000" w:themeColor="text1"/>
                <w:sz w:val="32"/>
                <w:szCs w:val="28"/>
              </w:rPr>
              <w:t>БРОШЮРА ИССЛЕДОВАТЕЛЯ</w:t>
            </w:r>
          </w:p>
          <w:p w14:paraId="51D83C45" w14:textId="77777777" w:rsidR="00C035FA" w:rsidRDefault="00C035FA">
            <w:pPr>
              <w:spacing w:after="0" w:line="240" w:lineRule="auto"/>
              <w:jc w:val="center"/>
              <w:rPr>
                <w:b/>
                <w:color w:val="000000" w:themeColor="text1"/>
                <w:sz w:val="28"/>
                <w:szCs w:val="28"/>
                <w:lang w:eastAsia="en-US"/>
              </w:rPr>
            </w:pPr>
          </w:p>
        </w:tc>
      </w:tr>
      <w:tr w:rsidR="00C035FA" w14:paraId="545F18FF" w14:textId="77777777">
        <w:trPr>
          <w:trHeight w:val="177"/>
        </w:trPr>
        <w:tc>
          <w:tcPr>
            <w:tcW w:w="3870" w:type="dxa"/>
            <w:tcBorders>
              <w:top w:val="thinThickSmallGap" w:sz="24" w:space="0" w:color="auto"/>
              <w:left w:val="thinThickSmallGap" w:sz="24" w:space="0" w:color="auto"/>
              <w:bottom w:val="nil"/>
              <w:right w:val="nil"/>
            </w:tcBorders>
          </w:tcPr>
          <w:p w14:paraId="106A2F76" w14:textId="77777777" w:rsidR="00C035FA" w:rsidRDefault="00C035FA">
            <w:pPr>
              <w:spacing w:after="0" w:line="240" w:lineRule="auto"/>
              <w:jc w:val="left"/>
              <w:rPr>
                <w:b/>
                <w:color w:val="000000" w:themeColor="text1"/>
                <w:sz w:val="14"/>
                <w:lang w:val="en-US"/>
              </w:rPr>
            </w:pPr>
          </w:p>
        </w:tc>
        <w:tc>
          <w:tcPr>
            <w:tcW w:w="5486" w:type="dxa"/>
            <w:tcBorders>
              <w:top w:val="thinThickSmallGap" w:sz="24" w:space="0" w:color="auto"/>
              <w:left w:val="nil"/>
              <w:bottom w:val="nil"/>
              <w:right w:val="thickThinSmallGap" w:sz="24" w:space="0" w:color="auto"/>
            </w:tcBorders>
          </w:tcPr>
          <w:p w14:paraId="54AB8D78" w14:textId="77777777" w:rsidR="00C035FA" w:rsidRDefault="00C035FA">
            <w:pPr>
              <w:spacing w:after="0" w:line="240" w:lineRule="auto"/>
              <w:jc w:val="left"/>
              <w:rPr>
                <w:b/>
                <w:color w:val="000000" w:themeColor="text1"/>
                <w:sz w:val="14"/>
                <w:lang w:val="en-US"/>
              </w:rPr>
            </w:pPr>
          </w:p>
        </w:tc>
      </w:tr>
      <w:tr w:rsidR="00C035FA" w14:paraId="29D4685C" w14:textId="77777777">
        <w:trPr>
          <w:trHeight w:val="439"/>
        </w:trPr>
        <w:tc>
          <w:tcPr>
            <w:tcW w:w="3870" w:type="dxa"/>
            <w:tcBorders>
              <w:top w:val="nil"/>
              <w:left w:val="thinThickSmallGap" w:sz="24" w:space="0" w:color="auto"/>
              <w:bottom w:val="nil"/>
              <w:right w:val="nil"/>
            </w:tcBorders>
          </w:tcPr>
          <w:p w14:paraId="5F4ED7C2" w14:textId="77777777" w:rsidR="00C035FA" w:rsidRDefault="008D5756">
            <w:pPr>
              <w:spacing w:after="0" w:line="240" w:lineRule="auto"/>
              <w:jc w:val="left"/>
              <w:rPr>
                <w:color w:val="000000" w:themeColor="text1"/>
                <w:lang w:eastAsia="en-US"/>
              </w:rPr>
            </w:pPr>
            <w:r>
              <w:rPr>
                <w:b/>
                <w:color w:val="000000" w:themeColor="text1"/>
              </w:rPr>
              <w:t>Код продукта:</w:t>
            </w:r>
          </w:p>
        </w:tc>
        <w:tc>
          <w:tcPr>
            <w:tcW w:w="5486" w:type="dxa"/>
            <w:tcBorders>
              <w:top w:val="nil"/>
              <w:left w:val="nil"/>
              <w:bottom w:val="nil"/>
              <w:right w:val="thickThinSmallGap" w:sz="24" w:space="0" w:color="auto"/>
            </w:tcBorders>
          </w:tcPr>
          <w:p w14:paraId="6EB8279B" w14:textId="546D9537" w:rsidR="00C035FA" w:rsidRDefault="008D5756">
            <w:pPr>
              <w:spacing w:after="0" w:line="240" w:lineRule="auto"/>
              <w:jc w:val="left"/>
              <w:rPr>
                <w:color w:val="000000" w:themeColor="text1"/>
                <w:lang w:eastAsia="en-US"/>
              </w:rPr>
            </w:pPr>
            <w:r>
              <w:rPr>
                <w:lang w:val="en-US" w:eastAsia="ru-RU"/>
              </w:rPr>
              <w:t>DT</w:t>
            </w:r>
            <w:r>
              <w:rPr>
                <w:lang w:eastAsia="ru-RU"/>
              </w:rPr>
              <w:t>-</w:t>
            </w:r>
            <w:r>
              <w:rPr>
                <w:lang w:val="en-US" w:eastAsia="ru-RU"/>
              </w:rPr>
              <w:t>EMP</w:t>
            </w:r>
            <w:r w:rsidR="003024CE">
              <w:rPr>
                <w:lang w:eastAsia="ru-RU"/>
              </w:rPr>
              <w:t xml:space="preserve"> (</w:t>
            </w:r>
            <w:r>
              <w:t>A101052</w:t>
            </w:r>
            <w:r w:rsidR="003024CE">
              <w:t>)</w:t>
            </w:r>
          </w:p>
        </w:tc>
      </w:tr>
      <w:tr w:rsidR="00C035FA" w14:paraId="5134E0C1" w14:textId="77777777">
        <w:trPr>
          <w:trHeight w:val="388"/>
        </w:trPr>
        <w:tc>
          <w:tcPr>
            <w:tcW w:w="3870" w:type="dxa"/>
            <w:tcBorders>
              <w:top w:val="nil"/>
              <w:left w:val="thinThickSmallGap" w:sz="24" w:space="0" w:color="auto"/>
              <w:bottom w:val="nil"/>
              <w:right w:val="nil"/>
            </w:tcBorders>
          </w:tcPr>
          <w:p w14:paraId="54B45F6C" w14:textId="77777777" w:rsidR="00C035FA" w:rsidRDefault="008D5756">
            <w:pPr>
              <w:spacing w:after="0" w:line="240" w:lineRule="auto"/>
              <w:jc w:val="left"/>
              <w:rPr>
                <w:b/>
                <w:color w:val="000000" w:themeColor="text1"/>
              </w:rPr>
            </w:pPr>
            <w:r>
              <w:rPr>
                <w:b/>
                <w:color w:val="000000" w:themeColor="text1"/>
              </w:rPr>
              <w:t>МНН:</w:t>
            </w:r>
          </w:p>
        </w:tc>
        <w:tc>
          <w:tcPr>
            <w:tcW w:w="5486" w:type="dxa"/>
            <w:tcBorders>
              <w:top w:val="nil"/>
              <w:left w:val="nil"/>
              <w:bottom w:val="nil"/>
              <w:right w:val="thickThinSmallGap" w:sz="24" w:space="0" w:color="auto"/>
            </w:tcBorders>
          </w:tcPr>
          <w:p w14:paraId="26BD8F72" w14:textId="77777777" w:rsidR="00C035FA" w:rsidRDefault="008D5756">
            <w:pPr>
              <w:spacing w:after="0" w:line="240" w:lineRule="auto"/>
              <w:jc w:val="left"/>
              <w:rPr>
                <w:bCs/>
                <w:color w:val="000000" w:themeColor="text1"/>
              </w:rPr>
            </w:pPr>
            <w:r>
              <w:t>Эмпаглифлозин</w:t>
            </w:r>
          </w:p>
        </w:tc>
      </w:tr>
      <w:tr w:rsidR="00C035FA" w14:paraId="02952AE5" w14:textId="77777777">
        <w:trPr>
          <w:trHeight w:val="394"/>
        </w:trPr>
        <w:tc>
          <w:tcPr>
            <w:tcW w:w="3870" w:type="dxa"/>
            <w:tcBorders>
              <w:top w:val="nil"/>
              <w:left w:val="thinThickSmallGap" w:sz="24" w:space="0" w:color="auto"/>
              <w:bottom w:val="nil"/>
              <w:right w:val="nil"/>
            </w:tcBorders>
          </w:tcPr>
          <w:p w14:paraId="749F2BDE" w14:textId="77777777" w:rsidR="00C035FA" w:rsidRDefault="008D5756">
            <w:pPr>
              <w:spacing w:after="0" w:line="240" w:lineRule="auto"/>
              <w:jc w:val="left"/>
              <w:rPr>
                <w:b/>
                <w:color w:val="000000" w:themeColor="text1"/>
              </w:rPr>
            </w:pPr>
            <w:r>
              <w:rPr>
                <w:b/>
                <w:color w:val="000000" w:themeColor="text1"/>
              </w:rPr>
              <w:t>Торговое название</w:t>
            </w:r>
          </w:p>
        </w:tc>
        <w:tc>
          <w:tcPr>
            <w:tcW w:w="5486" w:type="dxa"/>
            <w:tcBorders>
              <w:top w:val="nil"/>
              <w:left w:val="nil"/>
              <w:bottom w:val="nil"/>
              <w:right w:val="thickThinSmallGap" w:sz="24" w:space="0" w:color="auto"/>
            </w:tcBorders>
          </w:tcPr>
          <w:p w14:paraId="1962E919" w14:textId="77777777" w:rsidR="00C035FA" w:rsidRDefault="008D5756">
            <w:pPr>
              <w:spacing w:after="0" w:line="240" w:lineRule="auto"/>
              <w:rPr>
                <w:rFonts w:eastAsia="Calibri"/>
                <w:color w:val="000000" w:themeColor="text1"/>
              </w:rPr>
            </w:pPr>
            <w:r>
              <w:t>ЭМПАГЛИФЛОЗИН</w:t>
            </w:r>
          </w:p>
        </w:tc>
      </w:tr>
      <w:tr w:rsidR="00C035FA" w14:paraId="4F4454B6" w14:textId="77777777">
        <w:trPr>
          <w:trHeight w:val="80"/>
        </w:trPr>
        <w:tc>
          <w:tcPr>
            <w:tcW w:w="3870" w:type="dxa"/>
            <w:tcBorders>
              <w:top w:val="nil"/>
              <w:left w:val="thinThickSmallGap" w:sz="24" w:space="0" w:color="auto"/>
              <w:bottom w:val="nil"/>
              <w:right w:val="nil"/>
            </w:tcBorders>
          </w:tcPr>
          <w:p w14:paraId="2F9B3942" w14:textId="77777777" w:rsidR="00C035FA" w:rsidRDefault="008D5756">
            <w:pPr>
              <w:spacing w:after="0" w:line="240" w:lineRule="auto"/>
              <w:jc w:val="left"/>
              <w:rPr>
                <w:b/>
                <w:color w:val="000000" w:themeColor="text1"/>
              </w:rPr>
            </w:pPr>
            <w:r>
              <w:rPr>
                <w:b/>
                <w:color w:val="000000" w:themeColor="text1"/>
              </w:rPr>
              <w:t>Лекарственная форма:</w:t>
            </w:r>
          </w:p>
        </w:tc>
        <w:tc>
          <w:tcPr>
            <w:tcW w:w="5486" w:type="dxa"/>
            <w:tcBorders>
              <w:top w:val="nil"/>
              <w:left w:val="nil"/>
              <w:bottom w:val="nil"/>
              <w:right w:val="thickThinSmallGap" w:sz="24" w:space="0" w:color="auto"/>
            </w:tcBorders>
          </w:tcPr>
          <w:p w14:paraId="70F056F1" w14:textId="77777777" w:rsidR="00C035FA" w:rsidRDefault="008D5756">
            <w:pPr>
              <w:spacing w:after="0" w:line="240" w:lineRule="auto"/>
              <w:rPr>
                <w:bCs/>
              </w:rPr>
            </w:pPr>
            <w:r>
              <w:t>Таблетки, покрытые пленочной оболочкой</w:t>
            </w:r>
          </w:p>
        </w:tc>
      </w:tr>
      <w:tr w:rsidR="00C035FA" w14:paraId="5CEB19C8" w14:textId="77777777">
        <w:trPr>
          <w:trHeight w:val="1071"/>
        </w:trPr>
        <w:tc>
          <w:tcPr>
            <w:tcW w:w="3870" w:type="dxa"/>
            <w:tcBorders>
              <w:top w:val="nil"/>
              <w:left w:val="thinThickSmallGap" w:sz="24" w:space="0" w:color="auto"/>
              <w:bottom w:val="nil"/>
              <w:right w:val="nil"/>
            </w:tcBorders>
          </w:tcPr>
          <w:p w14:paraId="0B729905" w14:textId="77777777" w:rsidR="00C035FA" w:rsidRDefault="008D5756">
            <w:pPr>
              <w:spacing w:after="0" w:line="240" w:lineRule="auto"/>
              <w:jc w:val="left"/>
              <w:rPr>
                <w:rFonts w:eastAsia="Times New Roman"/>
                <w:b/>
                <w:color w:val="000000" w:themeColor="text1"/>
                <w:lang w:eastAsia="en-US"/>
              </w:rPr>
            </w:pPr>
            <w:r>
              <w:rPr>
                <w:b/>
                <w:color w:val="000000" w:themeColor="text1"/>
              </w:rPr>
              <w:t>Показание:</w:t>
            </w:r>
          </w:p>
          <w:p w14:paraId="4665128F" w14:textId="77777777" w:rsidR="00C035FA" w:rsidRDefault="00C035FA">
            <w:pPr>
              <w:spacing w:after="0" w:line="240" w:lineRule="auto"/>
              <w:jc w:val="left"/>
              <w:rPr>
                <w:color w:val="000000" w:themeColor="text1"/>
                <w:lang w:eastAsia="en-US"/>
              </w:rPr>
            </w:pPr>
          </w:p>
        </w:tc>
        <w:tc>
          <w:tcPr>
            <w:tcW w:w="5486" w:type="dxa"/>
            <w:tcBorders>
              <w:top w:val="nil"/>
              <w:left w:val="nil"/>
              <w:bottom w:val="nil"/>
              <w:right w:val="thickThinSmallGap" w:sz="24" w:space="0" w:color="auto"/>
            </w:tcBorders>
          </w:tcPr>
          <w:p w14:paraId="2E85C534" w14:textId="77777777" w:rsidR="00C035FA" w:rsidRDefault="008D5756">
            <w:pPr>
              <w:spacing w:after="0" w:line="240" w:lineRule="auto"/>
              <w:rPr>
                <w:bCs/>
              </w:rPr>
            </w:pPr>
            <w:bookmarkStart w:id="0" w:name="_Hlk113441285"/>
            <w:r>
              <w:rPr>
                <w:bCs/>
              </w:rPr>
              <w:t>Сахарный диабет 2 типа:</w:t>
            </w:r>
            <w:r>
              <w:rPr>
                <w:lang w:eastAsia="ru-RU"/>
              </w:rPr>
              <w:t xml:space="preserve"> монотерапия и комбинированная терапия сахарного диабета 2 типа; Х</w:t>
            </w:r>
            <w:r>
              <w:rPr>
                <w:bCs/>
              </w:rPr>
              <w:t>роническая сердечная недостаточность</w:t>
            </w:r>
            <w:bookmarkEnd w:id="0"/>
          </w:p>
        </w:tc>
      </w:tr>
      <w:tr w:rsidR="00C035FA" w14:paraId="27AF849F" w14:textId="77777777">
        <w:trPr>
          <w:trHeight w:val="720"/>
        </w:trPr>
        <w:tc>
          <w:tcPr>
            <w:tcW w:w="3870" w:type="dxa"/>
            <w:tcBorders>
              <w:top w:val="nil"/>
              <w:left w:val="thinThickSmallGap" w:sz="24" w:space="0" w:color="auto"/>
              <w:bottom w:val="nil"/>
              <w:right w:val="nil"/>
            </w:tcBorders>
          </w:tcPr>
          <w:p w14:paraId="4248E8D8" w14:textId="77777777" w:rsidR="00C035FA" w:rsidRDefault="008D5756">
            <w:pPr>
              <w:spacing w:after="0" w:line="240" w:lineRule="auto"/>
              <w:jc w:val="left"/>
              <w:rPr>
                <w:rFonts w:eastAsia="Calibri"/>
                <w:b/>
                <w:color w:val="000000" w:themeColor="text1"/>
                <w:lang w:eastAsia="en-US"/>
              </w:rPr>
            </w:pPr>
            <w:r>
              <w:rPr>
                <w:rFonts w:eastAsia="Calibri"/>
                <w:b/>
                <w:color w:val="000000" w:themeColor="text1"/>
              </w:rPr>
              <w:t>Идентификационный номер протокола клинического исследования:</w:t>
            </w:r>
          </w:p>
        </w:tc>
        <w:tc>
          <w:tcPr>
            <w:tcW w:w="5486" w:type="dxa"/>
            <w:tcBorders>
              <w:top w:val="nil"/>
              <w:left w:val="nil"/>
              <w:bottom w:val="nil"/>
              <w:right w:val="thickThinSmallGap" w:sz="24" w:space="0" w:color="auto"/>
            </w:tcBorders>
          </w:tcPr>
          <w:p w14:paraId="0219827C" w14:textId="323C97A7" w:rsidR="00C035FA" w:rsidRDefault="003024CE">
            <w:pPr>
              <w:spacing w:after="0" w:line="240" w:lineRule="auto"/>
              <w:rPr>
                <w:rFonts w:eastAsia="Calibri"/>
                <w:color w:val="000000" w:themeColor="text1"/>
                <w:lang w:eastAsia="en-US"/>
              </w:rPr>
            </w:pPr>
            <w:r>
              <w:t>CA101052158</w:t>
            </w:r>
          </w:p>
        </w:tc>
      </w:tr>
      <w:tr w:rsidR="00C035FA" w14:paraId="76D0B630" w14:textId="77777777">
        <w:trPr>
          <w:trHeight w:val="461"/>
        </w:trPr>
        <w:tc>
          <w:tcPr>
            <w:tcW w:w="3870" w:type="dxa"/>
            <w:tcBorders>
              <w:top w:val="nil"/>
              <w:left w:val="thinThickSmallGap" w:sz="24" w:space="0" w:color="auto"/>
              <w:bottom w:val="nil"/>
              <w:right w:val="nil"/>
            </w:tcBorders>
          </w:tcPr>
          <w:p w14:paraId="137F9CBC" w14:textId="77777777" w:rsidR="00C035FA" w:rsidRDefault="008D5756">
            <w:pPr>
              <w:spacing w:after="0" w:line="240" w:lineRule="auto"/>
              <w:jc w:val="left"/>
              <w:rPr>
                <w:rFonts w:eastAsia="Times New Roman"/>
                <w:b/>
                <w:bCs/>
                <w:iCs/>
                <w:color w:val="000000" w:themeColor="text1"/>
                <w:lang w:eastAsia="en-US"/>
              </w:rPr>
            </w:pPr>
            <w:r>
              <w:rPr>
                <w:b/>
                <w:color w:val="000000" w:themeColor="text1"/>
              </w:rPr>
              <w:t>Номер версии:</w:t>
            </w:r>
          </w:p>
        </w:tc>
        <w:tc>
          <w:tcPr>
            <w:tcW w:w="5486" w:type="dxa"/>
            <w:tcBorders>
              <w:top w:val="nil"/>
              <w:left w:val="nil"/>
              <w:bottom w:val="nil"/>
              <w:right w:val="thickThinSmallGap" w:sz="24" w:space="0" w:color="auto"/>
            </w:tcBorders>
          </w:tcPr>
          <w:p w14:paraId="21ACA207" w14:textId="77777777" w:rsidR="00C035FA" w:rsidRDefault="008D5756">
            <w:pPr>
              <w:spacing w:after="0" w:line="240" w:lineRule="auto"/>
              <w:jc w:val="left"/>
              <w:rPr>
                <w:b/>
                <w:bCs/>
                <w:iCs/>
                <w:color w:val="000000" w:themeColor="text1"/>
                <w:lang w:eastAsia="en-US"/>
              </w:rPr>
            </w:pPr>
            <w:r>
              <w:rPr>
                <w:color w:val="000000" w:themeColor="text1"/>
              </w:rPr>
              <w:t>1.0</w:t>
            </w:r>
          </w:p>
        </w:tc>
      </w:tr>
      <w:tr w:rsidR="00C035FA" w14:paraId="26CEB1AE" w14:textId="77777777" w:rsidTr="003024CE">
        <w:trPr>
          <w:trHeight w:val="20"/>
        </w:trPr>
        <w:tc>
          <w:tcPr>
            <w:tcW w:w="3870" w:type="dxa"/>
            <w:tcBorders>
              <w:top w:val="nil"/>
              <w:left w:val="thinThickSmallGap" w:sz="24" w:space="0" w:color="auto"/>
              <w:bottom w:val="nil"/>
              <w:right w:val="nil"/>
            </w:tcBorders>
          </w:tcPr>
          <w:p w14:paraId="0C2B9B29" w14:textId="77777777" w:rsidR="00C035FA" w:rsidRDefault="008D5756">
            <w:pPr>
              <w:spacing w:after="0" w:line="240" w:lineRule="auto"/>
              <w:rPr>
                <w:rFonts w:eastAsia="Calibri"/>
                <w:b/>
                <w:color w:val="000000" w:themeColor="text1"/>
              </w:rPr>
            </w:pPr>
            <w:r>
              <w:rPr>
                <w:rFonts w:eastAsia="Calibri"/>
                <w:b/>
                <w:color w:val="000000" w:themeColor="text1"/>
              </w:rPr>
              <w:t>Дата версии:</w:t>
            </w:r>
          </w:p>
          <w:p w14:paraId="20F74176" w14:textId="77777777" w:rsidR="003024CE" w:rsidRDefault="003024CE">
            <w:pPr>
              <w:spacing w:after="0" w:line="240" w:lineRule="auto"/>
              <w:rPr>
                <w:rFonts w:eastAsia="Calibri"/>
                <w:b/>
                <w:color w:val="000000" w:themeColor="text1"/>
              </w:rPr>
            </w:pPr>
          </w:p>
          <w:p w14:paraId="3FEA52DD" w14:textId="0347A409" w:rsidR="003024CE" w:rsidRDefault="003024CE">
            <w:pPr>
              <w:spacing w:after="0" w:line="240" w:lineRule="auto"/>
              <w:rPr>
                <w:rFonts w:eastAsia="Calibri"/>
                <w:b/>
                <w:color w:val="000000" w:themeColor="text1"/>
                <w:lang w:eastAsia="en-US"/>
              </w:rPr>
            </w:pPr>
            <w:r>
              <w:rPr>
                <w:rFonts w:eastAsia="Calibri"/>
                <w:b/>
                <w:color w:val="000000" w:themeColor="text1"/>
              </w:rPr>
              <w:t>Дата окончания сбора данных</w:t>
            </w:r>
          </w:p>
        </w:tc>
        <w:tc>
          <w:tcPr>
            <w:tcW w:w="5486" w:type="dxa"/>
            <w:tcBorders>
              <w:top w:val="nil"/>
              <w:left w:val="nil"/>
              <w:bottom w:val="nil"/>
              <w:right w:val="thickThinSmallGap" w:sz="24" w:space="0" w:color="auto"/>
            </w:tcBorders>
          </w:tcPr>
          <w:p w14:paraId="3618854D" w14:textId="1B6E15EF" w:rsidR="00C035FA" w:rsidRDefault="00421FA2">
            <w:pPr>
              <w:spacing w:after="0" w:line="240" w:lineRule="auto"/>
              <w:rPr>
                <w:rFonts w:eastAsia="Calibri"/>
                <w:color w:val="000000" w:themeColor="text1"/>
              </w:rPr>
            </w:pPr>
            <w:r>
              <w:rPr>
                <w:rFonts w:eastAsia="Calibri"/>
                <w:color w:val="000000" w:themeColor="text1"/>
              </w:rPr>
              <w:t>23</w:t>
            </w:r>
            <w:r w:rsidR="008D5756" w:rsidRPr="00C42C8A">
              <w:rPr>
                <w:rFonts w:eastAsia="Calibri"/>
                <w:color w:val="000000" w:themeColor="text1"/>
              </w:rPr>
              <w:t xml:space="preserve"> </w:t>
            </w:r>
            <w:r w:rsidR="00B923FF">
              <w:rPr>
                <w:rFonts w:eastAsia="Calibri"/>
                <w:color w:val="000000" w:themeColor="text1"/>
              </w:rPr>
              <w:t>июн</w:t>
            </w:r>
            <w:r w:rsidR="008D5756" w:rsidRPr="00C42C8A">
              <w:rPr>
                <w:rFonts w:eastAsia="Calibri"/>
                <w:color w:val="000000" w:themeColor="text1"/>
              </w:rPr>
              <w:t xml:space="preserve"> 2022 г.</w:t>
            </w:r>
          </w:p>
          <w:p w14:paraId="5D00C5B4" w14:textId="77777777" w:rsidR="003024CE" w:rsidRDefault="003024CE">
            <w:pPr>
              <w:spacing w:after="0" w:line="240" w:lineRule="auto"/>
              <w:rPr>
                <w:rFonts w:eastAsia="Calibri"/>
                <w:color w:val="000000" w:themeColor="text1"/>
              </w:rPr>
            </w:pPr>
          </w:p>
          <w:p w14:paraId="30698583" w14:textId="021F7D31" w:rsidR="00F92600" w:rsidRDefault="00F92600" w:rsidP="00F92600">
            <w:pPr>
              <w:spacing w:after="0" w:line="240" w:lineRule="auto"/>
              <w:rPr>
                <w:rFonts w:eastAsia="Calibri"/>
                <w:color w:val="000000" w:themeColor="text1"/>
              </w:rPr>
            </w:pPr>
            <w:r>
              <w:rPr>
                <w:rFonts w:eastAsia="Calibri"/>
                <w:color w:val="000000" w:themeColor="text1"/>
              </w:rPr>
              <w:t>21</w:t>
            </w:r>
            <w:r w:rsidRPr="002A207C">
              <w:rPr>
                <w:rFonts w:eastAsia="Calibri"/>
                <w:color w:val="000000" w:themeColor="text1"/>
              </w:rPr>
              <w:t xml:space="preserve"> </w:t>
            </w:r>
            <w:r>
              <w:rPr>
                <w:rFonts w:eastAsia="Calibri"/>
                <w:color w:val="000000" w:themeColor="text1"/>
              </w:rPr>
              <w:t>июн</w:t>
            </w:r>
            <w:r w:rsidRPr="002A207C">
              <w:rPr>
                <w:rFonts w:eastAsia="Calibri"/>
                <w:color w:val="000000" w:themeColor="text1"/>
              </w:rPr>
              <w:t xml:space="preserve"> 202</w:t>
            </w:r>
            <w:r>
              <w:rPr>
                <w:rFonts w:eastAsia="Calibri"/>
                <w:color w:val="000000" w:themeColor="text1"/>
              </w:rPr>
              <w:t>3</w:t>
            </w:r>
            <w:r w:rsidRPr="002A207C">
              <w:rPr>
                <w:rFonts w:eastAsia="Calibri"/>
                <w:color w:val="000000" w:themeColor="text1"/>
              </w:rPr>
              <w:t xml:space="preserve"> г.</w:t>
            </w:r>
          </w:p>
          <w:p w14:paraId="1B79B2D7" w14:textId="07556858" w:rsidR="003024CE" w:rsidRDefault="003024CE">
            <w:pPr>
              <w:spacing w:after="0" w:line="240" w:lineRule="auto"/>
              <w:rPr>
                <w:rFonts w:eastAsia="Calibri"/>
                <w:color w:val="000000" w:themeColor="text1"/>
                <w:lang w:eastAsia="en-US"/>
              </w:rPr>
            </w:pPr>
          </w:p>
        </w:tc>
      </w:tr>
      <w:tr w:rsidR="00C035FA" w14:paraId="17AB0B8D" w14:textId="77777777" w:rsidTr="003024CE">
        <w:trPr>
          <w:trHeight w:val="20"/>
        </w:trPr>
        <w:tc>
          <w:tcPr>
            <w:tcW w:w="3870" w:type="dxa"/>
            <w:tcBorders>
              <w:top w:val="nil"/>
              <w:left w:val="thinThickSmallGap" w:sz="24" w:space="0" w:color="auto"/>
              <w:bottom w:val="nil"/>
              <w:right w:val="nil"/>
            </w:tcBorders>
          </w:tcPr>
          <w:p w14:paraId="6283364D" w14:textId="77777777" w:rsidR="00C035FA" w:rsidRDefault="008D5756">
            <w:pPr>
              <w:spacing w:after="0" w:line="240" w:lineRule="auto"/>
              <w:jc w:val="left"/>
              <w:rPr>
                <w:b/>
                <w:bCs/>
                <w:iCs/>
                <w:color w:val="000000" w:themeColor="text1"/>
                <w:lang w:eastAsia="en-US"/>
              </w:rPr>
            </w:pPr>
            <w:r>
              <w:rPr>
                <w:b/>
                <w:color w:val="000000" w:themeColor="text1"/>
              </w:rPr>
              <w:t>Заменяет предыдущую версию номер:</w:t>
            </w:r>
          </w:p>
        </w:tc>
        <w:tc>
          <w:tcPr>
            <w:tcW w:w="5486" w:type="dxa"/>
            <w:tcBorders>
              <w:top w:val="nil"/>
              <w:left w:val="nil"/>
              <w:bottom w:val="nil"/>
              <w:right w:val="thickThinSmallGap" w:sz="24" w:space="0" w:color="auto"/>
            </w:tcBorders>
          </w:tcPr>
          <w:p w14:paraId="5EC71CDC" w14:textId="77777777" w:rsidR="00C035FA" w:rsidRDefault="008D5756">
            <w:pPr>
              <w:spacing w:after="0" w:line="240" w:lineRule="auto"/>
              <w:jc w:val="left"/>
              <w:rPr>
                <w:b/>
                <w:bCs/>
                <w:iCs/>
                <w:color w:val="000000" w:themeColor="text1"/>
                <w:lang w:eastAsia="en-US"/>
              </w:rPr>
            </w:pPr>
            <w:r>
              <w:rPr>
                <w:color w:val="000000" w:themeColor="text1"/>
              </w:rPr>
              <w:t xml:space="preserve">Не применимо </w:t>
            </w:r>
          </w:p>
        </w:tc>
      </w:tr>
      <w:tr w:rsidR="00C035FA" w14:paraId="0D572DB9" w14:textId="77777777" w:rsidTr="003024CE">
        <w:trPr>
          <w:trHeight w:val="20"/>
        </w:trPr>
        <w:tc>
          <w:tcPr>
            <w:tcW w:w="3870" w:type="dxa"/>
            <w:tcBorders>
              <w:top w:val="nil"/>
              <w:left w:val="thinThickSmallGap" w:sz="24" w:space="0" w:color="auto"/>
              <w:bottom w:val="nil"/>
              <w:right w:val="nil"/>
            </w:tcBorders>
          </w:tcPr>
          <w:p w14:paraId="17E6DBB8" w14:textId="77777777" w:rsidR="00C035FA" w:rsidRDefault="008D5756">
            <w:pPr>
              <w:spacing w:after="0" w:line="240" w:lineRule="auto"/>
              <w:jc w:val="left"/>
              <w:rPr>
                <w:b/>
                <w:color w:val="000000" w:themeColor="text1"/>
              </w:rPr>
            </w:pPr>
            <w:r>
              <w:rPr>
                <w:b/>
                <w:color w:val="000000" w:themeColor="text1"/>
              </w:rPr>
              <w:t>Дата предыдущей версии:</w:t>
            </w:r>
          </w:p>
        </w:tc>
        <w:tc>
          <w:tcPr>
            <w:tcW w:w="5486" w:type="dxa"/>
            <w:tcBorders>
              <w:top w:val="nil"/>
              <w:left w:val="nil"/>
              <w:bottom w:val="nil"/>
              <w:right w:val="thickThinSmallGap" w:sz="24" w:space="0" w:color="auto"/>
            </w:tcBorders>
          </w:tcPr>
          <w:p w14:paraId="0E87DDDD" w14:textId="77777777" w:rsidR="00C035FA" w:rsidRDefault="008D5756">
            <w:pPr>
              <w:spacing w:after="0" w:line="240" w:lineRule="auto"/>
              <w:jc w:val="left"/>
              <w:rPr>
                <w:color w:val="000000" w:themeColor="text1"/>
                <w:lang w:val="en-US"/>
              </w:rPr>
            </w:pPr>
            <w:r>
              <w:rPr>
                <w:color w:val="000000" w:themeColor="text1"/>
              </w:rPr>
              <w:t>Не применимо</w:t>
            </w:r>
          </w:p>
        </w:tc>
      </w:tr>
      <w:tr w:rsidR="00C035FA" w14:paraId="1E557219" w14:textId="77777777">
        <w:trPr>
          <w:trHeight w:val="1635"/>
        </w:trPr>
        <w:tc>
          <w:tcPr>
            <w:tcW w:w="3870" w:type="dxa"/>
            <w:tcBorders>
              <w:top w:val="single" w:sz="4" w:space="0" w:color="auto"/>
              <w:left w:val="thinThickSmallGap" w:sz="24" w:space="0" w:color="auto"/>
              <w:bottom w:val="nil"/>
              <w:right w:val="nil"/>
            </w:tcBorders>
            <w:vAlign w:val="center"/>
          </w:tcPr>
          <w:p w14:paraId="6481BBCA" w14:textId="77777777" w:rsidR="00C035FA" w:rsidRDefault="008D5756">
            <w:pPr>
              <w:spacing w:before="120" w:after="0" w:line="240" w:lineRule="auto"/>
              <w:jc w:val="left"/>
              <w:rPr>
                <w:rFonts w:eastAsia="Calibri"/>
                <w:b/>
                <w:color w:val="000000" w:themeColor="text1"/>
              </w:rPr>
            </w:pPr>
            <w:r>
              <w:rPr>
                <w:rFonts w:eastAsia="Calibri"/>
                <w:b/>
                <w:color w:val="000000" w:themeColor="text1"/>
              </w:rPr>
              <w:t>Наименование/имя и адрес спонсора (монитора) клинического исследования:</w:t>
            </w:r>
          </w:p>
          <w:p w14:paraId="600E2D51" w14:textId="77777777" w:rsidR="00C035FA" w:rsidRDefault="00C035FA">
            <w:pPr>
              <w:spacing w:before="120" w:after="0" w:line="240" w:lineRule="auto"/>
              <w:rPr>
                <w:rFonts w:eastAsia="Calibri"/>
                <w:color w:val="000000" w:themeColor="text1"/>
                <w:lang w:eastAsia="en-US"/>
              </w:rPr>
            </w:pPr>
          </w:p>
        </w:tc>
        <w:tc>
          <w:tcPr>
            <w:tcW w:w="5486" w:type="dxa"/>
            <w:tcBorders>
              <w:top w:val="single" w:sz="4" w:space="0" w:color="auto"/>
              <w:left w:val="nil"/>
              <w:bottom w:val="nil"/>
              <w:right w:val="thickThinSmallGap" w:sz="24" w:space="0" w:color="auto"/>
            </w:tcBorders>
            <w:vAlign w:val="center"/>
          </w:tcPr>
          <w:p w14:paraId="1AED5CB6" w14:textId="77777777" w:rsidR="00C035FA" w:rsidRDefault="008D5756">
            <w:pPr>
              <w:spacing w:after="0" w:line="240" w:lineRule="auto"/>
              <w:rPr>
                <w:rFonts w:eastAsia="Calibri"/>
              </w:rPr>
            </w:pPr>
            <w:r>
              <w:rPr>
                <w:rFonts w:eastAsia="Calibri"/>
              </w:rPr>
              <w:t xml:space="preserve">АО «Р-Фарм», Россия </w:t>
            </w:r>
          </w:p>
          <w:p w14:paraId="1F0A7541" w14:textId="77777777" w:rsidR="00C035FA" w:rsidRDefault="008D5756">
            <w:pPr>
              <w:spacing w:after="0" w:line="240" w:lineRule="auto"/>
              <w:rPr>
                <w:rFonts w:eastAsia="Calibri"/>
              </w:rPr>
            </w:pPr>
            <w:r>
              <w:rPr>
                <w:rFonts w:eastAsia="Calibri"/>
              </w:rPr>
              <w:t xml:space="preserve">Юридический адрес: </w:t>
            </w:r>
            <w:r>
              <w:t>123154, Москва, ул.  Берзарина, д. 19, корп. 1.</w:t>
            </w:r>
          </w:p>
          <w:p w14:paraId="6F410EDC" w14:textId="77777777" w:rsidR="00C035FA" w:rsidRDefault="008D5756">
            <w:pPr>
              <w:spacing w:after="0" w:line="240" w:lineRule="auto"/>
              <w:rPr>
                <w:rFonts w:eastAsia="Calibri"/>
              </w:rPr>
            </w:pPr>
            <w:r>
              <w:rPr>
                <w:rFonts w:eastAsia="Calibri"/>
              </w:rPr>
              <w:t>Тел.: +7 (495) 956-79-37, факс: +7 (495) 956-79-38.</w:t>
            </w:r>
          </w:p>
          <w:p w14:paraId="2DE3FC5E" w14:textId="77777777" w:rsidR="00C035FA" w:rsidRDefault="008D5756">
            <w:pPr>
              <w:spacing w:after="0" w:line="240" w:lineRule="auto"/>
              <w:rPr>
                <w:rFonts w:eastAsia="Calibri"/>
                <w:color w:val="000000" w:themeColor="text1"/>
                <w:lang w:eastAsia="en-US"/>
              </w:rPr>
            </w:pPr>
            <w:r>
              <w:rPr>
                <w:rFonts w:eastAsia="Calibri"/>
              </w:rPr>
              <w:t xml:space="preserve">Эл. почта: </w:t>
            </w:r>
            <w:r>
              <w:rPr>
                <w:lang w:val="en-US"/>
              </w:rPr>
              <w:t>info</w:t>
            </w:r>
            <w:r>
              <w:t>@</w:t>
            </w:r>
            <w:proofErr w:type="spellStart"/>
            <w:r>
              <w:rPr>
                <w:lang w:val="en-US"/>
              </w:rPr>
              <w:t>rpharm</w:t>
            </w:r>
            <w:proofErr w:type="spellEnd"/>
            <w:r>
              <w:t>.</w:t>
            </w:r>
            <w:proofErr w:type="spellStart"/>
            <w:r>
              <w:rPr>
                <w:lang w:val="en-US"/>
              </w:rPr>
              <w:t>ru</w:t>
            </w:r>
            <w:proofErr w:type="spellEnd"/>
          </w:p>
        </w:tc>
      </w:tr>
      <w:tr w:rsidR="00035195" w14:paraId="5079B939" w14:textId="77777777">
        <w:trPr>
          <w:trHeight w:val="2803"/>
        </w:trPr>
        <w:tc>
          <w:tcPr>
            <w:tcW w:w="3870" w:type="dxa"/>
            <w:tcBorders>
              <w:top w:val="single" w:sz="4" w:space="0" w:color="auto"/>
              <w:left w:val="thinThickSmallGap" w:sz="24" w:space="0" w:color="auto"/>
              <w:bottom w:val="nil"/>
              <w:right w:val="nil"/>
            </w:tcBorders>
          </w:tcPr>
          <w:p w14:paraId="4F06FBA7" w14:textId="7B57049D" w:rsidR="00035195" w:rsidRDefault="00035195" w:rsidP="00035195">
            <w:pPr>
              <w:spacing w:before="120" w:after="0" w:line="240" w:lineRule="auto"/>
              <w:jc w:val="left"/>
              <w:rPr>
                <w:rFonts w:eastAsia="Calibri"/>
                <w:color w:val="000000" w:themeColor="text1"/>
                <w:lang w:eastAsia="en-US"/>
              </w:rPr>
            </w:pPr>
            <w:r>
              <w:rPr>
                <w:rFonts w:eastAsia="Calibri"/>
                <w:b/>
              </w:rPr>
              <w:t>Ф.И.О., должность, адрес и номер телефона назначенного спонсором медицинского эксперта по данному исследованию:</w:t>
            </w:r>
          </w:p>
        </w:tc>
        <w:tc>
          <w:tcPr>
            <w:tcW w:w="5486" w:type="dxa"/>
            <w:tcBorders>
              <w:top w:val="single" w:sz="4" w:space="0" w:color="auto"/>
              <w:left w:val="nil"/>
              <w:bottom w:val="nil"/>
              <w:right w:val="thickThinSmallGap" w:sz="24" w:space="0" w:color="auto"/>
            </w:tcBorders>
          </w:tcPr>
          <w:p w14:paraId="750440F8" w14:textId="77777777" w:rsidR="00035195" w:rsidRDefault="00035195" w:rsidP="00035195">
            <w:pPr>
              <w:spacing w:before="120"/>
              <w:rPr>
                <w:rFonts w:eastAsia="Calibri"/>
              </w:rPr>
            </w:pPr>
            <w:r>
              <w:rPr>
                <w:rFonts w:eastAsia="Calibri"/>
                <w:b/>
              </w:rPr>
              <w:t>Отпущенникова Мария Викторовна</w:t>
            </w:r>
            <w:r>
              <w:rPr>
                <w:rFonts w:eastAsia="Calibri"/>
              </w:rPr>
              <w:t>,</w:t>
            </w:r>
          </w:p>
          <w:p w14:paraId="3F3D6B1F" w14:textId="77777777" w:rsidR="00035195" w:rsidRDefault="00035195" w:rsidP="00035195">
            <w:pPr>
              <w:spacing w:after="0" w:line="240" w:lineRule="auto"/>
              <w:rPr>
                <w:rFonts w:eastAsia="Calibri"/>
              </w:rPr>
            </w:pPr>
            <w:r>
              <w:rPr>
                <w:rFonts w:eastAsia="Calibri"/>
              </w:rPr>
              <w:t>Медицинский монитор Отдела локальных клинических исследований Департамента доклинической и клинической разработки МД АО «Р-Фарм»</w:t>
            </w:r>
          </w:p>
          <w:p w14:paraId="32435602" w14:textId="77777777" w:rsidR="00035195" w:rsidRDefault="00035195" w:rsidP="00035195">
            <w:pPr>
              <w:spacing w:after="0" w:line="240" w:lineRule="auto"/>
              <w:rPr>
                <w:rFonts w:eastAsia="Calibri"/>
                <w:sz w:val="20"/>
              </w:rPr>
            </w:pPr>
            <w:r>
              <w:rPr>
                <w:rFonts w:eastAsia="Calibri"/>
                <w:sz w:val="20"/>
              </w:rPr>
              <w:t xml:space="preserve">Адрес: Ленинский проспект, д.111, к.1, Москва 119421, Российская Федерация </w:t>
            </w:r>
          </w:p>
          <w:p w14:paraId="5C476B15" w14:textId="77777777" w:rsidR="00035195" w:rsidRDefault="00035195" w:rsidP="00035195">
            <w:pPr>
              <w:spacing w:after="0" w:line="240" w:lineRule="auto"/>
              <w:rPr>
                <w:rFonts w:eastAsia="Calibri"/>
                <w:sz w:val="20"/>
              </w:rPr>
            </w:pPr>
            <w:r>
              <w:rPr>
                <w:rFonts w:eastAsia="Calibri"/>
                <w:sz w:val="20"/>
              </w:rPr>
              <w:t>Тел.: +7 (495) 956-79-37, моб.: +7 (964) 791-95-89.</w:t>
            </w:r>
          </w:p>
          <w:p w14:paraId="07A14250" w14:textId="3AE3F519" w:rsidR="00035195" w:rsidRDefault="00035195" w:rsidP="00035195">
            <w:pPr>
              <w:spacing w:after="0" w:line="240" w:lineRule="auto"/>
              <w:rPr>
                <w:rFonts w:eastAsia="Calibri"/>
                <w:color w:val="000000" w:themeColor="text1"/>
                <w:lang w:val="de-DE" w:eastAsia="en-US"/>
              </w:rPr>
            </w:pPr>
            <w:r>
              <w:rPr>
                <w:rFonts w:eastAsia="Calibri"/>
                <w:sz w:val="20"/>
              </w:rPr>
              <w:t>Эл. почта: mv.otpuschennikova@rpharm.ru</w:t>
            </w:r>
          </w:p>
        </w:tc>
      </w:tr>
      <w:tr w:rsidR="00C035FA" w14:paraId="352267CC" w14:textId="77777777">
        <w:trPr>
          <w:trHeight w:val="1490"/>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68C3A874" w14:textId="77777777" w:rsidR="00C035FA" w:rsidRDefault="008D5756">
            <w:pPr>
              <w:spacing w:after="0" w:line="240" w:lineRule="auto"/>
              <w:jc w:val="center"/>
              <w:rPr>
                <w:rFonts w:eastAsia="Calibri"/>
                <w:color w:val="000000" w:themeColor="text1"/>
                <w:sz w:val="20"/>
                <w:szCs w:val="20"/>
              </w:rPr>
            </w:pPr>
            <w:r>
              <w:rPr>
                <w:rFonts w:eastAsia="Calibri"/>
                <w:color w:val="000000" w:themeColor="text1"/>
                <w:sz w:val="20"/>
                <w:szCs w:val="20"/>
              </w:rPr>
              <w:t>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АО «Р-Фарм», кроме тех случаев, когда это необходимо для получения согласия пациентов на участие в исследовании.</w:t>
            </w:r>
          </w:p>
        </w:tc>
      </w:tr>
    </w:tbl>
    <w:p w14:paraId="03F4C80B" w14:textId="77777777" w:rsidR="00C035FA" w:rsidRDefault="008D5756">
      <w:pPr>
        <w:pStyle w:val="Heading1"/>
        <w:spacing w:line="240" w:lineRule="auto"/>
        <w:rPr>
          <w:rFonts w:cs="Times New Roman"/>
          <w:color w:val="000000" w:themeColor="text1"/>
          <w:szCs w:val="24"/>
        </w:rPr>
      </w:pPr>
      <w:bookmarkStart w:id="1" w:name="_Hlk484253716"/>
      <w:bookmarkStart w:id="2" w:name="_Toc139366809"/>
      <w:bookmarkEnd w:id="1"/>
      <w:r>
        <w:rPr>
          <w:rFonts w:cs="Times New Roman"/>
          <w:color w:val="000000" w:themeColor="text1"/>
          <w:szCs w:val="24"/>
        </w:rPr>
        <w:lastRenderedPageBreak/>
        <w:t>СОДЕРЖАНИЕ</w:t>
      </w:r>
      <w:bookmarkEnd w:id="2"/>
    </w:p>
    <w:p w14:paraId="7535A340" w14:textId="14A5D5E7" w:rsidR="00007FC4" w:rsidRPr="00007FC4" w:rsidRDefault="008D5756" w:rsidP="00007FC4">
      <w:pPr>
        <w:pStyle w:val="TOC1"/>
        <w:rPr>
          <w:rFonts w:eastAsiaTheme="minorEastAsia"/>
          <w:noProof/>
          <w:lang w:eastAsia="ru-RU"/>
        </w:rPr>
      </w:pPr>
      <w:r w:rsidRPr="00007FC4">
        <w:rPr>
          <w:color w:val="000000" w:themeColor="text1"/>
        </w:rPr>
        <w:fldChar w:fldCharType="begin"/>
      </w:r>
      <w:r w:rsidRPr="00007FC4">
        <w:rPr>
          <w:color w:val="000000" w:themeColor="text1"/>
        </w:rPr>
        <w:instrText xml:space="preserve"> TOC \o "1-5" \h \z \u </w:instrText>
      </w:r>
      <w:r w:rsidRPr="00007FC4">
        <w:rPr>
          <w:color w:val="000000" w:themeColor="text1"/>
        </w:rPr>
        <w:fldChar w:fldCharType="separate"/>
      </w:r>
      <w:hyperlink w:anchor="_Toc139366809" w:history="1">
        <w:r w:rsidR="00007FC4" w:rsidRPr="00007FC4">
          <w:rPr>
            <w:rStyle w:val="Hyperlink"/>
            <w:noProof/>
          </w:rPr>
          <w:t>СОДЕРЖАНИЕ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_Toc139366809 \h </w:instrText>
        </w:r>
        <w:r w:rsidR="00007FC4" w:rsidRPr="00007FC4">
          <w:rPr>
            <w:noProof/>
            <w:webHidden/>
          </w:rPr>
        </w:r>
        <w:r w:rsidR="00007FC4" w:rsidRPr="00007FC4">
          <w:rPr>
            <w:noProof/>
            <w:webHidden/>
          </w:rPr>
          <w:fldChar w:fldCharType="separate"/>
        </w:r>
        <w:r w:rsidR="00007FC4">
          <w:rPr>
            <w:noProof/>
            <w:webHidden/>
          </w:rPr>
          <w:t>2</w:t>
        </w:r>
        <w:r w:rsidR="00007FC4" w:rsidRPr="00007FC4">
          <w:rPr>
            <w:noProof/>
            <w:webHidden/>
          </w:rPr>
          <w:fldChar w:fldCharType="end"/>
        </w:r>
      </w:hyperlink>
    </w:p>
    <w:p w14:paraId="25C4D546" w14:textId="1234ADF1" w:rsidR="00007FC4" w:rsidRPr="00007FC4" w:rsidRDefault="004276B7" w:rsidP="00007FC4">
      <w:pPr>
        <w:pStyle w:val="TOC1"/>
        <w:rPr>
          <w:rFonts w:eastAsiaTheme="minorEastAsia"/>
          <w:noProof/>
          <w:lang w:eastAsia="ru-RU"/>
        </w:rPr>
      </w:pPr>
      <w:hyperlink w:anchor="_Toc139366810" w:history="1">
        <w:r w:rsidR="00007FC4" w:rsidRPr="00007FC4">
          <w:rPr>
            <w:rStyle w:val="Hyperlink"/>
            <w:noProof/>
          </w:rPr>
          <w:t>ЛИСТ СОГЛАСОВАНИЯ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_Toc139366810 \h </w:instrText>
        </w:r>
        <w:r w:rsidR="00007FC4" w:rsidRPr="00007FC4">
          <w:rPr>
            <w:noProof/>
            <w:webHidden/>
          </w:rPr>
        </w:r>
        <w:r w:rsidR="00007FC4" w:rsidRPr="00007FC4">
          <w:rPr>
            <w:noProof/>
            <w:webHidden/>
          </w:rPr>
          <w:fldChar w:fldCharType="separate"/>
        </w:r>
        <w:r w:rsidR="00007FC4">
          <w:rPr>
            <w:noProof/>
            <w:webHidden/>
          </w:rPr>
          <w:t>5</w:t>
        </w:r>
        <w:r w:rsidR="00007FC4" w:rsidRPr="00007FC4">
          <w:rPr>
            <w:noProof/>
            <w:webHidden/>
          </w:rPr>
          <w:fldChar w:fldCharType="end"/>
        </w:r>
      </w:hyperlink>
    </w:p>
    <w:p w14:paraId="0B369E32" w14:textId="7EE16952" w:rsidR="00007FC4" w:rsidRPr="00007FC4" w:rsidRDefault="004276B7" w:rsidP="00007FC4">
      <w:pPr>
        <w:pStyle w:val="TOC1"/>
        <w:rPr>
          <w:rFonts w:eastAsiaTheme="minorEastAsia"/>
          <w:noProof/>
          <w:lang w:eastAsia="ru-RU"/>
        </w:rPr>
      </w:pPr>
      <w:hyperlink w:anchor="_Toc139366811" w:history="1">
        <w:r w:rsidR="00007FC4" w:rsidRPr="00007FC4">
          <w:rPr>
            <w:rStyle w:val="Hyperlink"/>
            <w:noProof/>
          </w:rPr>
          <w:t>ИСТОРИЯ ДОКУМЕНТА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_Toc139366811 \h </w:instrText>
        </w:r>
        <w:r w:rsidR="00007FC4" w:rsidRPr="00007FC4">
          <w:rPr>
            <w:noProof/>
            <w:webHidden/>
          </w:rPr>
        </w:r>
        <w:r w:rsidR="00007FC4" w:rsidRPr="00007FC4">
          <w:rPr>
            <w:noProof/>
            <w:webHidden/>
          </w:rPr>
          <w:fldChar w:fldCharType="separate"/>
        </w:r>
        <w:r w:rsidR="00007FC4">
          <w:rPr>
            <w:noProof/>
            <w:webHidden/>
          </w:rPr>
          <w:t>10</w:t>
        </w:r>
        <w:r w:rsidR="00007FC4" w:rsidRPr="00007FC4">
          <w:rPr>
            <w:noProof/>
            <w:webHidden/>
          </w:rPr>
          <w:fldChar w:fldCharType="end"/>
        </w:r>
      </w:hyperlink>
    </w:p>
    <w:p w14:paraId="495FADBE" w14:textId="149379C8" w:rsidR="00007FC4" w:rsidRPr="00007FC4" w:rsidRDefault="004276B7" w:rsidP="00007FC4">
      <w:pPr>
        <w:pStyle w:val="TOC1"/>
        <w:rPr>
          <w:rFonts w:eastAsiaTheme="minorEastAsia"/>
          <w:noProof/>
          <w:lang w:eastAsia="ru-RU"/>
        </w:rPr>
      </w:pPr>
      <w:hyperlink w:anchor="_Toc139366812" w:history="1">
        <w:r w:rsidR="00007FC4" w:rsidRPr="00007FC4">
          <w:rPr>
            <w:rStyle w:val="Hyperlink"/>
            <w:noProof/>
          </w:rPr>
          <w:t>РЕЗЮМЕ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_Toc139366812 \h </w:instrText>
        </w:r>
        <w:r w:rsidR="00007FC4" w:rsidRPr="00007FC4">
          <w:rPr>
            <w:noProof/>
            <w:webHidden/>
          </w:rPr>
        </w:r>
        <w:r w:rsidR="00007FC4" w:rsidRPr="00007FC4">
          <w:rPr>
            <w:noProof/>
            <w:webHidden/>
          </w:rPr>
          <w:fldChar w:fldCharType="separate"/>
        </w:r>
        <w:r w:rsidR="00007FC4">
          <w:rPr>
            <w:noProof/>
            <w:webHidden/>
          </w:rPr>
          <w:t>11</w:t>
        </w:r>
        <w:r w:rsidR="00007FC4" w:rsidRPr="00007FC4">
          <w:rPr>
            <w:noProof/>
            <w:webHidden/>
          </w:rPr>
          <w:fldChar w:fldCharType="end"/>
        </w:r>
      </w:hyperlink>
    </w:p>
    <w:p w14:paraId="76993A19" w14:textId="1CC697B5" w:rsidR="00007FC4" w:rsidRPr="00007FC4" w:rsidRDefault="004276B7" w:rsidP="00007FC4">
      <w:pPr>
        <w:pStyle w:val="TOC1"/>
        <w:rPr>
          <w:rFonts w:eastAsiaTheme="minorEastAsia"/>
          <w:noProof/>
          <w:lang w:eastAsia="ru-RU"/>
        </w:rPr>
      </w:pPr>
      <w:hyperlink w:anchor="_Toc139366813" w:history="1">
        <w:r w:rsidR="00007FC4" w:rsidRPr="00007FC4">
          <w:rPr>
            <w:rStyle w:val="Hyperlink"/>
            <w:noProof/>
          </w:rPr>
          <w:t>1. ВВЕДЕНИЕ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_Toc139366813 \h </w:instrText>
        </w:r>
        <w:r w:rsidR="00007FC4" w:rsidRPr="00007FC4">
          <w:rPr>
            <w:noProof/>
            <w:webHidden/>
          </w:rPr>
        </w:r>
        <w:r w:rsidR="00007FC4" w:rsidRPr="00007FC4">
          <w:rPr>
            <w:noProof/>
            <w:webHidden/>
          </w:rPr>
          <w:fldChar w:fldCharType="separate"/>
        </w:r>
        <w:r w:rsidR="00007FC4">
          <w:rPr>
            <w:noProof/>
            <w:webHidden/>
          </w:rPr>
          <w:t>12</w:t>
        </w:r>
        <w:r w:rsidR="00007FC4" w:rsidRPr="00007FC4">
          <w:rPr>
            <w:noProof/>
            <w:webHidden/>
          </w:rPr>
          <w:fldChar w:fldCharType="end"/>
        </w:r>
      </w:hyperlink>
    </w:p>
    <w:p w14:paraId="6F56B662" w14:textId="452666FA" w:rsidR="00007FC4" w:rsidRPr="00007FC4" w:rsidRDefault="004276B7" w:rsidP="00007FC4">
      <w:pPr>
        <w:pStyle w:val="TOC2"/>
        <w:rPr>
          <w:rFonts w:eastAsiaTheme="minorEastAsia"/>
          <w:noProof/>
          <w:lang w:eastAsia="ru-RU"/>
        </w:rPr>
      </w:pPr>
      <w:hyperlink w:anchor="_Toc139366814" w:history="1">
        <w:r w:rsidR="00007FC4" w:rsidRPr="00007FC4">
          <w:rPr>
            <w:rStyle w:val="Hyperlink"/>
            <w:noProof/>
          </w:rPr>
          <w:t>1.1. Химическое название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_Toc139366814 \h </w:instrText>
        </w:r>
        <w:r w:rsidR="00007FC4" w:rsidRPr="00007FC4">
          <w:rPr>
            <w:noProof/>
            <w:webHidden/>
          </w:rPr>
        </w:r>
        <w:r w:rsidR="00007FC4" w:rsidRPr="00007FC4">
          <w:rPr>
            <w:noProof/>
            <w:webHidden/>
          </w:rPr>
          <w:fldChar w:fldCharType="separate"/>
        </w:r>
        <w:r w:rsidR="00007FC4">
          <w:rPr>
            <w:noProof/>
            <w:webHidden/>
          </w:rPr>
          <w:t>12</w:t>
        </w:r>
        <w:r w:rsidR="00007FC4" w:rsidRPr="00007FC4">
          <w:rPr>
            <w:noProof/>
            <w:webHidden/>
          </w:rPr>
          <w:fldChar w:fldCharType="end"/>
        </w:r>
      </w:hyperlink>
    </w:p>
    <w:p w14:paraId="6C9FBD9E" w14:textId="34DDB2C1" w:rsidR="00007FC4" w:rsidRPr="00007FC4" w:rsidRDefault="004276B7" w:rsidP="00007FC4">
      <w:pPr>
        <w:pStyle w:val="TOC2"/>
        <w:rPr>
          <w:rFonts w:eastAsiaTheme="minorEastAsia"/>
          <w:noProof/>
          <w:lang w:eastAsia="ru-RU"/>
        </w:rPr>
      </w:pPr>
      <w:hyperlink w:anchor="_Toc139366815" w:history="1">
        <w:r w:rsidR="00007FC4" w:rsidRPr="00007FC4">
          <w:rPr>
            <w:rStyle w:val="Hyperlink"/>
            <w:noProof/>
          </w:rPr>
          <w:t>1.2. Международное непатентованное название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_Toc139366815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473A4584" w14:textId="27EBC2C4" w:rsidR="00007FC4" w:rsidRPr="00007FC4" w:rsidRDefault="004276B7" w:rsidP="00007FC4">
      <w:pPr>
        <w:pStyle w:val="TOC2"/>
        <w:rPr>
          <w:rFonts w:eastAsiaTheme="minorEastAsia"/>
          <w:noProof/>
          <w:lang w:eastAsia="ru-RU"/>
        </w:rPr>
      </w:pPr>
      <w:hyperlink w:anchor="_Toc139366816" w:history="1">
        <w:r w:rsidR="00007FC4" w:rsidRPr="00007FC4">
          <w:rPr>
            <w:rStyle w:val="Hyperlink"/>
            <w:noProof/>
          </w:rPr>
          <w:t>1.3. Торговое название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_Toc139366816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2189C12E" w14:textId="5D5C7647" w:rsidR="00007FC4" w:rsidRPr="00007FC4" w:rsidRDefault="004276B7" w:rsidP="00007FC4">
      <w:pPr>
        <w:pStyle w:val="TOC2"/>
        <w:rPr>
          <w:rFonts w:eastAsiaTheme="minorEastAsia"/>
          <w:noProof/>
          <w:lang w:eastAsia="ru-RU"/>
        </w:rPr>
      </w:pPr>
      <w:hyperlink w:anchor="_Toc139366817" w:history="1">
        <w:r w:rsidR="00007FC4" w:rsidRPr="00007FC4">
          <w:rPr>
            <w:rStyle w:val="Hyperlink"/>
            <w:noProof/>
          </w:rPr>
          <w:t>1.4. Активные ингредиенты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_Toc139366817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3CC4CE96" w14:textId="0AFA9BA1" w:rsidR="00007FC4" w:rsidRPr="00007FC4" w:rsidRDefault="004276B7" w:rsidP="00007FC4">
      <w:pPr>
        <w:pStyle w:val="TOC2"/>
        <w:rPr>
          <w:rFonts w:eastAsiaTheme="minorEastAsia"/>
          <w:noProof/>
          <w:lang w:eastAsia="ru-RU"/>
        </w:rPr>
      </w:pPr>
      <w:hyperlink w:anchor="_Toc139366818" w:history="1">
        <w:r w:rsidR="00007FC4" w:rsidRPr="00007FC4">
          <w:rPr>
            <w:rStyle w:val="Hyperlink"/>
            <w:noProof/>
          </w:rPr>
          <w:t>1.5. Фармакологическая группа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_Toc139366818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65363844" w14:textId="37B2686B" w:rsidR="00007FC4" w:rsidRPr="00007FC4" w:rsidRDefault="004276B7" w:rsidP="00007FC4">
      <w:pPr>
        <w:pStyle w:val="TOC2"/>
        <w:rPr>
          <w:rFonts w:eastAsiaTheme="minorEastAsia"/>
          <w:noProof/>
          <w:lang w:eastAsia="ru-RU"/>
        </w:rPr>
      </w:pPr>
      <w:hyperlink w:anchor="_Toc139366819" w:history="1">
        <w:r w:rsidR="00007FC4" w:rsidRPr="00007FC4">
          <w:rPr>
            <w:rStyle w:val="Hyperlink"/>
            <w:noProof/>
          </w:rPr>
          <w:t>1.6. Код по АТХ</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_Toc139366819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6C19787E" w14:textId="4921CD60" w:rsidR="00007FC4" w:rsidRPr="00007FC4" w:rsidRDefault="004276B7" w:rsidP="00007FC4">
      <w:pPr>
        <w:pStyle w:val="TOC2"/>
        <w:rPr>
          <w:rFonts w:eastAsiaTheme="minorEastAsia"/>
          <w:noProof/>
          <w:lang w:eastAsia="ru-RU"/>
        </w:rPr>
      </w:pPr>
      <w:hyperlink w:anchor="_Toc139366820" w:history="1">
        <w:r w:rsidR="00007FC4" w:rsidRPr="00007FC4">
          <w:rPr>
            <w:rStyle w:val="Hyperlink"/>
            <w:noProof/>
          </w:rPr>
          <w:t>1.7.</w:t>
        </w:r>
        <w:r w:rsidR="00007FC4" w:rsidRPr="00007FC4">
          <w:rPr>
            <w:rFonts w:eastAsiaTheme="minorEastAsia"/>
            <w:noProof/>
            <w:lang w:eastAsia="ru-RU"/>
          </w:rPr>
          <w:tab/>
        </w:r>
        <w:r w:rsidR="00007FC4" w:rsidRPr="00007FC4">
          <w:rPr>
            <w:rStyle w:val="Hyperlink"/>
            <w:noProof/>
          </w:rPr>
          <w:t>Обоснование для изучения исследуемого препарата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_Toc139366820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28307A47" w14:textId="4FFAD49F" w:rsidR="00007FC4" w:rsidRPr="00007FC4" w:rsidRDefault="004276B7" w:rsidP="00007FC4">
      <w:pPr>
        <w:pStyle w:val="TOC3"/>
        <w:rPr>
          <w:rFonts w:eastAsiaTheme="minorEastAsia"/>
          <w:noProof/>
          <w:lang w:eastAsia="ru-RU"/>
        </w:rPr>
      </w:pPr>
      <w:hyperlink w:anchor="_Toc139366821" w:history="1">
        <w:r w:rsidR="00007FC4" w:rsidRPr="00007FC4">
          <w:rPr>
            <w:rStyle w:val="Hyperlink"/>
            <w:noProof/>
          </w:rPr>
          <w:t>1.7.1. Общие сведения о заболеваниях</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_Toc139366821 \h </w:instrText>
        </w:r>
        <w:r w:rsidR="00007FC4" w:rsidRPr="00007FC4">
          <w:rPr>
            <w:noProof/>
            <w:webHidden/>
          </w:rPr>
        </w:r>
        <w:r w:rsidR="00007FC4" w:rsidRPr="00007FC4">
          <w:rPr>
            <w:noProof/>
            <w:webHidden/>
          </w:rPr>
          <w:fldChar w:fldCharType="separate"/>
        </w:r>
        <w:r w:rsidR="00007FC4">
          <w:rPr>
            <w:noProof/>
            <w:webHidden/>
          </w:rPr>
          <w:t>13</w:t>
        </w:r>
        <w:r w:rsidR="00007FC4" w:rsidRPr="00007FC4">
          <w:rPr>
            <w:noProof/>
            <w:webHidden/>
          </w:rPr>
          <w:fldChar w:fldCharType="end"/>
        </w:r>
      </w:hyperlink>
    </w:p>
    <w:p w14:paraId="66CFBD0C" w14:textId="0E90BE85" w:rsidR="00007FC4" w:rsidRPr="00007FC4" w:rsidRDefault="004276B7" w:rsidP="00007FC4">
      <w:pPr>
        <w:pStyle w:val="TOC3"/>
        <w:rPr>
          <w:rFonts w:eastAsiaTheme="minorEastAsia"/>
          <w:noProof/>
          <w:lang w:eastAsia="ru-RU"/>
        </w:rPr>
      </w:pPr>
      <w:hyperlink w:anchor="_Toc139366822" w:history="1">
        <w:r w:rsidR="00007FC4" w:rsidRPr="00007FC4">
          <w:rPr>
            <w:rStyle w:val="Hyperlink"/>
            <w:noProof/>
          </w:rPr>
          <w:t>1.7.2. Существующие варианты терапии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_Toc139366822 \h </w:instrText>
        </w:r>
        <w:r w:rsidR="00007FC4" w:rsidRPr="00007FC4">
          <w:rPr>
            <w:noProof/>
            <w:webHidden/>
          </w:rPr>
        </w:r>
        <w:r w:rsidR="00007FC4" w:rsidRPr="00007FC4">
          <w:rPr>
            <w:noProof/>
            <w:webHidden/>
          </w:rPr>
          <w:fldChar w:fldCharType="separate"/>
        </w:r>
        <w:r w:rsidR="00007FC4">
          <w:rPr>
            <w:noProof/>
            <w:webHidden/>
          </w:rPr>
          <w:t>16</w:t>
        </w:r>
        <w:r w:rsidR="00007FC4" w:rsidRPr="00007FC4">
          <w:rPr>
            <w:noProof/>
            <w:webHidden/>
          </w:rPr>
          <w:fldChar w:fldCharType="end"/>
        </w:r>
      </w:hyperlink>
    </w:p>
    <w:p w14:paraId="4A946B99" w14:textId="5B1930F4" w:rsidR="00007FC4" w:rsidRPr="00007FC4" w:rsidRDefault="004276B7" w:rsidP="00007FC4">
      <w:pPr>
        <w:pStyle w:val="TOC3"/>
        <w:rPr>
          <w:rFonts w:eastAsiaTheme="minorEastAsia"/>
          <w:noProof/>
          <w:lang w:eastAsia="ru-RU"/>
        </w:rPr>
      </w:pPr>
      <w:hyperlink w:anchor="_Toc139366823" w:history="1">
        <w:r w:rsidR="00007FC4" w:rsidRPr="00007FC4">
          <w:rPr>
            <w:rStyle w:val="Hyperlink"/>
            <w:noProof/>
          </w:rPr>
          <w:t>1.7.3.</w:t>
        </w:r>
        <w:r w:rsidR="00007FC4" w:rsidRPr="00007FC4">
          <w:rPr>
            <w:rFonts w:eastAsiaTheme="minorEastAsia"/>
            <w:noProof/>
            <w:lang w:eastAsia="ru-RU"/>
          </w:rPr>
          <w:tab/>
        </w:r>
        <w:r w:rsidR="00007FC4" w:rsidRPr="00007FC4">
          <w:rPr>
            <w:rStyle w:val="Hyperlink"/>
            <w:noProof/>
          </w:rPr>
          <w:t>Вводная информация по исследуемой терапии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_Toc139366823 \h </w:instrText>
        </w:r>
        <w:r w:rsidR="00007FC4" w:rsidRPr="00007FC4">
          <w:rPr>
            <w:noProof/>
            <w:webHidden/>
          </w:rPr>
        </w:r>
        <w:r w:rsidR="00007FC4" w:rsidRPr="00007FC4">
          <w:rPr>
            <w:noProof/>
            <w:webHidden/>
          </w:rPr>
          <w:fldChar w:fldCharType="separate"/>
        </w:r>
        <w:r w:rsidR="00007FC4">
          <w:rPr>
            <w:noProof/>
            <w:webHidden/>
          </w:rPr>
          <w:t>21</w:t>
        </w:r>
        <w:r w:rsidR="00007FC4" w:rsidRPr="00007FC4">
          <w:rPr>
            <w:noProof/>
            <w:webHidden/>
          </w:rPr>
          <w:fldChar w:fldCharType="end"/>
        </w:r>
      </w:hyperlink>
    </w:p>
    <w:p w14:paraId="3AF0982F" w14:textId="41786D2F" w:rsidR="00007FC4" w:rsidRPr="00007FC4" w:rsidRDefault="004276B7" w:rsidP="00007FC4">
      <w:pPr>
        <w:pStyle w:val="TOC2"/>
        <w:rPr>
          <w:rFonts w:eastAsiaTheme="minorEastAsia"/>
          <w:noProof/>
          <w:lang w:eastAsia="ru-RU"/>
        </w:rPr>
      </w:pPr>
      <w:hyperlink w:anchor="_Toc139366824" w:history="1">
        <w:r w:rsidR="00007FC4" w:rsidRPr="00007FC4">
          <w:rPr>
            <w:rStyle w:val="Hyperlink"/>
            <w:noProof/>
          </w:rPr>
          <w:t>1.8.</w:t>
        </w:r>
        <w:r w:rsidR="00007FC4" w:rsidRPr="00007FC4">
          <w:rPr>
            <w:rFonts w:eastAsiaTheme="minorEastAsia"/>
            <w:noProof/>
            <w:lang w:eastAsia="ru-RU"/>
          </w:rPr>
          <w:tab/>
        </w:r>
        <w:r w:rsidR="00007FC4" w:rsidRPr="00007FC4">
          <w:rPr>
            <w:rStyle w:val="Hyperlink"/>
            <w:noProof/>
          </w:rPr>
          <w:t>Ожидаемые показания к применению</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_Toc139366824 \h </w:instrText>
        </w:r>
        <w:r w:rsidR="00007FC4" w:rsidRPr="00007FC4">
          <w:rPr>
            <w:noProof/>
            <w:webHidden/>
          </w:rPr>
        </w:r>
        <w:r w:rsidR="00007FC4" w:rsidRPr="00007FC4">
          <w:rPr>
            <w:noProof/>
            <w:webHidden/>
          </w:rPr>
          <w:fldChar w:fldCharType="separate"/>
        </w:r>
        <w:r w:rsidR="00007FC4">
          <w:rPr>
            <w:noProof/>
            <w:webHidden/>
          </w:rPr>
          <w:t>22</w:t>
        </w:r>
        <w:r w:rsidR="00007FC4" w:rsidRPr="00007FC4">
          <w:rPr>
            <w:noProof/>
            <w:webHidden/>
          </w:rPr>
          <w:fldChar w:fldCharType="end"/>
        </w:r>
      </w:hyperlink>
    </w:p>
    <w:p w14:paraId="3B0B277B" w14:textId="0687DFDC" w:rsidR="00007FC4" w:rsidRPr="00007FC4" w:rsidRDefault="004276B7" w:rsidP="00007FC4">
      <w:pPr>
        <w:pStyle w:val="TOC2"/>
        <w:rPr>
          <w:rFonts w:eastAsiaTheme="minorEastAsia"/>
          <w:noProof/>
          <w:lang w:eastAsia="ru-RU"/>
        </w:rPr>
      </w:pPr>
      <w:hyperlink w:anchor="_Toc139366825" w:history="1">
        <w:r w:rsidR="00007FC4" w:rsidRPr="00007FC4">
          <w:rPr>
            <w:rStyle w:val="Hyperlink"/>
            <w:noProof/>
          </w:rPr>
          <w:t>Список литературы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_Toc139366825 \h </w:instrText>
        </w:r>
        <w:r w:rsidR="00007FC4" w:rsidRPr="00007FC4">
          <w:rPr>
            <w:noProof/>
            <w:webHidden/>
          </w:rPr>
        </w:r>
        <w:r w:rsidR="00007FC4" w:rsidRPr="00007FC4">
          <w:rPr>
            <w:noProof/>
            <w:webHidden/>
          </w:rPr>
          <w:fldChar w:fldCharType="separate"/>
        </w:r>
        <w:r w:rsidR="00007FC4">
          <w:rPr>
            <w:noProof/>
            <w:webHidden/>
          </w:rPr>
          <w:t>23</w:t>
        </w:r>
        <w:r w:rsidR="00007FC4" w:rsidRPr="00007FC4">
          <w:rPr>
            <w:noProof/>
            <w:webHidden/>
          </w:rPr>
          <w:fldChar w:fldCharType="end"/>
        </w:r>
      </w:hyperlink>
    </w:p>
    <w:p w14:paraId="35F65C72" w14:textId="11F0A18B" w:rsidR="00007FC4" w:rsidRPr="00007FC4" w:rsidRDefault="004276B7" w:rsidP="00007FC4">
      <w:pPr>
        <w:pStyle w:val="TOC1"/>
        <w:rPr>
          <w:rFonts w:eastAsiaTheme="minorEastAsia"/>
          <w:noProof/>
          <w:lang w:eastAsia="ru-RU"/>
        </w:rPr>
      </w:pPr>
      <w:hyperlink w:anchor="_Toc139366826" w:history="1">
        <w:r w:rsidR="00007FC4" w:rsidRPr="00007FC4">
          <w:rPr>
            <w:rStyle w:val="Hyperlink"/>
            <w:noProof/>
          </w:rPr>
          <w:t>2. ФИЗИЧЕСКИЕ, ХИМИЧЕСКИЕ И ФАРМАЦЕВТИЧЕСКИЕ СВОЙСТВА И ЛЕКАРСТВЕННАЯ ФОРМА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_Toc139366826 \h </w:instrText>
        </w:r>
        <w:r w:rsidR="00007FC4" w:rsidRPr="00007FC4">
          <w:rPr>
            <w:noProof/>
            <w:webHidden/>
          </w:rPr>
        </w:r>
        <w:r w:rsidR="00007FC4" w:rsidRPr="00007FC4">
          <w:rPr>
            <w:noProof/>
            <w:webHidden/>
          </w:rPr>
          <w:fldChar w:fldCharType="separate"/>
        </w:r>
        <w:r w:rsidR="00007FC4">
          <w:rPr>
            <w:noProof/>
            <w:webHidden/>
          </w:rPr>
          <w:t>24</w:t>
        </w:r>
        <w:r w:rsidR="00007FC4" w:rsidRPr="00007FC4">
          <w:rPr>
            <w:noProof/>
            <w:webHidden/>
          </w:rPr>
          <w:fldChar w:fldCharType="end"/>
        </w:r>
      </w:hyperlink>
    </w:p>
    <w:p w14:paraId="4745552F" w14:textId="4BF0993B" w:rsidR="00007FC4" w:rsidRPr="00007FC4" w:rsidRDefault="004276B7" w:rsidP="00007FC4">
      <w:pPr>
        <w:pStyle w:val="TOC2"/>
        <w:rPr>
          <w:rFonts w:eastAsiaTheme="minorEastAsia"/>
          <w:noProof/>
          <w:lang w:eastAsia="ru-RU"/>
        </w:rPr>
      </w:pPr>
      <w:hyperlink w:anchor="_Toc139366827" w:history="1">
        <w:r w:rsidR="00007FC4" w:rsidRPr="00007FC4">
          <w:rPr>
            <w:rStyle w:val="Hyperlink"/>
            <w:noProof/>
          </w:rPr>
          <w:t>2.1. Описание свойств исследуемого препарата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_Toc139366827 \h </w:instrText>
        </w:r>
        <w:r w:rsidR="00007FC4" w:rsidRPr="00007FC4">
          <w:rPr>
            <w:noProof/>
            <w:webHidden/>
          </w:rPr>
        </w:r>
        <w:r w:rsidR="00007FC4" w:rsidRPr="00007FC4">
          <w:rPr>
            <w:noProof/>
            <w:webHidden/>
          </w:rPr>
          <w:fldChar w:fldCharType="separate"/>
        </w:r>
        <w:r w:rsidR="00007FC4">
          <w:rPr>
            <w:noProof/>
            <w:webHidden/>
          </w:rPr>
          <w:t>24</w:t>
        </w:r>
        <w:r w:rsidR="00007FC4" w:rsidRPr="00007FC4">
          <w:rPr>
            <w:noProof/>
            <w:webHidden/>
          </w:rPr>
          <w:fldChar w:fldCharType="end"/>
        </w:r>
      </w:hyperlink>
    </w:p>
    <w:p w14:paraId="49E1C8C3" w14:textId="155D579A" w:rsidR="00007FC4" w:rsidRPr="00007FC4" w:rsidRDefault="004276B7" w:rsidP="00007FC4">
      <w:pPr>
        <w:pStyle w:val="TOC3"/>
        <w:rPr>
          <w:rFonts w:eastAsiaTheme="minorEastAsia"/>
          <w:noProof/>
          <w:lang w:eastAsia="ru-RU"/>
        </w:rPr>
      </w:pPr>
      <w:hyperlink w:anchor="_Toc139366828" w:history="1">
        <w:r w:rsidR="00007FC4" w:rsidRPr="00007FC4">
          <w:rPr>
            <w:rStyle w:val="Hyperlink"/>
            <w:noProof/>
          </w:rPr>
          <w:t>2.1.1. Химическая формула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_Toc139366828 \h </w:instrText>
        </w:r>
        <w:r w:rsidR="00007FC4" w:rsidRPr="00007FC4">
          <w:rPr>
            <w:noProof/>
            <w:webHidden/>
          </w:rPr>
        </w:r>
        <w:r w:rsidR="00007FC4" w:rsidRPr="00007FC4">
          <w:rPr>
            <w:noProof/>
            <w:webHidden/>
          </w:rPr>
          <w:fldChar w:fldCharType="separate"/>
        </w:r>
        <w:r w:rsidR="00007FC4">
          <w:rPr>
            <w:noProof/>
            <w:webHidden/>
          </w:rPr>
          <w:t>24</w:t>
        </w:r>
        <w:r w:rsidR="00007FC4" w:rsidRPr="00007FC4">
          <w:rPr>
            <w:noProof/>
            <w:webHidden/>
          </w:rPr>
          <w:fldChar w:fldCharType="end"/>
        </w:r>
      </w:hyperlink>
    </w:p>
    <w:p w14:paraId="75DFAEC3" w14:textId="5E3925C5" w:rsidR="00007FC4" w:rsidRPr="00007FC4" w:rsidRDefault="004276B7" w:rsidP="00007FC4">
      <w:pPr>
        <w:pStyle w:val="TOC3"/>
        <w:rPr>
          <w:rFonts w:eastAsiaTheme="minorEastAsia"/>
          <w:noProof/>
          <w:lang w:eastAsia="ru-RU"/>
        </w:rPr>
      </w:pPr>
      <w:hyperlink w:anchor="_Toc139366829" w:history="1">
        <w:r w:rsidR="00007FC4" w:rsidRPr="00007FC4">
          <w:rPr>
            <w:rStyle w:val="Hyperlink"/>
            <w:noProof/>
          </w:rPr>
          <w:t>2.1.2. Структурная формула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_Toc139366829 \h </w:instrText>
        </w:r>
        <w:r w:rsidR="00007FC4" w:rsidRPr="00007FC4">
          <w:rPr>
            <w:noProof/>
            <w:webHidden/>
          </w:rPr>
        </w:r>
        <w:r w:rsidR="00007FC4" w:rsidRPr="00007FC4">
          <w:rPr>
            <w:noProof/>
            <w:webHidden/>
          </w:rPr>
          <w:fldChar w:fldCharType="separate"/>
        </w:r>
        <w:r w:rsidR="00007FC4">
          <w:rPr>
            <w:noProof/>
            <w:webHidden/>
          </w:rPr>
          <w:t>24</w:t>
        </w:r>
        <w:r w:rsidR="00007FC4" w:rsidRPr="00007FC4">
          <w:rPr>
            <w:noProof/>
            <w:webHidden/>
          </w:rPr>
          <w:fldChar w:fldCharType="end"/>
        </w:r>
      </w:hyperlink>
    </w:p>
    <w:p w14:paraId="21406B73" w14:textId="09DB36AE" w:rsidR="00007FC4" w:rsidRPr="00007FC4" w:rsidRDefault="004276B7" w:rsidP="00007FC4">
      <w:pPr>
        <w:pStyle w:val="TOC3"/>
        <w:rPr>
          <w:rFonts w:eastAsiaTheme="minorEastAsia"/>
          <w:noProof/>
          <w:lang w:eastAsia="ru-RU"/>
        </w:rPr>
      </w:pPr>
      <w:hyperlink w:anchor="_Toc139366830" w:history="1">
        <w:r w:rsidR="00007FC4" w:rsidRPr="00007FC4">
          <w:rPr>
            <w:rStyle w:val="Hyperlink"/>
            <w:noProof/>
          </w:rPr>
          <w:t>2.1.3. Физико-химические и фармацевтические свойства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_Toc139366830 \h </w:instrText>
        </w:r>
        <w:r w:rsidR="00007FC4" w:rsidRPr="00007FC4">
          <w:rPr>
            <w:noProof/>
            <w:webHidden/>
          </w:rPr>
        </w:r>
        <w:r w:rsidR="00007FC4" w:rsidRPr="00007FC4">
          <w:rPr>
            <w:noProof/>
            <w:webHidden/>
          </w:rPr>
          <w:fldChar w:fldCharType="separate"/>
        </w:r>
        <w:r w:rsidR="00007FC4">
          <w:rPr>
            <w:noProof/>
            <w:webHidden/>
          </w:rPr>
          <w:t>25</w:t>
        </w:r>
        <w:r w:rsidR="00007FC4" w:rsidRPr="00007FC4">
          <w:rPr>
            <w:noProof/>
            <w:webHidden/>
          </w:rPr>
          <w:fldChar w:fldCharType="end"/>
        </w:r>
      </w:hyperlink>
    </w:p>
    <w:p w14:paraId="3F66D0F3" w14:textId="19966EDA" w:rsidR="00007FC4" w:rsidRPr="00007FC4" w:rsidRDefault="004276B7" w:rsidP="00007FC4">
      <w:pPr>
        <w:pStyle w:val="TOC2"/>
        <w:rPr>
          <w:rFonts w:eastAsiaTheme="minorEastAsia"/>
          <w:noProof/>
          <w:lang w:eastAsia="ru-RU"/>
        </w:rPr>
      </w:pPr>
      <w:hyperlink w:anchor="_Toc139366831" w:history="1">
        <w:r w:rsidR="00007FC4" w:rsidRPr="00007FC4">
          <w:rPr>
            <w:rStyle w:val="Hyperlink"/>
            <w:noProof/>
          </w:rPr>
          <w:t>2.2. Лекарственная форма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_Toc139366831 \h </w:instrText>
        </w:r>
        <w:r w:rsidR="00007FC4" w:rsidRPr="00007FC4">
          <w:rPr>
            <w:noProof/>
            <w:webHidden/>
          </w:rPr>
        </w:r>
        <w:r w:rsidR="00007FC4" w:rsidRPr="00007FC4">
          <w:rPr>
            <w:noProof/>
            <w:webHidden/>
          </w:rPr>
          <w:fldChar w:fldCharType="separate"/>
        </w:r>
        <w:r w:rsidR="00007FC4">
          <w:rPr>
            <w:noProof/>
            <w:webHidden/>
          </w:rPr>
          <w:t>25</w:t>
        </w:r>
        <w:r w:rsidR="00007FC4" w:rsidRPr="00007FC4">
          <w:rPr>
            <w:noProof/>
            <w:webHidden/>
          </w:rPr>
          <w:fldChar w:fldCharType="end"/>
        </w:r>
      </w:hyperlink>
    </w:p>
    <w:p w14:paraId="666AE0A1" w14:textId="6F60D6B9" w:rsidR="00007FC4" w:rsidRPr="00007FC4" w:rsidRDefault="004276B7" w:rsidP="00007FC4">
      <w:pPr>
        <w:pStyle w:val="TOC3"/>
        <w:rPr>
          <w:rFonts w:eastAsiaTheme="minorEastAsia"/>
          <w:noProof/>
          <w:lang w:eastAsia="ru-RU"/>
        </w:rPr>
      </w:pPr>
      <w:hyperlink w:anchor="_Toc139366832" w:history="1">
        <w:r w:rsidR="00007FC4" w:rsidRPr="00007FC4">
          <w:rPr>
            <w:rStyle w:val="Hyperlink"/>
            <w:noProof/>
          </w:rPr>
          <w:t>2.2.1. Название лекарственной формы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_Toc139366832 \h </w:instrText>
        </w:r>
        <w:r w:rsidR="00007FC4" w:rsidRPr="00007FC4">
          <w:rPr>
            <w:noProof/>
            <w:webHidden/>
          </w:rPr>
        </w:r>
        <w:r w:rsidR="00007FC4" w:rsidRPr="00007FC4">
          <w:rPr>
            <w:noProof/>
            <w:webHidden/>
          </w:rPr>
          <w:fldChar w:fldCharType="separate"/>
        </w:r>
        <w:r w:rsidR="00007FC4">
          <w:rPr>
            <w:noProof/>
            <w:webHidden/>
          </w:rPr>
          <w:t>25</w:t>
        </w:r>
        <w:r w:rsidR="00007FC4" w:rsidRPr="00007FC4">
          <w:rPr>
            <w:noProof/>
            <w:webHidden/>
          </w:rPr>
          <w:fldChar w:fldCharType="end"/>
        </w:r>
      </w:hyperlink>
    </w:p>
    <w:p w14:paraId="2D385EF9" w14:textId="1C616B8E" w:rsidR="00007FC4" w:rsidRPr="00007FC4" w:rsidRDefault="004276B7" w:rsidP="00007FC4">
      <w:pPr>
        <w:pStyle w:val="TOC3"/>
        <w:rPr>
          <w:rFonts w:eastAsiaTheme="minorEastAsia"/>
          <w:noProof/>
          <w:lang w:eastAsia="ru-RU"/>
        </w:rPr>
      </w:pPr>
      <w:hyperlink w:anchor="_Toc139366833" w:history="1">
        <w:r w:rsidR="00007FC4" w:rsidRPr="00007FC4">
          <w:rPr>
            <w:rStyle w:val="Hyperlink"/>
            <w:noProof/>
          </w:rPr>
          <w:t>2.2.2. Описание лекарственной формы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_Toc139366833 \h </w:instrText>
        </w:r>
        <w:r w:rsidR="00007FC4" w:rsidRPr="00007FC4">
          <w:rPr>
            <w:noProof/>
            <w:webHidden/>
          </w:rPr>
        </w:r>
        <w:r w:rsidR="00007FC4" w:rsidRPr="00007FC4">
          <w:rPr>
            <w:noProof/>
            <w:webHidden/>
          </w:rPr>
          <w:fldChar w:fldCharType="separate"/>
        </w:r>
        <w:r w:rsidR="00007FC4">
          <w:rPr>
            <w:noProof/>
            <w:webHidden/>
          </w:rPr>
          <w:t>25</w:t>
        </w:r>
        <w:r w:rsidR="00007FC4" w:rsidRPr="00007FC4">
          <w:rPr>
            <w:noProof/>
            <w:webHidden/>
          </w:rPr>
          <w:fldChar w:fldCharType="end"/>
        </w:r>
      </w:hyperlink>
    </w:p>
    <w:p w14:paraId="66A0522B" w14:textId="0AEBEC13" w:rsidR="00007FC4" w:rsidRPr="00007FC4" w:rsidRDefault="004276B7" w:rsidP="00007FC4">
      <w:pPr>
        <w:pStyle w:val="TOC3"/>
        <w:rPr>
          <w:rFonts w:eastAsiaTheme="minorEastAsia"/>
          <w:noProof/>
          <w:lang w:eastAsia="ru-RU"/>
        </w:rPr>
      </w:pPr>
      <w:hyperlink w:anchor="_Toc139366834" w:history="1">
        <w:r w:rsidR="00007FC4" w:rsidRPr="00007FC4">
          <w:rPr>
            <w:rStyle w:val="Hyperlink"/>
            <w:noProof/>
          </w:rPr>
          <w:t>2.2.3. Состав лекарственной формы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_Toc139366834 \h </w:instrText>
        </w:r>
        <w:r w:rsidR="00007FC4" w:rsidRPr="00007FC4">
          <w:rPr>
            <w:noProof/>
            <w:webHidden/>
          </w:rPr>
        </w:r>
        <w:r w:rsidR="00007FC4" w:rsidRPr="00007FC4">
          <w:rPr>
            <w:noProof/>
            <w:webHidden/>
          </w:rPr>
          <w:fldChar w:fldCharType="separate"/>
        </w:r>
        <w:r w:rsidR="00007FC4">
          <w:rPr>
            <w:noProof/>
            <w:webHidden/>
          </w:rPr>
          <w:t>25</w:t>
        </w:r>
        <w:r w:rsidR="00007FC4" w:rsidRPr="00007FC4">
          <w:rPr>
            <w:noProof/>
            <w:webHidden/>
          </w:rPr>
          <w:fldChar w:fldCharType="end"/>
        </w:r>
      </w:hyperlink>
    </w:p>
    <w:p w14:paraId="2F7D220D" w14:textId="13CAB9DC" w:rsidR="00007FC4" w:rsidRPr="00007FC4" w:rsidRDefault="004276B7" w:rsidP="00007FC4">
      <w:pPr>
        <w:pStyle w:val="TOC3"/>
        <w:rPr>
          <w:rFonts w:eastAsiaTheme="minorEastAsia"/>
          <w:noProof/>
          <w:lang w:eastAsia="ru-RU"/>
        </w:rPr>
      </w:pPr>
      <w:hyperlink w:anchor="_Toc139366835" w:history="1">
        <w:r w:rsidR="00007FC4" w:rsidRPr="00007FC4">
          <w:rPr>
            <w:rStyle w:val="Hyperlink"/>
            <w:noProof/>
          </w:rPr>
          <w:t>2.2.4 Форма выпуска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_Toc139366835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6E900BCF" w14:textId="00875BB1" w:rsidR="00007FC4" w:rsidRPr="00007FC4" w:rsidRDefault="004276B7" w:rsidP="00007FC4">
      <w:pPr>
        <w:pStyle w:val="TOC2"/>
        <w:rPr>
          <w:rFonts w:eastAsiaTheme="minorEastAsia"/>
          <w:noProof/>
          <w:lang w:eastAsia="ru-RU"/>
        </w:rPr>
      </w:pPr>
      <w:hyperlink w:anchor="_Toc139366836" w:history="1">
        <w:r w:rsidR="00007FC4" w:rsidRPr="00007FC4">
          <w:rPr>
            <w:rStyle w:val="Hyperlink"/>
            <w:noProof/>
          </w:rPr>
          <w:t>2.3. Правила хранения и обращения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_Toc139366836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27220228" w14:textId="09867E43" w:rsidR="00007FC4" w:rsidRPr="00007FC4" w:rsidRDefault="004276B7" w:rsidP="00007FC4">
      <w:pPr>
        <w:pStyle w:val="TOC3"/>
        <w:rPr>
          <w:rFonts w:eastAsiaTheme="minorEastAsia"/>
          <w:noProof/>
          <w:lang w:eastAsia="ru-RU"/>
        </w:rPr>
      </w:pPr>
      <w:hyperlink w:anchor="_Toc139366837" w:history="1">
        <w:r w:rsidR="00007FC4" w:rsidRPr="00007FC4">
          <w:rPr>
            <w:rStyle w:val="Hyperlink"/>
            <w:noProof/>
          </w:rPr>
          <w:t>2.3.1 Условия хранения и транспортировки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_Toc139366837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5EB9790B" w14:textId="19892132" w:rsidR="00007FC4" w:rsidRPr="00007FC4" w:rsidRDefault="004276B7" w:rsidP="00007FC4">
      <w:pPr>
        <w:pStyle w:val="TOC3"/>
        <w:rPr>
          <w:rFonts w:eastAsiaTheme="minorEastAsia"/>
          <w:noProof/>
          <w:lang w:eastAsia="ru-RU"/>
        </w:rPr>
      </w:pPr>
      <w:hyperlink w:anchor="_Toc139366838" w:history="1">
        <w:r w:rsidR="00007FC4" w:rsidRPr="00007FC4">
          <w:rPr>
            <w:rStyle w:val="Hyperlink"/>
            <w:noProof/>
          </w:rPr>
          <w:t>2.3.2. Срок годности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_Toc139366838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0C6583E6" w14:textId="5C781C57" w:rsidR="00007FC4" w:rsidRPr="00007FC4" w:rsidRDefault="004276B7" w:rsidP="00007FC4">
      <w:pPr>
        <w:pStyle w:val="TOC3"/>
        <w:rPr>
          <w:rFonts w:eastAsiaTheme="minorEastAsia"/>
          <w:noProof/>
          <w:lang w:eastAsia="ru-RU"/>
        </w:rPr>
      </w:pPr>
      <w:hyperlink w:anchor="_Toc139366839" w:history="1">
        <w:r w:rsidR="00007FC4" w:rsidRPr="00007FC4">
          <w:rPr>
            <w:rStyle w:val="Hyperlink"/>
            <w:noProof/>
          </w:rPr>
          <w:t>2.3.3. Правила по обращению с препаратом</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_Toc139366839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2D81CD6C" w14:textId="78002543" w:rsidR="00007FC4" w:rsidRPr="00007FC4" w:rsidRDefault="004276B7" w:rsidP="00007FC4">
      <w:pPr>
        <w:pStyle w:val="TOC2"/>
        <w:rPr>
          <w:rFonts w:eastAsiaTheme="minorEastAsia"/>
          <w:noProof/>
          <w:lang w:eastAsia="ru-RU"/>
        </w:rPr>
      </w:pPr>
      <w:hyperlink w:anchor="_Toc139366840" w:history="1">
        <w:r w:rsidR="00007FC4" w:rsidRPr="00007FC4">
          <w:rPr>
            <w:rStyle w:val="Hyperlink"/>
            <w:noProof/>
            <w:lang w:bidi="ru-RU"/>
          </w:rPr>
          <w:t>Список литературы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_Toc139366840 \h </w:instrText>
        </w:r>
        <w:r w:rsidR="00007FC4" w:rsidRPr="00007FC4">
          <w:rPr>
            <w:noProof/>
            <w:webHidden/>
          </w:rPr>
        </w:r>
        <w:r w:rsidR="00007FC4" w:rsidRPr="00007FC4">
          <w:rPr>
            <w:noProof/>
            <w:webHidden/>
          </w:rPr>
          <w:fldChar w:fldCharType="separate"/>
        </w:r>
        <w:r w:rsidR="00007FC4">
          <w:rPr>
            <w:noProof/>
            <w:webHidden/>
          </w:rPr>
          <w:t>33</w:t>
        </w:r>
        <w:r w:rsidR="00007FC4" w:rsidRPr="00007FC4">
          <w:rPr>
            <w:noProof/>
            <w:webHidden/>
          </w:rPr>
          <w:fldChar w:fldCharType="end"/>
        </w:r>
      </w:hyperlink>
    </w:p>
    <w:p w14:paraId="67B26AEB" w14:textId="4AA7099F" w:rsidR="00007FC4" w:rsidRPr="00007FC4" w:rsidRDefault="004276B7" w:rsidP="00007FC4">
      <w:pPr>
        <w:pStyle w:val="TOC1"/>
        <w:rPr>
          <w:rFonts w:eastAsiaTheme="minorEastAsia"/>
          <w:noProof/>
          <w:lang w:eastAsia="ru-RU"/>
        </w:rPr>
      </w:pPr>
      <w:hyperlink w:anchor="_Toc139366841" w:history="1">
        <w:r w:rsidR="00007FC4" w:rsidRPr="00007FC4">
          <w:rPr>
            <w:rStyle w:val="Hyperlink"/>
            <w:noProof/>
          </w:rPr>
          <w:t>3. РЕЗУЛЬТАТЫ ДОКЛИНИЧЕСКИХ ИССЛЕДОВАНИЙ</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_Toc139366841 \h </w:instrText>
        </w:r>
        <w:r w:rsidR="00007FC4" w:rsidRPr="00007FC4">
          <w:rPr>
            <w:noProof/>
            <w:webHidden/>
          </w:rPr>
        </w:r>
        <w:r w:rsidR="00007FC4" w:rsidRPr="00007FC4">
          <w:rPr>
            <w:noProof/>
            <w:webHidden/>
          </w:rPr>
          <w:fldChar w:fldCharType="separate"/>
        </w:r>
        <w:r w:rsidR="00007FC4">
          <w:rPr>
            <w:noProof/>
            <w:webHidden/>
          </w:rPr>
          <w:t>34</w:t>
        </w:r>
        <w:r w:rsidR="00007FC4" w:rsidRPr="00007FC4">
          <w:rPr>
            <w:noProof/>
            <w:webHidden/>
          </w:rPr>
          <w:fldChar w:fldCharType="end"/>
        </w:r>
      </w:hyperlink>
    </w:p>
    <w:p w14:paraId="42BCAC89" w14:textId="102EE144" w:rsidR="00007FC4" w:rsidRPr="00007FC4" w:rsidRDefault="004276B7" w:rsidP="00007FC4">
      <w:pPr>
        <w:pStyle w:val="TOC2"/>
        <w:rPr>
          <w:rFonts w:eastAsiaTheme="minorEastAsia"/>
          <w:noProof/>
          <w:lang w:eastAsia="ru-RU"/>
        </w:rPr>
      </w:pPr>
      <w:hyperlink w:anchor="_Toc139366842" w:history="1">
        <w:r w:rsidR="00007FC4" w:rsidRPr="00007FC4">
          <w:rPr>
            <w:rStyle w:val="Hyperlink"/>
            <w:noProof/>
          </w:rPr>
          <w:t>Введение и резюме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_Toc139366842 \h </w:instrText>
        </w:r>
        <w:r w:rsidR="00007FC4" w:rsidRPr="00007FC4">
          <w:rPr>
            <w:noProof/>
            <w:webHidden/>
          </w:rPr>
        </w:r>
        <w:r w:rsidR="00007FC4" w:rsidRPr="00007FC4">
          <w:rPr>
            <w:noProof/>
            <w:webHidden/>
          </w:rPr>
          <w:fldChar w:fldCharType="separate"/>
        </w:r>
        <w:r w:rsidR="00007FC4">
          <w:rPr>
            <w:noProof/>
            <w:webHidden/>
          </w:rPr>
          <w:t>34</w:t>
        </w:r>
        <w:r w:rsidR="00007FC4" w:rsidRPr="00007FC4">
          <w:rPr>
            <w:noProof/>
            <w:webHidden/>
          </w:rPr>
          <w:fldChar w:fldCharType="end"/>
        </w:r>
      </w:hyperlink>
    </w:p>
    <w:p w14:paraId="5B33E493" w14:textId="08870F1E" w:rsidR="00007FC4" w:rsidRPr="00007FC4" w:rsidRDefault="004276B7" w:rsidP="00007FC4">
      <w:pPr>
        <w:pStyle w:val="TOC2"/>
        <w:rPr>
          <w:rFonts w:eastAsiaTheme="minorEastAsia"/>
          <w:noProof/>
          <w:lang w:eastAsia="ru-RU"/>
        </w:rPr>
      </w:pPr>
      <w:hyperlink w:anchor="_Toc139366843" w:history="1">
        <w:r w:rsidR="00007FC4" w:rsidRPr="00007FC4">
          <w:rPr>
            <w:rStyle w:val="Hyperlink"/>
            <w:noProof/>
          </w:rPr>
          <w:t>3.1 Доклиническая фармакология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_Toc139366843 \h </w:instrText>
        </w:r>
        <w:r w:rsidR="00007FC4" w:rsidRPr="00007FC4">
          <w:rPr>
            <w:noProof/>
            <w:webHidden/>
          </w:rPr>
        </w:r>
        <w:r w:rsidR="00007FC4" w:rsidRPr="00007FC4">
          <w:rPr>
            <w:noProof/>
            <w:webHidden/>
          </w:rPr>
          <w:fldChar w:fldCharType="separate"/>
        </w:r>
        <w:r w:rsidR="00007FC4">
          <w:rPr>
            <w:noProof/>
            <w:webHidden/>
          </w:rPr>
          <w:t>35</w:t>
        </w:r>
        <w:r w:rsidR="00007FC4" w:rsidRPr="00007FC4">
          <w:rPr>
            <w:noProof/>
            <w:webHidden/>
          </w:rPr>
          <w:fldChar w:fldCharType="end"/>
        </w:r>
      </w:hyperlink>
    </w:p>
    <w:p w14:paraId="70D4CF50" w14:textId="19738810" w:rsidR="00007FC4" w:rsidRPr="00007FC4" w:rsidRDefault="004276B7" w:rsidP="00007FC4">
      <w:pPr>
        <w:pStyle w:val="TOC3"/>
        <w:rPr>
          <w:rFonts w:eastAsiaTheme="minorEastAsia"/>
          <w:noProof/>
          <w:lang w:eastAsia="ru-RU"/>
        </w:rPr>
      </w:pPr>
      <w:hyperlink w:anchor="_Toc139366844" w:history="1">
        <w:r w:rsidR="00007FC4" w:rsidRPr="00007FC4">
          <w:rPr>
            <w:rStyle w:val="Hyperlink"/>
            <w:noProof/>
          </w:rPr>
          <w:t>3.1.1. Механизм действия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_Toc139366844 \h </w:instrText>
        </w:r>
        <w:r w:rsidR="00007FC4" w:rsidRPr="00007FC4">
          <w:rPr>
            <w:noProof/>
            <w:webHidden/>
          </w:rPr>
        </w:r>
        <w:r w:rsidR="00007FC4" w:rsidRPr="00007FC4">
          <w:rPr>
            <w:noProof/>
            <w:webHidden/>
          </w:rPr>
          <w:fldChar w:fldCharType="separate"/>
        </w:r>
        <w:r w:rsidR="00007FC4">
          <w:rPr>
            <w:noProof/>
            <w:webHidden/>
          </w:rPr>
          <w:t>35</w:t>
        </w:r>
        <w:r w:rsidR="00007FC4" w:rsidRPr="00007FC4">
          <w:rPr>
            <w:noProof/>
            <w:webHidden/>
          </w:rPr>
          <w:fldChar w:fldCharType="end"/>
        </w:r>
      </w:hyperlink>
    </w:p>
    <w:p w14:paraId="2F223031" w14:textId="6F41E4B4" w:rsidR="00007FC4" w:rsidRPr="00007FC4" w:rsidRDefault="004276B7" w:rsidP="00007FC4">
      <w:pPr>
        <w:pStyle w:val="TOC3"/>
        <w:rPr>
          <w:rFonts w:eastAsiaTheme="minorEastAsia"/>
          <w:noProof/>
          <w:lang w:eastAsia="ru-RU"/>
        </w:rPr>
      </w:pPr>
      <w:hyperlink w:anchor="_Toc139366845" w:history="1">
        <w:r w:rsidR="00007FC4" w:rsidRPr="00007FC4">
          <w:rPr>
            <w:rStyle w:val="Hyperlink"/>
            <w:rFonts w:eastAsia="Times New Roman"/>
            <w:noProof/>
            <w:lang w:eastAsia="en-US"/>
          </w:rPr>
          <w:t xml:space="preserve">3.1.2. </w:t>
        </w:r>
        <w:r w:rsidR="00007FC4" w:rsidRPr="00007FC4">
          <w:rPr>
            <w:rStyle w:val="Hyperlink"/>
            <w:noProof/>
          </w:rPr>
          <w:t>Первичная фармакодинамика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_Toc139366845 \h </w:instrText>
        </w:r>
        <w:r w:rsidR="00007FC4" w:rsidRPr="00007FC4">
          <w:rPr>
            <w:noProof/>
            <w:webHidden/>
          </w:rPr>
        </w:r>
        <w:r w:rsidR="00007FC4" w:rsidRPr="00007FC4">
          <w:rPr>
            <w:noProof/>
            <w:webHidden/>
          </w:rPr>
          <w:fldChar w:fldCharType="separate"/>
        </w:r>
        <w:r w:rsidR="00007FC4">
          <w:rPr>
            <w:noProof/>
            <w:webHidden/>
          </w:rPr>
          <w:t>39</w:t>
        </w:r>
        <w:r w:rsidR="00007FC4" w:rsidRPr="00007FC4">
          <w:rPr>
            <w:noProof/>
            <w:webHidden/>
          </w:rPr>
          <w:fldChar w:fldCharType="end"/>
        </w:r>
      </w:hyperlink>
    </w:p>
    <w:p w14:paraId="4D9F92A7" w14:textId="01FA3403"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46" w:history="1">
        <w:r w:rsidR="00007FC4" w:rsidRPr="00007FC4">
          <w:rPr>
            <w:rStyle w:val="Hyperlink"/>
            <w:noProof/>
          </w:rPr>
          <w:t xml:space="preserve">3.1.2.1. Первичная фармакодинамика </w:t>
        </w:r>
        <w:r w:rsidR="00007FC4" w:rsidRPr="00007FC4">
          <w:rPr>
            <w:rStyle w:val="Hyperlink"/>
            <w:i/>
            <w:noProof/>
          </w:rPr>
          <w:t>in vitro</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_Toc139366846 \h </w:instrText>
        </w:r>
        <w:r w:rsidR="00007FC4" w:rsidRPr="00007FC4">
          <w:rPr>
            <w:noProof/>
            <w:webHidden/>
          </w:rPr>
        </w:r>
        <w:r w:rsidR="00007FC4" w:rsidRPr="00007FC4">
          <w:rPr>
            <w:noProof/>
            <w:webHidden/>
          </w:rPr>
          <w:fldChar w:fldCharType="separate"/>
        </w:r>
        <w:r w:rsidR="00007FC4">
          <w:rPr>
            <w:noProof/>
            <w:webHidden/>
          </w:rPr>
          <w:t>39</w:t>
        </w:r>
        <w:r w:rsidR="00007FC4" w:rsidRPr="00007FC4">
          <w:rPr>
            <w:noProof/>
            <w:webHidden/>
          </w:rPr>
          <w:fldChar w:fldCharType="end"/>
        </w:r>
      </w:hyperlink>
    </w:p>
    <w:p w14:paraId="7DC9FC1D" w14:textId="768935A5"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47" w:history="1">
        <w:r w:rsidR="00007FC4" w:rsidRPr="00007FC4">
          <w:rPr>
            <w:rStyle w:val="Hyperlink"/>
            <w:noProof/>
          </w:rPr>
          <w:t xml:space="preserve">3.1.2.2. Первичная фармакодинамика </w:t>
        </w:r>
        <w:r w:rsidR="00007FC4" w:rsidRPr="00007FC4">
          <w:rPr>
            <w:rStyle w:val="Hyperlink"/>
            <w:i/>
            <w:noProof/>
          </w:rPr>
          <w:t>in vivo</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_Toc139366847 \h </w:instrText>
        </w:r>
        <w:r w:rsidR="00007FC4" w:rsidRPr="00007FC4">
          <w:rPr>
            <w:noProof/>
            <w:webHidden/>
          </w:rPr>
        </w:r>
        <w:r w:rsidR="00007FC4" w:rsidRPr="00007FC4">
          <w:rPr>
            <w:noProof/>
            <w:webHidden/>
          </w:rPr>
          <w:fldChar w:fldCharType="separate"/>
        </w:r>
        <w:r w:rsidR="00007FC4">
          <w:rPr>
            <w:noProof/>
            <w:webHidden/>
          </w:rPr>
          <w:t>40</w:t>
        </w:r>
        <w:r w:rsidR="00007FC4" w:rsidRPr="00007FC4">
          <w:rPr>
            <w:noProof/>
            <w:webHidden/>
          </w:rPr>
          <w:fldChar w:fldCharType="end"/>
        </w:r>
      </w:hyperlink>
    </w:p>
    <w:p w14:paraId="48D9D082" w14:textId="7AA60787" w:rsidR="00007FC4" w:rsidRPr="00007FC4" w:rsidRDefault="004276B7" w:rsidP="00007FC4">
      <w:pPr>
        <w:pStyle w:val="TOC3"/>
        <w:rPr>
          <w:rFonts w:eastAsiaTheme="minorEastAsia"/>
          <w:noProof/>
          <w:lang w:eastAsia="ru-RU"/>
        </w:rPr>
      </w:pPr>
      <w:hyperlink w:anchor="_Toc139366848" w:history="1">
        <w:r w:rsidR="00007FC4" w:rsidRPr="00007FC4">
          <w:rPr>
            <w:rStyle w:val="Hyperlink"/>
            <w:noProof/>
          </w:rPr>
          <w:t>3.1.3. Вторичная фармакодинамика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_Toc139366848 \h </w:instrText>
        </w:r>
        <w:r w:rsidR="00007FC4" w:rsidRPr="00007FC4">
          <w:rPr>
            <w:noProof/>
            <w:webHidden/>
          </w:rPr>
        </w:r>
        <w:r w:rsidR="00007FC4" w:rsidRPr="00007FC4">
          <w:rPr>
            <w:noProof/>
            <w:webHidden/>
          </w:rPr>
          <w:fldChar w:fldCharType="separate"/>
        </w:r>
        <w:r w:rsidR="00007FC4">
          <w:rPr>
            <w:noProof/>
            <w:webHidden/>
          </w:rPr>
          <w:t>51</w:t>
        </w:r>
        <w:r w:rsidR="00007FC4" w:rsidRPr="00007FC4">
          <w:rPr>
            <w:noProof/>
            <w:webHidden/>
          </w:rPr>
          <w:fldChar w:fldCharType="end"/>
        </w:r>
      </w:hyperlink>
    </w:p>
    <w:p w14:paraId="6720DB53" w14:textId="7F2EBCA9" w:rsidR="00007FC4" w:rsidRPr="00007FC4" w:rsidRDefault="004276B7" w:rsidP="00007FC4">
      <w:pPr>
        <w:pStyle w:val="TOC3"/>
        <w:rPr>
          <w:rFonts w:eastAsiaTheme="minorEastAsia"/>
          <w:noProof/>
          <w:lang w:eastAsia="ru-RU"/>
        </w:rPr>
      </w:pPr>
      <w:hyperlink w:anchor="_Toc139366849" w:history="1">
        <w:r w:rsidR="00007FC4" w:rsidRPr="00007FC4">
          <w:rPr>
            <w:rStyle w:val="Hyperlink"/>
            <w:noProof/>
          </w:rPr>
          <w:t>3.1.4. Фармакологическая безопасность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_Toc139366849 \h </w:instrText>
        </w:r>
        <w:r w:rsidR="00007FC4" w:rsidRPr="00007FC4">
          <w:rPr>
            <w:noProof/>
            <w:webHidden/>
          </w:rPr>
        </w:r>
        <w:r w:rsidR="00007FC4" w:rsidRPr="00007FC4">
          <w:rPr>
            <w:noProof/>
            <w:webHidden/>
          </w:rPr>
          <w:fldChar w:fldCharType="separate"/>
        </w:r>
        <w:r w:rsidR="00007FC4">
          <w:rPr>
            <w:noProof/>
            <w:webHidden/>
          </w:rPr>
          <w:t>52</w:t>
        </w:r>
        <w:r w:rsidR="00007FC4" w:rsidRPr="00007FC4">
          <w:rPr>
            <w:noProof/>
            <w:webHidden/>
          </w:rPr>
          <w:fldChar w:fldCharType="end"/>
        </w:r>
      </w:hyperlink>
    </w:p>
    <w:p w14:paraId="728ADFA8" w14:textId="4727B631" w:rsidR="00007FC4" w:rsidRPr="00007FC4" w:rsidRDefault="004276B7" w:rsidP="00007FC4">
      <w:pPr>
        <w:pStyle w:val="TOC3"/>
        <w:rPr>
          <w:rFonts w:eastAsiaTheme="minorEastAsia"/>
          <w:noProof/>
          <w:lang w:eastAsia="ru-RU"/>
        </w:rPr>
      </w:pPr>
      <w:hyperlink w:anchor="_Toc139366850" w:history="1">
        <w:r w:rsidR="00007FC4" w:rsidRPr="00007FC4">
          <w:rPr>
            <w:rStyle w:val="Hyperlink"/>
            <w:noProof/>
          </w:rPr>
          <w:t>3.1.5. Фармакодинамические лекарственные взаимодействия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_Toc139366850 \h </w:instrText>
        </w:r>
        <w:r w:rsidR="00007FC4" w:rsidRPr="00007FC4">
          <w:rPr>
            <w:noProof/>
            <w:webHidden/>
          </w:rPr>
        </w:r>
        <w:r w:rsidR="00007FC4" w:rsidRPr="00007FC4">
          <w:rPr>
            <w:noProof/>
            <w:webHidden/>
          </w:rPr>
          <w:fldChar w:fldCharType="separate"/>
        </w:r>
        <w:r w:rsidR="00007FC4">
          <w:rPr>
            <w:noProof/>
            <w:webHidden/>
          </w:rPr>
          <w:t>56</w:t>
        </w:r>
        <w:r w:rsidR="00007FC4" w:rsidRPr="00007FC4">
          <w:rPr>
            <w:noProof/>
            <w:webHidden/>
          </w:rPr>
          <w:fldChar w:fldCharType="end"/>
        </w:r>
      </w:hyperlink>
    </w:p>
    <w:p w14:paraId="54B32E6F" w14:textId="6913C658" w:rsidR="00007FC4" w:rsidRPr="00007FC4" w:rsidRDefault="004276B7" w:rsidP="00007FC4">
      <w:pPr>
        <w:pStyle w:val="TOC2"/>
        <w:rPr>
          <w:rFonts w:eastAsiaTheme="minorEastAsia"/>
          <w:noProof/>
          <w:lang w:eastAsia="ru-RU"/>
        </w:rPr>
      </w:pPr>
      <w:hyperlink w:anchor="_Toc139366851" w:history="1">
        <w:r w:rsidR="00007FC4" w:rsidRPr="00007FC4">
          <w:rPr>
            <w:rStyle w:val="Hyperlink"/>
            <w:noProof/>
          </w:rPr>
          <w:t>3.2. Доклиническая фармакокинетика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_Toc139366851 \h </w:instrText>
        </w:r>
        <w:r w:rsidR="00007FC4" w:rsidRPr="00007FC4">
          <w:rPr>
            <w:noProof/>
            <w:webHidden/>
          </w:rPr>
        </w:r>
        <w:r w:rsidR="00007FC4" w:rsidRPr="00007FC4">
          <w:rPr>
            <w:noProof/>
            <w:webHidden/>
          </w:rPr>
          <w:fldChar w:fldCharType="separate"/>
        </w:r>
        <w:r w:rsidR="00007FC4">
          <w:rPr>
            <w:noProof/>
            <w:webHidden/>
          </w:rPr>
          <w:t>56</w:t>
        </w:r>
        <w:r w:rsidR="00007FC4" w:rsidRPr="00007FC4">
          <w:rPr>
            <w:noProof/>
            <w:webHidden/>
          </w:rPr>
          <w:fldChar w:fldCharType="end"/>
        </w:r>
      </w:hyperlink>
    </w:p>
    <w:p w14:paraId="790942A5" w14:textId="28ADC3B4" w:rsidR="00007FC4" w:rsidRPr="00007FC4" w:rsidRDefault="004276B7" w:rsidP="00007FC4">
      <w:pPr>
        <w:pStyle w:val="TOC3"/>
        <w:rPr>
          <w:rFonts w:eastAsiaTheme="minorEastAsia"/>
          <w:noProof/>
          <w:lang w:eastAsia="ru-RU"/>
        </w:rPr>
      </w:pPr>
      <w:hyperlink w:anchor="_Toc139366852" w:history="1">
        <w:r w:rsidR="00007FC4" w:rsidRPr="00007FC4">
          <w:rPr>
            <w:rStyle w:val="Hyperlink"/>
            <w:noProof/>
          </w:rPr>
          <w:t xml:space="preserve">3.2.1. </w:t>
        </w:r>
        <w:r w:rsidR="00007FC4" w:rsidRPr="00007FC4">
          <w:rPr>
            <w:rStyle w:val="Hyperlink"/>
            <w:bCs/>
            <w:iCs/>
            <w:noProof/>
          </w:rPr>
          <w:t>Всасывание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_Toc139366852 \h </w:instrText>
        </w:r>
        <w:r w:rsidR="00007FC4" w:rsidRPr="00007FC4">
          <w:rPr>
            <w:noProof/>
            <w:webHidden/>
          </w:rPr>
        </w:r>
        <w:r w:rsidR="00007FC4" w:rsidRPr="00007FC4">
          <w:rPr>
            <w:noProof/>
            <w:webHidden/>
          </w:rPr>
          <w:fldChar w:fldCharType="separate"/>
        </w:r>
        <w:r w:rsidR="00007FC4">
          <w:rPr>
            <w:noProof/>
            <w:webHidden/>
          </w:rPr>
          <w:t>56</w:t>
        </w:r>
        <w:r w:rsidR="00007FC4" w:rsidRPr="00007FC4">
          <w:rPr>
            <w:noProof/>
            <w:webHidden/>
          </w:rPr>
          <w:fldChar w:fldCharType="end"/>
        </w:r>
      </w:hyperlink>
    </w:p>
    <w:p w14:paraId="734EAA7A" w14:textId="1630A309" w:rsidR="00007FC4" w:rsidRPr="00007FC4" w:rsidRDefault="004276B7" w:rsidP="00007FC4">
      <w:pPr>
        <w:pStyle w:val="TOC3"/>
        <w:rPr>
          <w:rFonts w:eastAsiaTheme="minorEastAsia"/>
          <w:noProof/>
          <w:lang w:eastAsia="ru-RU"/>
        </w:rPr>
      </w:pPr>
      <w:hyperlink w:anchor="_Toc139366853" w:history="1">
        <w:r w:rsidR="00007FC4" w:rsidRPr="00007FC4">
          <w:rPr>
            <w:rStyle w:val="Hyperlink"/>
            <w:noProof/>
          </w:rPr>
          <w:t xml:space="preserve">3.2.2. </w:t>
        </w:r>
        <w:r w:rsidR="00007FC4" w:rsidRPr="00007FC4">
          <w:rPr>
            <w:rStyle w:val="Hyperlink"/>
            <w:bCs/>
            <w:noProof/>
          </w:rPr>
          <w:t>Распределение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_Toc139366853 \h </w:instrText>
        </w:r>
        <w:r w:rsidR="00007FC4" w:rsidRPr="00007FC4">
          <w:rPr>
            <w:noProof/>
            <w:webHidden/>
          </w:rPr>
        </w:r>
        <w:r w:rsidR="00007FC4" w:rsidRPr="00007FC4">
          <w:rPr>
            <w:noProof/>
            <w:webHidden/>
          </w:rPr>
          <w:fldChar w:fldCharType="separate"/>
        </w:r>
        <w:r w:rsidR="00007FC4">
          <w:rPr>
            <w:noProof/>
            <w:webHidden/>
          </w:rPr>
          <w:t>57</w:t>
        </w:r>
        <w:r w:rsidR="00007FC4" w:rsidRPr="00007FC4">
          <w:rPr>
            <w:noProof/>
            <w:webHidden/>
          </w:rPr>
          <w:fldChar w:fldCharType="end"/>
        </w:r>
      </w:hyperlink>
    </w:p>
    <w:p w14:paraId="2BEEF1F3" w14:textId="75C6B13D" w:rsidR="00007FC4" w:rsidRPr="00007FC4" w:rsidRDefault="004276B7" w:rsidP="00007FC4">
      <w:pPr>
        <w:pStyle w:val="TOC3"/>
        <w:rPr>
          <w:rFonts w:eastAsiaTheme="minorEastAsia"/>
          <w:noProof/>
          <w:lang w:eastAsia="ru-RU"/>
        </w:rPr>
      </w:pPr>
      <w:hyperlink w:anchor="_Toc139366854" w:history="1">
        <w:r w:rsidR="00007FC4" w:rsidRPr="00007FC4">
          <w:rPr>
            <w:rStyle w:val="Hyperlink"/>
            <w:noProof/>
          </w:rPr>
          <w:t xml:space="preserve">3.2.3. </w:t>
        </w:r>
        <w:r w:rsidR="00007FC4" w:rsidRPr="00007FC4">
          <w:rPr>
            <w:rStyle w:val="Hyperlink"/>
            <w:bCs/>
            <w:noProof/>
          </w:rPr>
          <w:t>Связывание с белками плазмы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_Toc139366854 \h </w:instrText>
        </w:r>
        <w:r w:rsidR="00007FC4" w:rsidRPr="00007FC4">
          <w:rPr>
            <w:noProof/>
            <w:webHidden/>
          </w:rPr>
        </w:r>
        <w:r w:rsidR="00007FC4" w:rsidRPr="00007FC4">
          <w:rPr>
            <w:noProof/>
            <w:webHidden/>
          </w:rPr>
          <w:fldChar w:fldCharType="separate"/>
        </w:r>
        <w:r w:rsidR="00007FC4">
          <w:rPr>
            <w:noProof/>
            <w:webHidden/>
          </w:rPr>
          <w:t>57</w:t>
        </w:r>
        <w:r w:rsidR="00007FC4" w:rsidRPr="00007FC4">
          <w:rPr>
            <w:noProof/>
            <w:webHidden/>
          </w:rPr>
          <w:fldChar w:fldCharType="end"/>
        </w:r>
      </w:hyperlink>
    </w:p>
    <w:p w14:paraId="08C4B2D9" w14:textId="71F58815" w:rsidR="00007FC4" w:rsidRPr="00007FC4" w:rsidRDefault="004276B7" w:rsidP="00007FC4">
      <w:pPr>
        <w:pStyle w:val="TOC3"/>
        <w:rPr>
          <w:rFonts w:eastAsiaTheme="minorEastAsia"/>
          <w:noProof/>
          <w:lang w:eastAsia="ru-RU"/>
        </w:rPr>
      </w:pPr>
      <w:hyperlink w:anchor="_Toc139366855" w:history="1">
        <w:r w:rsidR="00007FC4" w:rsidRPr="00007FC4">
          <w:rPr>
            <w:rStyle w:val="Hyperlink"/>
            <w:noProof/>
          </w:rPr>
          <w:t xml:space="preserve">3.2.4. </w:t>
        </w:r>
        <w:r w:rsidR="00007FC4" w:rsidRPr="00007FC4">
          <w:rPr>
            <w:rStyle w:val="Hyperlink"/>
            <w:bCs/>
            <w:noProof/>
          </w:rPr>
          <w:t>Метаболизм</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_Toc139366855 \h </w:instrText>
        </w:r>
        <w:r w:rsidR="00007FC4" w:rsidRPr="00007FC4">
          <w:rPr>
            <w:noProof/>
            <w:webHidden/>
          </w:rPr>
        </w:r>
        <w:r w:rsidR="00007FC4" w:rsidRPr="00007FC4">
          <w:rPr>
            <w:noProof/>
            <w:webHidden/>
          </w:rPr>
          <w:fldChar w:fldCharType="separate"/>
        </w:r>
        <w:r w:rsidR="00007FC4">
          <w:rPr>
            <w:noProof/>
            <w:webHidden/>
          </w:rPr>
          <w:t>57</w:t>
        </w:r>
        <w:r w:rsidR="00007FC4" w:rsidRPr="00007FC4">
          <w:rPr>
            <w:noProof/>
            <w:webHidden/>
          </w:rPr>
          <w:fldChar w:fldCharType="end"/>
        </w:r>
      </w:hyperlink>
    </w:p>
    <w:p w14:paraId="7D0DF1D1" w14:textId="09EC3668" w:rsidR="00007FC4" w:rsidRPr="00007FC4" w:rsidRDefault="004276B7" w:rsidP="00007FC4">
      <w:pPr>
        <w:pStyle w:val="TOC3"/>
        <w:rPr>
          <w:rFonts w:eastAsiaTheme="minorEastAsia"/>
          <w:noProof/>
          <w:lang w:eastAsia="ru-RU"/>
        </w:rPr>
      </w:pPr>
      <w:hyperlink w:anchor="_Toc139366856" w:history="1">
        <w:r w:rsidR="00007FC4" w:rsidRPr="00007FC4">
          <w:rPr>
            <w:rStyle w:val="Hyperlink"/>
            <w:noProof/>
          </w:rPr>
          <w:t xml:space="preserve">3.2.5. </w:t>
        </w:r>
        <w:r w:rsidR="00007FC4" w:rsidRPr="00007FC4">
          <w:rPr>
            <w:rStyle w:val="Hyperlink"/>
            <w:bCs/>
            <w:noProof/>
          </w:rPr>
          <w:t>Выведение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_Toc139366856 \h </w:instrText>
        </w:r>
        <w:r w:rsidR="00007FC4" w:rsidRPr="00007FC4">
          <w:rPr>
            <w:noProof/>
            <w:webHidden/>
          </w:rPr>
        </w:r>
        <w:r w:rsidR="00007FC4" w:rsidRPr="00007FC4">
          <w:rPr>
            <w:noProof/>
            <w:webHidden/>
          </w:rPr>
          <w:fldChar w:fldCharType="separate"/>
        </w:r>
        <w:r w:rsidR="00007FC4">
          <w:rPr>
            <w:noProof/>
            <w:webHidden/>
          </w:rPr>
          <w:t>59</w:t>
        </w:r>
        <w:r w:rsidR="00007FC4" w:rsidRPr="00007FC4">
          <w:rPr>
            <w:noProof/>
            <w:webHidden/>
          </w:rPr>
          <w:fldChar w:fldCharType="end"/>
        </w:r>
      </w:hyperlink>
    </w:p>
    <w:p w14:paraId="1B02C79A" w14:textId="201D19ED" w:rsidR="00007FC4" w:rsidRPr="00007FC4" w:rsidRDefault="004276B7" w:rsidP="00007FC4">
      <w:pPr>
        <w:pStyle w:val="TOC3"/>
        <w:rPr>
          <w:rFonts w:eastAsiaTheme="minorEastAsia"/>
          <w:noProof/>
          <w:lang w:eastAsia="ru-RU"/>
        </w:rPr>
      </w:pPr>
      <w:hyperlink w:anchor="_Toc139366857" w:history="1">
        <w:r w:rsidR="00007FC4" w:rsidRPr="00007FC4">
          <w:rPr>
            <w:rStyle w:val="Hyperlink"/>
            <w:noProof/>
          </w:rPr>
          <w:t xml:space="preserve">3.2.6. </w:t>
        </w:r>
        <w:r w:rsidR="00007FC4" w:rsidRPr="00007FC4">
          <w:rPr>
            <w:rStyle w:val="Hyperlink"/>
            <w:bCs/>
            <w:noProof/>
          </w:rPr>
          <w:t>Фармакокинетические лекарственные взаимодействия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_Toc139366857 \h </w:instrText>
        </w:r>
        <w:r w:rsidR="00007FC4" w:rsidRPr="00007FC4">
          <w:rPr>
            <w:noProof/>
            <w:webHidden/>
          </w:rPr>
        </w:r>
        <w:r w:rsidR="00007FC4" w:rsidRPr="00007FC4">
          <w:rPr>
            <w:noProof/>
            <w:webHidden/>
          </w:rPr>
          <w:fldChar w:fldCharType="separate"/>
        </w:r>
        <w:r w:rsidR="00007FC4">
          <w:rPr>
            <w:noProof/>
            <w:webHidden/>
          </w:rPr>
          <w:t>60</w:t>
        </w:r>
        <w:r w:rsidR="00007FC4" w:rsidRPr="00007FC4">
          <w:rPr>
            <w:noProof/>
            <w:webHidden/>
          </w:rPr>
          <w:fldChar w:fldCharType="end"/>
        </w:r>
      </w:hyperlink>
    </w:p>
    <w:p w14:paraId="54B02F58" w14:textId="7F6E9A6E" w:rsidR="00007FC4" w:rsidRPr="00007FC4" w:rsidRDefault="004276B7" w:rsidP="00007FC4">
      <w:pPr>
        <w:pStyle w:val="TOC2"/>
        <w:rPr>
          <w:rFonts w:eastAsiaTheme="minorEastAsia"/>
          <w:noProof/>
          <w:lang w:eastAsia="ru-RU"/>
        </w:rPr>
      </w:pPr>
      <w:hyperlink w:anchor="_Toc139366858" w:history="1">
        <w:r w:rsidR="00007FC4" w:rsidRPr="00007FC4">
          <w:rPr>
            <w:rStyle w:val="Hyperlink"/>
            <w:noProof/>
          </w:rPr>
          <w:t>3.3. Токсикологические исследования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_Toc139366858 \h </w:instrText>
        </w:r>
        <w:r w:rsidR="00007FC4" w:rsidRPr="00007FC4">
          <w:rPr>
            <w:noProof/>
            <w:webHidden/>
          </w:rPr>
        </w:r>
        <w:r w:rsidR="00007FC4" w:rsidRPr="00007FC4">
          <w:rPr>
            <w:noProof/>
            <w:webHidden/>
          </w:rPr>
          <w:fldChar w:fldCharType="separate"/>
        </w:r>
        <w:r w:rsidR="00007FC4">
          <w:rPr>
            <w:noProof/>
            <w:webHidden/>
          </w:rPr>
          <w:t>61</w:t>
        </w:r>
        <w:r w:rsidR="00007FC4" w:rsidRPr="00007FC4">
          <w:rPr>
            <w:noProof/>
            <w:webHidden/>
          </w:rPr>
          <w:fldChar w:fldCharType="end"/>
        </w:r>
      </w:hyperlink>
    </w:p>
    <w:p w14:paraId="061518FE" w14:textId="6FEB1C50" w:rsidR="00007FC4" w:rsidRPr="00007FC4" w:rsidRDefault="004276B7" w:rsidP="00007FC4">
      <w:pPr>
        <w:pStyle w:val="TOC3"/>
        <w:rPr>
          <w:rFonts w:eastAsiaTheme="minorEastAsia"/>
          <w:noProof/>
          <w:lang w:eastAsia="ru-RU"/>
        </w:rPr>
      </w:pPr>
      <w:hyperlink w:anchor="_Toc139366859" w:history="1">
        <w:r w:rsidR="00007FC4" w:rsidRPr="00007FC4">
          <w:rPr>
            <w:rStyle w:val="Hyperlink"/>
            <w:noProof/>
          </w:rPr>
          <w:t>3.3.1. Токсичность при однократном введении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_Toc139366859 \h </w:instrText>
        </w:r>
        <w:r w:rsidR="00007FC4" w:rsidRPr="00007FC4">
          <w:rPr>
            <w:noProof/>
            <w:webHidden/>
          </w:rPr>
        </w:r>
        <w:r w:rsidR="00007FC4" w:rsidRPr="00007FC4">
          <w:rPr>
            <w:noProof/>
            <w:webHidden/>
          </w:rPr>
          <w:fldChar w:fldCharType="separate"/>
        </w:r>
        <w:r w:rsidR="00007FC4">
          <w:rPr>
            <w:noProof/>
            <w:webHidden/>
          </w:rPr>
          <w:t>62</w:t>
        </w:r>
        <w:r w:rsidR="00007FC4" w:rsidRPr="00007FC4">
          <w:rPr>
            <w:noProof/>
            <w:webHidden/>
          </w:rPr>
          <w:fldChar w:fldCharType="end"/>
        </w:r>
      </w:hyperlink>
    </w:p>
    <w:p w14:paraId="726C6977" w14:textId="7F710DDC" w:rsidR="00007FC4" w:rsidRPr="00007FC4" w:rsidRDefault="004276B7" w:rsidP="00007FC4">
      <w:pPr>
        <w:pStyle w:val="TOC3"/>
        <w:rPr>
          <w:rFonts w:eastAsiaTheme="minorEastAsia"/>
          <w:noProof/>
          <w:lang w:eastAsia="ru-RU"/>
        </w:rPr>
      </w:pPr>
      <w:hyperlink w:anchor="_Toc139366860" w:history="1">
        <w:r w:rsidR="00007FC4" w:rsidRPr="00007FC4">
          <w:rPr>
            <w:rStyle w:val="Hyperlink"/>
            <w:noProof/>
          </w:rPr>
          <w:t>3.3.2. Токсичность при многократном введении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_Toc139366860 \h </w:instrText>
        </w:r>
        <w:r w:rsidR="00007FC4" w:rsidRPr="00007FC4">
          <w:rPr>
            <w:noProof/>
            <w:webHidden/>
          </w:rPr>
        </w:r>
        <w:r w:rsidR="00007FC4" w:rsidRPr="00007FC4">
          <w:rPr>
            <w:noProof/>
            <w:webHidden/>
          </w:rPr>
          <w:fldChar w:fldCharType="separate"/>
        </w:r>
        <w:r w:rsidR="00007FC4">
          <w:rPr>
            <w:noProof/>
            <w:webHidden/>
          </w:rPr>
          <w:t>63</w:t>
        </w:r>
        <w:r w:rsidR="00007FC4" w:rsidRPr="00007FC4">
          <w:rPr>
            <w:noProof/>
            <w:webHidden/>
          </w:rPr>
          <w:fldChar w:fldCharType="end"/>
        </w:r>
      </w:hyperlink>
    </w:p>
    <w:p w14:paraId="4416E5FA" w14:textId="04BAA3EE" w:rsidR="00007FC4" w:rsidRPr="00007FC4" w:rsidRDefault="004276B7" w:rsidP="00007FC4">
      <w:pPr>
        <w:pStyle w:val="TOC3"/>
        <w:rPr>
          <w:rFonts w:eastAsiaTheme="minorEastAsia"/>
          <w:noProof/>
          <w:lang w:eastAsia="ru-RU"/>
        </w:rPr>
      </w:pPr>
      <w:hyperlink w:anchor="_Toc139366861" w:history="1">
        <w:r w:rsidR="00007FC4" w:rsidRPr="00007FC4">
          <w:rPr>
            <w:rStyle w:val="Hyperlink"/>
            <w:noProof/>
          </w:rPr>
          <w:t xml:space="preserve">3.3.3. </w:t>
        </w:r>
        <w:r w:rsidR="00007FC4" w:rsidRPr="00007FC4">
          <w:rPr>
            <w:rStyle w:val="Hyperlink"/>
            <w:rFonts w:eastAsia="Calibri"/>
            <w:noProof/>
            <w:shd w:val="clear" w:color="auto" w:fill="FFFFFF"/>
          </w:rPr>
          <w:t>Генотоксичность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_Toc139366861 \h </w:instrText>
        </w:r>
        <w:r w:rsidR="00007FC4" w:rsidRPr="00007FC4">
          <w:rPr>
            <w:noProof/>
            <w:webHidden/>
          </w:rPr>
        </w:r>
        <w:r w:rsidR="00007FC4" w:rsidRPr="00007FC4">
          <w:rPr>
            <w:noProof/>
            <w:webHidden/>
          </w:rPr>
          <w:fldChar w:fldCharType="separate"/>
        </w:r>
        <w:r w:rsidR="00007FC4">
          <w:rPr>
            <w:noProof/>
            <w:webHidden/>
          </w:rPr>
          <w:t>63</w:t>
        </w:r>
        <w:r w:rsidR="00007FC4" w:rsidRPr="00007FC4">
          <w:rPr>
            <w:noProof/>
            <w:webHidden/>
          </w:rPr>
          <w:fldChar w:fldCharType="end"/>
        </w:r>
      </w:hyperlink>
    </w:p>
    <w:p w14:paraId="3D818974" w14:textId="44A5CD10" w:rsidR="00007FC4" w:rsidRPr="00007FC4" w:rsidRDefault="004276B7" w:rsidP="00007FC4">
      <w:pPr>
        <w:pStyle w:val="TOC3"/>
        <w:rPr>
          <w:rFonts w:eastAsiaTheme="minorEastAsia"/>
          <w:noProof/>
          <w:lang w:eastAsia="ru-RU"/>
        </w:rPr>
      </w:pPr>
      <w:hyperlink w:anchor="_Toc139366862" w:history="1">
        <w:r w:rsidR="00007FC4" w:rsidRPr="00007FC4">
          <w:rPr>
            <w:rStyle w:val="Hyperlink"/>
            <w:noProof/>
          </w:rPr>
          <w:t>3.3.4. Канцерогенность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_Toc139366862 \h </w:instrText>
        </w:r>
        <w:r w:rsidR="00007FC4" w:rsidRPr="00007FC4">
          <w:rPr>
            <w:noProof/>
            <w:webHidden/>
          </w:rPr>
        </w:r>
        <w:r w:rsidR="00007FC4" w:rsidRPr="00007FC4">
          <w:rPr>
            <w:noProof/>
            <w:webHidden/>
          </w:rPr>
          <w:fldChar w:fldCharType="separate"/>
        </w:r>
        <w:r w:rsidR="00007FC4">
          <w:rPr>
            <w:noProof/>
            <w:webHidden/>
          </w:rPr>
          <w:t>63</w:t>
        </w:r>
        <w:r w:rsidR="00007FC4" w:rsidRPr="00007FC4">
          <w:rPr>
            <w:noProof/>
            <w:webHidden/>
          </w:rPr>
          <w:fldChar w:fldCharType="end"/>
        </w:r>
      </w:hyperlink>
    </w:p>
    <w:p w14:paraId="2D82F49E" w14:textId="730CA1CC" w:rsidR="00007FC4" w:rsidRPr="00007FC4" w:rsidRDefault="004276B7" w:rsidP="00007FC4">
      <w:pPr>
        <w:pStyle w:val="TOC3"/>
        <w:rPr>
          <w:rFonts w:eastAsiaTheme="minorEastAsia"/>
          <w:noProof/>
          <w:lang w:eastAsia="ru-RU"/>
        </w:rPr>
      </w:pPr>
      <w:hyperlink w:anchor="_Toc139366863" w:history="1">
        <w:r w:rsidR="00007FC4" w:rsidRPr="00007FC4">
          <w:rPr>
            <w:rStyle w:val="Hyperlink"/>
            <w:noProof/>
          </w:rPr>
          <w:t>3.3.5. Репродуктивная и онтогенетическая токсичность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_Toc139366863 \h </w:instrText>
        </w:r>
        <w:r w:rsidR="00007FC4" w:rsidRPr="00007FC4">
          <w:rPr>
            <w:noProof/>
            <w:webHidden/>
          </w:rPr>
        </w:r>
        <w:r w:rsidR="00007FC4" w:rsidRPr="00007FC4">
          <w:rPr>
            <w:noProof/>
            <w:webHidden/>
          </w:rPr>
          <w:fldChar w:fldCharType="separate"/>
        </w:r>
        <w:r w:rsidR="00007FC4">
          <w:rPr>
            <w:noProof/>
            <w:webHidden/>
          </w:rPr>
          <w:t>64</w:t>
        </w:r>
        <w:r w:rsidR="00007FC4" w:rsidRPr="00007FC4">
          <w:rPr>
            <w:noProof/>
            <w:webHidden/>
          </w:rPr>
          <w:fldChar w:fldCharType="end"/>
        </w:r>
      </w:hyperlink>
    </w:p>
    <w:p w14:paraId="13EF2432" w14:textId="357203A4"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64" w:history="1">
        <w:r w:rsidR="00007FC4" w:rsidRPr="00007FC4">
          <w:rPr>
            <w:rStyle w:val="Hyperlink"/>
            <w:noProof/>
          </w:rPr>
          <w:t>3.3.5.1. Влияние на фертильность и ранняя эмбриональная токсичность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_Toc139366864 \h </w:instrText>
        </w:r>
        <w:r w:rsidR="00007FC4" w:rsidRPr="00007FC4">
          <w:rPr>
            <w:noProof/>
            <w:webHidden/>
          </w:rPr>
        </w:r>
        <w:r w:rsidR="00007FC4" w:rsidRPr="00007FC4">
          <w:rPr>
            <w:noProof/>
            <w:webHidden/>
          </w:rPr>
          <w:fldChar w:fldCharType="separate"/>
        </w:r>
        <w:r w:rsidR="00007FC4">
          <w:rPr>
            <w:noProof/>
            <w:webHidden/>
          </w:rPr>
          <w:t>64</w:t>
        </w:r>
        <w:r w:rsidR="00007FC4" w:rsidRPr="00007FC4">
          <w:rPr>
            <w:noProof/>
            <w:webHidden/>
          </w:rPr>
          <w:fldChar w:fldCharType="end"/>
        </w:r>
      </w:hyperlink>
    </w:p>
    <w:p w14:paraId="584C60FD" w14:textId="621B1705"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65" w:history="1">
        <w:r w:rsidR="00007FC4" w:rsidRPr="00007FC4">
          <w:rPr>
            <w:rStyle w:val="Hyperlink"/>
            <w:noProof/>
          </w:rPr>
          <w:t>3.3.5.2. Эмбрио-фетальная токсичность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_Toc139366865 \h </w:instrText>
        </w:r>
        <w:r w:rsidR="00007FC4" w:rsidRPr="00007FC4">
          <w:rPr>
            <w:noProof/>
            <w:webHidden/>
          </w:rPr>
        </w:r>
        <w:r w:rsidR="00007FC4" w:rsidRPr="00007FC4">
          <w:rPr>
            <w:noProof/>
            <w:webHidden/>
          </w:rPr>
          <w:fldChar w:fldCharType="separate"/>
        </w:r>
        <w:r w:rsidR="00007FC4">
          <w:rPr>
            <w:noProof/>
            <w:webHidden/>
          </w:rPr>
          <w:t>64</w:t>
        </w:r>
        <w:r w:rsidR="00007FC4" w:rsidRPr="00007FC4">
          <w:rPr>
            <w:noProof/>
            <w:webHidden/>
          </w:rPr>
          <w:fldChar w:fldCharType="end"/>
        </w:r>
      </w:hyperlink>
    </w:p>
    <w:p w14:paraId="0531A70D" w14:textId="27933A19"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66" w:history="1">
        <w:r w:rsidR="00007FC4" w:rsidRPr="00007FC4">
          <w:rPr>
            <w:rStyle w:val="Hyperlink"/>
            <w:noProof/>
          </w:rPr>
          <w:t>3.3.5.3. Влияние на пренатальное и постнатальное развитие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_Toc139366866 \h </w:instrText>
        </w:r>
        <w:r w:rsidR="00007FC4" w:rsidRPr="00007FC4">
          <w:rPr>
            <w:noProof/>
            <w:webHidden/>
          </w:rPr>
        </w:r>
        <w:r w:rsidR="00007FC4" w:rsidRPr="00007FC4">
          <w:rPr>
            <w:noProof/>
            <w:webHidden/>
          </w:rPr>
          <w:fldChar w:fldCharType="separate"/>
        </w:r>
        <w:r w:rsidR="00007FC4">
          <w:rPr>
            <w:noProof/>
            <w:webHidden/>
          </w:rPr>
          <w:t>65</w:t>
        </w:r>
        <w:r w:rsidR="00007FC4" w:rsidRPr="00007FC4">
          <w:rPr>
            <w:noProof/>
            <w:webHidden/>
          </w:rPr>
          <w:fldChar w:fldCharType="end"/>
        </w:r>
      </w:hyperlink>
    </w:p>
    <w:p w14:paraId="5CE248BB" w14:textId="6CEDA28C"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67" w:history="1">
        <w:r w:rsidR="00007FC4" w:rsidRPr="00007FC4">
          <w:rPr>
            <w:rStyle w:val="Hyperlink"/>
            <w:noProof/>
          </w:rPr>
          <w:t>3.3.5.4. Ювенильная токсичность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_Toc139366867 \h </w:instrText>
        </w:r>
        <w:r w:rsidR="00007FC4" w:rsidRPr="00007FC4">
          <w:rPr>
            <w:noProof/>
            <w:webHidden/>
          </w:rPr>
        </w:r>
        <w:r w:rsidR="00007FC4" w:rsidRPr="00007FC4">
          <w:rPr>
            <w:noProof/>
            <w:webHidden/>
          </w:rPr>
          <w:fldChar w:fldCharType="separate"/>
        </w:r>
        <w:r w:rsidR="00007FC4">
          <w:rPr>
            <w:noProof/>
            <w:webHidden/>
          </w:rPr>
          <w:t>65</w:t>
        </w:r>
        <w:r w:rsidR="00007FC4" w:rsidRPr="00007FC4">
          <w:rPr>
            <w:noProof/>
            <w:webHidden/>
          </w:rPr>
          <w:fldChar w:fldCharType="end"/>
        </w:r>
      </w:hyperlink>
    </w:p>
    <w:p w14:paraId="700D11CF" w14:textId="55BDE53B" w:rsidR="00007FC4" w:rsidRPr="00007FC4" w:rsidRDefault="004276B7" w:rsidP="00007FC4">
      <w:pPr>
        <w:pStyle w:val="TOC3"/>
        <w:rPr>
          <w:rFonts w:eastAsiaTheme="minorEastAsia"/>
          <w:noProof/>
          <w:lang w:eastAsia="ru-RU"/>
        </w:rPr>
      </w:pPr>
      <w:hyperlink w:anchor="_Toc139366868" w:history="1">
        <w:r w:rsidR="00007FC4" w:rsidRPr="00007FC4">
          <w:rPr>
            <w:rStyle w:val="Hyperlink"/>
            <w:noProof/>
          </w:rPr>
          <w:t>3.3.6. Местная переносимость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_Toc139366868 \h </w:instrText>
        </w:r>
        <w:r w:rsidR="00007FC4" w:rsidRPr="00007FC4">
          <w:rPr>
            <w:noProof/>
            <w:webHidden/>
          </w:rPr>
        </w:r>
        <w:r w:rsidR="00007FC4" w:rsidRPr="00007FC4">
          <w:rPr>
            <w:noProof/>
            <w:webHidden/>
          </w:rPr>
          <w:fldChar w:fldCharType="separate"/>
        </w:r>
        <w:r w:rsidR="00007FC4">
          <w:rPr>
            <w:noProof/>
            <w:webHidden/>
          </w:rPr>
          <w:t>65</w:t>
        </w:r>
        <w:r w:rsidR="00007FC4" w:rsidRPr="00007FC4">
          <w:rPr>
            <w:noProof/>
            <w:webHidden/>
          </w:rPr>
          <w:fldChar w:fldCharType="end"/>
        </w:r>
      </w:hyperlink>
    </w:p>
    <w:p w14:paraId="40713746" w14:textId="0D6D7ACE" w:rsidR="00007FC4" w:rsidRPr="00007FC4" w:rsidRDefault="004276B7" w:rsidP="00007FC4">
      <w:pPr>
        <w:pStyle w:val="TOC3"/>
        <w:rPr>
          <w:rFonts w:eastAsiaTheme="minorEastAsia"/>
          <w:noProof/>
          <w:lang w:eastAsia="ru-RU"/>
        </w:rPr>
      </w:pPr>
      <w:hyperlink w:anchor="_Toc139366869" w:history="1">
        <w:r w:rsidR="00007FC4" w:rsidRPr="00007FC4">
          <w:rPr>
            <w:rStyle w:val="Hyperlink"/>
            <w:noProof/>
          </w:rPr>
          <w:t>3.3.7. Токсикокинетика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_Toc139366869 \h </w:instrText>
        </w:r>
        <w:r w:rsidR="00007FC4" w:rsidRPr="00007FC4">
          <w:rPr>
            <w:noProof/>
            <w:webHidden/>
          </w:rPr>
        </w:r>
        <w:r w:rsidR="00007FC4" w:rsidRPr="00007FC4">
          <w:rPr>
            <w:noProof/>
            <w:webHidden/>
          </w:rPr>
          <w:fldChar w:fldCharType="separate"/>
        </w:r>
        <w:r w:rsidR="00007FC4">
          <w:rPr>
            <w:noProof/>
            <w:webHidden/>
          </w:rPr>
          <w:t>66</w:t>
        </w:r>
        <w:r w:rsidR="00007FC4" w:rsidRPr="00007FC4">
          <w:rPr>
            <w:noProof/>
            <w:webHidden/>
          </w:rPr>
          <w:fldChar w:fldCharType="end"/>
        </w:r>
      </w:hyperlink>
    </w:p>
    <w:p w14:paraId="526242AF" w14:textId="58AD7F8E" w:rsidR="00007FC4" w:rsidRPr="00007FC4" w:rsidRDefault="004276B7" w:rsidP="00007FC4">
      <w:pPr>
        <w:pStyle w:val="TOC3"/>
        <w:rPr>
          <w:rFonts w:eastAsiaTheme="minorEastAsia"/>
          <w:noProof/>
          <w:lang w:eastAsia="ru-RU"/>
        </w:rPr>
      </w:pPr>
      <w:hyperlink w:anchor="_Toc139366870" w:history="1">
        <w:r w:rsidR="00007FC4" w:rsidRPr="00007FC4">
          <w:rPr>
            <w:rStyle w:val="Hyperlink"/>
            <w:noProof/>
          </w:rPr>
          <w:t>3.3.8. Прочие исследования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_Toc139366870 \h </w:instrText>
        </w:r>
        <w:r w:rsidR="00007FC4" w:rsidRPr="00007FC4">
          <w:rPr>
            <w:noProof/>
            <w:webHidden/>
          </w:rPr>
        </w:r>
        <w:r w:rsidR="00007FC4" w:rsidRPr="00007FC4">
          <w:rPr>
            <w:noProof/>
            <w:webHidden/>
          </w:rPr>
          <w:fldChar w:fldCharType="separate"/>
        </w:r>
        <w:r w:rsidR="00007FC4">
          <w:rPr>
            <w:noProof/>
            <w:webHidden/>
          </w:rPr>
          <w:t>68</w:t>
        </w:r>
        <w:r w:rsidR="00007FC4" w:rsidRPr="00007FC4">
          <w:rPr>
            <w:noProof/>
            <w:webHidden/>
          </w:rPr>
          <w:fldChar w:fldCharType="end"/>
        </w:r>
      </w:hyperlink>
    </w:p>
    <w:p w14:paraId="1EA50DA4" w14:textId="03D16852"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71" w:history="1">
        <w:r w:rsidR="00007FC4" w:rsidRPr="00007FC4">
          <w:rPr>
            <w:rStyle w:val="Hyperlink"/>
            <w:noProof/>
          </w:rPr>
          <w:t>3.3.8.1. Токсичность метаболитов</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_Toc139366871 \h </w:instrText>
        </w:r>
        <w:r w:rsidR="00007FC4" w:rsidRPr="00007FC4">
          <w:rPr>
            <w:noProof/>
            <w:webHidden/>
          </w:rPr>
        </w:r>
        <w:r w:rsidR="00007FC4" w:rsidRPr="00007FC4">
          <w:rPr>
            <w:noProof/>
            <w:webHidden/>
          </w:rPr>
          <w:fldChar w:fldCharType="separate"/>
        </w:r>
        <w:r w:rsidR="00007FC4">
          <w:rPr>
            <w:noProof/>
            <w:webHidden/>
          </w:rPr>
          <w:t>68</w:t>
        </w:r>
        <w:r w:rsidR="00007FC4" w:rsidRPr="00007FC4">
          <w:rPr>
            <w:noProof/>
            <w:webHidden/>
          </w:rPr>
          <w:fldChar w:fldCharType="end"/>
        </w:r>
      </w:hyperlink>
    </w:p>
    <w:p w14:paraId="3D090CCB" w14:textId="57FD299E"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72" w:history="1">
        <w:r w:rsidR="00007FC4" w:rsidRPr="00007FC4">
          <w:rPr>
            <w:rStyle w:val="Hyperlink"/>
            <w:noProof/>
          </w:rPr>
          <w:t>3.3.8.2. Токсичность примесей</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_Toc139366872 \h </w:instrText>
        </w:r>
        <w:r w:rsidR="00007FC4" w:rsidRPr="00007FC4">
          <w:rPr>
            <w:noProof/>
            <w:webHidden/>
          </w:rPr>
        </w:r>
        <w:r w:rsidR="00007FC4" w:rsidRPr="00007FC4">
          <w:rPr>
            <w:noProof/>
            <w:webHidden/>
          </w:rPr>
          <w:fldChar w:fldCharType="separate"/>
        </w:r>
        <w:r w:rsidR="00007FC4">
          <w:rPr>
            <w:noProof/>
            <w:webHidden/>
          </w:rPr>
          <w:t>68</w:t>
        </w:r>
        <w:r w:rsidR="00007FC4" w:rsidRPr="00007FC4">
          <w:rPr>
            <w:noProof/>
            <w:webHidden/>
          </w:rPr>
          <w:fldChar w:fldCharType="end"/>
        </w:r>
      </w:hyperlink>
    </w:p>
    <w:p w14:paraId="1F3C94C6" w14:textId="7A1B530D" w:rsidR="00007FC4" w:rsidRPr="00007FC4" w:rsidRDefault="004276B7" w:rsidP="00007FC4">
      <w:pPr>
        <w:pStyle w:val="TOC2"/>
        <w:rPr>
          <w:rFonts w:eastAsiaTheme="minorEastAsia"/>
          <w:noProof/>
          <w:lang w:eastAsia="ru-RU"/>
        </w:rPr>
      </w:pPr>
      <w:hyperlink w:anchor="_Toc139366873" w:history="1">
        <w:r w:rsidR="00007FC4" w:rsidRPr="00007FC4">
          <w:rPr>
            <w:rStyle w:val="Hyperlink"/>
            <w:noProof/>
          </w:rPr>
          <w:t>Список литературы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_Toc139366873 \h </w:instrText>
        </w:r>
        <w:r w:rsidR="00007FC4" w:rsidRPr="00007FC4">
          <w:rPr>
            <w:noProof/>
            <w:webHidden/>
          </w:rPr>
        </w:r>
        <w:r w:rsidR="00007FC4" w:rsidRPr="00007FC4">
          <w:rPr>
            <w:noProof/>
            <w:webHidden/>
          </w:rPr>
          <w:fldChar w:fldCharType="separate"/>
        </w:r>
        <w:r w:rsidR="00007FC4">
          <w:rPr>
            <w:noProof/>
            <w:webHidden/>
          </w:rPr>
          <w:t>68</w:t>
        </w:r>
        <w:r w:rsidR="00007FC4" w:rsidRPr="00007FC4">
          <w:rPr>
            <w:noProof/>
            <w:webHidden/>
          </w:rPr>
          <w:fldChar w:fldCharType="end"/>
        </w:r>
      </w:hyperlink>
    </w:p>
    <w:p w14:paraId="72243F47" w14:textId="1CF29121" w:rsidR="00007FC4" w:rsidRPr="00007FC4" w:rsidRDefault="004276B7" w:rsidP="00007FC4">
      <w:pPr>
        <w:pStyle w:val="TOC1"/>
        <w:rPr>
          <w:rFonts w:eastAsiaTheme="minorEastAsia"/>
          <w:noProof/>
          <w:lang w:eastAsia="ru-RU"/>
        </w:rPr>
      </w:pPr>
      <w:hyperlink w:anchor="_Toc139366874" w:history="1">
        <w:r w:rsidR="00007FC4" w:rsidRPr="00007FC4">
          <w:rPr>
            <w:rStyle w:val="Hyperlink"/>
            <w:noProof/>
          </w:rPr>
          <w:t>4. ДЕЙСТВИЕ У ЧЕЛОВЕКА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_Toc139366874 \h </w:instrText>
        </w:r>
        <w:r w:rsidR="00007FC4" w:rsidRPr="00007FC4">
          <w:rPr>
            <w:noProof/>
            <w:webHidden/>
          </w:rPr>
        </w:r>
        <w:r w:rsidR="00007FC4" w:rsidRPr="00007FC4">
          <w:rPr>
            <w:noProof/>
            <w:webHidden/>
          </w:rPr>
          <w:fldChar w:fldCharType="separate"/>
        </w:r>
        <w:r w:rsidR="00007FC4">
          <w:rPr>
            <w:noProof/>
            <w:webHidden/>
          </w:rPr>
          <w:t>73</w:t>
        </w:r>
        <w:r w:rsidR="00007FC4" w:rsidRPr="00007FC4">
          <w:rPr>
            <w:noProof/>
            <w:webHidden/>
          </w:rPr>
          <w:fldChar w:fldCharType="end"/>
        </w:r>
      </w:hyperlink>
    </w:p>
    <w:p w14:paraId="739C6E57" w14:textId="0D55931B" w:rsidR="00007FC4" w:rsidRPr="00007FC4" w:rsidRDefault="004276B7" w:rsidP="00007FC4">
      <w:pPr>
        <w:pStyle w:val="TOC2"/>
        <w:rPr>
          <w:rFonts w:eastAsiaTheme="minorEastAsia"/>
          <w:noProof/>
          <w:lang w:eastAsia="ru-RU"/>
        </w:rPr>
      </w:pPr>
      <w:hyperlink w:anchor="_Toc139366875" w:history="1">
        <w:r w:rsidR="00007FC4" w:rsidRPr="00007FC4">
          <w:rPr>
            <w:rStyle w:val="Hyperlink"/>
            <w:noProof/>
          </w:rPr>
          <w:t>Введение и резюме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_Toc139366875 \h </w:instrText>
        </w:r>
        <w:r w:rsidR="00007FC4" w:rsidRPr="00007FC4">
          <w:rPr>
            <w:noProof/>
            <w:webHidden/>
          </w:rPr>
        </w:r>
        <w:r w:rsidR="00007FC4" w:rsidRPr="00007FC4">
          <w:rPr>
            <w:noProof/>
            <w:webHidden/>
          </w:rPr>
          <w:fldChar w:fldCharType="separate"/>
        </w:r>
        <w:r w:rsidR="00007FC4">
          <w:rPr>
            <w:noProof/>
            <w:webHidden/>
          </w:rPr>
          <w:t>73</w:t>
        </w:r>
        <w:r w:rsidR="00007FC4" w:rsidRPr="00007FC4">
          <w:rPr>
            <w:noProof/>
            <w:webHidden/>
          </w:rPr>
          <w:fldChar w:fldCharType="end"/>
        </w:r>
      </w:hyperlink>
    </w:p>
    <w:p w14:paraId="53420101" w14:textId="3E2D7C7A" w:rsidR="00007FC4" w:rsidRPr="00007FC4" w:rsidRDefault="004276B7" w:rsidP="00007FC4">
      <w:pPr>
        <w:pStyle w:val="TOC2"/>
        <w:rPr>
          <w:rFonts w:eastAsiaTheme="minorEastAsia"/>
          <w:noProof/>
          <w:lang w:eastAsia="ru-RU"/>
        </w:rPr>
      </w:pPr>
      <w:hyperlink w:anchor="_Toc139366876" w:history="1">
        <w:r w:rsidR="00007FC4" w:rsidRPr="00007FC4">
          <w:rPr>
            <w:rStyle w:val="Hyperlink"/>
            <w:noProof/>
          </w:rPr>
          <w:t>4.1. Фармакокинетика у человека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_Toc139366876 \h </w:instrText>
        </w:r>
        <w:r w:rsidR="00007FC4" w:rsidRPr="00007FC4">
          <w:rPr>
            <w:noProof/>
            <w:webHidden/>
          </w:rPr>
        </w:r>
        <w:r w:rsidR="00007FC4" w:rsidRPr="00007FC4">
          <w:rPr>
            <w:noProof/>
            <w:webHidden/>
          </w:rPr>
          <w:fldChar w:fldCharType="separate"/>
        </w:r>
        <w:r w:rsidR="00007FC4">
          <w:rPr>
            <w:noProof/>
            <w:webHidden/>
          </w:rPr>
          <w:t>74</w:t>
        </w:r>
        <w:r w:rsidR="00007FC4" w:rsidRPr="00007FC4">
          <w:rPr>
            <w:noProof/>
            <w:webHidden/>
          </w:rPr>
          <w:fldChar w:fldCharType="end"/>
        </w:r>
      </w:hyperlink>
    </w:p>
    <w:p w14:paraId="262D77E1" w14:textId="7FCD3FC2" w:rsidR="00007FC4" w:rsidRPr="00007FC4" w:rsidRDefault="004276B7" w:rsidP="00007FC4">
      <w:pPr>
        <w:pStyle w:val="TOC3"/>
        <w:rPr>
          <w:rFonts w:eastAsiaTheme="minorEastAsia"/>
          <w:noProof/>
          <w:lang w:eastAsia="ru-RU"/>
        </w:rPr>
      </w:pPr>
      <w:hyperlink w:anchor="_Toc139366877" w:history="1">
        <w:r w:rsidR="00007FC4" w:rsidRPr="00007FC4">
          <w:rPr>
            <w:rStyle w:val="Hyperlink"/>
            <w:noProof/>
          </w:rPr>
          <w:t>4.1.1. Всасывание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_Toc139366877 \h </w:instrText>
        </w:r>
        <w:r w:rsidR="00007FC4" w:rsidRPr="00007FC4">
          <w:rPr>
            <w:noProof/>
            <w:webHidden/>
          </w:rPr>
        </w:r>
        <w:r w:rsidR="00007FC4" w:rsidRPr="00007FC4">
          <w:rPr>
            <w:noProof/>
            <w:webHidden/>
          </w:rPr>
          <w:fldChar w:fldCharType="separate"/>
        </w:r>
        <w:r w:rsidR="00007FC4">
          <w:rPr>
            <w:noProof/>
            <w:webHidden/>
          </w:rPr>
          <w:t>74</w:t>
        </w:r>
        <w:r w:rsidR="00007FC4" w:rsidRPr="00007FC4">
          <w:rPr>
            <w:noProof/>
            <w:webHidden/>
          </w:rPr>
          <w:fldChar w:fldCharType="end"/>
        </w:r>
      </w:hyperlink>
    </w:p>
    <w:p w14:paraId="395CB786" w14:textId="1AD00E6C" w:rsidR="00007FC4" w:rsidRPr="00007FC4" w:rsidRDefault="004276B7" w:rsidP="00007FC4">
      <w:pPr>
        <w:pStyle w:val="TOC3"/>
        <w:rPr>
          <w:rFonts w:eastAsiaTheme="minorEastAsia"/>
          <w:noProof/>
          <w:lang w:eastAsia="ru-RU"/>
        </w:rPr>
      </w:pPr>
      <w:hyperlink w:anchor="_Toc139366878" w:history="1">
        <w:r w:rsidR="00007FC4" w:rsidRPr="00007FC4">
          <w:rPr>
            <w:rStyle w:val="Hyperlink"/>
            <w:noProof/>
          </w:rPr>
          <w:t>4.1.2. Распределение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_Toc139366878 \h </w:instrText>
        </w:r>
        <w:r w:rsidR="00007FC4" w:rsidRPr="00007FC4">
          <w:rPr>
            <w:noProof/>
            <w:webHidden/>
          </w:rPr>
        </w:r>
        <w:r w:rsidR="00007FC4" w:rsidRPr="00007FC4">
          <w:rPr>
            <w:noProof/>
            <w:webHidden/>
          </w:rPr>
          <w:fldChar w:fldCharType="separate"/>
        </w:r>
        <w:r w:rsidR="00007FC4">
          <w:rPr>
            <w:noProof/>
            <w:webHidden/>
          </w:rPr>
          <w:t>74</w:t>
        </w:r>
        <w:r w:rsidR="00007FC4" w:rsidRPr="00007FC4">
          <w:rPr>
            <w:noProof/>
            <w:webHidden/>
          </w:rPr>
          <w:fldChar w:fldCharType="end"/>
        </w:r>
      </w:hyperlink>
    </w:p>
    <w:p w14:paraId="34F95FC7" w14:textId="5B72746E" w:rsidR="00007FC4" w:rsidRPr="00007FC4" w:rsidRDefault="004276B7" w:rsidP="00007FC4">
      <w:pPr>
        <w:pStyle w:val="TOC3"/>
        <w:rPr>
          <w:rFonts w:eastAsiaTheme="minorEastAsia"/>
          <w:noProof/>
          <w:lang w:eastAsia="ru-RU"/>
        </w:rPr>
      </w:pPr>
      <w:hyperlink w:anchor="_Toc139366879" w:history="1">
        <w:r w:rsidR="00007FC4" w:rsidRPr="00007FC4">
          <w:rPr>
            <w:rStyle w:val="Hyperlink"/>
            <w:noProof/>
          </w:rPr>
          <w:t>4.1.3. Метаболизм</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_Toc139366879 \h </w:instrText>
        </w:r>
        <w:r w:rsidR="00007FC4" w:rsidRPr="00007FC4">
          <w:rPr>
            <w:noProof/>
            <w:webHidden/>
          </w:rPr>
        </w:r>
        <w:r w:rsidR="00007FC4" w:rsidRPr="00007FC4">
          <w:rPr>
            <w:noProof/>
            <w:webHidden/>
          </w:rPr>
          <w:fldChar w:fldCharType="separate"/>
        </w:r>
        <w:r w:rsidR="00007FC4">
          <w:rPr>
            <w:noProof/>
            <w:webHidden/>
          </w:rPr>
          <w:t>74</w:t>
        </w:r>
        <w:r w:rsidR="00007FC4" w:rsidRPr="00007FC4">
          <w:rPr>
            <w:noProof/>
            <w:webHidden/>
          </w:rPr>
          <w:fldChar w:fldCharType="end"/>
        </w:r>
      </w:hyperlink>
    </w:p>
    <w:p w14:paraId="5DDC35CD" w14:textId="27E9DF89" w:rsidR="00007FC4" w:rsidRPr="00007FC4" w:rsidRDefault="004276B7" w:rsidP="00007FC4">
      <w:pPr>
        <w:pStyle w:val="TOC3"/>
        <w:rPr>
          <w:rFonts w:eastAsiaTheme="minorEastAsia"/>
          <w:noProof/>
          <w:lang w:eastAsia="ru-RU"/>
        </w:rPr>
      </w:pPr>
      <w:hyperlink w:anchor="_Toc139366880" w:history="1">
        <w:r w:rsidR="00007FC4" w:rsidRPr="00007FC4">
          <w:rPr>
            <w:rStyle w:val="Hyperlink"/>
            <w:noProof/>
          </w:rPr>
          <w:t>4.1.4. Выведение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_Toc139366880 \h </w:instrText>
        </w:r>
        <w:r w:rsidR="00007FC4" w:rsidRPr="00007FC4">
          <w:rPr>
            <w:noProof/>
            <w:webHidden/>
          </w:rPr>
        </w:r>
        <w:r w:rsidR="00007FC4" w:rsidRPr="00007FC4">
          <w:rPr>
            <w:noProof/>
            <w:webHidden/>
          </w:rPr>
          <w:fldChar w:fldCharType="separate"/>
        </w:r>
        <w:r w:rsidR="00007FC4">
          <w:rPr>
            <w:noProof/>
            <w:webHidden/>
          </w:rPr>
          <w:t>74</w:t>
        </w:r>
        <w:r w:rsidR="00007FC4" w:rsidRPr="00007FC4">
          <w:rPr>
            <w:noProof/>
            <w:webHidden/>
          </w:rPr>
          <w:fldChar w:fldCharType="end"/>
        </w:r>
      </w:hyperlink>
    </w:p>
    <w:p w14:paraId="6408D183" w14:textId="47F6D3FF" w:rsidR="00007FC4" w:rsidRPr="00007FC4" w:rsidRDefault="004276B7" w:rsidP="00007FC4">
      <w:pPr>
        <w:pStyle w:val="TOC3"/>
        <w:rPr>
          <w:rFonts w:eastAsiaTheme="minorEastAsia"/>
          <w:noProof/>
          <w:lang w:eastAsia="ru-RU"/>
        </w:rPr>
      </w:pPr>
      <w:hyperlink w:anchor="_Toc139366881" w:history="1">
        <w:r w:rsidR="00007FC4" w:rsidRPr="00007FC4">
          <w:rPr>
            <w:rStyle w:val="Hyperlink"/>
            <w:noProof/>
          </w:rPr>
          <w:t>4.1.5. Линейность фармакокинетики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_Toc139366881 \h </w:instrText>
        </w:r>
        <w:r w:rsidR="00007FC4" w:rsidRPr="00007FC4">
          <w:rPr>
            <w:noProof/>
            <w:webHidden/>
          </w:rPr>
        </w:r>
        <w:r w:rsidR="00007FC4" w:rsidRPr="00007FC4">
          <w:rPr>
            <w:noProof/>
            <w:webHidden/>
          </w:rPr>
          <w:fldChar w:fldCharType="separate"/>
        </w:r>
        <w:r w:rsidR="00007FC4">
          <w:rPr>
            <w:noProof/>
            <w:webHidden/>
          </w:rPr>
          <w:t>75</w:t>
        </w:r>
        <w:r w:rsidR="00007FC4" w:rsidRPr="00007FC4">
          <w:rPr>
            <w:noProof/>
            <w:webHidden/>
          </w:rPr>
          <w:fldChar w:fldCharType="end"/>
        </w:r>
      </w:hyperlink>
    </w:p>
    <w:p w14:paraId="415A78D7" w14:textId="38177B12" w:rsidR="00007FC4" w:rsidRPr="00007FC4" w:rsidRDefault="004276B7" w:rsidP="00007FC4">
      <w:pPr>
        <w:pStyle w:val="TOC3"/>
        <w:rPr>
          <w:rFonts w:eastAsiaTheme="minorEastAsia"/>
          <w:noProof/>
          <w:lang w:eastAsia="ru-RU"/>
        </w:rPr>
      </w:pPr>
      <w:hyperlink w:anchor="_Toc139366882" w:history="1">
        <w:r w:rsidR="00007FC4" w:rsidRPr="00007FC4">
          <w:rPr>
            <w:rStyle w:val="Hyperlink"/>
            <w:noProof/>
          </w:rPr>
          <w:t>4.1.6. Фармакокинетика у особых групп пациентов</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_Toc139366882 \h </w:instrText>
        </w:r>
        <w:r w:rsidR="00007FC4" w:rsidRPr="00007FC4">
          <w:rPr>
            <w:noProof/>
            <w:webHidden/>
          </w:rPr>
        </w:r>
        <w:r w:rsidR="00007FC4" w:rsidRPr="00007FC4">
          <w:rPr>
            <w:noProof/>
            <w:webHidden/>
          </w:rPr>
          <w:fldChar w:fldCharType="separate"/>
        </w:r>
        <w:r w:rsidR="00007FC4">
          <w:rPr>
            <w:noProof/>
            <w:webHidden/>
          </w:rPr>
          <w:t>75</w:t>
        </w:r>
        <w:r w:rsidR="00007FC4" w:rsidRPr="00007FC4">
          <w:rPr>
            <w:noProof/>
            <w:webHidden/>
          </w:rPr>
          <w:fldChar w:fldCharType="end"/>
        </w:r>
      </w:hyperlink>
    </w:p>
    <w:p w14:paraId="46DA994F" w14:textId="63FE6773"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83" w:history="1">
        <w:r w:rsidR="00007FC4" w:rsidRPr="00007FC4">
          <w:rPr>
            <w:rStyle w:val="Hyperlink"/>
            <w:noProof/>
          </w:rPr>
          <w:t>4.1.6.1. Влияние возраста, массы тела, пола и расы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_Toc139366883 \h </w:instrText>
        </w:r>
        <w:r w:rsidR="00007FC4" w:rsidRPr="00007FC4">
          <w:rPr>
            <w:noProof/>
            <w:webHidden/>
          </w:rPr>
        </w:r>
        <w:r w:rsidR="00007FC4" w:rsidRPr="00007FC4">
          <w:rPr>
            <w:noProof/>
            <w:webHidden/>
          </w:rPr>
          <w:fldChar w:fldCharType="separate"/>
        </w:r>
        <w:r w:rsidR="00007FC4">
          <w:rPr>
            <w:noProof/>
            <w:webHidden/>
          </w:rPr>
          <w:t>75</w:t>
        </w:r>
        <w:r w:rsidR="00007FC4" w:rsidRPr="00007FC4">
          <w:rPr>
            <w:noProof/>
            <w:webHidden/>
          </w:rPr>
          <w:fldChar w:fldCharType="end"/>
        </w:r>
      </w:hyperlink>
    </w:p>
    <w:p w14:paraId="4B38574C" w14:textId="1F6F0038"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84" w:history="1">
        <w:r w:rsidR="00007FC4" w:rsidRPr="00007FC4">
          <w:rPr>
            <w:rStyle w:val="Hyperlink"/>
            <w:noProof/>
          </w:rPr>
          <w:t>4.1.6.2. Почечная недостаточность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_Toc139366884 \h </w:instrText>
        </w:r>
        <w:r w:rsidR="00007FC4" w:rsidRPr="00007FC4">
          <w:rPr>
            <w:noProof/>
            <w:webHidden/>
          </w:rPr>
        </w:r>
        <w:r w:rsidR="00007FC4" w:rsidRPr="00007FC4">
          <w:rPr>
            <w:noProof/>
            <w:webHidden/>
          </w:rPr>
          <w:fldChar w:fldCharType="separate"/>
        </w:r>
        <w:r w:rsidR="00007FC4">
          <w:rPr>
            <w:noProof/>
            <w:webHidden/>
          </w:rPr>
          <w:t>76</w:t>
        </w:r>
        <w:r w:rsidR="00007FC4" w:rsidRPr="00007FC4">
          <w:rPr>
            <w:noProof/>
            <w:webHidden/>
          </w:rPr>
          <w:fldChar w:fldCharType="end"/>
        </w:r>
      </w:hyperlink>
    </w:p>
    <w:p w14:paraId="4B79D227" w14:textId="38E4713B"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85" w:history="1">
        <w:r w:rsidR="00007FC4" w:rsidRPr="00007FC4">
          <w:rPr>
            <w:rStyle w:val="Hyperlink"/>
            <w:noProof/>
          </w:rPr>
          <w:t>4.1.6.3. Печеночная недостаточность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_Toc139366885 \h </w:instrText>
        </w:r>
        <w:r w:rsidR="00007FC4" w:rsidRPr="00007FC4">
          <w:rPr>
            <w:noProof/>
            <w:webHidden/>
          </w:rPr>
        </w:r>
        <w:r w:rsidR="00007FC4" w:rsidRPr="00007FC4">
          <w:rPr>
            <w:noProof/>
            <w:webHidden/>
          </w:rPr>
          <w:fldChar w:fldCharType="separate"/>
        </w:r>
        <w:r w:rsidR="00007FC4">
          <w:rPr>
            <w:noProof/>
            <w:webHidden/>
          </w:rPr>
          <w:t>77</w:t>
        </w:r>
        <w:r w:rsidR="00007FC4" w:rsidRPr="00007FC4">
          <w:rPr>
            <w:noProof/>
            <w:webHidden/>
          </w:rPr>
          <w:fldChar w:fldCharType="end"/>
        </w:r>
      </w:hyperlink>
    </w:p>
    <w:p w14:paraId="1B801051" w14:textId="4C252232" w:rsidR="00007FC4" w:rsidRPr="00007FC4" w:rsidRDefault="004276B7" w:rsidP="00007FC4">
      <w:pPr>
        <w:pStyle w:val="TOC3"/>
        <w:rPr>
          <w:rFonts w:eastAsiaTheme="minorEastAsia"/>
          <w:noProof/>
          <w:lang w:eastAsia="ru-RU"/>
        </w:rPr>
      </w:pPr>
      <w:hyperlink w:anchor="_Toc139366886" w:history="1">
        <w:r w:rsidR="00007FC4" w:rsidRPr="00007FC4">
          <w:rPr>
            <w:rStyle w:val="Hyperlink"/>
            <w:bCs/>
            <w:noProof/>
          </w:rPr>
          <w:t xml:space="preserve">4.1.7. </w:t>
        </w:r>
        <w:r w:rsidR="00007FC4" w:rsidRPr="00007FC4">
          <w:rPr>
            <w:rStyle w:val="Hyperlink"/>
            <w:noProof/>
          </w:rPr>
          <w:t>Фармакокине</w:t>
        </w:r>
        <w:r w:rsidR="00007FC4" w:rsidRPr="00007FC4">
          <w:rPr>
            <w:rStyle w:val="Hyperlink"/>
            <w:bCs/>
            <w:noProof/>
          </w:rPr>
          <w:t>тические лекарственные взаимодействия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_Toc139366886 \h </w:instrText>
        </w:r>
        <w:r w:rsidR="00007FC4" w:rsidRPr="00007FC4">
          <w:rPr>
            <w:noProof/>
            <w:webHidden/>
          </w:rPr>
        </w:r>
        <w:r w:rsidR="00007FC4" w:rsidRPr="00007FC4">
          <w:rPr>
            <w:noProof/>
            <w:webHidden/>
          </w:rPr>
          <w:fldChar w:fldCharType="separate"/>
        </w:r>
        <w:r w:rsidR="00007FC4">
          <w:rPr>
            <w:noProof/>
            <w:webHidden/>
          </w:rPr>
          <w:t>77</w:t>
        </w:r>
        <w:r w:rsidR="00007FC4" w:rsidRPr="00007FC4">
          <w:rPr>
            <w:noProof/>
            <w:webHidden/>
          </w:rPr>
          <w:fldChar w:fldCharType="end"/>
        </w:r>
      </w:hyperlink>
    </w:p>
    <w:p w14:paraId="1AFEA75B" w14:textId="068C3002" w:rsidR="00007FC4" w:rsidRPr="00007FC4" w:rsidRDefault="004276B7" w:rsidP="00007FC4">
      <w:pPr>
        <w:pStyle w:val="TOC2"/>
        <w:rPr>
          <w:rFonts w:eastAsiaTheme="minorEastAsia"/>
          <w:noProof/>
          <w:lang w:eastAsia="ru-RU"/>
        </w:rPr>
      </w:pPr>
      <w:hyperlink w:anchor="_Toc139366887" w:history="1">
        <w:r w:rsidR="00007FC4" w:rsidRPr="00007FC4">
          <w:rPr>
            <w:rStyle w:val="Hyperlink"/>
            <w:noProof/>
          </w:rPr>
          <w:t>4.2. Фармакодинамика у человека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_Toc139366887 \h </w:instrText>
        </w:r>
        <w:r w:rsidR="00007FC4" w:rsidRPr="00007FC4">
          <w:rPr>
            <w:noProof/>
            <w:webHidden/>
          </w:rPr>
        </w:r>
        <w:r w:rsidR="00007FC4" w:rsidRPr="00007FC4">
          <w:rPr>
            <w:noProof/>
            <w:webHidden/>
          </w:rPr>
          <w:fldChar w:fldCharType="separate"/>
        </w:r>
        <w:r w:rsidR="00007FC4">
          <w:rPr>
            <w:noProof/>
            <w:webHidden/>
          </w:rPr>
          <w:t>79</w:t>
        </w:r>
        <w:r w:rsidR="00007FC4" w:rsidRPr="00007FC4">
          <w:rPr>
            <w:noProof/>
            <w:webHidden/>
          </w:rPr>
          <w:fldChar w:fldCharType="end"/>
        </w:r>
      </w:hyperlink>
    </w:p>
    <w:p w14:paraId="3666FCD1" w14:textId="4DF3A7B8" w:rsidR="00007FC4" w:rsidRPr="00007FC4" w:rsidRDefault="004276B7" w:rsidP="00007FC4">
      <w:pPr>
        <w:pStyle w:val="TOC3"/>
        <w:rPr>
          <w:rFonts w:eastAsiaTheme="minorEastAsia"/>
          <w:noProof/>
          <w:lang w:eastAsia="ru-RU"/>
        </w:rPr>
      </w:pPr>
      <w:hyperlink w:anchor="_Toc139366888" w:history="1">
        <w:r w:rsidR="00007FC4" w:rsidRPr="00007FC4">
          <w:rPr>
            <w:rStyle w:val="Hyperlink"/>
            <w:bCs/>
            <w:noProof/>
          </w:rPr>
          <w:t xml:space="preserve">4.2.1. </w:t>
        </w:r>
        <w:r w:rsidR="00007FC4" w:rsidRPr="00007FC4">
          <w:rPr>
            <w:rStyle w:val="Hyperlink"/>
            <w:noProof/>
          </w:rPr>
          <w:t xml:space="preserve">Фармакодинамические </w:t>
        </w:r>
        <w:r w:rsidR="00007FC4" w:rsidRPr="00007FC4">
          <w:rPr>
            <w:rStyle w:val="Hyperlink"/>
            <w:bCs/>
            <w:noProof/>
          </w:rPr>
          <w:t>лекарственные взаимодействия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_Toc139366888 \h </w:instrText>
        </w:r>
        <w:r w:rsidR="00007FC4" w:rsidRPr="00007FC4">
          <w:rPr>
            <w:noProof/>
            <w:webHidden/>
          </w:rPr>
        </w:r>
        <w:r w:rsidR="00007FC4" w:rsidRPr="00007FC4">
          <w:rPr>
            <w:noProof/>
            <w:webHidden/>
          </w:rPr>
          <w:fldChar w:fldCharType="separate"/>
        </w:r>
        <w:r w:rsidR="00007FC4">
          <w:rPr>
            <w:noProof/>
            <w:webHidden/>
          </w:rPr>
          <w:t>79</w:t>
        </w:r>
        <w:r w:rsidR="00007FC4" w:rsidRPr="00007FC4">
          <w:rPr>
            <w:noProof/>
            <w:webHidden/>
          </w:rPr>
          <w:fldChar w:fldCharType="end"/>
        </w:r>
      </w:hyperlink>
    </w:p>
    <w:p w14:paraId="27FD9E97" w14:textId="2B9C4209" w:rsidR="00007FC4" w:rsidRPr="00007FC4" w:rsidRDefault="004276B7" w:rsidP="00007FC4">
      <w:pPr>
        <w:pStyle w:val="TOC2"/>
        <w:rPr>
          <w:rFonts w:eastAsiaTheme="minorEastAsia"/>
          <w:noProof/>
          <w:lang w:eastAsia="ru-RU"/>
        </w:rPr>
      </w:pPr>
      <w:hyperlink w:anchor="_Toc139366889" w:history="1">
        <w:r w:rsidR="00007FC4" w:rsidRPr="00007FC4">
          <w:rPr>
            <w:rStyle w:val="Hyperlink"/>
            <w:noProof/>
          </w:rPr>
          <w:t>4.3. Безопасность и эффективность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_Toc139366889 \h </w:instrText>
        </w:r>
        <w:r w:rsidR="00007FC4" w:rsidRPr="00007FC4">
          <w:rPr>
            <w:noProof/>
            <w:webHidden/>
          </w:rPr>
        </w:r>
        <w:r w:rsidR="00007FC4" w:rsidRPr="00007FC4">
          <w:rPr>
            <w:noProof/>
            <w:webHidden/>
          </w:rPr>
          <w:fldChar w:fldCharType="separate"/>
        </w:r>
        <w:r w:rsidR="00007FC4">
          <w:rPr>
            <w:noProof/>
            <w:webHidden/>
          </w:rPr>
          <w:t>79</w:t>
        </w:r>
        <w:r w:rsidR="00007FC4" w:rsidRPr="00007FC4">
          <w:rPr>
            <w:noProof/>
            <w:webHidden/>
          </w:rPr>
          <w:fldChar w:fldCharType="end"/>
        </w:r>
      </w:hyperlink>
    </w:p>
    <w:p w14:paraId="47B9D754" w14:textId="62B122CA" w:rsidR="00007FC4" w:rsidRPr="00007FC4" w:rsidRDefault="004276B7" w:rsidP="00007FC4">
      <w:pPr>
        <w:pStyle w:val="TOC3"/>
        <w:rPr>
          <w:rFonts w:eastAsiaTheme="minorEastAsia"/>
          <w:noProof/>
          <w:lang w:eastAsia="ru-RU"/>
        </w:rPr>
      </w:pPr>
      <w:hyperlink w:anchor="_Toc139366890" w:history="1">
        <w:r w:rsidR="00007FC4" w:rsidRPr="00007FC4">
          <w:rPr>
            <w:rStyle w:val="Hyperlink"/>
            <w:noProof/>
          </w:rPr>
          <w:t>4.3.1. Клиническая эффективность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_Toc139366890 \h </w:instrText>
        </w:r>
        <w:r w:rsidR="00007FC4" w:rsidRPr="00007FC4">
          <w:rPr>
            <w:noProof/>
            <w:webHidden/>
          </w:rPr>
        </w:r>
        <w:r w:rsidR="00007FC4" w:rsidRPr="00007FC4">
          <w:rPr>
            <w:noProof/>
            <w:webHidden/>
          </w:rPr>
          <w:fldChar w:fldCharType="separate"/>
        </w:r>
        <w:r w:rsidR="00007FC4">
          <w:rPr>
            <w:noProof/>
            <w:webHidden/>
          </w:rPr>
          <w:t>80</w:t>
        </w:r>
        <w:r w:rsidR="00007FC4" w:rsidRPr="00007FC4">
          <w:rPr>
            <w:noProof/>
            <w:webHidden/>
          </w:rPr>
          <w:fldChar w:fldCharType="end"/>
        </w:r>
      </w:hyperlink>
    </w:p>
    <w:p w14:paraId="3F868E81" w14:textId="06DF93D3"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91" w:history="1">
        <w:r w:rsidR="00007FC4" w:rsidRPr="00007FC4">
          <w:rPr>
            <w:rStyle w:val="Hyperlink"/>
            <w:noProof/>
          </w:rPr>
          <w:t>4.3.1.1. Сахарный диабет</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_Toc139366891 \h </w:instrText>
        </w:r>
        <w:r w:rsidR="00007FC4" w:rsidRPr="00007FC4">
          <w:rPr>
            <w:noProof/>
            <w:webHidden/>
          </w:rPr>
        </w:r>
        <w:r w:rsidR="00007FC4" w:rsidRPr="00007FC4">
          <w:rPr>
            <w:noProof/>
            <w:webHidden/>
          </w:rPr>
          <w:fldChar w:fldCharType="separate"/>
        </w:r>
        <w:r w:rsidR="00007FC4">
          <w:rPr>
            <w:noProof/>
            <w:webHidden/>
          </w:rPr>
          <w:t>80</w:t>
        </w:r>
        <w:r w:rsidR="00007FC4" w:rsidRPr="00007FC4">
          <w:rPr>
            <w:noProof/>
            <w:webHidden/>
          </w:rPr>
          <w:fldChar w:fldCharType="end"/>
        </w:r>
      </w:hyperlink>
    </w:p>
    <w:p w14:paraId="2815AE4D" w14:textId="2F94423B"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892" w:history="1">
        <w:r w:rsidR="00007FC4" w:rsidRPr="00007FC4">
          <w:rPr>
            <w:rStyle w:val="Hyperlink"/>
            <w:noProof/>
          </w:rPr>
          <w:t>4.3.1.2. Сердечная недостаточность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_Toc139366892 \h </w:instrText>
        </w:r>
        <w:r w:rsidR="00007FC4" w:rsidRPr="00007FC4">
          <w:rPr>
            <w:noProof/>
            <w:webHidden/>
          </w:rPr>
        </w:r>
        <w:r w:rsidR="00007FC4" w:rsidRPr="00007FC4">
          <w:rPr>
            <w:noProof/>
            <w:webHidden/>
          </w:rPr>
          <w:fldChar w:fldCharType="separate"/>
        </w:r>
        <w:r w:rsidR="00007FC4">
          <w:rPr>
            <w:noProof/>
            <w:webHidden/>
          </w:rPr>
          <w:t>96</w:t>
        </w:r>
        <w:r w:rsidR="00007FC4" w:rsidRPr="00007FC4">
          <w:rPr>
            <w:noProof/>
            <w:webHidden/>
          </w:rPr>
          <w:fldChar w:fldCharType="end"/>
        </w:r>
      </w:hyperlink>
    </w:p>
    <w:p w14:paraId="62CC85BB" w14:textId="3804723E" w:rsidR="00007FC4" w:rsidRPr="00007FC4" w:rsidRDefault="004276B7" w:rsidP="00007FC4">
      <w:pPr>
        <w:pStyle w:val="TOC3"/>
        <w:rPr>
          <w:rFonts w:eastAsiaTheme="minorEastAsia"/>
          <w:noProof/>
          <w:lang w:eastAsia="ru-RU"/>
        </w:rPr>
      </w:pPr>
      <w:hyperlink w:anchor="_Toc139366893" w:history="1">
        <w:r w:rsidR="00007FC4" w:rsidRPr="00007FC4">
          <w:rPr>
            <w:rStyle w:val="Hyperlink"/>
            <w:rFonts w:eastAsia="Times New Roman"/>
            <w:bCs/>
            <w:iCs/>
            <w:noProof/>
            <w:lang w:eastAsia="en-US"/>
          </w:rPr>
          <w:t>4.3.2. Клиническая безопасность</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_Toc139366893 \h </w:instrText>
        </w:r>
        <w:r w:rsidR="00007FC4" w:rsidRPr="00007FC4">
          <w:rPr>
            <w:noProof/>
            <w:webHidden/>
          </w:rPr>
        </w:r>
        <w:r w:rsidR="00007FC4" w:rsidRPr="00007FC4">
          <w:rPr>
            <w:noProof/>
            <w:webHidden/>
          </w:rPr>
          <w:fldChar w:fldCharType="separate"/>
        </w:r>
        <w:r w:rsidR="00007FC4">
          <w:rPr>
            <w:noProof/>
            <w:webHidden/>
          </w:rPr>
          <w:t>102</w:t>
        </w:r>
        <w:r w:rsidR="00007FC4" w:rsidRPr="00007FC4">
          <w:rPr>
            <w:noProof/>
            <w:webHidden/>
          </w:rPr>
          <w:fldChar w:fldCharType="end"/>
        </w:r>
      </w:hyperlink>
    </w:p>
    <w:p w14:paraId="5B3334E4" w14:textId="09D83D7C" w:rsidR="00007FC4" w:rsidRPr="00007FC4" w:rsidRDefault="004276B7" w:rsidP="00007FC4">
      <w:pPr>
        <w:pStyle w:val="TOC3"/>
        <w:rPr>
          <w:rFonts w:eastAsiaTheme="minorEastAsia"/>
          <w:noProof/>
          <w:lang w:eastAsia="ru-RU"/>
        </w:rPr>
      </w:pPr>
      <w:hyperlink w:anchor="_Toc139366894" w:history="1">
        <w:r w:rsidR="00007FC4" w:rsidRPr="00007FC4">
          <w:rPr>
            <w:rStyle w:val="Hyperlink"/>
            <w:rFonts w:eastAsia="Times New Roman"/>
            <w:bCs/>
            <w:iCs/>
            <w:noProof/>
            <w:lang w:eastAsia="en-US"/>
          </w:rPr>
          <w:t>4.3.3. Пострегистрационный опыт применения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_Toc139366894 \h </w:instrText>
        </w:r>
        <w:r w:rsidR="00007FC4" w:rsidRPr="00007FC4">
          <w:rPr>
            <w:noProof/>
            <w:webHidden/>
          </w:rPr>
        </w:r>
        <w:r w:rsidR="00007FC4" w:rsidRPr="00007FC4">
          <w:rPr>
            <w:noProof/>
            <w:webHidden/>
          </w:rPr>
          <w:fldChar w:fldCharType="separate"/>
        </w:r>
        <w:r w:rsidR="00007FC4">
          <w:rPr>
            <w:noProof/>
            <w:webHidden/>
          </w:rPr>
          <w:t>109</w:t>
        </w:r>
        <w:r w:rsidR="00007FC4" w:rsidRPr="00007FC4">
          <w:rPr>
            <w:noProof/>
            <w:webHidden/>
          </w:rPr>
          <w:fldChar w:fldCharType="end"/>
        </w:r>
      </w:hyperlink>
    </w:p>
    <w:p w14:paraId="5681067D" w14:textId="7A868FCD" w:rsidR="00007FC4" w:rsidRPr="00007FC4" w:rsidRDefault="004276B7" w:rsidP="00007FC4">
      <w:pPr>
        <w:pStyle w:val="TOC2"/>
        <w:rPr>
          <w:rFonts w:eastAsiaTheme="minorEastAsia"/>
          <w:noProof/>
          <w:lang w:eastAsia="ru-RU"/>
        </w:rPr>
      </w:pPr>
      <w:hyperlink w:anchor="_Toc139366895" w:history="1">
        <w:r w:rsidR="00007FC4" w:rsidRPr="00007FC4">
          <w:rPr>
            <w:rStyle w:val="Hyperlink"/>
            <w:noProof/>
          </w:rPr>
          <w:t>Список литературы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_Toc139366895 \h </w:instrText>
        </w:r>
        <w:r w:rsidR="00007FC4" w:rsidRPr="00007FC4">
          <w:rPr>
            <w:noProof/>
            <w:webHidden/>
          </w:rPr>
        </w:r>
        <w:r w:rsidR="00007FC4" w:rsidRPr="00007FC4">
          <w:rPr>
            <w:noProof/>
            <w:webHidden/>
          </w:rPr>
          <w:fldChar w:fldCharType="separate"/>
        </w:r>
        <w:r w:rsidR="00007FC4">
          <w:rPr>
            <w:noProof/>
            <w:webHidden/>
          </w:rPr>
          <w:t>115</w:t>
        </w:r>
        <w:r w:rsidR="00007FC4" w:rsidRPr="00007FC4">
          <w:rPr>
            <w:noProof/>
            <w:webHidden/>
          </w:rPr>
          <w:fldChar w:fldCharType="end"/>
        </w:r>
      </w:hyperlink>
    </w:p>
    <w:p w14:paraId="2EE2C653" w14:textId="316436AF" w:rsidR="00007FC4" w:rsidRPr="00007FC4" w:rsidRDefault="004276B7" w:rsidP="00007FC4">
      <w:pPr>
        <w:pStyle w:val="TOC1"/>
        <w:rPr>
          <w:rFonts w:eastAsiaTheme="minorEastAsia"/>
          <w:noProof/>
          <w:lang w:eastAsia="ru-RU"/>
        </w:rPr>
      </w:pPr>
      <w:hyperlink w:anchor="_Toc139366896" w:history="1">
        <w:r w:rsidR="00007FC4" w:rsidRPr="00007FC4">
          <w:rPr>
            <w:rStyle w:val="Hyperlink"/>
            <w:noProof/>
          </w:rPr>
          <w:t>5. ОБСУЖДЕНИЕ ДАННЫХ И ИНСТРУКЦИИ ДЛЯ ИССЛЕДОВАТЕЛЯ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_Toc139366896 \h </w:instrText>
        </w:r>
        <w:r w:rsidR="00007FC4" w:rsidRPr="00007FC4">
          <w:rPr>
            <w:noProof/>
            <w:webHidden/>
          </w:rPr>
        </w:r>
        <w:r w:rsidR="00007FC4" w:rsidRPr="00007FC4">
          <w:rPr>
            <w:noProof/>
            <w:webHidden/>
          </w:rPr>
          <w:fldChar w:fldCharType="separate"/>
        </w:r>
        <w:r w:rsidR="00007FC4">
          <w:rPr>
            <w:noProof/>
            <w:webHidden/>
          </w:rPr>
          <w:t>120</w:t>
        </w:r>
        <w:r w:rsidR="00007FC4" w:rsidRPr="00007FC4">
          <w:rPr>
            <w:noProof/>
            <w:webHidden/>
          </w:rPr>
          <w:fldChar w:fldCharType="end"/>
        </w:r>
      </w:hyperlink>
    </w:p>
    <w:p w14:paraId="4CDF1A9E" w14:textId="52BB6088" w:rsidR="00007FC4" w:rsidRPr="00007FC4" w:rsidRDefault="004276B7" w:rsidP="00007FC4">
      <w:pPr>
        <w:pStyle w:val="TOC2"/>
        <w:rPr>
          <w:rFonts w:eastAsiaTheme="minorEastAsia"/>
          <w:noProof/>
          <w:lang w:eastAsia="ru-RU"/>
        </w:rPr>
      </w:pPr>
      <w:hyperlink w:anchor="_Toc139366897" w:history="1">
        <w:r w:rsidR="00007FC4" w:rsidRPr="00007FC4">
          <w:rPr>
            <w:rStyle w:val="Hyperlink"/>
            <w:noProof/>
          </w:rPr>
          <w:t>5.1. Обсуждение данных доклинических исследований</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_Toc139366897 \h </w:instrText>
        </w:r>
        <w:r w:rsidR="00007FC4" w:rsidRPr="00007FC4">
          <w:rPr>
            <w:noProof/>
            <w:webHidden/>
          </w:rPr>
        </w:r>
        <w:r w:rsidR="00007FC4" w:rsidRPr="00007FC4">
          <w:rPr>
            <w:noProof/>
            <w:webHidden/>
          </w:rPr>
          <w:fldChar w:fldCharType="separate"/>
        </w:r>
        <w:r w:rsidR="00007FC4">
          <w:rPr>
            <w:noProof/>
            <w:webHidden/>
          </w:rPr>
          <w:t>120</w:t>
        </w:r>
        <w:r w:rsidR="00007FC4" w:rsidRPr="00007FC4">
          <w:rPr>
            <w:noProof/>
            <w:webHidden/>
          </w:rPr>
          <w:fldChar w:fldCharType="end"/>
        </w:r>
      </w:hyperlink>
    </w:p>
    <w:p w14:paraId="260D0FA5" w14:textId="5283F38E" w:rsidR="00007FC4" w:rsidRPr="00007FC4" w:rsidRDefault="004276B7" w:rsidP="00007FC4">
      <w:pPr>
        <w:pStyle w:val="TOC2"/>
        <w:rPr>
          <w:rFonts w:eastAsiaTheme="minorEastAsia"/>
          <w:noProof/>
          <w:lang w:eastAsia="ru-RU"/>
        </w:rPr>
      </w:pPr>
      <w:hyperlink w:anchor="_Toc139366898" w:history="1">
        <w:r w:rsidR="00007FC4" w:rsidRPr="00007FC4">
          <w:rPr>
            <w:rStyle w:val="Hyperlink"/>
            <w:noProof/>
          </w:rPr>
          <w:t>5.2. Обсуждение данных клинических исследований</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_Toc139366898 \h </w:instrText>
        </w:r>
        <w:r w:rsidR="00007FC4" w:rsidRPr="00007FC4">
          <w:rPr>
            <w:noProof/>
            <w:webHidden/>
          </w:rPr>
        </w:r>
        <w:r w:rsidR="00007FC4" w:rsidRPr="00007FC4">
          <w:rPr>
            <w:noProof/>
            <w:webHidden/>
          </w:rPr>
          <w:fldChar w:fldCharType="separate"/>
        </w:r>
        <w:r w:rsidR="00007FC4">
          <w:rPr>
            <w:noProof/>
            <w:webHidden/>
          </w:rPr>
          <w:t>122</w:t>
        </w:r>
        <w:r w:rsidR="00007FC4" w:rsidRPr="00007FC4">
          <w:rPr>
            <w:noProof/>
            <w:webHidden/>
          </w:rPr>
          <w:fldChar w:fldCharType="end"/>
        </w:r>
      </w:hyperlink>
    </w:p>
    <w:p w14:paraId="5E1DE429" w14:textId="08D16A9E" w:rsidR="00007FC4" w:rsidRPr="00007FC4" w:rsidRDefault="004276B7" w:rsidP="00007FC4">
      <w:pPr>
        <w:pStyle w:val="TOC2"/>
        <w:rPr>
          <w:rFonts w:eastAsiaTheme="minorEastAsia"/>
          <w:noProof/>
          <w:lang w:eastAsia="ru-RU"/>
        </w:rPr>
      </w:pPr>
      <w:hyperlink w:anchor="_Toc139366899" w:history="1">
        <w:r w:rsidR="00007FC4" w:rsidRPr="00007FC4">
          <w:rPr>
            <w:rStyle w:val="Hyperlink"/>
            <w:noProof/>
          </w:rPr>
          <w:t>5.3. Инструкции для исследователя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_Toc139366899 \h </w:instrText>
        </w:r>
        <w:r w:rsidR="00007FC4" w:rsidRPr="00007FC4">
          <w:rPr>
            <w:noProof/>
            <w:webHidden/>
          </w:rPr>
        </w:r>
        <w:r w:rsidR="00007FC4" w:rsidRPr="00007FC4">
          <w:rPr>
            <w:noProof/>
            <w:webHidden/>
          </w:rPr>
          <w:fldChar w:fldCharType="separate"/>
        </w:r>
        <w:r w:rsidR="00007FC4">
          <w:rPr>
            <w:noProof/>
            <w:webHidden/>
          </w:rPr>
          <w:t>127</w:t>
        </w:r>
        <w:r w:rsidR="00007FC4" w:rsidRPr="00007FC4">
          <w:rPr>
            <w:noProof/>
            <w:webHidden/>
          </w:rPr>
          <w:fldChar w:fldCharType="end"/>
        </w:r>
      </w:hyperlink>
    </w:p>
    <w:p w14:paraId="3BC6F414" w14:textId="7C05B506" w:rsidR="00007FC4" w:rsidRPr="00007FC4" w:rsidRDefault="004276B7" w:rsidP="00007FC4">
      <w:pPr>
        <w:pStyle w:val="TOC3"/>
        <w:rPr>
          <w:rFonts w:eastAsiaTheme="minorEastAsia"/>
          <w:noProof/>
          <w:lang w:eastAsia="ru-RU"/>
        </w:rPr>
      </w:pPr>
      <w:hyperlink w:anchor="_Toc139366900" w:history="1">
        <w:r w:rsidR="00007FC4" w:rsidRPr="00007FC4">
          <w:rPr>
            <w:rStyle w:val="Hyperlink"/>
            <w:noProof/>
          </w:rPr>
          <w:t>5.3.1. Показания к применению</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_Toc139366900 \h </w:instrText>
        </w:r>
        <w:r w:rsidR="00007FC4" w:rsidRPr="00007FC4">
          <w:rPr>
            <w:noProof/>
            <w:webHidden/>
          </w:rPr>
        </w:r>
        <w:r w:rsidR="00007FC4" w:rsidRPr="00007FC4">
          <w:rPr>
            <w:noProof/>
            <w:webHidden/>
          </w:rPr>
          <w:fldChar w:fldCharType="separate"/>
        </w:r>
        <w:r w:rsidR="00007FC4">
          <w:rPr>
            <w:noProof/>
            <w:webHidden/>
          </w:rPr>
          <w:t>127</w:t>
        </w:r>
        <w:r w:rsidR="00007FC4" w:rsidRPr="00007FC4">
          <w:rPr>
            <w:noProof/>
            <w:webHidden/>
          </w:rPr>
          <w:fldChar w:fldCharType="end"/>
        </w:r>
      </w:hyperlink>
    </w:p>
    <w:p w14:paraId="5A8E6E6B" w14:textId="234B16A0" w:rsidR="00007FC4" w:rsidRPr="00007FC4" w:rsidRDefault="004276B7" w:rsidP="00007FC4">
      <w:pPr>
        <w:pStyle w:val="TOC3"/>
        <w:rPr>
          <w:rFonts w:eastAsiaTheme="minorEastAsia"/>
          <w:noProof/>
          <w:lang w:eastAsia="ru-RU"/>
        </w:rPr>
      </w:pPr>
      <w:hyperlink w:anchor="_Toc139366901" w:history="1">
        <w:r w:rsidR="00007FC4" w:rsidRPr="00007FC4">
          <w:rPr>
            <w:rStyle w:val="Hyperlink"/>
            <w:noProof/>
          </w:rPr>
          <w:t>5.3.2. Противопоказания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_Toc139366901 \h </w:instrText>
        </w:r>
        <w:r w:rsidR="00007FC4" w:rsidRPr="00007FC4">
          <w:rPr>
            <w:noProof/>
            <w:webHidden/>
          </w:rPr>
        </w:r>
        <w:r w:rsidR="00007FC4" w:rsidRPr="00007FC4">
          <w:rPr>
            <w:noProof/>
            <w:webHidden/>
          </w:rPr>
          <w:fldChar w:fldCharType="separate"/>
        </w:r>
        <w:r w:rsidR="00007FC4">
          <w:rPr>
            <w:noProof/>
            <w:webHidden/>
          </w:rPr>
          <w:t>127</w:t>
        </w:r>
        <w:r w:rsidR="00007FC4" w:rsidRPr="00007FC4">
          <w:rPr>
            <w:noProof/>
            <w:webHidden/>
          </w:rPr>
          <w:fldChar w:fldCharType="end"/>
        </w:r>
      </w:hyperlink>
    </w:p>
    <w:p w14:paraId="252EDFD5" w14:textId="790C3378" w:rsidR="00007FC4" w:rsidRPr="00007FC4" w:rsidRDefault="004276B7" w:rsidP="00007FC4">
      <w:pPr>
        <w:pStyle w:val="TOC4"/>
        <w:tabs>
          <w:tab w:val="right" w:leader="dot" w:pos="9344"/>
        </w:tabs>
        <w:spacing w:after="0" w:line="240" w:lineRule="auto"/>
        <w:rPr>
          <w:rFonts w:eastAsiaTheme="minorEastAsia"/>
          <w:noProof/>
          <w:lang w:eastAsia="ru-RU"/>
        </w:rPr>
      </w:pPr>
      <w:hyperlink w:anchor="_Toc139366902" w:history="1">
        <w:r w:rsidR="00007FC4" w:rsidRPr="00007FC4">
          <w:rPr>
            <w:rStyle w:val="Hyperlink"/>
            <w:noProof/>
            <w:w w:val="105"/>
          </w:rPr>
          <w:t xml:space="preserve">5.3.3. </w:t>
        </w:r>
        <w:r w:rsidR="00007FC4" w:rsidRPr="00007FC4">
          <w:rPr>
            <w:rStyle w:val="Hyperlink"/>
            <w:noProof/>
          </w:rPr>
          <w:t>Применение в период беременности и грудного вскармливания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_Toc139366902 \h </w:instrText>
        </w:r>
        <w:r w:rsidR="00007FC4" w:rsidRPr="00007FC4">
          <w:rPr>
            <w:noProof/>
            <w:webHidden/>
          </w:rPr>
        </w:r>
        <w:r w:rsidR="00007FC4" w:rsidRPr="00007FC4">
          <w:rPr>
            <w:noProof/>
            <w:webHidden/>
          </w:rPr>
          <w:fldChar w:fldCharType="separate"/>
        </w:r>
        <w:r w:rsidR="00007FC4">
          <w:rPr>
            <w:noProof/>
            <w:webHidden/>
          </w:rPr>
          <w:t>128</w:t>
        </w:r>
        <w:r w:rsidR="00007FC4" w:rsidRPr="00007FC4">
          <w:rPr>
            <w:noProof/>
            <w:webHidden/>
          </w:rPr>
          <w:fldChar w:fldCharType="end"/>
        </w:r>
      </w:hyperlink>
    </w:p>
    <w:p w14:paraId="124DA382" w14:textId="27D29EE4" w:rsidR="00007FC4" w:rsidRPr="00007FC4" w:rsidRDefault="004276B7" w:rsidP="00007FC4">
      <w:pPr>
        <w:pStyle w:val="TOC3"/>
        <w:rPr>
          <w:rFonts w:eastAsiaTheme="minorEastAsia"/>
          <w:noProof/>
          <w:lang w:eastAsia="ru-RU"/>
        </w:rPr>
      </w:pPr>
      <w:hyperlink w:anchor="_Toc139366903" w:history="1">
        <w:r w:rsidR="00007FC4" w:rsidRPr="00007FC4">
          <w:rPr>
            <w:rStyle w:val="Hyperlink"/>
            <w:noProof/>
          </w:rPr>
          <w:t>5.3.4. Способ применения и дозы</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_Toc139366903 \h </w:instrText>
        </w:r>
        <w:r w:rsidR="00007FC4" w:rsidRPr="00007FC4">
          <w:rPr>
            <w:noProof/>
            <w:webHidden/>
          </w:rPr>
        </w:r>
        <w:r w:rsidR="00007FC4" w:rsidRPr="00007FC4">
          <w:rPr>
            <w:noProof/>
            <w:webHidden/>
          </w:rPr>
          <w:fldChar w:fldCharType="separate"/>
        </w:r>
        <w:r w:rsidR="00007FC4">
          <w:rPr>
            <w:noProof/>
            <w:webHidden/>
          </w:rPr>
          <w:t>128</w:t>
        </w:r>
        <w:r w:rsidR="00007FC4" w:rsidRPr="00007FC4">
          <w:rPr>
            <w:noProof/>
            <w:webHidden/>
          </w:rPr>
          <w:fldChar w:fldCharType="end"/>
        </w:r>
      </w:hyperlink>
    </w:p>
    <w:p w14:paraId="47865D63" w14:textId="1B0211DB" w:rsidR="00007FC4" w:rsidRPr="00007FC4" w:rsidRDefault="004276B7" w:rsidP="00007FC4">
      <w:pPr>
        <w:pStyle w:val="TOC3"/>
        <w:rPr>
          <w:rFonts w:eastAsiaTheme="minorEastAsia"/>
          <w:noProof/>
          <w:lang w:eastAsia="ru-RU"/>
        </w:rPr>
      </w:pPr>
      <w:hyperlink w:anchor="_Toc139366904" w:history="1">
        <w:r w:rsidR="00007FC4" w:rsidRPr="00007FC4">
          <w:rPr>
            <w:rStyle w:val="Hyperlink"/>
            <w:noProof/>
          </w:rPr>
          <w:t>5.3.5. Побочное действие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_Toc139366904 \h </w:instrText>
        </w:r>
        <w:r w:rsidR="00007FC4" w:rsidRPr="00007FC4">
          <w:rPr>
            <w:noProof/>
            <w:webHidden/>
          </w:rPr>
        </w:r>
        <w:r w:rsidR="00007FC4" w:rsidRPr="00007FC4">
          <w:rPr>
            <w:noProof/>
            <w:webHidden/>
          </w:rPr>
          <w:fldChar w:fldCharType="separate"/>
        </w:r>
        <w:r w:rsidR="00007FC4">
          <w:rPr>
            <w:noProof/>
            <w:webHidden/>
          </w:rPr>
          <w:t>130</w:t>
        </w:r>
        <w:r w:rsidR="00007FC4" w:rsidRPr="00007FC4">
          <w:rPr>
            <w:noProof/>
            <w:webHidden/>
          </w:rPr>
          <w:fldChar w:fldCharType="end"/>
        </w:r>
      </w:hyperlink>
    </w:p>
    <w:p w14:paraId="08B96A6C" w14:textId="28AC9BFC" w:rsidR="00007FC4" w:rsidRPr="00007FC4" w:rsidRDefault="004276B7" w:rsidP="00007FC4">
      <w:pPr>
        <w:pStyle w:val="TOC3"/>
        <w:rPr>
          <w:rFonts w:eastAsiaTheme="minorEastAsia"/>
          <w:noProof/>
          <w:lang w:eastAsia="ru-RU"/>
        </w:rPr>
      </w:pPr>
      <w:hyperlink w:anchor="_Toc139366905" w:history="1">
        <w:r w:rsidR="00007FC4" w:rsidRPr="00007FC4">
          <w:rPr>
            <w:rStyle w:val="Hyperlink"/>
            <w:noProof/>
          </w:rPr>
          <w:t>5.3.6. Передозировка</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_Toc139366905 \h </w:instrText>
        </w:r>
        <w:r w:rsidR="00007FC4" w:rsidRPr="00007FC4">
          <w:rPr>
            <w:noProof/>
            <w:webHidden/>
          </w:rPr>
        </w:r>
        <w:r w:rsidR="00007FC4" w:rsidRPr="00007FC4">
          <w:rPr>
            <w:noProof/>
            <w:webHidden/>
          </w:rPr>
          <w:fldChar w:fldCharType="separate"/>
        </w:r>
        <w:r w:rsidR="00007FC4">
          <w:rPr>
            <w:noProof/>
            <w:webHidden/>
          </w:rPr>
          <w:t>134</w:t>
        </w:r>
        <w:r w:rsidR="00007FC4" w:rsidRPr="00007FC4">
          <w:rPr>
            <w:noProof/>
            <w:webHidden/>
          </w:rPr>
          <w:fldChar w:fldCharType="end"/>
        </w:r>
      </w:hyperlink>
    </w:p>
    <w:p w14:paraId="4C346157" w14:textId="7E7A34E8" w:rsidR="00007FC4" w:rsidRPr="00007FC4" w:rsidRDefault="004276B7" w:rsidP="00007FC4">
      <w:pPr>
        <w:pStyle w:val="TOC3"/>
        <w:rPr>
          <w:rFonts w:eastAsiaTheme="minorEastAsia"/>
          <w:noProof/>
          <w:lang w:eastAsia="ru-RU"/>
        </w:rPr>
      </w:pPr>
      <w:hyperlink w:anchor="_Toc139366906" w:history="1">
        <w:r w:rsidR="00007FC4" w:rsidRPr="00007FC4">
          <w:rPr>
            <w:rStyle w:val="Hyperlink"/>
            <w:noProof/>
          </w:rPr>
          <w:t xml:space="preserve">5.3.7. </w:t>
        </w:r>
        <w:r w:rsidR="00007FC4" w:rsidRPr="00007FC4">
          <w:rPr>
            <w:rStyle w:val="Hyperlink"/>
            <w:rFonts w:eastAsia="Courier New"/>
            <w:noProof/>
            <w:lang w:eastAsia="ru-RU" w:bidi="ru-RU"/>
          </w:rPr>
          <w:t>Взаимодействие с другими лекарственными средствами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_Toc139366906 \h </w:instrText>
        </w:r>
        <w:r w:rsidR="00007FC4" w:rsidRPr="00007FC4">
          <w:rPr>
            <w:noProof/>
            <w:webHidden/>
          </w:rPr>
        </w:r>
        <w:r w:rsidR="00007FC4" w:rsidRPr="00007FC4">
          <w:rPr>
            <w:noProof/>
            <w:webHidden/>
          </w:rPr>
          <w:fldChar w:fldCharType="separate"/>
        </w:r>
        <w:r w:rsidR="00007FC4">
          <w:rPr>
            <w:noProof/>
            <w:webHidden/>
          </w:rPr>
          <w:t>134</w:t>
        </w:r>
        <w:r w:rsidR="00007FC4" w:rsidRPr="00007FC4">
          <w:rPr>
            <w:noProof/>
            <w:webHidden/>
          </w:rPr>
          <w:fldChar w:fldCharType="end"/>
        </w:r>
      </w:hyperlink>
    </w:p>
    <w:p w14:paraId="1087119D" w14:textId="646CDFD1" w:rsidR="00007FC4" w:rsidRPr="00007FC4" w:rsidRDefault="004276B7" w:rsidP="00007FC4">
      <w:pPr>
        <w:pStyle w:val="TOC3"/>
        <w:rPr>
          <w:rFonts w:eastAsiaTheme="minorEastAsia"/>
          <w:noProof/>
          <w:lang w:eastAsia="ru-RU"/>
        </w:rPr>
      </w:pPr>
      <w:hyperlink w:anchor="_Toc139366907" w:history="1">
        <w:r w:rsidR="00007FC4" w:rsidRPr="00007FC4">
          <w:rPr>
            <w:rStyle w:val="Hyperlink"/>
            <w:noProof/>
          </w:rPr>
          <w:t xml:space="preserve">5.3.8. </w:t>
        </w:r>
        <w:r w:rsidR="00007FC4" w:rsidRPr="00007FC4">
          <w:rPr>
            <w:rStyle w:val="Hyperlink"/>
            <w:rFonts w:eastAsia="Courier New"/>
            <w:noProof/>
            <w:lang w:eastAsia="ru-RU" w:bidi="ru-RU"/>
          </w:rPr>
          <w:t>Особые указания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_Toc139366907 \h </w:instrText>
        </w:r>
        <w:r w:rsidR="00007FC4" w:rsidRPr="00007FC4">
          <w:rPr>
            <w:noProof/>
            <w:webHidden/>
          </w:rPr>
        </w:r>
        <w:r w:rsidR="00007FC4" w:rsidRPr="00007FC4">
          <w:rPr>
            <w:noProof/>
            <w:webHidden/>
          </w:rPr>
          <w:fldChar w:fldCharType="separate"/>
        </w:r>
        <w:r w:rsidR="00007FC4">
          <w:rPr>
            <w:noProof/>
            <w:webHidden/>
          </w:rPr>
          <w:t>136</w:t>
        </w:r>
        <w:r w:rsidR="00007FC4" w:rsidRPr="00007FC4">
          <w:rPr>
            <w:noProof/>
            <w:webHidden/>
          </w:rPr>
          <w:fldChar w:fldCharType="end"/>
        </w:r>
      </w:hyperlink>
    </w:p>
    <w:p w14:paraId="28BB60B2" w14:textId="270BA078" w:rsidR="00007FC4" w:rsidRPr="00007FC4" w:rsidRDefault="004276B7" w:rsidP="00007FC4">
      <w:pPr>
        <w:pStyle w:val="TOC3"/>
        <w:rPr>
          <w:rFonts w:eastAsiaTheme="minorEastAsia"/>
          <w:noProof/>
          <w:lang w:eastAsia="ru-RU"/>
        </w:rPr>
      </w:pPr>
      <w:hyperlink w:anchor="_Toc139366908" w:history="1">
        <w:r w:rsidR="00007FC4" w:rsidRPr="00007FC4">
          <w:rPr>
            <w:rStyle w:val="Hyperlink"/>
            <w:noProof/>
          </w:rPr>
          <w:t>5.3.9 Влияние на способность управлять транспортными средствами и механизмами</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_Toc139366908 \h </w:instrText>
        </w:r>
        <w:r w:rsidR="00007FC4" w:rsidRPr="00007FC4">
          <w:rPr>
            <w:noProof/>
            <w:webHidden/>
          </w:rPr>
        </w:r>
        <w:r w:rsidR="00007FC4" w:rsidRPr="00007FC4">
          <w:rPr>
            <w:noProof/>
            <w:webHidden/>
          </w:rPr>
          <w:fldChar w:fldCharType="separate"/>
        </w:r>
        <w:r w:rsidR="00007FC4">
          <w:rPr>
            <w:noProof/>
            <w:webHidden/>
          </w:rPr>
          <w:t>139</w:t>
        </w:r>
        <w:r w:rsidR="00007FC4" w:rsidRPr="00007FC4">
          <w:rPr>
            <w:noProof/>
            <w:webHidden/>
          </w:rPr>
          <w:fldChar w:fldCharType="end"/>
        </w:r>
      </w:hyperlink>
    </w:p>
    <w:p w14:paraId="37794A08" w14:textId="20EB51A7" w:rsidR="00007FC4" w:rsidRPr="00007FC4" w:rsidRDefault="004276B7" w:rsidP="00007FC4">
      <w:pPr>
        <w:pStyle w:val="TOC1"/>
        <w:rPr>
          <w:rFonts w:eastAsiaTheme="minorEastAsia"/>
          <w:noProof/>
          <w:lang w:eastAsia="ru-RU"/>
        </w:rPr>
      </w:pPr>
      <w:hyperlink w:anchor="_Toc139366909" w:history="1">
        <w:r w:rsidR="00007FC4" w:rsidRPr="00007FC4">
          <w:rPr>
            <w:rStyle w:val="Hyperlink"/>
            <w:noProof/>
          </w:rPr>
          <w:t>6. ЗАКЛЮЧЕНИЕ</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_Toc139366909 \h </w:instrText>
        </w:r>
        <w:r w:rsidR="00007FC4" w:rsidRPr="00007FC4">
          <w:rPr>
            <w:noProof/>
            <w:webHidden/>
          </w:rPr>
        </w:r>
        <w:r w:rsidR="00007FC4" w:rsidRPr="00007FC4">
          <w:rPr>
            <w:noProof/>
            <w:webHidden/>
          </w:rPr>
          <w:fldChar w:fldCharType="separate"/>
        </w:r>
        <w:r w:rsidR="00007FC4">
          <w:rPr>
            <w:noProof/>
            <w:webHidden/>
          </w:rPr>
          <w:t>139</w:t>
        </w:r>
        <w:r w:rsidR="00007FC4" w:rsidRPr="00007FC4">
          <w:rPr>
            <w:noProof/>
            <w:webHidden/>
          </w:rPr>
          <w:fldChar w:fldCharType="end"/>
        </w:r>
      </w:hyperlink>
    </w:p>
    <w:p w14:paraId="4319E5AE" w14:textId="1611CFAC" w:rsidR="00007FC4" w:rsidRPr="00007FC4" w:rsidRDefault="004276B7" w:rsidP="00007FC4">
      <w:pPr>
        <w:pStyle w:val="TOC1"/>
        <w:rPr>
          <w:rFonts w:eastAsiaTheme="minorEastAsia"/>
          <w:noProof/>
          <w:lang w:eastAsia="ru-RU"/>
        </w:rPr>
      </w:pPr>
      <w:hyperlink w:anchor="_Toc139366910" w:history="1">
        <w:r w:rsidR="00007FC4" w:rsidRPr="00007FC4">
          <w:rPr>
            <w:rStyle w:val="Hyperlink"/>
            <w:bCs/>
            <w:noProof/>
            <w:kern w:val="32"/>
          </w:rPr>
          <w:t>ПРИЛОЖЕНИЯ</w:t>
        </w:r>
        <w:r w:rsidR="00007FC4" w:rsidRPr="00007FC4">
          <w:rPr>
            <w:noProof/>
            <w:webHidden/>
          </w:rPr>
          <w:tab/>
        </w:r>
        <w:r w:rsidR="00007FC4" w:rsidRPr="00007FC4">
          <w:rPr>
            <w:noProof/>
            <w:webHidden/>
          </w:rPr>
          <w:fldChar w:fldCharType="begin"/>
        </w:r>
        <w:r w:rsidR="00007FC4" w:rsidRPr="00007FC4">
          <w:rPr>
            <w:noProof/>
            <w:webHidden/>
          </w:rPr>
          <w:instrText xml:space="preserve"> PAGEREF _Toc139366910 \h </w:instrText>
        </w:r>
        <w:r w:rsidR="00007FC4" w:rsidRPr="00007FC4">
          <w:rPr>
            <w:noProof/>
            <w:webHidden/>
          </w:rPr>
        </w:r>
        <w:r w:rsidR="00007FC4" w:rsidRPr="00007FC4">
          <w:rPr>
            <w:noProof/>
            <w:webHidden/>
          </w:rPr>
          <w:fldChar w:fldCharType="separate"/>
        </w:r>
        <w:r w:rsidR="00007FC4">
          <w:rPr>
            <w:noProof/>
            <w:webHidden/>
          </w:rPr>
          <w:t>141</w:t>
        </w:r>
        <w:r w:rsidR="00007FC4" w:rsidRPr="00007FC4">
          <w:rPr>
            <w:noProof/>
            <w:webHidden/>
          </w:rPr>
          <w:fldChar w:fldCharType="end"/>
        </w:r>
      </w:hyperlink>
    </w:p>
    <w:p w14:paraId="6901AD5A" w14:textId="5BD77F25" w:rsidR="00C42C8A" w:rsidRPr="00007FC4" w:rsidRDefault="008D5756" w:rsidP="00007FC4">
      <w:pPr>
        <w:spacing w:after="0" w:line="240" w:lineRule="auto"/>
        <w:ind w:firstLine="709"/>
        <w:rPr>
          <w:color w:val="000000" w:themeColor="text1"/>
          <w:highlight w:val="yellow"/>
        </w:rPr>
      </w:pPr>
      <w:r w:rsidRPr="00007FC4">
        <w:rPr>
          <w:color w:val="000000" w:themeColor="text1"/>
        </w:rPr>
        <w:fldChar w:fldCharType="end"/>
      </w:r>
    </w:p>
    <w:p w14:paraId="2E7F8273" w14:textId="77777777" w:rsidR="00C42C8A" w:rsidRPr="00C42C8A" w:rsidRDefault="00C42C8A" w:rsidP="00C42C8A">
      <w:pPr>
        <w:rPr>
          <w:highlight w:val="yellow"/>
        </w:rPr>
      </w:pPr>
    </w:p>
    <w:p w14:paraId="0E80DAFF" w14:textId="77777777" w:rsidR="00C42C8A" w:rsidRPr="00C42C8A" w:rsidRDefault="00C42C8A" w:rsidP="00C42C8A">
      <w:pPr>
        <w:rPr>
          <w:highlight w:val="yellow"/>
        </w:rPr>
      </w:pPr>
    </w:p>
    <w:p w14:paraId="37B97B91" w14:textId="77777777" w:rsidR="00C42C8A" w:rsidRPr="00C42C8A" w:rsidRDefault="00C42C8A" w:rsidP="00C42C8A">
      <w:pPr>
        <w:rPr>
          <w:highlight w:val="yellow"/>
        </w:rPr>
      </w:pPr>
    </w:p>
    <w:p w14:paraId="0D4A0853" w14:textId="77777777" w:rsidR="00C42C8A" w:rsidRPr="00C42C8A" w:rsidRDefault="00C42C8A" w:rsidP="00C42C8A">
      <w:pPr>
        <w:rPr>
          <w:highlight w:val="yellow"/>
        </w:rPr>
      </w:pPr>
    </w:p>
    <w:p w14:paraId="40F08996" w14:textId="77777777" w:rsidR="00C42C8A" w:rsidRPr="00C42C8A" w:rsidRDefault="00C42C8A" w:rsidP="00C42C8A">
      <w:pPr>
        <w:rPr>
          <w:highlight w:val="yellow"/>
        </w:rPr>
      </w:pPr>
    </w:p>
    <w:p w14:paraId="7F141BCA" w14:textId="77777777" w:rsidR="00C42C8A" w:rsidRPr="00C42C8A" w:rsidRDefault="00C42C8A" w:rsidP="00C42C8A">
      <w:pPr>
        <w:rPr>
          <w:highlight w:val="yellow"/>
        </w:rPr>
      </w:pPr>
    </w:p>
    <w:p w14:paraId="2730EE81" w14:textId="77777777" w:rsidR="00C42C8A" w:rsidRPr="00C42C8A" w:rsidRDefault="00C42C8A" w:rsidP="00C42C8A">
      <w:pPr>
        <w:rPr>
          <w:highlight w:val="yellow"/>
        </w:rPr>
      </w:pPr>
    </w:p>
    <w:p w14:paraId="2FD0ECF9" w14:textId="77777777" w:rsidR="00C42C8A" w:rsidRPr="00C42C8A" w:rsidRDefault="00C42C8A" w:rsidP="00C42C8A">
      <w:pPr>
        <w:rPr>
          <w:highlight w:val="yellow"/>
        </w:rPr>
      </w:pPr>
    </w:p>
    <w:p w14:paraId="4C87DB22" w14:textId="77777777" w:rsidR="00C42C8A" w:rsidRPr="00C42C8A" w:rsidRDefault="00C42C8A" w:rsidP="00C42C8A">
      <w:pPr>
        <w:rPr>
          <w:highlight w:val="yellow"/>
        </w:rPr>
      </w:pPr>
    </w:p>
    <w:p w14:paraId="6426B7BA" w14:textId="77777777" w:rsidR="00C42C8A" w:rsidRPr="00C42C8A" w:rsidRDefault="00C42C8A" w:rsidP="00C42C8A">
      <w:pPr>
        <w:rPr>
          <w:highlight w:val="yellow"/>
        </w:rPr>
      </w:pPr>
    </w:p>
    <w:p w14:paraId="4922C0AC" w14:textId="77777777" w:rsidR="00C42C8A" w:rsidRPr="00C42C8A" w:rsidRDefault="00C42C8A" w:rsidP="00C42C8A">
      <w:pPr>
        <w:rPr>
          <w:highlight w:val="yellow"/>
        </w:rPr>
      </w:pPr>
    </w:p>
    <w:p w14:paraId="4014A602" w14:textId="77777777" w:rsidR="00C42C8A" w:rsidRDefault="00C42C8A" w:rsidP="00C42C8A">
      <w:pPr>
        <w:tabs>
          <w:tab w:val="left" w:pos="5295"/>
        </w:tabs>
      </w:pPr>
    </w:p>
    <w:p w14:paraId="5C7F6DF0" w14:textId="1971DC14" w:rsidR="00C42C8A" w:rsidRPr="00C42C8A" w:rsidRDefault="00C42C8A" w:rsidP="00C42C8A">
      <w:pPr>
        <w:tabs>
          <w:tab w:val="left" w:pos="5295"/>
        </w:tabs>
      </w:pPr>
      <w:r w:rsidRPr="00C42C8A">
        <w:tab/>
      </w:r>
    </w:p>
    <w:p w14:paraId="58BCD481" w14:textId="59DBBA31" w:rsidR="00C035FA" w:rsidRPr="00C42C8A" w:rsidRDefault="00C42C8A" w:rsidP="00C42C8A">
      <w:pPr>
        <w:tabs>
          <w:tab w:val="left" w:pos="5295"/>
        </w:tabs>
        <w:sectPr w:rsidR="00C035FA" w:rsidRPr="00C42C8A">
          <w:headerReference w:type="default" r:id="rId8"/>
          <w:footerReference w:type="default" r:id="rId9"/>
          <w:headerReference w:type="first" r:id="rId10"/>
          <w:pgSz w:w="11906" w:h="16838"/>
          <w:pgMar w:top="1134" w:right="851" w:bottom="1134" w:left="1701" w:header="709" w:footer="709" w:gutter="0"/>
          <w:cols w:space="708"/>
          <w:docGrid w:linePitch="360"/>
        </w:sectPr>
      </w:pPr>
      <w:r w:rsidRPr="00C42C8A">
        <w:tab/>
      </w:r>
    </w:p>
    <w:p w14:paraId="00645707" w14:textId="77777777" w:rsidR="00C035FA" w:rsidRDefault="008D5756">
      <w:pPr>
        <w:spacing w:after="240" w:line="240" w:lineRule="auto"/>
        <w:outlineLvl w:val="0"/>
        <w:rPr>
          <w:b/>
          <w:highlight w:val="yellow"/>
        </w:rPr>
      </w:pPr>
      <w:bookmarkStart w:id="3" w:name="_Toc139366810"/>
      <w:r>
        <w:rPr>
          <w:b/>
        </w:rPr>
        <w:lastRenderedPageBreak/>
        <w:t>ЛИСТ СОГЛАСОВАНИЯ</w:t>
      </w:r>
      <w:bookmarkEnd w:id="3"/>
    </w:p>
    <w:p w14:paraId="246B484A" w14:textId="296CB4A3" w:rsidR="00C035FA" w:rsidRDefault="008D5756">
      <w:pPr>
        <w:spacing w:after="0" w:line="240" w:lineRule="auto"/>
        <w:rPr>
          <w:highlight w:val="yellow"/>
        </w:rPr>
      </w:pPr>
      <w:r>
        <w:t xml:space="preserve">к версии № 1.0 от </w:t>
      </w:r>
      <w:r w:rsidR="00421FA2">
        <w:t>23</w:t>
      </w:r>
      <w:r>
        <w:t xml:space="preserve"> </w:t>
      </w:r>
      <w:r w:rsidR="001F6509">
        <w:t>июня</w:t>
      </w:r>
      <w:r>
        <w:t xml:space="preserve"> 202</w:t>
      </w:r>
      <w:r w:rsidR="0044130C">
        <w:t>3</w:t>
      </w:r>
      <w:r>
        <w:t xml:space="preserve"> г. Брошюры исследователя по препарату </w:t>
      </w:r>
      <w:r>
        <w:rPr>
          <w:lang w:val="en-US" w:eastAsia="ru-RU"/>
        </w:rPr>
        <w:t>DT</w:t>
      </w:r>
      <w:r>
        <w:rPr>
          <w:lang w:eastAsia="ru-RU"/>
        </w:rPr>
        <w:t>-</w:t>
      </w:r>
      <w:r>
        <w:rPr>
          <w:lang w:val="en-US" w:eastAsia="ru-RU"/>
        </w:rPr>
        <w:t>EMP</w:t>
      </w:r>
      <w:r>
        <w:rPr>
          <w:lang w:eastAsia="ru-RU"/>
        </w:rPr>
        <w:t xml:space="preserve"> </w:t>
      </w:r>
      <w:bookmarkStart w:id="4" w:name="_Hlk115948599"/>
      <w:r>
        <w:t>(МНН: эмпаглифлозин), таблетки, покрытые пленочной оболочкой, 10 мг и 25 мг (</w:t>
      </w:r>
      <w:r w:rsidR="00035195">
        <w:t xml:space="preserve">получать РУ% АО «Р-Фарм», Россия; </w:t>
      </w:r>
      <w:r>
        <w:t xml:space="preserve">производитель: </w:t>
      </w:r>
      <w:r w:rsidR="00633CC4">
        <w:t>ООО</w:t>
      </w:r>
      <w:r>
        <w:t xml:space="preserve"> «Р-Фарм</w:t>
      </w:r>
      <w:r w:rsidR="00633CC4">
        <w:t xml:space="preserve"> Новоселки</w:t>
      </w:r>
      <w:r>
        <w:t>», Россия), являющегося воспроизведенным препаратом по отношению к оригинальному препарату Джардинс</w:t>
      </w:r>
      <w:r w:rsidRPr="00633CC4">
        <w:rPr>
          <w:vertAlign w:val="superscript"/>
        </w:rPr>
        <w:t>®</w:t>
      </w:r>
      <w:r>
        <w:t xml:space="preserve"> (МНН: эмпаглифлозин), таблетки, покрытые пленочной оболочкой, 10 мг и 25 мг (производитель: </w:t>
      </w:r>
      <w:r>
        <w:rPr>
          <w:rFonts w:eastAsia="Calibri"/>
          <w:bCs/>
        </w:rPr>
        <w:t xml:space="preserve">Берингер Ингельхайм Фарма ГмбХ и Ко.КГ, Германия; владелец РУ: Берингер Ингельхайм </w:t>
      </w:r>
      <w:r w:rsidR="008A25E1">
        <w:rPr>
          <w:rFonts w:eastAsia="Calibri"/>
          <w:bCs/>
        </w:rPr>
        <w:t>Интернешнл ГмбХ</w:t>
      </w:r>
      <w:r>
        <w:rPr>
          <w:rFonts w:eastAsia="Calibri"/>
          <w:bCs/>
        </w:rPr>
        <w:t>, Германия</w:t>
      </w:r>
      <w:r>
        <w:t>).</w:t>
      </w:r>
    </w:p>
    <w:bookmarkEnd w:id="4"/>
    <w:p w14:paraId="42C100D2" w14:textId="77777777" w:rsidR="00C035FA" w:rsidRDefault="00C035FA">
      <w:pPr>
        <w:spacing w:after="0" w:line="240" w:lineRule="auto"/>
        <w:rPr>
          <w:b/>
          <w:highlight w:val="yellow"/>
        </w:rPr>
      </w:pPr>
    </w:p>
    <w:p w14:paraId="01495A86" w14:textId="77777777" w:rsidR="00C035FA" w:rsidRDefault="008D5756">
      <w:pPr>
        <w:spacing w:after="0" w:line="240" w:lineRule="auto"/>
        <w:rPr>
          <w:color w:val="000000" w:themeColor="text1"/>
          <w:u w:val="single"/>
        </w:rPr>
      </w:pPr>
      <w:r>
        <w:rPr>
          <w:b/>
        </w:rPr>
        <w:t>Заявляемые показания:</w:t>
      </w:r>
      <w:r>
        <w:t xml:space="preserve"> </w:t>
      </w:r>
    </w:p>
    <w:p w14:paraId="76227F2C" w14:textId="7B0C5634" w:rsidR="00C035FA" w:rsidRPr="00035195" w:rsidRDefault="008D5756">
      <w:pPr>
        <w:spacing w:after="0" w:line="240" w:lineRule="auto"/>
        <w:rPr>
          <w:b/>
          <w:i/>
          <w:color w:val="000000" w:themeColor="text1"/>
        </w:rPr>
      </w:pPr>
      <w:r w:rsidRPr="00035195">
        <w:rPr>
          <w:b/>
          <w:i/>
          <w:color w:val="000000" w:themeColor="text1"/>
        </w:rPr>
        <w:t>Сахарный диабет 2 типа</w:t>
      </w:r>
    </w:p>
    <w:p w14:paraId="2475B98B" w14:textId="060DC936" w:rsidR="00C035FA" w:rsidRDefault="008D5756">
      <w:pPr>
        <w:spacing w:after="0" w:line="240" w:lineRule="auto"/>
        <w:rPr>
          <w:color w:val="000000" w:themeColor="text1"/>
        </w:rPr>
      </w:pPr>
      <w:r>
        <w:rPr>
          <w:color w:val="000000" w:themeColor="text1"/>
        </w:rPr>
        <w:t xml:space="preserve">Для терапии </w:t>
      </w:r>
      <w:r w:rsidR="00725B7D">
        <w:rPr>
          <w:color w:val="000000" w:themeColor="text1"/>
        </w:rPr>
        <w:t>сахарного диабета 2 типа (</w:t>
      </w:r>
      <w:r>
        <w:rPr>
          <w:color w:val="000000" w:themeColor="text1"/>
        </w:rPr>
        <w:t>СД2</w:t>
      </w:r>
      <w:r w:rsidR="00725B7D">
        <w:rPr>
          <w:color w:val="000000" w:themeColor="text1"/>
        </w:rPr>
        <w:t>)</w:t>
      </w:r>
      <w:r>
        <w:rPr>
          <w:color w:val="000000" w:themeColor="text1"/>
        </w:rPr>
        <w:t xml:space="preserve"> у взрослых пациентов с неадекватным гликемическим контролем в дополнение к диетотерапии и физическим упражнениям:</w:t>
      </w:r>
    </w:p>
    <w:p w14:paraId="535BC091" w14:textId="77777777" w:rsidR="00C035FA" w:rsidRDefault="008D5756">
      <w:pPr>
        <w:spacing w:after="0" w:line="240" w:lineRule="auto"/>
        <w:rPr>
          <w:color w:val="000000" w:themeColor="text1"/>
        </w:rPr>
      </w:pPr>
      <w:r>
        <w:rPr>
          <w:color w:val="000000" w:themeColor="text1"/>
        </w:rPr>
        <w:t>- в качестве монотерапии;</w:t>
      </w:r>
    </w:p>
    <w:p w14:paraId="01F767ED" w14:textId="77777777" w:rsidR="00C035FA" w:rsidRDefault="008D5756">
      <w:pPr>
        <w:spacing w:after="0" w:line="240" w:lineRule="auto"/>
        <w:rPr>
          <w:color w:val="000000" w:themeColor="text1"/>
        </w:rPr>
      </w:pPr>
      <w:r>
        <w:rPr>
          <w:color w:val="000000" w:themeColor="text1"/>
        </w:rPr>
        <w:t>- в качестве комбинированной терапии с другими гипогликемическими препаратами, включая инсулин.</w:t>
      </w:r>
    </w:p>
    <w:p w14:paraId="0B5A9C22" w14:textId="02FE2CDE" w:rsidR="00C035FA" w:rsidRDefault="008D5756">
      <w:pPr>
        <w:spacing w:after="0" w:line="240" w:lineRule="auto"/>
        <w:rPr>
          <w:color w:val="000000" w:themeColor="text1"/>
        </w:rPr>
      </w:pPr>
      <w:r>
        <w:rPr>
          <w:color w:val="000000" w:themeColor="text1"/>
        </w:rPr>
        <w:t>Препарат показан пациентам с СД2 и высоким сердечно-сосудистым риском в комбинации со стандартной терапией сердечно-сосудистых заболеваний с целью снижения:</w:t>
      </w:r>
    </w:p>
    <w:p w14:paraId="2E247E33" w14:textId="77777777" w:rsidR="00C035FA" w:rsidRDefault="008D5756">
      <w:pPr>
        <w:spacing w:after="0" w:line="240" w:lineRule="auto"/>
        <w:rPr>
          <w:color w:val="000000" w:themeColor="text1"/>
        </w:rPr>
      </w:pPr>
      <w:r>
        <w:rPr>
          <w:color w:val="000000" w:themeColor="text1"/>
        </w:rPr>
        <w:t>- общей смертности за счет снижения сердечно-сосудистой смертности;</w:t>
      </w:r>
    </w:p>
    <w:p w14:paraId="490A3DB0" w14:textId="5C00507C" w:rsidR="00C035FA" w:rsidRDefault="00905AAA">
      <w:pPr>
        <w:spacing w:after="0" w:line="240" w:lineRule="auto"/>
        <w:rPr>
          <w:color w:val="000000" w:themeColor="text1"/>
        </w:rPr>
      </w:pPr>
      <w:r>
        <w:rPr>
          <w:color w:val="000000" w:themeColor="text1"/>
        </w:rPr>
        <w:t xml:space="preserve">- </w:t>
      </w:r>
      <w:r w:rsidR="008D5756">
        <w:rPr>
          <w:color w:val="000000" w:themeColor="text1"/>
        </w:rPr>
        <w:t>сердечно-сосудистой смертности или госпитализации по поводу сердечной недостаточности.</w:t>
      </w:r>
    </w:p>
    <w:p w14:paraId="28ED6B5C" w14:textId="77777777" w:rsidR="00C035FA" w:rsidRPr="00035195" w:rsidRDefault="008D5756">
      <w:pPr>
        <w:spacing w:after="0" w:line="240" w:lineRule="auto"/>
        <w:rPr>
          <w:b/>
          <w:i/>
          <w:color w:val="000000" w:themeColor="text1"/>
        </w:rPr>
      </w:pPr>
      <w:r w:rsidRPr="00035195">
        <w:rPr>
          <w:b/>
          <w:i/>
          <w:color w:val="000000" w:themeColor="text1"/>
        </w:rPr>
        <w:t>Сердечная недостаточность</w:t>
      </w:r>
    </w:p>
    <w:p w14:paraId="268A2FD0" w14:textId="0D1266B8" w:rsidR="00C035FA" w:rsidRPr="008D5756" w:rsidRDefault="00905AAA">
      <w:pPr>
        <w:spacing w:after="0" w:line="240" w:lineRule="auto"/>
        <w:rPr>
          <w:color w:val="000000" w:themeColor="text1"/>
        </w:rPr>
      </w:pPr>
      <w:r>
        <w:rPr>
          <w:color w:val="000000" w:themeColor="text1"/>
        </w:rPr>
        <w:t xml:space="preserve">Препарат </w:t>
      </w:r>
      <w:r w:rsidR="005A6067">
        <w:rPr>
          <w:color w:val="000000" w:themeColor="text1"/>
        </w:rPr>
        <w:t xml:space="preserve">показан </w:t>
      </w:r>
      <w:r w:rsidR="00564AC2">
        <w:rPr>
          <w:color w:val="000000" w:themeColor="text1"/>
        </w:rPr>
        <w:t xml:space="preserve">взрослым </w:t>
      </w:r>
      <w:r w:rsidR="00112929">
        <w:rPr>
          <w:color w:val="000000" w:themeColor="text1"/>
        </w:rPr>
        <w:t>пациентам с</w:t>
      </w:r>
      <w:r w:rsidR="008D5756">
        <w:rPr>
          <w:color w:val="000000" w:themeColor="text1"/>
        </w:rPr>
        <w:t xml:space="preserve"> </w:t>
      </w:r>
      <w:r w:rsidR="00725B7D">
        <w:rPr>
          <w:color w:val="000000" w:themeColor="text1"/>
        </w:rPr>
        <w:t>хронической сердечной недостаточностью (</w:t>
      </w:r>
      <w:r w:rsidR="008D5756">
        <w:rPr>
          <w:color w:val="000000" w:themeColor="text1"/>
        </w:rPr>
        <w:t>ХСН</w:t>
      </w:r>
      <w:r w:rsidR="00725B7D">
        <w:rPr>
          <w:color w:val="000000" w:themeColor="text1"/>
        </w:rPr>
        <w:t>)</w:t>
      </w:r>
      <w:r w:rsidR="008D5756">
        <w:rPr>
          <w:color w:val="000000" w:themeColor="text1"/>
        </w:rPr>
        <w:t xml:space="preserve"> (функциональные классы II-IV  по классификации NYHA) независимо от фракции выброса левого желудочка, с или без СД2 для снижения риска сердечно-сосудистой смерти и госпитализации по поводу сердечной недостаточности.</w:t>
      </w:r>
    </w:p>
    <w:p w14:paraId="4E5D2859" w14:textId="77777777" w:rsidR="00C035FA" w:rsidRDefault="00C035FA">
      <w:pPr>
        <w:spacing w:after="0" w:line="240" w:lineRule="auto"/>
        <w:ind w:firstLine="709"/>
        <w:rPr>
          <w:szCs w:val="20"/>
          <w:lang w:eastAsia="ru-RU"/>
        </w:rPr>
      </w:pPr>
    </w:p>
    <w:p w14:paraId="66E1BCF7" w14:textId="77777777" w:rsidR="00C035FA" w:rsidRDefault="008D5756">
      <w:pPr>
        <w:spacing w:after="0" w:line="240" w:lineRule="auto"/>
        <w:ind w:firstLine="709"/>
        <w:rPr>
          <w:szCs w:val="20"/>
          <w:lang w:eastAsia="ru-RU"/>
        </w:rPr>
      </w:pPr>
      <w:r>
        <w:rPr>
          <w:szCs w:val="20"/>
          <w:lang w:eastAsia="ru-RU"/>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8751C6D" w14:textId="2F3082B4" w:rsidR="00C035FA" w:rsidRDefault="008D5756" w:rsidP="00035195">
      <w:pPr>
        <w:spacing w:after="0" w:line="240" w:lineRule="auto"/>
        <w:ind w:firstLine="709"/>
        <w:rPr>
          <w:szCs w:val="20"/>
          <w:lang w:eastAsia="ru-RU"/>
        </w:rPr>
      </w:pPr>
      <w:r>
        <w:rPr>
          <w:szCs w:val="20"/>
          <w:lang w:eastAsia="ru-RU"/>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tbl>
      <w:tblPr>
        <w:tblW w:w="9381" w:type="dxa"/>
        <w:tblLook w:val="04A0" w:firstRow="1" w:lastRow="0" w:firstColumn="1" w:lastColumn="0" w:noHBand="0" w:noVBand="1"/>
      </w:tblPr>
      <w:tblGrid>
        <w:gridCol w:w="4962"/>
        <w:gridCol w:w="4419"/>
      </w:tblGrid>
      <w:tr w:rsidR="00C035FA" w14:paraId="5BCA15CC" w14:textId="77777777">
        <w:tc>
          <w:tcPr>
            <w:tcW w:w="4962" w:type="dxa"/>
          </w:tcPr>
          <w:p w14:paraId="5FD04183" w14:textId="77777777" w:rsidR="00C035FA" w:rsidRDefault="00C035FA">
            <w:pPr>
              <w:spacing w:after="0" w:line="240" w:lineRule="auto"/>
              <w:ind w:left="-108"/>
              <w:rPr>
                <w:b/>
                <w:lang w:eastAsia="ru-RU"/>
              </w:rPr>
            </w:pPr>
          </w:p>
          <w:p w14:paraId="536E161B" w14:textId="77777777" w:rsidR="00C035FA" w:rsidRDefault="008D5756">
            <w:pPr>
              <w:spacing w:after="0" w:line="240" w:lineRule="auto"/>
              <w:ind w:left="-108"/>
              <w:rPr>
                <w:b/>
                <w:lang w:eastAsia="ru-RU"/>
              </w:rPr>
            </w:pPr>
            <w:r>
              <w:rPr>
                <w:b/>
                <w:lang w:eastAsia="ru-RU"/>
              </w:rPr>
              <w:t>Представитель Спонсора:</w:t>
            </w:r>
          </w:p>
          <w:p w14:paraId="4152E9A4" w14:textId="77777777" w:rsidR="00C035FA" w:rsidRDefault="008D5756">
            <w:pPr>
              <w:spacing w:after="0" w:line="240" w:lineRule="auto"/>
              <w:ind w:left="-108"/>
              <w:rPr>
                <w:lang w:eastAsia="ru-RU"/>
              </w:rPr>
            </w:pPr>
            <w:r>
              <w:rPr>
                <w:b/>
                <w:lang w:eastAsia="ru-RU"/>
              </w:rPr>
              <w:t>Филон Ольга Владимировна</w:t>
            </w:r>
          </w:p>
          <w:p w14:paraId="24DA1EA2" w14:textId="77777777" w:rsidR="00C035FA" w:rsidRDefault="008D5756">
            <w:pPr>
              <w:spacing w:after="0" w:line="254" w:lineRule="auto"/>
              <w:ind w:left="-108"/>
            </w:pPr>
            <w:r>
              <w:t>Директор Департамента доклинической и клинической разработки</w:t>
            </w:r>
          </w:p>
          <w:p w14:paraId="5ED5EF76" w14:textId="77777777" w:rsidR="00C035FA" w:rsidRDefault="008D5756">
            <w:pPr>
              <w:spacing w:after="0" w:line="254" w:lineRule="auto"/>
              <w:ind w:left="-108"/>
            </w:pPr>
            <w:r>
              <w:t>Медицинской дирекции</w:t>
            </w:r>
          </w:p>
          <w:p w14:paraId="389B40BE" w14:textId="3A9A3258" w:rsidR="00C035FA" w:rsidRPr="00905AAA" w:rsidRDefault="008D5756" w:rsidP="00905AAA">
            <w:pPr>
              <w:spacing w:after="0" w:line="254" w:lineRule="auto"/>
              <w:ind w:left="-108"/>
            </w:pPr>
            <w:r>
              <w:t>АО «Р-Фарм»</w:t>
            </w:r>
          </w:p>
        </w:tc>
        <w:tc>
          <w:tcPr>
            <w:tcW w:w="4419" w:type="dxa"/>
          </w:tcPr>
          <w:p w14:paraId="370F8633" w14:textId="77777777" w:rsidR="00C035FA" w:rsidRDefault="00C035FA">
            <w:pPr>
              <w:spacing w:after="0" w:line="240" w:lineRule="auto"/>
              <w:rPr>
                <w:sz w:val="28"/>
                <w:szCs w:val="28"/>
                <w:lang w:eastAsia="ru-RU"/>
              </w:rPr>
            </w:pPr>
          </w:p>
          <w:p w14:paraId="699C2FD0" w14:textId="77777777" w:rsidR="00C035FA" w:rsidRDefault="00C035FA">
            <w:pPr>
              <w:spacing w:after="0" w:line="240" w:lineRule="auto"/>
              <w:rPr>
                <w:sz w:val="28"/>
                <w:szCs w:val="28"/>
                <w:lang w:eastAsia="ru-RU"/>
              </w:rPr>
            </w:pPr>
          </w:p>
          <w:p w14:paraId="27E31DE0" w14:textId="77777777" w:rsidR="00C035FA" w:rsidRDefault="008D5756">
            <w:pPr>
              <w:spacing w:after="0" w:line="240" w:lineRule="auto"/>
              <w:rPr>
                <w:sz w:val="28"/>
                <w:szCs w:val="28"/>
                <w:lang w:eastAsia="ru-RU"/>
              </w:rPr>
            </w:pPr>
            <w:r>
              <w:rPr>
                <w:sz w:val="28"/>
                <w:szCs w:val="28"/>
                <w:lang w:eastAsia="ru-RU"/>
              </w:rPr>
              <w:t>______________________________</w:t>
            </w:r>
          </w:p>
          <w:p w14:paraId="4EFDCFA6" w14:textId="77777777" w:rsidR="00C035FA" w:rsidRDefault="008D5756">
            <w:pPr>
              <w:spacing w:after="0" w:line="240" w:lineRule="auto"/>
              <w:jc w:val="center"/>
              <w:rPr>
                <w:sz w:val="28"/>
                <w:szCs w:val="28"/>
                <w:vertAlign w:val="superscript"/>
                <w:lang w:eastAsia="ru-RU"/>
              </w:rPr>
            </w:pPr>
            <w:r>
              <w:rPr>
                <w:sz w:val="28"/>
                <w:szCs w:val="28"/>
                <w:vertAlign w:val="superscript"/>
                <w:lang w:eastAsia="ru-RU"/>
              </w:rPr>
              <w:t>Подпись</w:t>
            </w:r>
          </w:p>
          <w:p w14:paraId="7A13F2C3" w14:textId="77777777" w:rsidR="00C035FA" w:rsidRDefault="008D5756">
            <w:pPr>
              <w:spacing w:after="0" w:line="240" w:lineRule="auto"/>
              <w:rPr>
                <w:sz w:val="28"/>
                <w:szCs w:val="28"/>
                <w:lang w:eastAsia="ru-RU"/>
              </w:rPr>
            </w:pPr>
            <w:r>
              <w:rPr>
                <w:sz w:val="28"/>
                <w:szCs w:val="28"/>
                <w:lang w:eastAsia="ru-RU"/>
              </w:rPr>
              <w:t>______________________________</w:t>
            </w:r>
          </w:p>
          <w:p w14:paraId="6A550C69" w14:textId="77777777" w:rsidR="00C035FA" w:rsidRDefault="008D5756">
            <w:pPr>
              <w:spacing w:after="0" w:line="240" w:lineRule="auto"/>
              <w:jc w:val="center"/>
              <w:rPr>
                <w:sz w:val="20"/>
                <w:szCs w:val="20"/>
                <w:lang w:eastAsia="ru-RU"/>
              </w:rPr>
            </w:pPr>
            <w:r>
              <w:rPr>
                <w:sz w:val="28"/>
                <w:szCs w:val="28"/>
                <w:vertAlign w:val="superscript"/>
                <w:lang w:eastAsia="ru-RU"/>
              </w:rPr>
              <w:t>Дата</w:t>
            </w:r>
          </w:p>
        </w:tc>
      </w:tr>
    </w:tbl>
    <w:p w14:paraId="2B829A4A" w14:textId="77777777" w:rsidR="00035195" w:rsidRDefault="00035195" w:rsidP="00905AAA">
      <w:pPr>
        <w:spacing w:after="0" w:line="240" w:lineRule="auto"/>
        <w:jc w:val="left"/>
        <w:rPr>
          <w:b/>
          <w:color w:val="000000" w:themeColor="text1"/>
        </w:rPr>
        <w:sectPr w:rsidR="00035195">
          <w:pgSz w:w="11906" w:h="16838"/>
          <w:pgMar w:top="1134" w:right="851" w:bottom="1134" w:left="1701" w:header="709" w:footer="708" w:gutter="0"/>
          <w:cols w:space="708"/>
          <w:docGrid w:linePitch="360"/>
        </w:sectPr>
      </w:pPr>
    </w:p>
    <w:p w14:paraId="5D884F78" w14:textId="37434A35" w:rsidR="00C035FA" w:rsidRPr="001E7F44" w:rsidRDefault="008D5756" w:rsidP="00677CFF">
      <w:pPr>
        <w:pStyle w:val="Heading1"/>
      </w:pPr>
      <w:r w:rsidRPr="00E14858">
        <w:lastRenderedPageBreak/>
        <w:t>СПИСОК СОКРАЩЕНИЙ</w:t>
      </w:r>
    </w:p>
    <w:tbl>
      <w:tblPr>
        <w:tblpPr w:leftFromText="180" w:rightFromText="180" w:vertAnchor="text" w:horzAnchor="margin" w:tblpY="147"/>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2068"/>
        <w:gridCol w:w="7237"/>
      </w:tblGrid>
      <w:tr w:rsidR="00C035FA" w14:paraId="131F83E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15D9685" w14:textId="77777777" w:rsidR="00C035FA" w:rsidRDefault="008D5756">
            <w:pPr>
              <w:pStyle w:val="Default"/>
              <w:jc w:val="both"/>
              <w:rPr>
                <w:color w:val="auto"/>
                <w:lang w:eastAsia="zh-CN"/>
              </w:rPr>
            </w:pPr>
            <w:bookmarkStart w:id="5" w:name="_Toc395011854"/>
            <w:r w:rsidRPr="00816627">
              <w:rPr>
                <w:color w:val="auto"/>
                <w:vertAlign w:val="superscript"/>
                <w:lang w:eastAsia="zh-CN"/>
              </w:rPr>
              <w:t>14</w:t>
            </w:r>
            <w:r>
              <w:rPr>
                <w:color w:val="auto"/>
                <w:lang w:eastAsia="zh-CN"/>
              </w:rPr>
              <w:t>C-AMG</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E6443B0" w14:textId="04C7EE27" w:rsidR="00C035FA" w:rsidRDefault="008D5756">
            <w:pPr>
              <w:tabs>
                <w:tab w:val="right" w:pos="7504"/>
              </w:tabs>
              <w:spacing w:after="0" w:line="240" w:lineRule="auto"/>
              <w:rPr>
                <w:lang w:eastAsia="zh-CN"/>
              </w:rPr>
            </w:pPr>
            <w:r w:rsidRPr="00816627">
              <w:rPr>
                <w:vertAlign w:val="superscript"/>
                <w:lang w:eastAsia="zh-CN"/>
              </w:rPr>
              <w:t>14</w:t>
            </w:r>
            <w:r>
              <w:rPr>
                <w:lang w:eastAsia="zh-CN"/>
              </w:rPr>
              <w:t>C-альфа-метил-глюкопиранозид</w:t>
            </w:r>
          </w:p>
          <w:p w14:paraId="37856279" w14:textId="77777777" w:rsidR="00C035FA" w:rsidRDefault="008D5756">
            <w:pPr>
              <w:tabs>
                <w:tab w:val="right" w:pos="7504"/>
              </w:tabs>
              <w:spacing w:after="0" w:line="240" w:lineRule="auto"/>
              <w:rPr>
                <w:bCs/>
              </w:rPr>
            </w:pPr>
            <w:r>
              <w:rPr>
                <w:lang w:eastAsia="zh-CN"/>
              </w:rPr>
              <w:t>(</w:t>
            </w:r>
            <w:r w:rsidRPr="00816627">
              <w:rPr>
                <w:vertAlign w:val="superscript"/>
                <w:lang w:eastAsia="zh-CN"/>
              </w:rPr>
              <w:t>14</w:t>
            </w:r>
            <w:r>
              <w:rPr>
                <w:lang w:eastAsia="zh-CN"/>
              </w:rPr>
              <w:t>C-alpha-methyl-glucopyranoside)</w:t>
            </w:r>
          </w:p>
        </w:tc>
      </w:tr>
      <w:tr w:rsidR="00C035FA" w14:paraId="55B7A81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B1383B1" w14:textId="77777777" w:rsidR="00C035FA" w:rsidRDefault="008D5756">
            <w:pPr>
              <w:pStyle w:val="Default"/>
              <w:jc w:val="both"/>
              <w:rPr>
                <w:color w:val="auto"/>
                <w:lang w:eastAsia="zh-CN"/>
              </w:rPr>
            </w:pPr>
            <w:r w:rsidRPr="00816627">
              <w:rPr>
                <w:color w:val="auto"/>
                <w:vertAlign w:val="superscript"/>
                <w:lang w:eastAsia="zh-CN"/>
              </w:rPr>
              <w:t>14</w:t>
            </w:r>
            <w:r>
              <w:rPr>
                <w:color w:val="auto"/>
                <w:lang w:eastAsia="zh-CN"/>
              </w:rPr>
              <w:t>C-DOG</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6AFEA2D" w14:textId="77777777" w:rsidR="00C035FA" w:rsidRDefault="008D5756">
            <w:pPr>
              <w:tabs>
                <w:tab w:val="right" w:pos="7504"/>
              </w:tabs>
              <w:spacing w:after="0" w:line="240" w:lineRule="auto"/>
              <w:rPr>
                <w:bCs/>
              </w:rPr>
            </w:pPr>
            <w:r w:rsidRPr="00816627">
              <w:rPr>
                <w:vertAlign w:val="superscript"/>
                <w:lang w:eastAsia="zh-CN"/>
              </w:rPr>
              <w:t>14</w:t>
            </w:r>
            <w:r>
              <w:rPr>
                <w:lang w:eastAsia="zh-CN"/>
              </w:rPr>
              <w:t>C-дезоксиглюкоза (</w:t>
            </w:r>
            <w:r w:rsidRPr="00816627">
              <w:rPr>
                <w:vertAlign w:val="superscript"/>
                <w:lang w:eastAsia="zh-CN"/>
              </w:rPr>
              <w:t>14</w:t>
            </w:r>
            <w:r>
              <w:rPr>
                <w:lang w:eastAsia="zh-CN"/>
              </w:rPr>
              <w:t>C-desoxy-glucose)</w:t>
            </w:r>
          </w:p>
        </w:tc>
      </w:tr>
      <w:tr w:rsidR="00C035FA" w14:paraId="1C816E26"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1B99D22" w14:textId="77777777" w:rsidR="00C035FA" w:rsidRDefault="008D5756">
            <w:pPr>
              <w:pStyle w:val="Default"/>
              <w:jc w:val="both"/>
              <w:rPr>
                <w:color w:val="auto"/>
              </w:rPr>
            </w:pPr>
            <w:r>
              <w:rPr>
                <w:color w:val="auto"/>
              </w:rPr>
              <w:t>6-МТХ</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8CDDC18" w14:textId="77777777" w:rsidR="00C035FA" w:rsidRDefault="008D5756">
            <w:pPr>
              <w:tabs>
                <w:tab w:val="right" w:pos="7504"/>
              </w:tabs>
              <w:spacing w:after="0" w:line="240" w:lineRule="auto"/>
            </w:pPr>
            <w:r>
              <w:t>Тест с шестиминутной ходьбой</w:t>
            </w:r>
          </w:p>
        </w:tc>
      </w:tr>
      <w:tr w:rsidR="00C035FA" w14:paraId="06E2F30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C6B61BA" w14:textId="77777777" w:rsidR="00C035FA" w:rsidRDefault="008D5756">
            <w:pPr>
              <w:pStyle w:val="Default"/>
              <w:jc w:val="both"/>
              <w:rPr>
                <w:color w:val="auto"/>
              </w:rPr>
            </w:pPr>
            <w:r>
              <w:rPr>
                <w:color w:val="auto"/>
              </w:rPr>
              <w:t>ALBI</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E90DFB5" w14:textId="77777777" w:rsidR="00C035FA" w:rsidRDefault="008D5756">
            <w:pPr>
              <w:tabs>
                <w:tab w:val="right" w:pos="7504"/>
              </w:tabs>
              <w:spacing w:after="0" w:line="240" w:lineRule="auto"/>
            </w:pPr>
            <w:r>
              <w:t xml:space="preserve">Шкала Альбумин-Билирубин </w:t>
            </w:r>
          </w:p>
        </w:tc>
      </w:tr>
      <w:tr w:rsidR="00C035FA" w14:paraId="7912D09D"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B913572" w14:textId="77777777" w:rsidR="00C035FA" w:rsidRDefault="008D5756">
            <w:pPr>
              <w:pStyle w:val="Default"/>
              <w:jc w:val="both"/>
              <w:rPr>
                <w:color w:val="auto"/>
                <w:lang w:eastAsia="zh-CN"/>
              </w:rPr>
            </w:pPr>
            <w:r>
              <w:rPr>
                <w:color w:val="auto"/>
                <w:lang w:eastAsia="zh-CN"/>
              </w:rPr>
              <w:t>AMG</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CBC2637" w14:textId="77777777" w:rsidR="00C035FA" w:rsidRDefault="008D5756">
            <w:pPr>
              <w:tabs>
                <w:tab w:val="right" w:pos="7504"/>
              </w:tabs>
              <w:spacing w:after="0" w:line="240" w:lineRule="auto"/>
              <w:rPr>
                <w:lang w:eastAsia="zh-CN"/>
              </w:rPr>
            </w:pPr>
            <w:r>
              <w:rPr>
                <w:lang w:eastAsia="zh-CN"/>
              </w:rPr>
              <w:t>Метилглюкопиранозид</w:t>
            </w:r>
          </w:p>
        </w:tc>
      </w:tr>
      <w:tr w:rsidR="00C035FA" w14:paraId="15D3FF3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1D9FF8F" w14:textId="77777777" w:rsidR="00C035FA" w:rsidRDefault="008D5756">
            <w:pPr>
              <w:pStyle w:val="Default"/>
              <w:jc w:val="both"/>
              <w:rPr>
                <w:color w:val="auto"/>
                <w:lang w:eastAsia="zh-CN"/>
              </w:rPr>
            </w:pPr>
            <w:r>
              <w:rPr>
                <w:color w:val="auto"/>
              </w:rPr>
              <w:t>AP-1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32DF9C7" w14:textId="77777777" w:rsidR="00C035FA" w:rsidRDefault="008D5756">
            <w:pPr>
              <w:tabs>
                <w:tab w:val="right" w:pos="7504"/>
              </w:tabs>
              <w:spacing w:after="0" w:line="240" w:lineRule="auto"/>
              <w:rPr>
                <w:bCs/>
              </w:rPr>
            </w:pPr>
            <w:r>
              <w:t>Активирующий белок 1</w:t>
            </w:r>
          </w:p>
        </w:tc>
      </w:tr>
      <w:tr w:rsidR="00C035FA" w14:paraId="11A2FDB6"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0F1C19D" w14:textId="77777777" w:rsidR="00C035FA" w:rsidRDefault="008D5756">
            <w:pPr>
              <w:spacing w:after="0" w:line="240" w:lineRule="auto"/>
              <w:rPr>
                <w:lang w:eastAsia="zh-CN"/>
              </w:rPr>
            </w:pPr>
            <w:r>
              <w:t>AUC</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59D611A" w14:textId="77777777" w:rsidR="00C035FA" w:rsidRDefault="008D5756">
            <w:pPr>
              <w:spacing w:after="0" w:line="240" w:lineRule="auto"/>
            </w:pPr>
            <w:r>
              <w:t>Площадь под фармакокинетической кривой «концентрация-время»</w:t>
            </w:r>
          </w:p>
        </w:tc>
      </w:tr>
      <w:tr w:rsidR="00C035FA" w14:paraId="065F6E2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4EBF733" w14:textId="77777777" w:rsidR="00C035FA" w:rsidRDefault="008D5756">
            <w:pPr>
              <w:pStyle w:val="Default"/>
              <w:jc w:val="both"/>
              <w:rPr>
                <w:color w:val="auto"/>
                <w:lang w:eastAsia="zh-CN"/>
              </w:rPr>
            </w:pPr>
            <w:r>
              <w:rPr>
                <w:color w:val="auto"/>
              </w:rPr>
              <w:t>AUC</w:t>
            </w:r>
            <w:r>
              <w:rPr>
                <w:color w:val="auto"/>
                <w:vertAlign w:val="subscript"/>
              </w:rPr>
              <w:t>0-3 ч</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B772F53" w14:textId="77777777" w:rsidR="00C035FA" w:rsidRDefault="008D5756">
            <w:pPr>
              <w:tabs>
                <w:tab w:val="right" w:pos="7504"/>
              </w:tabs>
              <w:spacing w:after="0" w:line="240" w:lineRule="auto"/>
            </w:pPr>
            <w:r>
              <w:t>Площадь под фармакокинетической кривой, начиная с нулевого значения времени до 3 часов</w:t>
            </w:r>
          </w:p>
        </w:tc>
      </w:tr>
      <w:tr w:rsidR="00C035FA" w14:paraId="774E3AF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6119055" w14:textId="77777777" w:rsidR="00C035FA" w:rsidRDefault="008D5756">
            <w:pPr>
              <w:pStyle w:val="Default"/>
              <w:jc w:val="both"/>
              <w:rPr>
                <w:color w:val="auto"/>
                <w:shd w:val="clear" w:color="auto" w:fill="FFFFFF"/>
              </w:rPr>
            </w:pPr>
            <w:r>
              <w:rPr>
                <w:color w:val="auto"/>
                <w:shd w:val="clear" w:color="auto" w:fill="FFFFFF"/>
              </w:rPr>
              <w:t>AUC</w:t>
            </w:r>
            <w:r>
              <w:rPr>
                <w:color w:val="auto"/>
                <w:shd w:val="clear" w:color="auto" w:fill="FFFFFF"/>
                <w:vertAlign w:val="subscript"/>
              </w:rPr>
              <w:t>0-∞</w:t>
            </w:r>
            <w:r>
              <w:rPr>
                <w:color w:val="auto"/>
                <w:shd w:val="clear" w:color="auto" w:fill="FFFFFF"/>
              </w:rPr>
              <w:tab/>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ADACF44" w14:textId="77777777" w:rsidR="00C035FA" w:rsidRDefault="008D5756">
            <w:pPr>
              <w:tabs>
                <w:tab w:val="right" w:pos="7504"/>
              </w:tabs>
              <w:spacing w:after="0" w:line="240" w:lineRule="auto"/>
            </w:pPr>
            <w:r>
              <w:rPr>
                <w:shd w:val="clear" w:color="auto" w:fill="FFFFFF"/>
              </w:rPr>
              <w:t>Площадь под фармакокинетической кривой, начиная с нулевого значения времени до бесконечности</w:t>
            </w:r>
          </w:p>
        </w:tc>
      </w:tr>
      <w:tr w:rsidR="000049B1" w14:paraId="1E89299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E70E45A" w14:textId="66CE0F78" w:rsidR="000049B1" w:rsidRDefault="000049B1">
            <w:pPr>
              <w:pStyle w:val="Default"/>
              <w:jc w:val="both"/>
              <w:rPr>
                <w:color w:val="auto"/>
                <w:shd w:val="clear" w:color="auto" w:fill="FFFFFF"/>
              </w:rPr>
            </w:pPr>
            <w:r w:rsidRPr="000049B1">
              <w:rPr>
                <w:color w:val="auto"/>
                <w:shd w:val="clear" w:color="auto" w:fill="FFFFFF"/>
              </w:rPr>
              <w:t>BUN</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BF559F7" w14:textId="6146D125" w:rsidR="000049B1" w:rsidRDefault="000049B1">
            <w:pPr>
              <w:tabs>
                <w:tab w:val="right" w:pos="7504"/>
              </w:tabs>
              <w:spacing w:after="0" w:line="240" w:lineRule="auto"/>
              <w:rPr>
                <w:shd w:val="clear" w:color="auto" w:fill="FFFFFF"/>
              </w:rPr>
            </w:pPr>
            <w:r>
              <w:rPr>
                <w:shd w:val="clear" w:color="auto" w:fill="FFFFFF"/>
              </w:rPr>
              <w:t>Биохимический показатель, характеризующий уровень содержания м</w:t>
            </w:r>
            <w:r w:rsidRPr="000049B1">
              <w:rPr>
                <w:shd w:val="clear" w:color="auto" w:fill="FFFFFF"/>
              </w:rPr>
              <w:t>очевин</w:t>
            </w:r>
            <w:r>
              <w:rPr>
                <w:shd w:val="clear" w:color="auto" w:fill="FFFFFF"/>
              </w:rPr>
              <w:t>ы</w:t>
            </w:r>
            <w:r w:rsidRPr="000049B1">
              <w:rPr>
                <w:shd w:val="clear" w:color="auto" w:fill="FFFFFF"/>
              </w:rPr>
              <w:t xml:space="preserve"> в крови (Blood Urea Nitrogen)</w:t>
            </w:r>
          </w:p>
        </w:tc>
      </w:tr>
      <w:tr w:rsidR="00C035FA" w:rsidRPr="00677CFF" w14:paraId="1837606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F3A1391" w14:textId="77777777" w:rsidR="00C035FA" w:rsidRDefault="008D5756">
            <w:pPr>
              <w:pStyle w:val="Default"/>
              <w:jc w:val="both"/>
              <w:rPr>
                <w:color w:val="auto"/>
              </w:rPr>
            </w:pPr>
            <w:r>
              <w:rPr>
                <w:color w:val="auto"/>
              </w:rPr>
              <w:t>CKD-EPI</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20D6DBA" w14:textId="77777777" w:rsidR="00C035FA" w:rsidRDefault="008D5756">
            <w:pPr>
              <w:tabs>
                <w:tab w:val="right" w:pos="7504"/>
              </w:tabs>
              <w:spacing w:after="0" w:line="240" w:lineRule="auto"/>
              <w:rPr>
                <w:lang w:val="en-US"/>
              </w:rPr>
            </w:pPr>
            <w:r>
              <w:t>Новая</w:t>
            </w:r>
            <w:r>
              <w:rPr>
                <w:lang w:val="en-US"/>
              </w:rPr>
              <w:t xml:space="preserve"> </w:t>
            </w:r>
            <w:r>
              <w:t>формула</w:t>
            </w:r>
            <w:r>
              <w:rPr>
                <w:lang w:val="en-US"/>
              </w:rPr>
              <w:t xml:space="preserve"> </w:t>
            </w:r>
            <w:r>
              <w:t>для</w:t>
            </w:r>
            <w:r>
              <w:rPr>
                <w:lang w:val="en-US"/>
              </w:rPr>
              <w:t xml:space="preserve"> </w:t>
            </w:r>
            <w:r>
              <w:t>оценки</w:t>
            </w:r>
            <w:r>
              <w:rPr>
                <w:lang w:val="en-US"/>
              </w:rPr>
              <w:t xml:space="preserve"> </w:t>
            </w:r>
            <w:r>
              <w:t>СКФ</w:t>
            </w:r>
            <w:r>
              <w:rPr>
                <w:lang w:val="en-US"/>
              </w:rPr>
              <w:t xml:space="preserve"> (Chronic Kidney </w:t>
            </w:r>
            <w:proofErr w:type="spellStart"/>
            <w:r>
              <w:rPr>
                <w:lang w:val="en-US"/>
              </w:rPr>
              <w:t>Desease</w:t>
            </w:r>
            <w:proofErr w:type="spellEnd"/>
            <w:r>
              <w:rPr>
                <w:lang w:val="en-US"/>
              </w:rPr>
              <w:t xml:space="preserve"> Epidemiology Collaboration)</w:t>
            </w:r>
          </w:p>
        </w:tc>
      </w:tr>
      <w:tr w:rsidR="00C035FA" w14:paraId="48ED759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F7ADFA2" w14:textId="77777777" w:rsidR="00C035FA" w:rsidRDefault="008D5756">
            <w:pPr>
              <w:pStyle w:val="Default"/>
              <w:jc w:val="both"/>
              <w:rPr>
                <w:color w:val="auto"/>
              </w:rPr>
            </w:pPr>
            <w:r>
              <w:rPr>
                <w:color w:val="auto"/>
              </w:rPr>
              <w:t>CL</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7E21FDE" w14:textId="77777777" w:rsidR="00C035FA" w:rsidRDefault="008D5756">
            <w:pPr>
              <w:tabs>
                <w:tab w:val="right" w:pos="7504"/>
              </w:tabs>
              <w:spacing w:after="0" w:line="240" w:lineRule="auto"/>
            </w:pPr>
            <w:r>
              <w:t>Плазменный клиренс</w:t>
            </w:r>
          </w:p>
        </w:tc>
      </w:tr>
      <w:tr w:rsidR="00C035FA" w14:paraId="60E4C16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8C4276C" w14:textId="77777777" w:rsidR="00C035FA" w:rsidRDefault="008D5756">
            <w:pPr>
              <w:pStyle w:val="Default"/>
              <w:jc w:val="both"/>
              <w:rPr>
                <w:color w:val="auto"/>
              </w:rPr>
            </w:pPr>
            <w:r>
              <w:rPr>
                <w:color w:val="auto"/>
                <w:lang w:val="en-US"/>
              </w:rPr>
              <w:t>CYP450</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8293BB7" w14:textId="77777777" w:rsidR="00C035FA" w:rsidRDefault="008D5756">
            <w:pPr>
              <w:tabs>
                <w:tab w:val="right" w:pos="7504"/>
              </w:tabs>
              <w:spacing w:after="0" w:line="240" w:lineRule="auto"/>
            </w:pPr>
            <w:r>
              <w:t>Цитохром Р450</w:t>
            </w:r>
          </w:p>
        </w:tc>
      </w:tr>
      <w:tr w:rsidR="00C035FA" w14:paraId="45E146D9"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2DBA7A4" w14:textId="77777777" w:rsidR="00C035FA" w:rsidRDefault="008D5756">
            <w:pPr>
              <w:pStyle w:val="Default"/>
              <w:jc w:val="both"/>
              <w:rPr>
                <w:color w:val="auto"/>
              </w:rPr>
            </w:pPr>
            <w:r>
              <w:rPr>
                <w:color w:val="auto"/>
              </w:rPr>
              <w:t>e’</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FBB0CA6" w14:textId="77777777" w:rsidR="00C035FA" w:rsidRDefault="008D5756">
            <w:pPr>
              <w:tabs>
                <w:tab w:val="right" w:pos="7504"/>
              </w:tabs>
              <w:spacing w:after="0" w:line="240" w:lineRule="auto"/>
            </w:pPr>
            <w:r>
              <w:t>Максимальная скорость подъёма основания сердца в раннюю диастолу</w:t>
            </w:r>
          </w:p>
        </w:tc>
      </w:tr>
      <w:tr w:rsidR="00C035FA" w14:paraId="63CF6BF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E67C720" w14:textId="77777777" w:rsidR="00C035FA" w:rsidRDefault="008D5756">
            <w:pPr>
              <w:pStyle w:val="Default"/>
              <w:jc w:val="both"/>
              <w:rPr>
                <w:color w:val="auto"/>
              </w:rPr>
            </w:pPr>
            <w:r>
              <w:rPr>
                <w:color w:val="auto"/>
              </w:rPr>
              <w:t>eNOS</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E4EFDBB" w14:textId="77777777" w:rsidR="00C035FA" w:rsidRDefault="008D5756">
            <w:pPr>
              <w:tabs>
                <w:tab w:val="right" w:pos="7504"/>
              </w:tabs>
              <w:spacing w:after="0" w:line="240" w:lineRule="auto"/>
            </w:pPr>
            <w:r>
              <w:t>Эндотелиальной синтаза оксида азота</w:t>
            </w:r>
          </w:p>
          <w:p w14:paraId="5768A003" w14:textId="77777777" w:rsidR="00C035FA" w:rsidRDefault="008D5756">
            <w:pPr>
              <w:tabs>
                <w:tab w:val="right" w:pos="7504"/>
              </w:tabs>
              <w:spacing w:after="0" w:line="240" w:lineRule="auto"/>
            </w:pPr>
            <w:r>
              <w:t>(Endothelial nitric oxide synthase)</w:t>
            </w:r>
          </w:p>
        </w:tc>
      </w:tr>
      <w:tr w:rsidR="00C035FA" w14:paraId="20150F3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76D59D1" w14:textId="77777777" w:rsidR="00C035FA" w:rsidRDefault="008D5756">
            <w:pPr>
              <w:pStyle w:val="Default"/>
              <w:jc w:val="both"/>
              <w:rPr>
                <w:color w:val="auto"/>
              </w:rPr>
            </w:pPr>
            <w:r>
              <w:rPr>
                <w:color w:val="auto"/>
              </w:rPr>
              <w:t>GLP</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91B692A" w14:textId="77777777" w:rsidR="00C035FA" w:rsidRDefault="008D5756">
            <w:pPr>
              <w:tabs>
                <w:tab w:val="right" w:pos="7504"/>
              </w:tabs>
              <w:spacing w:after="0" w:line="240" w:lineRule="auto"/>
            </w:pPr>
            <w:r>
              <w:t xml:space="preserve">Надлежащая лабораторная практика </w:t>
            </w:r>
          </w:p>
          <w:p w14:paraId="1B9E399D" w14:textId="77777777" w:rsidR="00C035FA" w:rsidRDefault="008D5756">
            <w:pPr>
              <w:tabs>
                <w:tab w:val="right" w:pos="7504"/>
              </w:tabs>
              <w:spacing w:after="0" w:line="240" w:lineRule="auto"/>
            </w:pPr>
            <w:r>
              <w:t>(Good laboratory practice)</w:t>
            </w:r>
          </w:p>
        </w:tc>
      </w:tr>
      <w:tr w:rsidR="00C035FA" w14:paraId="51C5C6E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2F52F8E" w14:textId="77777777" w:rsidR="00C035FA" w:rsidRDefault="008D5756">
            <w:pPr>
              <w:pStyle w:val="Default"/>
              <w:jc w:val="both"/>
              <w:rPr>
                <w:color w:val="auto"/>
              </w:rPr>
            </w:pPr>
            <w:r>
              <w:rPr>
                <w:color w:val="auto"/>
              </w:rPr>
              <w:t>GLUT</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32E497A" w14:textId="77777777" w:rsidR="00C035FA" w:rsidRDefault="008D5756">
            <w:pPr>
              <w:tabs>
                <w:tab w:val="right" w:pos="7504"/>
              </w:tabs>
              <w:spacing w:after="0" w:line="240" w:lineRule="auto"/>
            </w:pPr>
            <w:r>
              <w:t>Независимый от Na+ транспортер</w:t>
            </w:r>
          </w:p>
        </w:tc>
      </w:tr>
      <w:tr w:rsidR="00C035FA" w14:paraId="7117C74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B6D6ACF" w14:textId="77777777" w:rsidR="00C035FA" w:rsidRDefault="008D5756">
            <w:pPr>
              <w:pStyle w:val="Default"/>
              <w:jc w:val="both"/>
              <w:rPr>
                <w:color w:val="auto"/>
              </w:rPr>
            </w:pPr>
            <w:r>
              <w:rPr>
                <w:color w:val="auto"/>
              </w:rPr>
              <w:t>HbA1c</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FA75294" w14:textId="77777777" w:rsidR="00C035FA" w:rsidRDefault="008D5756">
            <w:pPr>
              <w:tabs>
                <w:tab w:val="right" w:pos="7504"/>
              </w:tabs>
              <w:spacing w:after="0" w:line="240" w:lineRule="auto"/>
            </w:pPr>
            <w:r>
              <w:t>Гликированный гемоглобин</w:t>
            </w:r>
          </w:p>
        </w:tc>
      </w:tr>
      <w:tr w:rsidR="00C035FA" w14:paraId="0047B25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8444AD4" w14:textId="77777777" w:rsidR="00C035FA" w:rsidRDefault="008D5756">
            <w:pPr>
              <w:pStyle w:val="Default"/>
              <w:jc w:val="both"/>
              <w:rPr>
                <w:color w:val="auto"/>
                <w:lang w:eastAsia="ja-JP"/>
              </w:rPr>
            </w:pPr>
            <w:r>
              <w:rPr>
                <w:color w:val="auto"/>
                <w:lang w:eastAsia="zh-CN"/>
              </w:rPr>
              <w:t>HEK293</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EF779AA" w14:textId="77777777" w:rsidR="00C035FA" w:rsidRDefault="008D5756">
            <w:pPr>
              <w:tabs>
                <w:tab w:val="right" w:pos="7504"/>
              </w:tabs>
              <w:spacing w:after="0" w:line="240" w:lineRule="auto"/>
              <w:rPr>
                <w:lang w:eastAsia="zh-CN"/>
              </w:rPr>
            </w:pPr>
            <w:r>
              <w:rPr>
                <w:lang w:eastAsia="zh-CN"/>
              </w:rPr>
              <w:t xml:space="preserve">Клетки эмбриональной почки человека </w:t>
            </w:r>
          </w:p>
          <w:p w14:paraId="67032FA5" w14:textId="77777777" w:rsidR="00C035FA" w:rsidRDefault="008D5756">
            <w:pPr>
              <w:tabs>
                <w:tab w:val="right" w:pos="7504"/>
              </w:tabs>
              <w:spacing w:after="0" w:line="240" w:lineRule="auto"/>
              <w:rPr>
                <w:bCs/>
              </w:rPr>
            </w:pPr>
            <w:r>
              <w:rPr>
                <w:lang w:eastAsia="zh-CN"/>
              </w:rPr>
              <w:t>(Human embryonic kidney)</w:t>
            </w:r>
          </w:p>
        </w:tc>
      </w:tr>
      <w:tr w:rsidR="00C035FA" w14:paraId="24A00B1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990C469" w14:textId="77777777" w:rsidR="00C035FA" w:rsidRDefault="008D5756">
            <w:pPr>
              <w:pStyle w:val="Default"/>
              <w:jc w:val="both"/>
              <w:rPr>
                <w:color w:val="auto"/>
              </w:rPr>
            </w:pPr>
            <w:r>
              <w:rPr>
                <w:color w:val="auto"/>
                <w:shd w:val="clear" w:color="auto" w:fill="FFFFFF"/>
              </w:rPr>
              <w:t>HP</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1CBDB12" w14:textId="77777777" w:rsidR="00C035FA" w:rsidRDefault="008D5756">
            <w:pPr>
              <w:tabs>
                <w:tab w:val="right" w:pos="7504"/>
              </w:tabs>
              <w:spacing w:after="0" w:line="240" w:lineRule="auto"/>
            </w:pPr>
            <w:r>
              <w:rPr>
                <w:shd w:val="clear" w:color="auto" w:fill="FFFFFF"/>
              </w:rPr>
              <w:t xml:space="preserve">Нежелательные реакции </w:t>
            </w:r>
          </w:p>
        </w:tc>
      </w:tr>
      <w:tr w:rsidR="00C035FA" w:rsidRPr="00677CFF" w14:paraId="085820D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AD765FA" w14:textId="77777777" w:rsidR="00C035FA" w:rsidRDefault="008D5756">
            <w:pPr>
              <w:pStyle w:val="Default"/>
              <w:jc w:val="both"/>
              <w:rPr>
                <w:color w:val="auto"/>
              </w:rPr>
            </w:pPr>
            <w:r>
              <w:rPr>
                <w:color w:val="auto"/>
                <w:lang w:val="en-US"/>
              </w:rPr>
              <w:t>IC50</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46FE6C3" w14:textId="77777777" w:rsidR="00C035FA" w:rsidRDefault="008D5756">
            <w:pPr>
              <w:shd w:val="clear" w:color="auto" w:fill="FFFFFF"/>
              <w:tabs>
                <w:tab w:val="right" w:pos="7504"/>
              </w:tabs>
              <w:spacing w:after="0" w:line="240" w:lineRule="auto"/>
            </w:pPr>
            <w:r>
              <w:t>Концентрация полумаксимального ингибирования (концентрация препарата, при которой происходит ингибирование связывания 50% рецепторов).</w:t>
            </w:r>
          </w:p>
          <w:p w14:paraId="73F4907E" w14:textId="77777777" w:rsidR="00C035FA" w:rsidRDefault="008D5756">
            <w:pPr>
              <w:tabs>
                <w:tab w:val="right" w:pos="7504"/>
              </w:tabs>
              <w:spacing w:after="0" w:line="240" w:lineRule="auto"/>
              <w:rPr>
                <w:lang w:val="en-US"/>
              </w:rPr>
            </w:pPr>
            <w:r>
              <w:rPr>
                <w:lang w:val="en-US"/>
              </w:rPr>
              <w:t>The half maximal inhibitory concentration.</w:t>
            </w:r>
          </w:p>
        </w:tc>
      </w:tr>
      <w:tr w:rsidR="00C035FA" w14:paraId="39489AD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7EFD342" w14:textId="77777777" w:rsidR="00C035FA" w:rsidRDefault="008D5756">
            <w:pPr>
              <w:pStyle w:val="Default"/>
              <w:jc w:val="both"/>
              <w:rPr>
                <w:color w:val="auto"/>
                <w:lang w:eastAsia="zh-CN"/>
              </w:rPr>
            </w:pPr>
            <w:r>
              <w:rPr>
                <w:color w:val="auto"/>
              </w:rPr>
              <w:t>IL-6</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68862F2" w14:textId="77777777" w:rsidR="00C035FA" w:rsidRDefault="008D5756">
            <w:pPr>
              <w:tabs>
                <w:tab w:val="right" w:pos="7504"/>
              </w:tabs>
              <w:spacing w:after="0" w:line="240" w:lineRule="auto"/>
              <w:rPr>
                <w:bCs/>
              </w:rPr>
            </w:pPr>
            <w:r>
              <w:rPr>
                <w:bCs/>
              </w:rPr>
              <w:t>Интелейкин-6</w:t>
            </w:r>
          </w:p>
        </w:tc>
      </w:tr>
      <w:tr w:rsidR="00C035FA" w14:paraId="4B29AC1A"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168AAB5" w14:textId="77777777" w:rsidR="00C035FA" w:rsidRDefault="008D5756">
            <w:pPr>
              <w:pStyle w:val="Default"/>
              <w:jc w:val="both"/>
              <w:rPr>
                <w:bCs/>
                <w:color w:val="auto"/>
                <w:lang w:eastAsia="en-US" w:bidi="en-US"/>
              </w:rPr>
            </w:pPr>
            <w:r>
              <w:rPr>
                <w:bCs/>
                <w:color w:val="auto"/>
                <w:lang w:eastAsia="en-US" w:bidi="en-US"/>
              </w:rPr>
              <w:t>LD50</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769A69E" w14:textId="77777777" w:rsidR="00C035FA" w:rsidRDefault="008D5756">
            <w:pPr>
              <w:tabs>
                <w:tab w:val="right" w:pos="7504"/>
              </w:tabs>
              <w:spacing w:after="0" w:line="240" w:lineRule="auto"/>
            </w:pPr>
            <w:r>
              <w:t>Показатель острой токсичности, доза вещества, которая вызывает гибель 50% всей экспериментальной популяции животных при любом пути его введения, за исключением ингаляционного</w:t>
            </w:r>
          </w:p>
        </w:tc>
      </w:tr>
      <w:tr w:rsidR="00C035FA" w14:paraId="197912E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8BC3DD6" w14:textId="77777777" w:rsidR="00C035FA" w:rsidRDefault="008D5756">
            <w:pPr>
              <w:pStyle w:val="Default"/>
              <w:jc w:val="both"/>
              <w:rPr>
                <w:color w:val="auto"/>
              </w:rPr>
            </w:pPr>
            <w:r>
              <w:rPr>
                <w:color w:val="auto"/>
              </w:rPr>
              <w:t>MCP-1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89CECCC" w14:textId="77777777" w:rsidR="00C035FA" w:rsidRDefault="008D5756">
            <w:pPr>
              <w:tabs>
                <w:tab w:val="right" w:pos="7504"/>
              </w:tabs>
              <w:spacing w:after="0" w:line="240" w:lineRule="auto"/>
            </w:pPr>
            <w:r>
              <w:t xml:space="preserve">Моноцитарный хемотаксический белок-1 </w:t>
            </w:r>
          </w:p>
          <w:p w14:paraId="07350E7A" w14:textId="77777777" w:rsidR="00C035FA" w:rsidRDefault="008D5756">
            <w:pPr>
              <w:tabs>
                <w:tab w:val="right" w:pos="7504"/>
              </w:tabs>
              <w:spacing w:after="0" w:line="240" w:lineRule="auto"/>
            </w:pPr>
            <w:r>
              <w:t>(Monocyte Chemotactic Protein-1)</w:t>
            </w:r>
          </w:p>
        </w:tc>
      </w:tr>
      <w:tr w:rsidR="00C035FA" w14:paraId="580EA7A0"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4D7AED7" w14:textId="77777777" w:rsidR="00C035FA" w:rsidRDefault="008D5756">
            <w:pPr>
              <w:pStyle w:val="Default"/>
              <w:jc w:val="both"/>
              <w:rPr>
                <w:color w:val="auto"/>
              </w:rPr>
            </w:pPr>
            <w:r>
              <w:rPr>
                <w:color w:val="auto"/>
                <w:lang w:val="en-US"/>
              </w:rPr>
              <w:t>MDRD</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15B5667" w14:textId="77777777" w:rsidR="00C035FA" w:rsidRDefault="008D5756">
            <w:pPr>
              <w:tabs>
                <w:tab w:val="right" w:pos="7504"/>
              </w:tabs>
              <w:spacing w:after="0" w:line="240" w:lineRule="auto"/>
            </w:pPr>
            <w:r>
              <w:t>Рекомендуемая формула для определения скорости клубочковой фильтрации (</w:t>
            </w:r>
            <w:r>
              <w:rPr>
                <w:lang w:val="en-US"/>
              </w:rPr>
              <w:t>Modification</w:t>
            </w:r>
            <w:r>
              <w:t xml:space="preserve"> </w:t>
            </w:r>
            <w:r>
              <w:rPr>
                <w:lang w:val="en-US"/>
              </w:rPr>
              <w:t>of</w:t>
            </w:r>
            <w:r>
              <w:t xml:space="preserve"> </w:t>
            </w:r>
            <w:r>
              <w:rPr>
                <w:lang w:val="en-US"/>
              </w:rPr>
              <w:t>Diet</w:t>
            </w:r>
            <w:r>
              <w:t xml:space="preserve"> </w:t>
            </w:r>
            <w:r>
              <w:rPr>
                <w:lang w:val="en-US"/>
              </w:rPr>
              <w:t>in</w:t>
            </w:r>
            <w:r>
              <w:t xml:space="preserve"> </w:t>
            </w:r>
            <w:r>
              <w:rPr>
                <w:lang w:val="en-US"/>
              </w:rPr>
              <w:t>Renal</w:t>
            </w:r>
            <w:r>
              <w:t xml:space="preserve"> </w:t>
            </w:r>
            <w:r>
              <w:rPr>
                <w:lang w:val="en-US"/>
              </w:rPr>
              <w:t>Disease</w:t>
            </w:r>
            <w:r>
              <w:t>)</w:t>
            </w:r>
          </w:p>
        </w:tc>
      </w:tr>
      <w:tr w:rsidR="00EB677C" w14:paraId="7563EB5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8A60755" w14:textId="270F804D" w:rsidR="00EB677C" w:rsidRDefault="00EB677C">
            <w:pPr>
              <w:pStyle w:val="Default"/>
              <w:jc w:val="both"/>
              <w:rPr>
                <w:color w:val="auto"/>
                <w:lang w:val="en-US"/>
              </w:rPr>
            </w:pPr>
            <w:r>
              <w:rPr>
                <w:color w:val="000000" w:themeColor="text1"/>
                <w:lang w:val="en-US"/>
              </w:rPr>
              <w:t>MRHD</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4741C07" w14:textId="369BEBE8" w:rsidR="00EB677C" w:rsidRPr="00EB677C" w:rsidRDefault="00EB677C">
            <w:pPr>
              <w:tabs>
                <w:tab w:val="right" w:pos="7504"/>
              </w:tabs>
              <w:spacing w:after="0" w:line="240" w:lineRule="auto"/>
            </w:pPr>
            <w:r>
              <w:rPr>
                <w:color w:val="000000" w:themeColor="text1"/>
              </w:rPr>
              <w:t>Максимальная рекомендуемая для человека доза (</w:t>
            </w:r>
            <w:r w:rsidRPr="00EB677C">
              <w:rPr>
                <w:color w:val="000000" w:themeColor="text1"/>
              </w:rPr>
              <w:t>Maximum Recommended Human Dose</w:t>
            </w:r>
            <w:r>
              <w:rPr>
                <w:color w:val="000000" w:themeColor="text1"/>
              </w:rPr>
              <w:t>)</w:t>
            </w:r>
          </w:p>
        </w:tc>
      </w:tr>
      <w:tr w:rsidR="00C035FA" w:rsidRPr="00677CFF" w14:paraId="7A95315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54188DB" w14:textId="77777777" w:rsidR="00C035FA" w:rsidRDefault="008D5756">
            <w:pPr>
              <w:pStyle w:val="Default"/>
              <w:jc w:val="both"/>
              <w:rPr>
                <w:color w:val="auto"/>
                <w:lang w:eastAsia="zh-CN"/>
              </w:rPr>
            </w:pPr>
            <w:r>
              <w:rPr>
                <w:bCs/>
                <w:color w:val="auto"/>
              </w:rPr>
              <w:lastRenderedPageBreak/>
              <w:t>NF-κB</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E2C0A54" w14:textId="77777777" w:rsidR="00C035FA" w:rsidRDefault="008D5756">
            <w:pPr>
              <w:tabs>
                <w:tab w:val="right" w:pos="7504"/>
              </w:tabs>
              <w:spacing w:after="0" w:line="240" w:lineRule="auto"/>
              <w:rPr>
                <w:bCs/>
                <w:lang w:val="en-US"/>
              </w:rPr>
            </w:pPr>
            <w:r>
              <w:rPr>
                <w:bCs/>
              </w:rPr>
              <w:t>Транскрипционный</w:t>
            </w:r>
            <w:r>
              <w:rPr>
                <w:bCs/>
                <w:lang w:val="en-US"/>
              </w:rPr>
              <w:t xml:space="preserve"> </w:t>
            </w:r>
            <w:r>
              <w:rPr>
                <w:bCs/>
              </w:rPr>
              <w:t>фактор</w:t>
            </w:r>
            <w:r>
              <w:rPr>
                <w:bCs/>
                <w:lang w:val="en-US"/>
              </w:rPr>
              <w:t xml:space="preserve"> (</w:t>
            </w:r>
            <w:r>
              <w:rPr>
                <w:bCs/>
              </w:rPr>
              <w:t>ядерный</w:t>
            </w:r>
            <w:r>
              <w:rPr>
                <w:bCs/>
                <w:lang w:val="en-US"/>
              </w:rPr>
              <w:t xml:space="preserve"> </w:t>
            </w:r>
            <w:r>
              <w:rPr>
                <w:bCs/>
              </w:rPr>
              <w:t>фактор</w:t>
            </w:r>
            <w:r>
              <w:rPr>
                <w:bCs/>
                <w:lang w:val="en-US"/>
              </w:rPr>
              <w:t xml:space="preserve"> «</w:t>
            </w:r>
            <w:r>
              <w:rPr>
                <w:bCs/>
              </w:rPr>
              <w:t>каппа</w:t>
            </w:r>
            <w:r>
              <w:rPr>
                <w:bCs/>
                <w:lang w:val="en-US"/>
              </w:rPr>
              <w:t>-</w:t>
            </w:r>
            <w:r>
              <w:rPr>
                <w:bCs/>
              </w:rPr>
              <w:t>би</w:t>
            </w:r>
            <w:r>
              <w:rPr>
                <w:bCs/>
                <w:lang w:val="en-US"/>
              </w:rPr>
              <w:t>»),   Nuclear factor kappa-light-chain-enhancer of activated B cells</w:t>
            </w:r>
          </w:p>
        </w:tc>
      </w:tr>
      <w:tr w:rsidR="00C035FA" w14:paraId="5A21AD1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8940944" w14:textId="77777777" w:rsidR="00C035FA" w:rsidRDefault="008D5756">
            <w:pPr>
              <w:pStyle w:val="Default"/>
              <w:jc w:val="both"/>
              <w:rPr>
                <w:color w:val="auto"/>
              </w:rPr>
            </w:pPr>
            <w:r>
              <w:rPr>
                <w:color w:val="auto"/>
              </w:rPr>
              <w:t>NHE</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2344400" w14:textId="77777777" w:rsidR="00C035FA" w:rsidRDefault="008D5756">
            <w:pPr>
              <w:tabs>
                <w:tab w:val="right" w:pos="7504"/>
              </w:tabs>
              <w:spacing w:after="0" w:line="240" w:lineRule="auto"/>
            </w:pPr>
            <w:r>
              <w:t>Na+/H+-обменники</w:t>
            </w:r>
          </w:p>
        </w:tc>
      </w:tr>
      <w:tr w:rsidR="00C035FA" w14:paraId="2B289D5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8F9ECD9" w14:textId="77777777" w:rsidR="00C035FA" w:rsidRDefault="008D5756">
            <w:pPr>
              <w:pStyle w:val="Default"/>
              <w:jc w:val="both"/>
              <w:rPr>
                <w:color w:val="auto"/>
                <w:lang w:eastAsia="zh-CN"/>
              </w:rPr>
            </w:pPr>
            <w:r>
              <w:rPr>
                <w:color w:val="auto"/>
                <w:lang w:eastAsia="zh-CN"/>
              </w:rPr>
              <w:t>NO</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7002218" w14:textId="77777777" w:rsidR="00C035FA" w:rsidRDefault="008D5756">
            <w:pPr>
              <w:tabs>
                <w:tab w:val="right" w:pos="7504"/>
              </w:tabs>
              <w:spacing w:after="0" w:line="240" w:lineRule="auto"/>
            </w:pPr>
            <w:r>
              <w:t>Оксид азота</w:t>
            </w:r>
          </w:p>
        </w:tc>
      </w:tr>
      <w:tr w:rsidR="00C035FA" w14:paraId="74E3B25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0296D18" w14:textId="77777777" w:rsidR="00C035FA" w:rsidRDefault="008D5756">
            <w:pPr>
              <w:pStyle w:val="Default"/>
              <w:jc w:val="both"/>
              <w:rPr>
                <w:color w:val="auto"/>
                <w:shd w:val="clear" w:color="auto" w:fill="FFFFFF"/>
              </w:rPr>
            </w:pPr>
            <w:r>
              <w:rPr>
                <w:color w:val="auto"/>
                <w:shd w:val="clear" w:color="auto" w:fill="FFFFFF"/>
              </w:rPr>
              <w:t>NOAEL</w:t>
            </w:r>
            <w:r>
              <w:rPr>
                <w:color w:val="auto"/>
                <w:shd w:val="clear" w:color="auto" w:fill="FFFFFF"/>
              </w:rPr>
              <w:tab/>
            </w:r>
          </w:p>
          <w:p w14:paraId="604B2508" w14:textId="77777777" w:rsidR="00C035FA" w:rsidRDefault="00C035FA">
            <w:pPr>
              <w:pStyle w:val="Default"/>
              <w:jc w:val="both"/>
              <w:rPr>
                <w:color w:val="auto"/>
                <w:shd w:val="clear" w:color="auto" w:fill="FFFFFF"/>
              </w:rPr>
            </w:pP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DD892A7" w14:textId="77777777" w:rsidR="00C035FA" w:rsidRDefault="008D5756">
            <w:pPr>
              <w:pStyle w:val="Default"/>
              <w:jc w:val="both"/>
              <w:rPr>
                <w:color w:val="auto"/>
                <w:shd w:val="clear" w:color="auto" w:fill="FFFFFF"/>
              </w:rPr>
            </w:pPr>
            <w:r>
              <w:rPr>
                <w:color w:val="auto"/>
                <w:shd w:val="clear" w:color="auto" w:fill="FFFFFF"/>
              </w:rPr>
              <w:t xml:space="preserve">Максимальная доза препарата, не приводящая к развитию наблюдаемых нежелательных эффектов </w:t>
            </w:r>
          </w:p>
          <w:p w14:paraId="387ED5FA" w14:textId="77777777" w:rsidR="00C035FA" w:rsidRDefault="008D5756">
            <w:pPr>
              <w:tabs>
                <w:tab w:val="right" w:pos="7504"/>
              </w:tabs>
              <w:spacing w:after="0" w:line="240" w:lineRule="auto"/>
              <w:rPr>
                <w:shd w:val="clear" w:color="auto" w:fill="FFFFFF"/>
              </w:rPr>
            </w:pPr>
            <w:r>
              <w:rPr>
                <w:shd w:val="clear" w:color="auto" w:fill="FFFFFF"/>
              </w:rPr>
              <w:t>(No Adverse Event Level)</w:t>
            </w:r>
          </w:p>
        </w:tc>
      </w:tr>
      <w:tr w:rsidR="00C035FA" w14:paraId="79686D9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E3D50E7" w14:textId="77777777" w:rsidR="00C035FA" w:rsidRDefault="008D5756">
            <w:pPr>
              <w:pStyle w:val="Default"/>
              <w:jc w:val="both"/>
              <w:rPr>
                <w:color w:val="auto"/>
              </w:rPr>
            </w:pPr>
            <w:r>
              <w:rPr>
                <w:color w:val="auto"/>
              </w:rPr>
              <w:t>NT-proBNP</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15588A7" w14:textId="77777777" w:rsidR="00C035FA" w:rsidRDefault="008D5756">
            <w:pPr>
              <w:tabs>
                <w:tab w:val="right" w:pos="7504"/>
              </w:tabs>
              <w:spacing w:after="0" w:line="240" w:lineRule="auto"/>
            </w:pPr>
            <w:r>
              <w:t>N-концевой фрагмент предшественника мозгового натрийуретического пептида</w:t>
            </w:r>
          </w:p>
        </w:tc>
      </w:tr>
      <w:tr w:rsidR="00C035FA" w14:paraId="4620FE29"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6415508" w14:textId="77777777" w:rsidR="00C035FA" w:rsidRDefault="008D5756">
            <w:pPr>
              <w:pStyle w:val="Default"/>
              <w:jc w:val="both"/>
              <w:rPr>
                <w:color w:val="auto"/>
              </w:rPr>
            </w:pPr>
            <w:r>
              <w:rPr>
                <w:color w:val="auto"/>
                <w:shd w:val="clear" w:color="auto" w:fill="FFFFFF"/>
              </w:rPr>
              <w:t>P-gp</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367F4A5" w14:textId="77777777" w:rsidR="00C035FA" w:rsidRDefault="008D5756">
            <w:pPr>
              <w:tabs>
                <w:tab w:val="right" w:pos="7504"/>
              </w:tabs>
              <w:spacing w:after="0" w:line="240" w:lineRule="auto"/>
            </w:pPr>
            <w:r>
              <w:rPr>
                <w:shd w:val="clear" w:color="auto" w:fill="FFFFFF"/>
              </w:rPr>
              <w:t xml:space="preserve">Гликопротеин Р </w:t>
            </w:r>
          </w:p>
        </w:tc>
      </w:tr>
      <w:tr w:rsidR="00C035FA" w14:paraId="72BD5E3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AC348C7" w14:textId="77777777" w:rsidR="00C035FA" w:rsidRDefault="008D5756">
            <w:pPr>
              <w:pStyle w:val="Default"/>
              <w:jc w:val="both"/>
              <w:rPr>
                <w:color w:val="auto"/>
              </w:rPr>
            </w:pPr>
            <w:r>
              <w:rPr>
                <w:color w:val="auto"/>
              </w:rPr>
              <w:t>SCORE</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0CBEAFD" w14:textId="77777777" w:rsidR="00C035FA" w:rsidRDefault="008D5756">
            <w:pPr>
              <w:shd w:val="clear" w:color="auto" w:fill="FFFFFF"/>
              <w:tabs>
                <w:tab w:val="right" w:pos="7504"/>
              </w:tabs>
              <w:spacing w:after="0" w:line="240" w:lineRule="auto"/>
            </w:pPr>
            <w:r>
              <w:t>10-летний абсолютный риск фатальных</w:t>
            </w:r>
          </w:p>
          <w:p w14:paraId="1A02A695" w14:textId="77777777" w:rsidR="00C035FA" w:rsidRDefault="008D5756">
            <w:pPr>
              <w:tabs>
                <w:tab w:val="right" w:pos="7504"/>
              </w:tabs>
              <w:spacing w:after="0" w:line="240" w:lineRule="auto"/>
            </w:pPr>
            <w:r>
              <w:t>сердечно-сосудистых осложнений для лиц в возрасте 40-65 лет (Systematic COronary Risk Evaluation)</w:t>
            </w:r>
          </w:p>
        </w:tc>
      </w:tr>
      <w:tr w:rsidR="00C035FA" w14:paraId="4CCCE6D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5D47E1B" w14:textId="77777777" w:rsidR="00C035FA" w:rsidRDefault="008D5756">
            <w:pPr>
              <w:pStyle w:val="Default"/>
              <w:jc w:val="both"/>
              <w:rPr>
                <w:color w:val="auto"/>
              </w:rPr>
            </w:pPr>
            <w:r>
              <w:rPr>
                <w:color w:val="auto"/>
              </w:rPr>
              <w:t>SGLT1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3F6C414" w14:textId="77777777" w:rsidR="00C035FA" w:rsidRDefault="008D5756">
            <w:pPr>
              <w:tabs>
                <w:tab w:val="right" w:pos="7504"/>
              </w:tabs>
              <w:spacing w:after="0" w:line="240" w:lineRule="auto"/>
            </w:pPr>
            <w:r>
              <w:t>Натрий-глюкозный котранспортер 1-го типа</w:t>
            </w:r>
          </w:p>
        </w:tc>
      </w:tr>
      <w:tr w:rsidR="00C035FA" w14:paraId="04587DA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BBFB890" w14:textId="77777777" w:rsidR="00C035FA" w:rsidRDefault="008D5756">
            <w:pPr>
              <w:pStyle w:val="Default"/>
              <w:jc w:val="both"/>
              <w:rPr>
                <w:color w:val="auto"/>
              </w:rPr>
            </w:pPr>
            <w:r>
              <w:rPr>
                <w:color w:val="auto"/>
              </w:rPr>
              <w:t>SGLT2</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51867F2" w14:textId="77777777" w:rsidR="00C035FA" w:rsidRDefault="008D5756">
            <w:pPr>
              <w:tabs>
                <w:tab w:val="right" w:pos="7504"/>
              </w:tabs>
              <w:spacing w:after="0" w:line="240" w:lineRule="auto"/>
              <w:rPr>
                <w:bCs/>
              </w:rPr>
            </w:pPr>
            <w:r>
              <w:rPr>
                <w:bCs/>
              </w:rPr>
              <w:t>Натрий-глюкозный котранспортер 2-го типа</w:t>
            </w:r>
          </w:p>
        </w:tc>
      </w:tr>
      <w:tr w:rsidR="00C035FA" w14:paraId="71B3515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1D9B8ED" w14:textId="77777777" w:rsidR="00C035FA" w:rsidRDefault="008D5756">
            <w:pPr>
              <w:pStyle w:val="Default"/>
              <w:jc w:val="both"/>
              <w:rPr>
                <w:color w:val="auto"/>
              </w:rPr>
            </w:pPr>
            <w:r>
              <w:rPr>
                <w:color w:val="auto"/>
              </w:rPr>
              <w:t>STZ</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8983198" w14:textId="77777777" w:rsidR="00C035FA" w:rsidRDefault="008D5756">
            <w:pPr>
              <w:tabs>
                <w:tab w:val="right" w:pos="7504"/>
              </w:tabs>
              <w:spacing w:after="0" w:line="240" w:lineRule="auto"/>
            </w:pPr>
            <w:r>
              <w:t>Стрептозотоцин</w:t>
            </w:r>
          </w:p>
        </w:tc>
      </w:tr>
      <w:tr w:rsidR="00C035FA" w14:paraId="37DDFC1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74518A8" w14:textId="77777777" w:rsidR="00C035FA" w:rsidRDefault="008D5756">
            <w:pPr>
              <w:pStyle w:val="Default"/>
              <w:jc w:val="both"/>
              <w:rPr>
                <w:color w:val="auto"/>
              </w:rPr>
            </w:pPr>
            <w:r>
              <w:rPr>
                <w:color w:val="auto"/>
                <w:shd w:val="clear" w:color="auto" w:fill="FFFFFF"/>
              </w:rPr>
              <w:t>T</w:t>
            </w:r>
            <w:r>
              <w:rPr>
                <w:color w:val="auto"/>
                <w:shd w:val="clear" w:color="auto" w:fill="FFFFFF"/>
                <w:vertAlign w:val="subscript"/>
              </w:rPr>
              <w:t>1/2</w:t>
            </w:r>
            <w:r>
              <w:rPr>
                <w:color w:val="auto"/>
                <w:shd w:val="clear" w:color="auto" w:fill="FFFFFF"/>
              </w:rPr>
              <w:tab/>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0CF9D9B" w14:textId="77777777" w:rsidR="00C035FA" w:rsidRDefault="008D5756">
            <w:pPr>
              <w:tabs>
                <w:tab w:val="right" w:pos="7504"/>
              </w:tabs>
              <w:spacing w:after="0" w:line="240" w:lineRule="auto"/>
            </w:pPr>
            <w:r>
              <w:rPr>
                <w:shd w:val="clear" w:color="auto" w:fill="FFFFFF"/>
              </w:rPr>
              <w:t>Период полувыведения</w:t>
            </w:r>
          </w:p>
        </w:tc>
      </w:tr>
      <w:tr w:rsidR="00C035FA" w14:paraId="5F26AC4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A1D6582" w14:textId="77777777" w:rsidR="00C035FA" w:rsidRDefault="008D5756">
            <w:pPr>
              <w:pStyle w:val="Default"/>
              <w:jc w:val="both"/>
              <w:rPr>
                <w:color w:val="auto"/>
              </w:rPr>
            </w:pPr>
            <w:r>
              <w:rPr>
                <w:color w:val="auto"/>
              </w:rPr>
              <w:t>TGFβ1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4CC1F64" w14:textId="77777777" w:rsidR="00C035FA" w:rsidRDefault="008D5756">
            <w:pPr>
              <w:tabs>
                <w:tab w:val="right" w:pos="7504"/>
              </w:tabs>
              <w:spacing w:after="0" w:line="240" w:lineRule="auto"/>
            </w:pPr>
            <w:r>
              <w:t xml:space="preserve">Трансформирующий фактор роста бета </w:t>
            </w:r>
          </w:p>
          <w:p w14:paraId="15DD2023" w14:textId="77777777" w:rsidR="00C035FA" w:rsidRDefault="008D5756">
            <w:pPr>
              <w:tabs>
                <w:tab w:val="right" w:pos="7504"/>
              </w:tabs>
              <w:spacing w:after="0" w:line="240" w:lineRule="auto"/>
            </w:pPr>
            <w:r>
              <w:t>(Transforming growth factor beta)</w:t>
            </w:r>
          </w:p>
        </w:tc>
      </w:tr>
      <w:tr w:rsidR="00C035FA" w14:paraId="1A44651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9AB8677" w14:textId="77777777" w:rsidR="00C035FA" w:rsidRDefault="008D5756">
            <w:pPr>
              <w:pStyle w:val="Default"/>
              <w:jc w:val="both"/>
              <w:rPr>
                <w:color w:val="auto"/>
                <w:lang w:eastAsia="zh-CN"/>
              </w:rPr>
            </w:pPr>
            <w:r>
              <w:rPr>
                <w:color w:val="auto"/>
              </w:rPr>
              <w:t>TLR4</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452744B" w14:textId="77777777" w:rsidR="00C035FA" w:rsidRDefault="008D5756">
            <w:pPr>
              <w:tabs>
                <w:tab w:val="right" w:pos="7504"/>
              </w:tabs>
              <w:spacing w:after="0" w:line="240" w:lineRule="auto"/>
              <w:rPr>
                <w:bCs/>
              </w:rPr>
            </w:pPr>
            <w:r>
              <w:t>Толл-подобный рецептор 4</w:t>
            </w:r>
          </w:p>
        </w:tc>
      </w:tr>
      <w:tr w:rsidR="00C035FA" w14:paraId="30F77A6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CE8241D" w14:textId="77777777" w:rsidR="00C035FA" w:rsidRDefault="008D5756">
            <w:pPr>
              <w:pStyle w:val="Default"/>
              <w:jc w:val="both"/>
              <w:rPr>
                <w:color w:val="auto"/>
                <w:shd w:val="clear" w:color="auto" w:fill="FFFFFF"/>
              </w:rPr>
            </w:pPr>
            <w:r>
              <w:rPr>
                <w:color w:val="auto"/>
                <w:shd w:val="clear" w:color="auto" w:fill="FFFFFF"/>
              </w:rPr>
              <w:t>T</w:t>
            </w:r>
            <w:r>
              <w:rPr>
                <w:color w:val="auto"/>
                <w:shd w:val="clear" w:color="auto" w:fill="FFFFFF"/>
                <w:vertAlign w:val="subscript"/>
              </w:rPr>
              <w:t>max</w:t>
            </w:r>
            <w:r>
              <w:rPr>
                <w:color w:val="auto"/>
                <w:shd w:val="clear" w:color="auto" w:fill="FFFFFF"/>
              </w:rPr>
              <w:tab/>
            </w:r>
          </w:p>
          <w:p w14:paraId="00BE3BD0" w14:textId="77777777" w:rsidR="00C035FA" w:rsidRDefault="00C035FA">
            <w:pPr>
              <w:pStyle w:val="Default"/>
              <w:jc w:val="both"/>
              <w:rPr>
                <w:color w:val="auto"/>
              </w:rPr>
            </w:pP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D0954C9" w14:textId="77777777" w:rsidR="00C035FA" w:rsidRDefault="008D5756">
            <w:pPr>
              <w:pStyle w:val="Default"/>
              <w:jc w:val="both"/>
              <w:rPr>
                <w:color w:val="auto"/>
                <w:shd w:val="clear" w:color="auto" w:fill="FFFFFF"/>
              </w:rPr>
            </w:pPr>
            <w:r>
              <w:rPr>
                <w:color w:val="auto"/>
                <w:shd w:val="clear" w:color="auto" w:fill="FFFFFF"/>
              </w:rPr>
              <w:t xml:space="preserve">Время достижения максимальной концентрации </w:t>
            </w:r>
          </w:p>
          <w:p w14:paraId="0A065BAC" w14:textId="77777777" w:rsidR="00C035FA" w:rsidRDefault="008D5756">
            <w:pPr>
              <w:tabs>
                <w:tab w:val="right" w:pos="7504"/>
              </w:tabs>
              <w:spacing w:after="0" w:line="240" w:lineRule="auto"/>
            </w:pPr>
            <w:r>
              <w:rPr>
                <w:shd w:val="clear" w:color="auto" w:fill="FFFFFF"/>
              </w:rPr>
              <w:t>(Time of Maximum Concentration)</w:t>
            </w:r>
          </w:p>
        </w:tc>
      </w:tr>
      <w:tr w:rsidR="00C035FA" w14:paraId="574A28F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11F0032" w14:textId="77777777" w:rsidR="00C035FA" w:rsidRDefault="008D5756">
            <w:pPr>
              <w:pStyle w:val="Default"/>
              <w:jc w:val="both"/>
              <w:rPr>
                <w:color w:val="auto"/>
                <w:shd w:val="clear" w:color="auto" w:fill="FFFFFF"/>
              </w:rPr>
            </w:pPr>
            <w:r>
              <w:rPr>
                <w:iCs/>
                <w:color w:val="auto"/>
              </w:rPr>
              <w:t>UGE</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D57404A" w14:textId="77777777" w:rsidR="00C035FA" w:rsidRDefault="008D5756">
            <w:pPr>
              <w:tabs>
                <w:tab w:val="right" w:pos="7504"/>
              </w:tabs>
              <w:spacing w:after="0" w:line="240" w:lineRule="auto"/>
              <w:rPr>
                <w:shd w:val="clear" w:color="auto" w:fill="FFFFFF"/>
              </w:rPr>
            </w:pPr>
            <w:r>
              <w:rPr>
                <w:shd w:val="clear" w:color="auto" w:fill="FFFFFF"/>
              </w:rPr>
              <w:t xml:space="preserve"> Экскреция глюкозы с мочой (urinary glucose excretion)</w:t>
            </w:r>
          </w:p>
        </w:tc>
      </w:tr>
      <w:tr w:rsidR="00C035FA" w14:paraId="197349F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312783A" w14:textId="77777777" w:rsidR="00C035FA" w:rsidRDefault="008D5756">
            <w:pPr>
              <w:pStyle w:val="Default"/>
              <w:jc w:val="both"/>
              <w:rPr>
                <w:color w:val="auto"/>
              </w:rPr>
            </w:pPr>
            <w:r>
              <w:rPr>
                <w:color w:val="auto"/>
                <w:shd w:val="clear" w:color="auto" w:fill="FFFFFF"/>
              </w:rPr>
              <w:t>UGT</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69B2383" w14:textId="77777777" w:rsidR="00C035FA" w:rsidRDefault="008D5756">
            <w:pPr>
              <w:shd w:val="clear" w:color="auto" w:fill="FFFFFF"/>
              <w:tabs>
                <w:tab w:val="right" w:pos="7504"/>
              </w:tabs>
              <w:spacing w:after="0" w:line="240" w:lineRule="auto"/>
            </w:pPr>
            <w:r>
              <w:rPr>
                <w:shd w:val="clear" w:color="auto" w:fill="FFFFFF"/>
              </w:rPr>
              <w:t>Уридин-5’-дифосфо-глюкуронозилтрансфераза</w:t>
            </w:r>
            <w:r>
              <w:t xml:space="preserve"> </w:t>
            </w:r>
          </w:p>
          <w:p w14:paraId="08AE1549" w14:textId="77777777" w:rsidR="00C035FA" w:rsidRDefault="008D5756">
            <w:pPr>
              <w:tabs>
                <w:tab w:val="right" w:pos="7504"/>
              </w:tabs>
              <w:spacing w:after="0" w:line="240" w:lineRule="auto"/>
            </w:pPr>
            <w:r>
              <w:t>(</w:t>
            </w:r>
            <w:r>
              <w:rPr>
                <w:lang w:val="en-US"/>
              </w:rPr>
              <w:t>U</w:t>
            </w:r>
            <w:r>
              <w:rPr>
                <w:shd w:val="clear" w:color="auto" w:fill="FFFFFF"/>
              </w:rPr>
              <w:t>ridine 5'-diphospho-glucuronosyltransferase</w:t>
            </w:r>
          </w:p>
        </w:tc>
      </w:tr>
      <w:tr w:rsidR="00C035FA" w14:paraId="0F2E7A0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6E873C5" w14:textId="77777777" w:rsidR="00C035FA" w:rsidRDefault="008D5756">
            <w:pPr>
              <w:pStyle w:val="Default"/>
              <w:jc w:val="both"/>
              <w:rPr>
                <w:color w:val="auto"/>
              </w:rPr>
            </w:pPr>
            <w:r>
              <w:rPr>
                <w:color w:val="auto"/>
              </w:rPr>
              <w:t>Vd</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EAE48DF" w14:textId="77777777" w:rsidR="00C035FA" w:rsidRDefault="008D5756">
            <w:pPr>
              <w:tabs>
                <w:tab w:val="right" w:pos="7504"/>
              </w:tabs>
              <w:spacing w:after="0" w:line="240" w:lineRule="auto"/>
            </w:pPr>
            <w:r>
              <w:t>Объем распределения</w:t>
            </w:r>
          </w:p>
        </w:tc>
      </w:tr>
      <w:tr w:rsidR="00C035FA" w14:paraId="1B44CF8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50CA21C" w14:textId="77777777" w:rsidR="00C035FA" w:rsidRDefault="008D5756">
            <w:pPr>
              <w:pStyle w:val="Default"/>
              <w:jc w:val="both"/>
              <w:rPr>
                <w:color w:val="auto"/>
              </w:rPr>
            </w:pPr>
            <w:r>
              <w:rPr>
                <w:color w:val="auto"/>
              </w:rPr>
              <w:t>Vss</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0B3C2CB" w14:textId="77777777" w:rsidR="00C035FA" w:rsidRDefault="008D5756">
            <w:pPr>
              <w:tabs>
                <w:tab w:val="right" w:pos="7504"/>
              </w:tabs>
              <w:spacing w:after="0" w:line="240" w:lineRule="auto"/>
            </w:pPr>
            <w:bookmarkStart w:id="6" w:name="_Hlk101189113"/>
            <w:r>
              <w:t>Кажущийся равновесный объём распределения</w:t>
            </w:r>
            <w:bookmarkEnd w:id="6"/>
          </w:p>
        </w:tc>
      </w:tr>
      <w:tr w:rsidR="00C035FA" w14:paraId="5E1D43C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9DAF39E" w14:textId="77777777" w:rsidR="00C035FA" w:rsidRDefault="008D5756">
            <w:pPr>
              <w:pStyle w:val="Default"/>
              <w:jc w:val="both"/>
              <w:rPr>
                <w:color w:val="auto"/>
                <w:lang w:eastAsia="zh-CN"/>
              </w:rPr>
            </w:pPr>
            <w:r>
              <w:rPr>
                <w:color w:val="auto"/>
              </w:rPr>
              <w:t>ZDF</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FC0D25C" w14:textId="77777777" w:rsidR="00C035FA" w:rsidRDefault="008D5756">
            <w:pPr>
              <w:tabs>
                <w:tab w:val="right" w:pos="7504"/>
              </w:tabs>
              <w:spacing w:after="0" w:line="240" w:lineRule="auto"/>
            </w:pPr>
            <w:r>
              <w:t xml:space="preserve">Крысы с диабетом и ожирением </w:t>
            </w:r>
          </w:p>
          <w:p w14:paraId="4352E4B8" w14:textId="77777777" w:rsidR="00C035FA" w:rsidRDefault="008D5756">
            <w:pPr>
              <w:tabs>
                <w:tab w:val="right" w:pos="7504"/>
              </w:tabs>
              <w:spacing w:after="0" w:line="240" w:lineRule="auto"/>
            </w:pPr>
            <w:r>
              <w:t>(Zucker diabetic fatty rat)</w:t>
            </w:r>
          </w:p>
        </w:tc>
      </w:tr>
      <w:tr w:rsidR="00C035FA" w14:paraId="12BE0F56"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3BD25F2" w14:textId="77777777" w:rsidR="00C035FA" w:rsidRDefault="008D5756">
            <w:pPr>
              <w:pStyle w:val="Default"/>
              <w:jc w:val="both"/>
              <w:rPr>
                <w:color w:val="auto"/>
              </w:rPr>
            </w:pPr>
            <w:r>
              <w:rPr>
                <w:color w:val="auto"/>
              </w:rPr>
              <w:t>А</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A657ECC" w14:textId="77777777" w:rsidR="00C035FA" w:rsidRDefault="008D5756">
            <w:pPr>
              <w:tabs>
                <w:tab w:val="right" w:pos="7504"/>
              </w:tabs>
              <w:spacing w:after="0" w:line="240" w:lineRule="auto"/>
            </w:pPr>
            <w:r>
              <w:t>Пик скорости фазы систолы предсердий</w:t>
            </w:r>
          </w:p>
        </w:tc>
      </w:tr>
      <w:tr w:rsidR="00C035FA" w14:paraId="667A4FA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05F04B3" w14:textId="77777777" w:rsidR="00C035FA" w:rsidRDefault="008D5756">
            <w:pPr>
              <w:pStyle w:val="Default"/>
              <w:jc w:val="both"/>
              <w:rPr>
                <w:color w:val="auto"/>
              </w:rPr>
            </w:pPr>
            <w:r>
              <w:rPr>
                <w:color w:val="auto"/>
              </w:rPr>
              <w:t>АД</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844122D" w14:textId="77777777" w:rsidR="00C035FA" w:rsidRDefault="008D5756">
            <w:pPr>
              <w:tabs>
                <w:tab w:val="right" w:pos="7504"/>
              </w:tabs>
              <w:spacing w:after="0" w:line="240" w:lineRule="auto"/>
            </w:pPr>
            <w:r>
              <w:t>Артериальное давление</w:t>
            </w:r>
          </w:p>
        </w:tc>
      </w:tr>
      <w:tr w:rsidR="00C035FA" w14:paraId="5D54658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D4F2EC1" w14:textId="77777777" w:rsidR="00C035FA" w:rsidRDefault="008D5756">
            <w:pPr>
              <w:pStyle w:val="Default"/>
              <w:jc w:val="both"/>
              <w:rPr>
                <w:color w:val="auto"/>
              </w:rPr>
            </w:pPr>
            <w:r>
              <w:rPr>
                <w:color w:val="auto"/>
              </w:rPr>
              <w:t>АДФ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1C1A7EF" w14:textId="77777777" w:rsidR="00C035FA" w:rsidRDefault="008D5756">
            <w:pPr>
              <w:tabs>
                <w:tab w:val="right" w:pos="7504"/>
              </w:tabs>
              <w:spacing w:after="0" w:line="240" w:lineRule="auto"/>
            </w:pPr>
            <w:r>
              <w:t xml:space="preserve">Аденозиндифосфат </w:t>
            </w:r>
          </w:p>
        </w:tc>
      </w:tr>
      <w:tr w:rsidR="00C035FA" w14:paraId="5A1022E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9C89104" w14:textId="77777777" w:rsidR="00C035FA" w:rsidRDefault="008D5756">
            <w:pPr>
              <w:pStyle w:val="Default"/>
              <w:jc w:val="both"/>
              <w:rPr>
                <w:color w:val="auto"/>
              </w:rPr>
            </w:pPr>
            <w:r>
              <w:rPr>
                <w:color w:val="auto"/>
              </w:rPr>
              <w:t>АКМ</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E70022B" w14:textId="77777777" w:rsidR="00C035FA" w:rsidRDefault="008D5756">
            <w:pPr>
              <w:tabs>
                <w:tab w:val="right" w:pos="7504"/>
              </w:tabs>
              <w:spacing w:after="0" w:line="240" w:lineRule="auto"/>
              <w:rPr>
                <w:bCs/>
              </w:rPr>
            </w:pPr>
            <w:r>
              <w:t xml:space="preserve">Соотношение экскреции альбумин/креатинин в моче </w:t>
            </w:r>
          </w:p>
        </w:tc>
      </w:tr>
      <w:tr w:rsidR="00C035FA" w14:paraId="352AA69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817FEB7" w14:textId="77777777" w:rsidR="00C035FA" w:rsidRDefault="008D5756">
            <w:pPr>
              <w:pStyle w:val="Default"/>
              <w:jc w:val="both"/>
              <w:rPr>
                <w:color w:val="auto"/>
              </w:rPr>
            </w:pPr>
            <w:r>
              <w:rPr>
                <w:color w:val="auto"/>
              </w:rPr>
              <w:t>АКШ</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B93838E" w14:textId="77777777" w:rsidR="00C035FA" w:rsidRDefault="008D5756">
            <w:pPr>
              <w:tabs>
                <w:tab w:val="right" w:pos="7504"/>
              </w:tabs>
              <w:spacing w:after="0" w:line="240" w:lineRule="auto"/>
            </w:pPr>
            <w:r>
              <w:t>Аортокоронарное шунтирование</w:t>
            </w:r>
          </w:p>
        </w:tc>
      </w:tr>
      <w:tr w:rsidR="00C035FA" w14:paraId="4CFC6D7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045DE0D" w14:textId="77777777" w:rsidR="00C035FA" w:rsidRDefault="008D5756">
            <w:pPr>
              <w:pStyle w:val="Default"/>
              <w:jc w:val="both"/>
              <w:rPr>
                <w:color w:val="auto"/>
              </w:rPr>
            </w:pPr>
            <w:r>
              <w:rPr>
                <w:color w:val="auto"/>
              </w:rPr>
              <w:t>АЛТ</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364617A" w14:textId="77777777" w:rsidR="00C035FA" w:rsidRDefault="008D5756">
            <w:pPr>
              <w:tabs>
                <w:tab w:val="right" w:pos="7504"/>
              </w:tabs>
              <w:spacing w:after="0" w:line="240" w:lineRule="auto"/>
            </w:pPr>
            <w:r>
              <w:t>Аланинтрансфераза</w:t>
            </w:r>
          </w:p>
        </w:tc>
      </w:tr>
      <w:tr w:rsidR="00C035FA" w14:paraId="522DF62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B0080DE" w14:textId="77777777" w:rsidR="00C035FA" w:rsidRDefault="008D5756">
            <w:pPr>
              <w:pStyle w:val="Default"/>
              <w:jc w:val="both"/>
              <w:rPr>
                <w:color w:val="auto"/>
              </w:rPr>
            </w:pPr>
            <w:r>
              <w:rPr>
                <w:color w:val="auto"/>
              </w:rPr>
              <w:t>АМКР</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D5C8A2F" w14:textId="77777777" w:rsidR="00C035FA" w:rsidRDefault="008D5756">
            <w:pPr>
              <w:tabs>
                <w:tab w:val="right" w:pos="7504"/>
              </w:tabs>
              <w:spacing w:after="0" w:line="240" w:lineRule="auto"/>
            </w:pPr>
            <w:r>
              <w:rPr>
                <w:shd w:val="clear" w:color="auto" w:fill="FFFFFF"/>
              </w:rPr>
              <w:t>Антагонисты минералокортикоидных рецепторов</w:t>
            </w:r>
          </w:p>
        </w:tc>
      </w:tr>
      <w:tr w:rsidR="00C035FA" w14:paraId="2E9200C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8482DA6" w14:textId="77777777" w:rsidR="00C035FA" w:rsidRDefault="008D5756">
            <w:pPr>
              <w:pStyle w:val="Default"/>
              <w:jc w:val="both"/>
              <w:rPr>
                <w:color w:val="auto"/>
              </w:rPr>
            </w:pPr>
            <w:r>
              <w:rPr>
                <w:color w:val="auto"/>
              </w:rPr>
              <w:t>АРА</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40C1518" w14:textId="77777777" w:rsidR="00C035FA" w:rsidRDefault="008D5756">
            <w:pPr>
              <w:tabs>
                <w:tab w:val="right" w:pos="7504"/>
              </w:tabs>
              <w:spacing w:after="0" w:line="240" w:lineRule="auto"/>
            </w:pPr>
            <w:r>
              <w:t>Антагонисты рецепторов ангиотензина II</w:t>
            </w:r>
          </w:p>
        </w:tc>
      </w:tr>
      <w:tr w:rsidR="00C035FA" w14:paraId="7559B27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233A715" w14:textId="77777777" w:rsidR="00C035FA" w:rsidRDefault="008D5756">
            <w:pPr>
              <w:pStyle w:val="Default"/>
              <w:jc w:val="both"/>
              <w:rPr>
                <w:color w:val="auto"/>
              </w:rPr>
            </w:pPr>
            <w:r>
              <w:rPr>
                <w:color w:val="auto"/>
              </w:rPr>
              <w:t>АРНИ</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29DA899" w14:textId="77777777" w:rsidR="00C035FA" w:rsidRDefault="008D5756">
            <w:pPr>
              <w:tabs>
                <w:tab w:val="right" w:pos="7504"/>
              </w:tabs>
              <w:spacing w:after="0" w:line="240" w:lineRule="auto"/>
            </w:pPr>
            <w:r>
              <w:t xml:space="preserve">Ангиотензиновых рецепторов и неприлизина ингибитор </w:t>
            </w:r>
          </w:p>
        </w:tc>
      </w:tr>
      <w:tr w:rsidR="00C035FA" w14:paraId="5B63129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D21A5D5" w14:textId="77777777" w:rsidR="00C035FA" w:rsidRDefault="008D5756">
            <w:pPr>
              <w:pStyle w:val="Default"/>
              <w:jc w:val="both"/>
              <w:rPr>
                <w:color w:val="auto"/>
              </w:rPr>
            </w:pPr>
            <w:r>
              <w:rPr>
                <w:color w:val="auto"/>
              </w:rPr>
              <w:t>АСТ</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EE391F3" w14:textId="77777777" w:rsidR="00C035FA" w:rsidRDefault="008D5756">
            <w:pPr>
              <w:tabs>
                <w:tab w:val="right" w:pos="7504"/>
              </w:tabs>
              <w:spacing w:after="0" w:line="240" w:lineRule="auto"/>
            </w:pPr>
            <w:r>
              <w:t>Аспартатаминотрансфераза</w:t>
            </w:r>
          </w:p>
        </w:tc>
      </w:tr>
      <w:tr w:rsidR="00C035FA" w14:paraId="51756BD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2CDC3C4" w14:textId="77777777" w:rsidR="00C035FA" w:rsidRDefault="008D5756">
            <w:pPr>
              <w:pStyle w:val="Default"/>
              <w:jc w:val="both"/>
              <w:rPr>
                <w:color w:val="auto"/>
                <w:shd w:val="clear" w:color="auto" w:fill="FFFFFF"/>
              </w:rPr>
            </w:pPr>
            <w:r>
              <w:rPr>
                <w:color w:val="auto"/>
                <w:shd w:val="clear" w:color="auto" w:fill="FFFFFF"/>
              </w:rPr>
              <w:t>АТФ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ADBE88E" w14:textId="77777777" w:rsidR="00C035FA" w:rsidRDefault="008D5756">
            <w:pPr>
              <w:tabs>
                <w:tab w:val="right" w:pos="7504"/>
              </w:tabs>
              <w:spacing w:after="0" w:line="240" w:lineRule="auto"/>
            </w:pPr>
            <w:r>
              <w:t>Аденозинтрифосфат</w:t>
            </w:r>
          </w:p>
        </w:tc>
      </w:tr>
      <w:tr w:rsidR="00C035FA" w14:paraId="50A775A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0B65F23" w14:textId="77777777" w:rsidR="00C035FA" w:rsidRDefault="008D5756">
            <w:pPr>
              <w:pStyle w:val="Default"/>
              <w:jc w:val="both"/>
              <w:rPr>
                <w:color w:val="auto"/>
              </w:rPr>
            </w:pPr>
            <w:r>
              <w:rPr>
                <w:color w:val="auto"/>
              </w:rPr>
              <w:t>ВА</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F6C8142" w14:textId="77777777" w:rsidR="00C035FA" w:rsidRDefault="008D5756">
            <w:pPr>
              <w:tabs>
                <w:tab w:val="right" w:pos="7504"/>
              </w:tabs>
              <w:spacing w:after="0" w:line="240" w:lineRule="auto"/>
            </w:pPr>
            <w:r>
              <w:t>Биодоступность</w:t>
            </w:r>
          </w:p>
        </w:tc>
      </w:tr>
      <w:tr w:rsidR="00C035FA" w14:paraId="5CCE251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35955BE" w14:textId="77777777" w:rsidR="00C035FA" w:rsidRDefault="008D5756">
            <w:pPr>
              <w:pStyle w:val="Default"/>
              <w:jc w:val="both"/>
              <w:rPr>
                <w:color w:val="auto"/>
                <w:lang w:eastAsia="zh-CN"/>
              </w:rPr>
            </w:pPr>
            <w:r>
              <w:rPr>
                <w:color w:val="auto"/>
                <w:lang w:eastAsia="zh-CN"/>
              </w:rPr>
              <w:t>ГПП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53B3E34" w14:textId="77777777" w:rsidR="00C035FA" w:rsidRDefault="008D5756">
            <w:pPr>
              <w:tabs>
                <w:tab w:val="right" w:pos="7504"/>
              </w:tabs>
              <w:spacing w:after="0" w:line="240" w:lineRule="auto"/>
            </w:pPr>
            <w:r>
              <w:t>Глюкоза в плазме натощак</w:t>
            </w:r>
          </w:p>
        </w:tc>
      </w:tr>
      <w:tr w:rsidR="00C035FA" w14:paraId="3C5BAA3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B72834D" w14:textId="77777777" w:rsidR="00C035FA" w:rsidRDefault="008D5756">
            <w:pPr>
              <w:pStyle w:val="Default"/>
              <w:jc w:val="both"/>
              <w:rPr>
                <w:color w:val="auto"/>
              </w:rPr>
            </w:pPr>
            <w:r>
              <w:rPr>
                <w:color w:val="auto"/>
              </w:rPr>
              <w:t>ГПП-1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32422E7" w14:textId="77777777" w:rsidR="00C035FA" w:rsidRDefault="008D5756">
            <w:pPr>
              <w:tabs>
                <w:tab w:val="right" w:pos="7504"/>
              </w:tabs>
              <w:spacing w:after="0" w:line="240" w:lineRule="auto"/>
            </w:pPr>
            <w:r>
              <w:t xml:space="preserve">Глюкагоноподобный пептид-1 </w:t>
            </w:r>
          </w:p>
        </w:tc>
      </w:tr>
      <w:tr w:rsidR="00C035FA" w14:paraId="6D58795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39D156F" w14:textId="77777777" w:rsidR="00C035FA" w:rsidRDefault="008D5756">
            <w:pPr>
              <w:pStyle w:val="Default"/>
              <w:jc w:val="both"/>
              <w:rPr>
                <w:color w:val="auto"/>
              </w:rPr>
            </w:pPr>
            <w:r>
              <w:rPr>
                <w:color w:val="auto"/>
              </w:rPr>
              <w:t>ГТТ</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C4C11EC" w14:textId="77777777" w:rsidR="00C035FA" w:rsidRDefault="008D5756">
            <w:pPr>
              <w:tabs>
                <w:tab w:val="right" w:pos="7504"/>
              </w:tabs>
              <w:spacing w:after="0" w:line="240" w:lineRule="auto"/>
            </w:pPr>
            <w:r>
              <w:t>Глюкозотолерантный тест</w:t>
            </w:r>
          </w:p>
        </w:tc>
      </w:tr>
      <w:tr w:rsidR="00C035FA" w14:paraId="6238B29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633693F" w14:textId="77777777" w:rsidR="00C035FA" w:rsidRDefault="008D5756">
            <w:pPr>
              <w:pStyle w:val="Default"/>
              <w:jc w:val="both"/>
              <w:rPr>
                <w:color w:val="auto"/>
                <w:shd w:val="clear" w:color="auto" w:fill="FFFFFF"/>
              </w:rPr>
            </w:pPr>
            <w:r>
              <w:rPr>
                <w:iCs/>
                <w:color w:val="auto"/>
              </w:rPr>
              <w:t>ГУ</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D599F15" w14:textId="77777777" w:rsidR="00C035FA" w:rsidRDefault="008D5756">
            <w:pPr>
              <w:tabs>
                <w:tab w:val="right" w:pos="7504"/>
              </w:tabs>
              <w:spacing w:after="0" w:line="240" w:lineRule="auto"/>
            </w:pPr>
            <w:r>
              <w:rPr>
                <w:iCs/>
              </w:rPr>
              <w:t>Гиперурикемия</w:t>
            </w:r>
          </w:p>
        </w:tc>
      </w:tr>
      <w:tr w:rsidR="00C035FA" w14:paraId="46EC5CF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427E2AF" w14:textId="77777777" w:rsidR="00C035FA" w:rsidRDefault="008D5756">
            <w:pPr>
              <w:pStyle w:val="Default"/>
              <w:jc w:val="both"/>
              <w:rPr>
                <w:color w:val="auto"/>
              </w:rPr>
            </w:pPr>
            <w:r>
              <w:rPr>
                <w:color w:val="auto"/>
              </w:rPr>
              <w:t>ДАД</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9302445" w14:textId="77777777" w:rsidR="00C035FA" w:rsidRDefault="008D5756">
            <w:pPr>
              <w:tabs>
                <w:tab w:val="right" w:pos="7504"/>
              </w:tabs>
              <w:spacing w:after="0" w:line="240" w:lineRule="auto"/>
            </w:pPr>
            <w:r>
              <w:t>Диастолическое артериальное давление</w:t>
            </w:r>
          </w:p>
        </w:tc>
      </w:tr>
      <w:tr w:rsidR="00C035FA" w14:paraId="1C88655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4B70070" w14:textId="77777777" w:rsidR="00C035FA" w:rsidRDefault="008D5756">
            <w:pPr>
              <w:pStyle w:val="Default"/>
              <w:jc w:val="both"/>
              <w:rPr>
                <w:color w:val="auto"/>
              </w:rPr>
            </w:pPr>
            <w:r>
              <w:rPr>
                <w:color w:val="auto"/>
              </w:rPr>
              <w:lastRenderedPageBreak/>
              <w:t>ДД</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B98B5EF" w14:textId="77777777" w:rsidR="00C035FA" w:rsidRDefault="008D5756">
            <w:pPr>
              <w:tabs>
                <w:tab w:val="right" w:pos="7504"/>
              </w:tabs>
              <w:spacing w:after="0" w:line="240" w:lineRule="auto"/>
            </w:pPr>
            <w:r>
              <w:t>Диастолическая дисфункция</w:t>
            </w:r>
          </w:p>
        </w:tc>
      </w:tr>
      <w:tr w:rsidR="00C035FA" w14:paraId="1907D4E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7A5B54B" w14:textId="77777777" w:rsidR="00C035FA" w:rsidRDefault="008D5756">
            <w:pPr>
              <w:pStyle w:val="Default"/>
              <w:jc w:val="both"/>
              <w:rPr>
                <w:color w:val="auto"/>
              </w:rPr>
            </w:pPr>
            <w:r>
              <w:rPr>
                <w:color w:val="auto"/>
              </w:rPr>
              <w:t>ДИ</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B28D888" w14:textId="77777777" w:rsidR="00C035FA" w:rsidRDefault="008D5756">
            <w:pPr>
              <w:tabs>
                <w:tab w:val="right" w:pos="7504"/>
              </w:tabs>
              <w:spacing w:after="0" w:line="240" w:lineRule="auto"/>
            </w:pPr>
            <w:r>
              <w:t xml:space="preserve">Доверительный интервал </w:t>
            </w:r>
          </w:p>
        </w:tc>
      </w:tr>
      <w:tr w:rsidR="00C035FA" w14:paraId="51229ED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C7EEF7D" w14:textId="77777777" w:rsidR="00C035FA" w:rsidRDefault="008D5756">
            <w:pPr>
              <w:pStyle w:val="Default"/>
              <w:jc w:val="both"/>
              <w:rPr>
                <w:color w:val="auto"/>
                <w:lang w:eastAsia="zh-CN"/>
              </w:rPr>
            </w:pPr>
            <w:r>
              <w:rPr>
                <w:color w:val="auto"/>
              </w:rPr>
              <w:t>ДН</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CB68540" w14:textId="77777777" w:rsidR="00C035FA" w:rsidRDefault="008D5756">
            <w:pPr>
              <w:tabs>
                <w:tab w:val="right" w:pos="7504"/>
              </w:tabs>
              <w:spacing w:after="0" w:line="240" w:lineRule="auto"/>
              <w:rPr>
                <w:bCs/>
              </w:rPr>
            </w:pPr>
            <w:r>
              <w:t>Диабетическая нефропатия</w:t>
            </w:r>
          </w:p>
        </w:tc>
      </w:tr>
      <w:tr w:rsidR="00C035FA" w14:paraId="1256BEC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835BAD0" w14:textId="77777777" w:rsidR="00C035FA" w:rsidRDefault="008D5756">
            <w:pPr>
              <w:pStyle w:val="Default"/>
              <w:jc w:val="both"/>
              <w:rPr>
                <w:color w:val="auto"/>
                <w:lang w:eastAsia="zh-CN"/>
              </w:rPr>
            </w:pPr>
            <w:r>
              <w:rPr>
                <w:color w:val="auto"/>
                <w:lang w:eastAsia="zh-CN"/>
              </w:rPr>
              <w:t>ДНК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04C8353" w14:textId="77777777" w:rsidR="00C035FA" w:rsidRDefault="008D5756">
            <w:pPr>
              <w:tabs>
                <w:tab w:val="right" w:pos="7504"/>
              </w:tabs>
              <w:spacing w:after="0" w:line="240" w:lineRule="auto"/>
            </w:pPr>
            <w:r>
              <w:t>Дезоксирибонуклеиновая кислота</w:t>
            </w:r>
          </w:p>
        </w:tc>
      </w:tr>
      <w:tr w:rsidR="00C035FA" w14:paraId="09EC131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4E09D0D" w14:textId="77777777" w:rsidR="00C035FA" w:rsidRDefault="008D5756">
            <w:pPr>
              <w:pStyle w:val="Default"/>
              <w:jc w:val="both"/>
              <w:rPr>
                <w:color w:val="auto"/>
              </w:rPr>
            </w:pPr>
            <w:r>
              <w:rPr>
                <w:color w:val="auto"/>
              </w:rPr>
              <w:t>Е</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7F5C0A3" w14:textId="77777777" w:rsidR="00C035FA" w:rsidRDefault="008D5756">
            <w:pPr>
              <w:tabs>
                <w:tab w:val="right" w:pos="7504"/>
              </w:tabs>
              <w:spacing w:after="0" w:line="240" w:lineRule="auto"/>
            </w:pPr>
            <w:r>
              <w:t>Максимальная скорость раннего диастолического наполнения</w:t>
            </w:r>
          </w:p>
        </w:tc>
      </w:tr>
      <w:tr w:rsidR="00C035FA" w14:paraId="78D4BF8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0A640F0" w14:textId="77777777" w:rsidR="00C035FA" w:rsidRDefault="008D5756">
            <w:pPr>
              <w:pStyle w:val="Default"/>
              <w:jc w:val="both"/>
              <w:rPr>
                <w:color w:val="auto"/>
              </w:rPr>
            </w:pPr>
            <w:r>
              <w:rPr>
                <w:color w:val="auto"/>
              </w:rPr>
              <w:t>ЗПТ</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5160543" w14:textId="77777777" w:rsidR="00C035FA" w:rsidRDefault="008D5756">
            <w:pPr>
              <w:tabs>
                <w:tab w:val="right" w:pos="7504"/>
              </w:tabs>
              <w:spacing w:after="0" w:line="240" w:lineRule="auto"/>
            </w:pPr>
            <w:r>
              <w:t>Заместительная почечная терапия</w:t>
            </w:r>
          </w:p>
        </w:tc>
      </w:tr>
      <w:tr w:rsidR="00C035FA" w14:paraId="23EDF17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4C4258A" w14:textId="77777777" w:rsidR="00C035FA" w:rsidRDefault="008D5756">
            <w:pPr>
              <w:pStyle w:val="Default"/>
              <w:jc w:val="both"/>
              <w:rPr>
                <w:color w:val="auto"/>
                <w:lang w:eastAsia="ja-JP"/>
              </w:rPr>
            </w:pPr>
            <w:r>
              <w:rPr>
                <w:color w:val="auto"/>
              </w:rPr>
              <w:t>иSGLT2   (иНГЛТ2)</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3E0D8E7" w14:textId="77777777" w:rsidR="00C035FA" w:rsidRDefault="008D5756">
            <w:pPr>
              <w:tabs>
                <w:tab w:val="right" w:pos="7504"/>
              </w:tabs>
              <w:spacing w:after="0" w:line="240" w:lineRule="auto"/>
              <w:rPr>
                <w:bCs/>
              </w:rPr>
            </w:pPr>
            <w:r>
              <w:t>Ингибиторы глюкозо-натриевого симпортера 2</w:t>
            </w:r>
          </w:p>
        </w:tc>
      </w:tr>
      <w:tr w:rsidR="00C035FA" w14:paraId="6DE3AF0D"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A55D42C" w14:textId="77777777" w:rsidR="00C035FA" w:rsidRDefault="008D5756">
            <w:pPr>
              <w:pStyle w:val="Default"/>
              <w:jc w:val="both"/>
              <w:rPr>
                <w:color w:val="auto"/>
              </w:rPr>
            </w:pPr>
            <w:r>
              <w:rPr>
                <w:color w:val="auto"/>
              </w:rPr>
              <w:t>иАПФ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9B989AE" w14:textId="77777777" w:rsidR="00C035FA" w:rsidRDefault="008D5756">
            <w:pPr>
              <w:tabs>
                <w:tab w:val="right" w:pos="7504"/>
              </w:tabs>
              <w:spacing w:after="0" w:line="240" w:lineRule="auto"/>
            </w:pPr>
            <w:r>
              <w:t>Ингибиторы ангиотензинпревращающего фермента</w:t>
            </w:r>
          </w:p>
        </w:tc>
      </w:tr>
      <w:tr w:rsidR="00C035FA" w14:paraId="378A157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2BF7391" w14:textId="77777777" w:rsidR="00C035FA" w:rsidRDefault="008D5756">
            <w:pPr>
              <w:pStyle w:val="Default"/>
              <w:jc w:val="both"/>
              <w:rPr>
                <w:color w:val="auto"/>
              </w:rPr>
            </w:pPr>
            <w:r>
              <w:rPr>
                <w:rFonts w:eastAsia="TimesNewRomanPSMT"/>
                <w:color w:val="auto"/>
              </w:rPr>
              <w:t>ИБС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5C1669B" w14:textId="77777777" w:rsidR="00C035FA" w:rsidRDefault="008D5756">
            <w:pPr>
              <w:tabs>
                <w:tab w:val="right" w:pos="7504"/>
              </w:tabs>
              <w:spacing w:after="0" w:line="240" w:lineRule="auto"/>
            </w:pPr>
            <w:r>
              <w:rPr>
                <w:rFonts w:eastAsia="TimesNewRomanPSMT"/>
              </w:rPr>
              <w:t>Ишемическая болезнь сердца</w:t>
            </w:r>
          </w:p>
        </w:tc>
      </w:tr>
      <w:tr w:rsidR="00C035FA" w14:paraId="167EA41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7671355" w14:textId="77777777" w:rsidR="00C035FA" w:rsidRDefault="008D5756">
            <w:pPr>
              <w:pStyle w:val="Default"/>
              <w:jc w:val="both"/>
              <w:rPr>
                <w:color w:val="auto"/>
              </w:rPr>
            </w:pPr>
            <w:r>
              <w:rPr>
                <w:color w:val="auto"/>
              </w:rPr>
              <w:t>иДПП-4</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85D8330" w14:textId="77777777" w:rsidR="00C035FA" w:rsidRDefault="008D5756">
            <w:pPr>
              <w:tabs>
                <w:tab w:val="right" w:pos="7504"/>
              </w:tabs>
              <w:spacing w:after="0" w:line="240" w:lineRule="auto"/>
            </w:pPr>
            <w:r>
              <w:t>Ингибиторы дипетидилпептидазы-4</w:t>
            </w:r>
          </w:p>
        </w:tc>
      </w:tr>
      <w:tr w:rsidR="00C035FA" w14:paraId="191A63D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3694C5D" w14:textId="77777777" w:rsidR="00C035FA" w:rsidRDefault="008D5756">
            <w:pPr>
              <w:pStyle w:val="Default"/>
              <w:jc w:val="both"/>
              <w:rPr>
                <w:color w:val="auto"/>
              </w:rPr>
            </w:pPr>
            <w:r>
              <w:rPr>
                <w:rFonts w:eastAsia="TimesNewRomanPSMT"/>
                <w:color w:val="auto"/>
              </w:rPr>
              <w:t>ИМ</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9A34EFF" w14:textId="77777777" w:rsidR="00C035FA" w:rsidRDefault="008D5756">
            <w:pPr>
              <w:tabs>
                <w:tab w:val="right" w:pos="7504"/>
              </w:tabs>
              <w:spacing w:after="0" w:line="240" w:lineRule="auto"/>
            </w:pPr>
            <w:r>
              <w:rPr>
                <w:rFonts w:eastAsia="TimesNewRomanPSMT"/>
              </w:rPr>
              <w:t>Инфаркт миокарда</w:t>
            </w:r>
          </w:p>
        </w:tc>
      </w:tr>
      <w:tr w:rsidR="00C035FA" w14:paraId="2EDF94E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4758C85" w14:textId="77777777" w:rsidR="00C035FA" w:rsidRDefault="008D5756">
            <w:pPr>
              <w:pStyle w:val="Default"/>
              <w:jc w:val="both"/>
              <w:rPr>
                <w:color w:val="auto"/>
              </w:rPr>
            </w:pPr>
            <w:r>
              <w:rPr>
                <w:color w:val="auto"/>
              </w:rPr>
              <w:t>ИМП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C9C9A7D" w14:textId="77777777" w:rsidR="00C035FA" w:rsidRDefault="008D5756">
            <w:pPr>
              <w:tabs>
                <w:tab w:val="right" w:pos="7504"/>
              </w:tabs>
              <w:spacing w:after="0" w:line="240" w:lineRule="auto"/>
            </w:pPr>
            <w:r>
              <w:t>Инфекции мочевыводящих путей</w:t>
            </w:r>
          </w:p>
        </w:tc>
      </w:tr>
      <w:tr w:rsidR="00C035FA" w14:paraId="3435E4C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25F9C62" w14:textId="77777777" w:rsidR="00C035FA" w:rsidRDefault="008D5756">
            <w:pPr>
              <w:pStyle w:val="Default"/>
              <w:jc w:val="both"/>
              <w:rPr>
                <w:color w:val="auto"/>
              </w:rPr>
            </w:pPr>
            <w:r>
              <w:rPr>
                <w:color w:val="auto"/>
              </w:rPr>
              <w:t>ИМТ</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8FF463A" w14:textId="77777777" w:rsidR="00C035FA" w:rsidRDefault="008D5756">
            <w:pPr>
              <w:tabs>
                <w:tab w:val="right" w:pos="7504"/>
              </w:tabs>
              <w:spacing w:after="0" w:line="240" w:lineRule="auto"/>
            </w:pPr>
            <w:r>
              <w:t>Индекс массы тела</w:t>
            </w:r>
          </w:p>
        </w:tc>
      </w:tr>
      <w:tr w:rsidR="00C035FA" w14:paraId="228BD99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295971C" w14:textId="77777777" w:rsidR="00C035FA" w:rsidRDefault="008D5756">
            <w:pPr>
              <w:pStyle w:val="Default"/>
              <w:jc w:val="both"/>
              <w:rPr>
                <w:color w:val="auto"/>
              </w:rPr>
            </w:pPr>
            <w:r>
              <w:rPr>
                <w:color w:val="auto"/>
                <w:shd w:val="clear" w:color="auto" w:fill="FFFFFF"/>
              </w:rPr>
              <w:t>ИР</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FD2BC3B" w14:textId="77777777" w:rsidR="00C035FA" w:rsidRDefault="008D5756">
            <w:pPr>
              <w:tabs>
                <w:tab w:val="right" w:pos="7504"/>
              </w:tabs>
              <w:spacing w:after="0" w:line="240" w:lineRule="auto"/>
            </w:pPr>
            <w:r>
              <w:rPr>
                <w:shd w:val="clear" w:color="auto" w:fill="FFFFFF"/>
              </w:rPr>
              <w:t>Инсулинорезистентность</w:t>
            </w:r>
          </w:p>
        </w:tc>
      </w:tr>
      <w:tr w:rsidR="00C035FA" w14:paraId="4794BD7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A27F5A9" w14:textId="77777777" w:rsidR="00C035FA" w:rsidRDefault="008D5756">
            <w:pPr>
              <w:pStyle w:val="Default"/>
              <w:jc w:val="both"/>
              <w:rPr>
                <w:color w:val="auto"/>
              </w:rPr>
            </w:pPr>
            <w:r>
              <w:rPr>
                <w:color w:val="auto"/>
                <w:lang w:eastAsia="zh-CN"/>
              </w:rPr>
              <w:t>кДНК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A0832E2" w14:textId="77777777" w:rsidR="00C035FA" w:rsidRDefault="008D5756">
            <w:pPr>
              <w:tabs>
                <w:tab w:val="right" w:pos="7504"/>
              </w:tabs>
              <w:spacing w:after="0" w:line="240" w:lineRule="auto"/>
            </w:pPr>
            <w:r>
              <w:t>Комплементарная дезоксирибонуклеиновая кислота</w:t>
            </w:r>
          </w:p>
        </w:tc>
      </w:tr>
      <w:tr w:rsidR="00C035FA" w14:paraId="4C105A8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034CB35" w14:textId="77777777" w:rsidR="00C035FA" w:rsidRDefault="008D5756">
            <w:pPr>
              <w:pStyle w:val="Default"/>
              <w:jc w:val="both"/>
              <w:rPr>
                <w:color w:val="auto"/>
              </w:rPr>
            </w:pPr>
            <w:r>
              <w:rPr>
                <w:color w:val="auto"/>
              </w:rPr>
              <w:t>кфСРПВ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4646F57" w14:textId="77777777" w:rsidR="00C035FA" w:rsidRDefault="008D5756">
            <w:pPr>
              <w:tabs>
                <w:tab w:val="right" w:pos="7504"/>
              </w:tabs>
              <w:spacing w:after="0" w:line="240" w:lineRule="auto"/>
            </w:pPr>
            <w:r>
              <w:t>Каротиднофеморальная скорость распространения пульсовой волны</w:t>
            </w:r>
          </w:p>
        </w:tc>
      </w:tr>
      <w:tr w:rsidR="00C035FA" w14:paraId="58F2C77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A6F06D4" w14:textId="77777777" w:rsidR="00C035FA" w:rsidRDefault="008D5756">
            <w:pPr>
              <w:pStyle w:val="Default"/>
              <w:jc w:val="both"/>
              <w:rPr>
                <w:color w:val="auto"/>
              </w:rPr>
            </w:pPr>
            <w:r>
              <w:rPr>
                <w:color w:val="auto"/>
              </w:rPr>
              <w:t>ЛЖ</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065B58E" w14:textId="77777777" w:rsidR="00C035FA" w:rsidRDefault="008D5756">
            <w:pPr>
              <w:tabs>
                <w:tab w:val="right" w:pos="7504"/>
              </w:tabs>
              <w:spacing w:after="0" w:line="240" w:lineRule="auto"/>
            </w:pPr>
            <w:r>
              <w:t>Левый желудочек</w:t>
            </w:r>
          </w:p>
        </w:tc>
      </w:tr>
      <w:tr w:rsidR="00C035FA" w14:paraId="6E7EEDFA"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4DA6FD3" w14:textId="77777777" w:rsidR="00C035FA" w:rsidRDefault="008D5756">
            <w:pPr>
              <w:pStyle w:val="Default"/>
              <w:jc w:val="both"/>
              <w:rPr>
                <w:color w:val="auto"/>
              </w:rPr>
            </w:pPr>
            <w:r>
              <w:rPr>
                <w:color w:val="auto"/>
              </w:rPr>
              <w:t>ЛП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B00F333" w14:textId="77777777" w:rsidR="00C035FA" w:rsidRDefault="008D5756">
            <w:pPr>
              <w:tabs>
                <w:tab w:val="right" w:pos="7504"/>
              </w:tabs>
              <w:spacing w:after="0" w:line="240" w:lineRule="auto"/>
            </w:pPr>
            <w:r>
              <w:t>Левое предсердие</w:t>
            </w:r>
          </w:p>
        </w:tc>
      </w:tr>
      <w:tr w:rsidR="00C035FA" w14:paraId="072D9E1A"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67C72CE" w14:textId="77777777" w:rsidR="00C035FA" w:rsidRDefault="008D5756">
            <w:pPr>
              <w:pStyle w:val="Default"/>
              <w:jc w:val="both"/>
              <w:rPr>
                <w:color w:val="auto"/>
                <w:lang w:eastAsia="zh-CN"/>
              </w:rPr>
            </w:pPr>
            <w:r>
              <w:rPr>
                <w:color w:val="auto"/>
                <w:lang w:eastAsia="zh-CN"/>
              </w:rPr>
              <w:t>ЛПНП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F4CFA5D" w14:textId="77777777" w:rsidR="00C035FA" w:rsidRDefault="008D5756">
            <w:pPr>
              <w:tabs>
                <w:tab w:val="right" w:pos="7504"/>
              </w:tabs>
              <w:spacing w:after="0" w:line="240" w:lineRule="auto"/>
            </w:pPr>
            <w:r>
              <w:t>Липопротеины низкой плотности</w:t>
            </w:r>
          </w:p>
        </w:tc>
      </w:tr>
      <w:tr w:rsidR="00C035FA" w14:paraId="4D5C9C9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C16F687" w14:textId="77777777" w:rsidR="00C035FA" w:rsidRDefault="008D5756">
            <w:pPr>
              <w:pStyle w:val="Default"/>
              <w:jc w:val="both"/>
              <w:rPr>
                <w:color w:val="auto"/>
                <w:shd w:val="clear" w:color="auto" w:fill="FFFFFF"/>
              </w:rPr>
            </w:pPr>
            <w:r>
              <w:rPr>
                <w:color w:val="auto"/>
              </w:rPr>
              <w:t>МА</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7FC83E5" w14:textId="77777777" w:rsidR="00C035FA" w:rsidRDefault="008D5756">
            <w:pPr>
              <w:tabs>
                <w:tab w:val="right" w:pos="7504"/>
              </w:tabs>
              <w:spacing w:after="0" w:line="240" w:lineRule="auto"/>
            </w:pPr>
            <w:r>
              <w:t xml:space="preserve">Микроальбуминурия </w:t>
            </w:r>
          </w:p>
        </w:tc>
      </w:tr>
      <w:tr w:rsidR="00C035FA" w14:paraId="2C1EA07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4EF3F3D" w14:textId="77777777" w:rsidR="00C035FA" w:rsidRDefault="008D5756">
            <w:pPr>
              <w:pStyle w:val="Default"/>
              <w:jc w:val="both"/>
              <w:rPr>
                <w:color w:val="auto"/>
                <w:shd w:val="clear" w:color="auto" w:fill="FFFFFF"/>
              </w:rPr>
            </w:pPr>
            <w:r>
              <w:rPr>
                <w:color w:val="auto"/>
              </w:rPr>
              <w:t>МК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959FBD4" w14:textId="77777777" w:rsidR="00C035FA" w:rsidRDefault="008D5756">
            <w:pPr>
              <w:tabs>
                <w:tab w:val="right" w:pos="7504"/>
              </w:tabs>
              <w:spacing w:after="0" w:line="240" w:lineRule="auto"/>
            </w:pPr>
            <w:r>
              <w:rPr>
                <w:iCs/>
              </w:rPr>
              <w:t>Мочевая кислота</w:t>
            </w:r>
          </w:p>
        </w:tc>
      </w:tr>
      <w:tr w:rsidR="00C035FA" w14:paraId="64757E00"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DFE2A9A" w14:textId="77777777" w:rsidR="00C035FA" w:rsidRDefault="008D5756">
            <w:pPr>
              <w:pStyle w:val="Default"/>
              <w:jc w:val="both"/>
              <w:rPr>
                <w:color w:val="auto"/>
              </w:rPr>
            </w:pPr>
            <w:r>
              <w:rPr>
                <w:color w:val="auto"/>
                <w:lang w:eastAsia="zh-CN"/>
              </w:rPr>
              <w:t>мРНК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AB53316" w14:textId="77777777" w:rsidR="00C035FA" w:rsidRDefault="008D5756">
            <w:pPr>
              <w:tabs>
                <w:tab w:val="right" w:pos="7504"/>
              </w:tabs>
              <w:spacing w:after="0" w:line="240" w:lineRule="auto"/>
            </w:pPr>
            <w:r>
              <w:t>Матричная рибонуклеиновая кислота</w:t>
            </w:r>
          </w:p>
        </w:tc>
      </w:tr>
      <w:tr w:rsidR="00C035FA" w14:paraId="1DBF3509"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A6FA9E2" w14:textId="77777777" w:rsidR="00C035FA" w:rsidRDefault="008D5756">
            <w:pPr>
              <w:pStyle w:val="Default"/>
              <w:jc w:val="both"/>
              <w:rPr>
                <w:color w:val="auto"/>
              </w:rPr>
            </w:pPr>
            <w:r>
              <w:rPr>
                <w:color w:val="auto"/>
              </w:rPr>
              <w:t>МС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8D4FB72" w14:textId="77777777" w:rsidR="00C035FA" w:rsidRDefault="008D5756">
            <w:pPr>
              <w:tabs>
                <w:tab w:val="right" w:pos="7504"/>
              </w:tabs>
              <w:spacing w:after="0" w:line="240" w:lineRule="auto"/>
            </w:pPr>
            <w:r>
              <w:t>Метаболический синдром</w:t>
            </w:r>
          </w:p>
        </w:tc>
      </w:tr>
      <w:tr w:rsidR="00C035FA" w14:paraId="0F04426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B624E0B" w14:textId="77777777" w:rsidR="00C035FA" w:rsidRDefault="008D5756">
            <w:pPr>
              <w:pStyle w:val="Default"/>
              <w:jc w:val="both"/>
              <w:rPr>
                <w:color w:val="auto"/>
              </w:rPr>
            </w:pPr>
            <w:r>
              <w:rPr>
                <w:color w:val="auto"/>
              </w:rPr>
              <w:t>НbА1с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558E98B" w14:textId="77777777" w:rsidR="00C035FA" w:rsidRDefault="008D5756">
            <w:pPr>
              <w:tabs>
                <w:tab w:val="right" w:pos="7504"/>
              </w:tabs>
              <w:spacing w:after="0" w:line="240" w:lineRule="auto"/>
            </w:pPr>
            <w:r>
              <w:t>Гликированный гемоглобин</w:t>
            </w:r>
          </w:p>
        </w:tc>
      </w:tr>
      <w:tr w:rsidR="00C035FA" w14:paraId="50E13E7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1743925" w14:textId="77777777" w:rsidR="00C035FA" w:rsidRDefault="008D5756">
            <w:pPr>
              <w:pStyle w:val="Default"/>
              <w:jc w:val="both"/>
              <w:rPr>
                <w:color w:val="auto"/>
                <w:lang w:eastAsia="zh-CN"/>
              </w:rPr>
            </w:pPr>
            <w:r>
              <w:rPr>
                <w:color w:val="auto"/>
                <w:lang w:eastAsia="zh-CN"/>
              </w:rPr>
              <w:t>НАДФН</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2C0FE1B" w14:textId="77777777" w:rsidR="00C035FA" w:rsidRDefault="008D5756">
            <w:pPr>
              <w:tabs>
                <w:tab w:val="right" w:pos="7504"/>
              </w:tabs>
              <w:spacing w:after="0" w:line="240" w:lineRule="auto"/>
            </w:pPr>
            <w:r>
              <w:t>Никотинамидадениндинуклеотидфосфат</w:t>
            </w:r>
          </w:p>
        </w:tc>
      </w:tr>
      <w:tr w:rsidR="00C035FA" w14:paraId="525168B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C25D083" w14:textId="77777777" w:rsidR="00C035FA" w:rsidRDefault="008D5756">
            <w:pPr>
              <w:pStyle w:val="Default"/>
              <w:jc w:val="both"/>
              <w:rPr>
                <w:color w:val="auto"/>
              </w:rPr>
            </w:pPr>
            <w:r>
              <w:rPr>
                <w:rFonts w:eastAsia="TimesNewRomanPSMT"/>
                <w:color w:val="auto"/>
              </w:rPr>
              <w:t>НЯ</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1BD32C5" w14:textId="77777777" w:rsidR="00C035FA" w:rsidRDefault="008D5756">
            <w:pPr>
              <w:tabs>
                <w:tab w:val="right" w:pos="7504"/>
              </w:tabs>
              <w:spacing w:after="0" w:line="240" w:lineRule="auto"/>
            </w:pPr>
            <w:r>
              <w:rPr>
                <w:rFonts w:eastAsia="TimesNewRomanPSMT"/>
              </w:rPr>
              <w:t>Нежелательные явления</w:t>
            </w:r>
          </w:p>
        </w:tc>
      </w:tr>
      <w:tr w:rsidR="00C035FA" w14:paraId="2B500A86"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82BE4D8" w14:textId="77777777" w:rsidR="00C035FA" w:rsidRDefault="008D5756">
            <w:pPr>
              <w:pStyle w:val="Default"/>
              <w:jc w:val="both"/>
              <w:rPr>
                <w:color w:val="auto"/>
              </w:rPr>
            </w:pPr>
            <w:r>
              <w:rPr>
                <w:color w:val="auto"/>
              </w:rPr>
              <w:t>ОНМК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6F6F634" w14:textId="77777777" w:rsidR="00C035FA" w:rsidRDefault="008D5756">
            <w:pPr>
              <w:tabs>
                <w:tab w:val="right" w:pos="7504"/>
              </w:tabs>
              <w:spacing w:after="0" w:line="240" w:lineRule="auto"/>
            </w:pPr>
            <w:r>
              <w:t>Острое нарушение мозгового кровообращения</w:t>
            </w:r>
          </w:p>
        </w:tc>
      </w:tr>
      <w:tr w:rsidR="00C035FA" w14:paraId="0C00F65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8B08428" w14:textId="77777777" w:rsidR="00C035FA" w:rsidRDefault="008D5756">
            <w:pPr>
              <w:pStyle w:val="Default"/>
              <w:jc w:val="both"/>
              <w:rPr>
                <w:color w:val="auto"/>
                <w:shd w:val="clear" w:color="auto" w:fill="FFFFFF"/>
              </w:rPr>
            </w:pPr>
            <w:r>
              <w:t>ОПП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6CAC553" w14:textId="77777777" w:rsidR="00C035FA" w:rsidRDefault="008D5756">
            <w:pPr>
              <w:tabs>
                <w:tab w:val="right" w:pos="7504"/>
              </w:tabs>
              <w:spacing w:after="0" w:line="240" w:lineRule="auto"/>
            </w:pPr>
            <w:r>
              <w:t>Острое почечное повреждение</w:t>
            </w:r>
          </w:p>
        </w:tc>
      </w:tr>
      <w:tr w:rsidR="00C035FA" w14:paraId="58704C9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BF744BE" w14:textId="77777777" w:rsidR="00C035FA" w:rsidRDefault="008D5756">
            <w:pPr>
              <w:pStyle w:val="Default"/>
              <w:jc w:val="both"/>
              <w:rPr>
                <w:color w:val="auto"/>
              </w:rPr>
            </w:pPr>
            <w:r>
              <w:rPr>
                <w:color w:val="auto"/>
              </w:rPr>
              <w:t>ОР</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814FE64" w14:textId="77777777" w:rsidR="00C035FA" w:rsidRDefault="008D5756">
            <w:pPr>
              <w:tabs>
                <w:tab w:val="right" w:pos="7504"/>
              </w:tabs>
              <w:spacing w:after="0" w:line="240" w:lineRule="auto"/>
            </w:pPr>
            <w:r>
              <w:t>Отношение рисков</w:t>
            </w:r>
          </w:p>
        </w:tc>
      </w:tr>
      <w:tr w:rsidR="00C035FA" w14:paraId="22A92D5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7365BD2" w14:textId="77777777" w:rsidR="00C035FA" w:rsidRDefault="008D5756">
            <w:pPr>
              <w:pStyle w:val="Default"/>
              <w:jc w:val="both"/>
              <w:rPr>
                <w:color w:val="auto"/>
                <w:shd w:val="clear" w:color="auto" w:fill="FFFFFF"/>
              </w:rPr>
            </w:pPr>
            <w:r>
              <w:rPr>
                <w:color w:val="auto"/>
              </w:rPr>
              <w:t>ОСН</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B6D7EE0" w14:textId="77777777" w:rsidR="00C035FA" w:rsidRDefault="008D5756">
            <w:pPr>
              <w:tabs>
                <w:tab w:val="right" w:pos="7504"/>
              </w:tabs>
              <w:spacing w:after="0" w:line="240" w:lineRule="auto"/>
            </w:pPr>
            <w:r>
              <w:t>Острая сердечная недостаточность</w:t>
            </w:r>
          </w:p>
        </w:tc>
      </w:tr>
      <w:tr w:rsidR="00C035FA" w14:paraId="2AC2DF2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F3C6360" w14:textId="77777777" w:rsidR="00C035FA" w:rsidRDefault="008D5756">
            <w:pPr>
              <w:pStyle w:val="Default"/>
              <w:jc w:val="both"/>
              <w:rPr>
                <w:color w:val="auto"/>
              </w:rPr>
            </w:pPr>
            <w:r>
              <w:rPr>
                <w:color w:val="auto"/>
              </w:rPr>
              <w:t>ОШ</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ABD49BE" w14:textId="77777777" w:rsidR="00C035FA" w:rsidRDefault="008D5756">
            <w:pPr>
              <w:tabs>
                <w:tab w:val="right" w:pos="7504"/>
              </w:tabs>
              <w:spacing w:after="0" w:line="240" w:lineRule="auto"/>
            </w:pPr>
            <w:r>
              <w:t>Отношение шансов</w:t>
            </w:r>
          </w:p>
        </w:tc>
      </w:tr>
      <w:tr w:rsidR="00C035FA" w14:paraId="6BB17E9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0F6DE6A" w14:textId="77777777" w:rsidR="00C035FA" w:rsidRDefault="008D5756">
            <w:pPr>
              <w:pStyle w:val="Default"/>
              <w:jc w:val="both"/>
              <w:rPr>
                <w:color w:val="auto"/>
              </w:rPr>
            </w:pPr>
            <w:r>
              <w:rPr>
                <w:color w:val="auto"/>
              </w:rPr>
              <w:t>ПТИ</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9BF51C9" w14:textId="77777777" w:rsidR="00C035FA" w:rsidRDefault="008D5756">
            <w:pPr>
              <w:tabs>
                <w:tab w:val="right" w:pos="7504"/>
              </w:tabs>
              <w:spacing w:after="0" w:line="240" w:lineRule="auto"/>
            </w:pPr>
            <w:r>
              <w:t xml:space="preserve">Протромбиновый индекс </w:t>
            </w:r>
          </w:p>
        </w:tc>
      </w:tr>
      <w:tr w:rsidR="00C035FA" w14:paraId="0CEB7BD0"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3520FEB" w14:textId="77777777" w:rsidR="00C035FA" w:rsidRDefault="008D5756">
            <w:pPr>
              <w:pStyle w:val="Default"/>
              <w:jc w:val="both"/>
              <w:rPr>
                <w:color w:val="auto"/>
              </w:rPr>
            </w:pPr>
            <w:r>
              <w:rPr>
                <w:color w:val="auto"/>
                <w:shd w:val="clear" w:color="auto" w:fill="FFFFFF"/>
              </w:rPr>
              <w:t>РКИ</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E397287" w14:textId="77777777" w:rsidR="00C035FA" w:rsidRDefault="008D5756">
            <w:pPr>
              <w:tabs>
                <w:tab w:val="right" w:pos="7504"/>
              </w:tabs>
              <w:spacing w:after="0" w:line="240" w:lineRule="auto"/>
            </w:pPr>
            <w:r>
              <w:t>Рандомизированные клинические исследования</w:t>
            </w:r>
          </w:p>
        </w:tc>
      </w:tr>
      <w:tr w:rsidR="00C035FA" w14:paraId="36F46DB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0F99B13" w14:textId="77777777" w:rsidR="00C035FA" w:rsidRDefault="008D5756">
            <w:pPr>
              <w:pStyle w:val="Default"/>
              <w:jc w:val="both"/>
              <w:rPr>
                <w:color w:val="auto"/>
              </w:rPr>
            </w:pPr>
            <w:r>
              <w:rPr>
                <w:color w:val="auto"/>
              </w:rPr>
              <w:t>рСКФ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2BF10CD" w14:textId="77777777" w:rsidR="00C035FA" w:rsidRDefault="008D5756">
            <w:pPr>
              <w:tabs>
                <w:tab w:val="right" w:pos="7504"/>
              </w:tabs>
              <w:spacing w:after="0" w:line="240" w:lineRule="auto"/>
            </w:pPr>
            <w:r>
              <w:t>Расчетная скорость клубочковой фильтрации</w:t>
            </w:r>
          </w:p>
        </w:tc>
      </w:tr>
      <w:tr w:rsidR="00C035FA" w14:paraId="130145FC"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A215513" w14:textId="77777777" w:rsidR="00C035FA" w:rsidRDefault="008D5756">
            <w:pPr>
              <w:pStyle w:val="Default"/>
              <w:jc w:val="both"/>
              <w:rPr>
                <w:color w:val="auto"/>
                <w:shd w:val="clear" w:color="auto" w:fill="FFFFFF"/>
              </w:rPr>
            </w:pPr>
            <w:r>
              <w:rPr>
                <w:color w:val="auto"/>
                <w:shd w:val="clear" w:color="auto" w:fill="FFFFFF"/>
              </w:rPr>
              <w:t>С</w:t>
            </w:r>
            <w:r>
              <w:rPr>
                <w:color w:val="auto"/>
                <w:shd w:val="clear" w:color="auto" w:fill="FFFFFF"/>
                <w:vertAlign w:val="subscript"/>
              </w:rPr>
              <w:t>mах</w:t>
            </w:r>
            <w:r>
              <w:rPr>
                <w:color w:val="auto"/>
                <w:shd w:val="clear" w:color="auto" w:fill="FFFFFF"/>
              </w:rPr>
              <w:tab/>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BC9AD11" w14:textId="77777777" w:rsidR="00C035FA" w:rsidRDefault="008D5756">
            <w:pPr>
              <w:tabs>
                <w:tab w:val="right" w:pos="7504"/>
              </w:tabs>
              <w:spacing w:after="0" w:line="240" w:lineRule="auto"/>
              <w:rPr>
                <w:shd w:val="clear" w:color="auto" w:fill="FFFFFF"/>
              </w:rPr>
            </w:pPr>
            <w:r>
              <w:rPr>
                <w:shd w:val="clear" w:color="auto" w:fill="FFFFFF"/>
              </w:rPr>
              <w:t>Максимальная концентрация (Maximum concentration)</w:t>
            </w:r>
          </w:p>
        </w:tc>
      </w:tr>
      <w:tr w:rsidR="00C035FA" w14:paraId="0173B98A"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2E6A219" w14:textId="77777777" w:rsidR="00C035FA" w:rsidRDefault="008D5756">
            <w:pPr>
              <w:pStyle w:val="Default"/>
              <w:jc w:val="both"/>
              <w:rPr>
                <w:color w:val="auto"/>
              </w:rPr>
            </w:pPr>
            <w:r>
              <w:rPr>
                <w:color w:val="auto"/>
              </w:rPr>
              <w:t>САД</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4E572D8" w14:textId="77777777" w:rsidR="00C035FA" w:rsidRDefault="008D5756">
            <w:pPr>
              <w:tabs>
                <w:tab w:val="right" w:pos="7504"/>
              </w:tabs>
              <w:spacing w:after="0" w:line="240" w:lineRule="auto"/>
            </w:pPr>
            <w:r>
              <w:t>Систолическое артериальное давление</w:t>
            </w:r>
          </w:p>
        </w:tc>
      </w:tr>
      <w:tr w:rsidR="00C035FA" w14:paraId="2DC3497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FA19A48" w14:textId="77777777" w:rsidR="00C035FA" w:rsidRDefault="008D5756">
            <w:pPr>
              <w:pStyle w:val="Default"/>
              <w:jc w:val="both"/>
              <w:rPr>
                <w:color w:val="auto"/>
                <w:lang w:eastAsia="ja-JP"/>
              </w:rPr>
            </w:pPr>
            <w:r>
              <w:rPr>
                <w:color w:val="auto"/>
                <w:lang w:eastAsia="ja-JP"/>
              </w:rPr>
              <w:t>СД</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5A88A03" w14:textId="77777777" w:rsidR="00C035FA" w:rsidRDefault="008D5756">
            <w:pPr>
              <w:tabs>
                <w:tab w:val="right" w:pos="7504"/>
              </w:tabs>
              <w:spacing w:after="0" w:line="240" w:lineRule="auto"/>
              <w:rPr>
                <w:bCs/>
              </w:rPr>
            </w:pPr>
            <w:r>
              <w:rPr>
                <w:bCs/>
              </w:rPr>
              <w:t>Сахарный диабет</w:t>
            </w:r>
          </w:p>
        </w:tc>
      </w:tr>
      <w:tr w:rsidR="00C035FA" w14:paraId="0EC5B0D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7E632CC" w14:textId="77777777" w:rsidR="00C035FA" w:rsidRDefault="008D5756">
            <w:pPr>
              <w:pStyle w:val="Default"/>
              <w:jc w:val="both"/>
              <w:rPr>
                <w:color w:val="auto"/>
                <w:lang w:eastAsia="ja-JP"/>
              </w:rPr>
            </w:pPr>
            <w:r>
              <w:rPr>
                <w:color w:val="auto"/>
                <w:lang w:eastAsia="ja-JP"/>
              </w:rPr>
              <w:t>СД1</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5378A6A" w14:textId="77777777" w:rsidR="00C035FA" w:rsidRDefault="008D5756">
            <w:pPr>
              <w:tabs>
                <w:tab w:val="right" w:pos="7504"/>
              </w:tabs>
              <w:spacing w:after="0" w:line="240" w:lineRule="auto"/>
              <w:rPr>
                <w:bCs/>
              </w:rPr>
            </w:pPr>
            <w:r>
              <w:t>Сахарный диабет 1 типа</w:t>
            </w:r>
          </w:p>
        </w:tc>
      </w:tr>
      <w:tr w:rsidR="00C035FA" w14:paraId="5328F042"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11EFC81" w14:textId="77777777" w:rsidR="00C035FA" w:rsidRDefault="008D5756">
            <w:pPr>
              <w:pStyle w:val="Default"/>
              <w:jc w:val="both"/>
              <w:rPr>
                <w:color w:val="auto"/>
              </w:rPr>
            </w:pPr>
            <w:r>
              <w:rPr>
                <w:color w:val="auto"/>
              </w:rPr>
              <w:t>СД2</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CC9C21F" w14:textId="77777777" w:rsidR="00C035FA" w:rsidRDefault="008D5756">
            <w:pPr>
              <w:tabs>
                <w:tab w:val="right" w:pos="7504"/>
              </w:tabs>
              <w:spacing w:after="0" w:line="240" w:lineRule="auto"/>
            </w:pPr>
            <w:r>
              <w:t xml:space="preserve">СД 2-го типа </w:t>
            </w:r>
          </w:p>
        </w:tc>
      </w:tr>
      <w:tr w:rsidR="00C035FA" w14:paraId="7BD7712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495FB60" w14:textId="77777777" w:rsidR="00C035FA" w:rsidRDefault="008D5756">
            <w:pPr>
              <w:pStyle w:val="Default"/>
              <w:jc w:val="both"/>
              <w:rPr>
                <w:color w:val="auto"/>
              </w:rPr>
            </w:pPr>
            <w:r>
              <w:rPr>
                <w:color w:val="auto"/>
              </w:rPr>
              <w:t>СЖК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8D98530" w14:textId="77777777" w:rsidR="00C035FA" w:rsidRDefault="008D5756">
            <w:pPr>
              <w:tabs>
                <w:tab w:val="right" w:pos="7504"/>
              </w:tabs>
              <w:spacing w:after="0" w:line="240" w:lineRule="auto"/>
            </w:pPr>
            <w:r>
              <w:t>Свободные жирные кислоты</w:t>
            </w:r>
          </w:p>
        </w:tc>
      </w:tr>
      <w:tr w:rsidR="00C035FA" w14:paraId="7C2CC96D"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31DDD63" w14:textId="77777777" w:rsidR="00C035FA" w:rsidRDefault="008D5756">
            <w:pPr>
              <w:pStyle w:val="Default"/>
              <w:jc w:val="both"/>
              <w:rPr>
                <w:color w:val="auto"/>
              </w:rPr>
            </w:pPr>
            <w:r>
              <w:rPr>
                <w:color w:val="auto"/>
              </w:rPr>
              <w:t>СКФ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7BC2D330" w14:textId="77777777" w:rsidR="00C035FA" w:rsidRDefault="008D5756">
            <w:pPr>
              <w:tabs>
                <w:tab w:val="right" w:pos="7504"/>
              </w:tabs>
              <w:spacing w:after="0" w:line="240" w:lineRule="auto"/>
            </w:pPr>
            <w:r>
              <w:t>Скорость клубочковой фильтрации</w:t>
            </w:r>
          </w:p>
        </w:tc>
      </w:tr>
      <w:tr w:rsidR="00C035FA" w14:paraId="6DF8DD8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D385780" w14:textId="77777777" w:rsidR="00C035FA" w:rsidRDefault="008D5756">
            <w:pPr>
              <w:pStyle w:val="Default"/>
              <w:jc w:val="both"/>
              <w:rPr>
                <w:color w:val="auto"/>
              </w:rPr>
            </w:pPr>
            <w:r>
              <w:rPr>
                <w:color w:val="auto"/>
              </w:rPr>
              <w:t>СН</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581C1E9" w14:textId="77777777" w:rsidR="00C035FA" w:rsidRDefault="008D5756">
            <w:pPr>
              <w:tabs>
                <w:tab w:val="right" w:pos="7504"/>
              </w:tabs>
              <w:spacing w:after="0" w:line="240" w:lineRule="auto"/>
            </w:pPr>
            <w:r>
              <w:t>Сердечная недостаточность</w:t>
            </w:r>
          </w:p>
        </w:tc>
      </w:tr>
      <w:tr w:rsidR="00C035FA" w14:paraId="669CC83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F56CA92" w14:textId="77777777" w:rsidR="00C035FA" w:rsidRDefault="008D5756">
            <w:pPr>
              <w:pStyle w:val="Default"/>
              <w:jc w:val="both"/>
              <w:rPr>
                <w:color w:val="auto"/>
              </w:rPr>
            </w:pPr>
            <w:r>
              <w:rPr>
                <w:color w:val="auto"/>
              </w:rPr>
              <w:t>СОАС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FA6371A" w14:textId="77777777" w:rsidR="00C035FA" w:rsidRDefault="008D5756">
            <w:pPr>
              <w:tabs>
                <w:tab w:val="right" w:pos="7504"/>
              </w:tabs>
              <w:spacing w:after="0" w:line="240" w:lineRule="auto"/>
            </w:pPr>
            <w:r>
              <w:t xml:space="preserve">Синдром обструктивного апноэ сна </w:t>
            </w:r>
          </w:p>
        </w:tc>
      </w:tr>
      <w:tr w:rsidR="00C035FA" w14:paraId="0BB83DEF"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7B9FC23" w14:textId="77777777" w:rsidR="00C035FA" w:rsidRDefault="008D5756">
            <w:pPr>
              <w:pStyle w:val="Default"/>
              <w:jc w:val="both"/>
              <w:rPr>
                <w:color w:val="auto"/>
              </w:rPr>
            </w:pPr>
            <w:r>
              <w:rPr>
                <w:color w:val="auto"/>
              </w:rPr>
              <w:t>СРАР</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250AA4DB" w14:textId="77777777" w:rsidR="00C035FA" w:rsidRDefault="008D5756">
            <w:pPr>
              <w:shd w:val="clear" w:color="auto" w:fill="FFFFFF"/>
              <w:tabs>
                <w:tab w:val="right" w:pos="7504"/>
              </w:tabs>
              <w:spacing w:after="0" w:line="240" w:lineRule="auto"/>
              <w:rPr>
                <w:lang w:val="en-US"/>
              </w:rPr>
            </w:pPr>
            <w:r>
              <w:t>СРАР</w:t>
            </w:r>
            <w:r>
              <w:rPr>
                <w:lang w:val="en-US"/>
              </w:rPr>
              <w:t>-</w:t>
            </w:r>
            <w:r>
              <w:t>терапия</w:t>
            </w:r>
            <w:r>
              <w:rPr>
                <w:lang w:val="en-US"/>
              </w:rPr>
              <w:t xml:space="preserve"> (Continuous Positive Airway Pressure),</w:t>
            </w:r>
          </w:p>
          <w:p w14:paraId="24632CBE" w14:textId="77777777" w:rsidR="00C035FA" w:rsidRDefault="008D5756">
            <w:pPr>
              <w:tabs>
                <w:tab w:val="right" w:pos="7504"/>
              </w:tabs>
              <w:spacing w:after="0" w:line="240" w:lineRule="auto"/>
            </w:pPr>
            <w:r>
              <w:lastRenderedPageBreak/>
              <w:t>режим искусственной вентиляции лёгких постоянным положительным давлением</w:t>
            </w:r>
          </w:p>
        </w:tc>
      </w:tr>
      <w:tr w:rsidR="00C035FA" w14:paraId="012BA01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62CA330" w14:textId="77777777" w:rsidR="00C035FA" w:rsidRDefault="008D5756">
            <w:pPr>
              <w:pStyle w:val="Default"/>
              <w:jc w:val="both"/>
              <w:rPr>
                <w:color w:val="auto"/>
              </w:rPr>
            </w:pPr>
            <w:r>
              <w:rPr>
                <w:color w:val="auto"/>
              </w:rPr>
              <w:lastRenderedPageBreak/>
              <w:t>ССЗ</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697D261A" w14:textId="77777777" w:rsidR="00C035FA" w:rsidRDefault="008D5756">
            <w:pPr>
              <w:tabs>
                <w:tab w:val="right" w:pos="7504"/>
              </w:tabs>
              <w:spacing w:after="0" w:line="240" w:lineRule="auto"/>
            </w:pPr>
            <w:r>
              <w:t>Сердечно-сосудистые заболевания</w:t>
            </w:r>
          </w:p>
        </w:tc>
      </w:tr>
      <w:tr w:rsidR="00C035FA" w14:paraId="7D65B46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1A97ABC" w14:textId="77777777" w:rsidR="00C035FA" w:rsidRDefault="008D5756">
            <w:pPr>
              <w:pStyle w:val="Default"/>
              <w:jc w:val="both"/>
              <w:rPr>
                <w:color w:val="auto"/>
              </w:rPr>
            </w:pPr>
            <w:r>
              <w:rPr>
                <w:color w:val="auto"/>
                <w:shd w:val="clear" w:color="auto" w:fill="FFFFFF"/>
              </w:rPr>
              <w:t>ССО</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DD632BF" w14:textId="77777777" w:rsidR="00C035FA" w:rsidRDefault="008D5756">
            <w:pPr>
              <w:tabs>
                <w:tab w:val="right" w:pos="7504"/>
              </w:tabs>
              <w:spacing w:after="0" w:line="240" w:lineRule="auto"/>
            </w:pPr>
            <w:r>
              <w:t>Сердечно-сосудистые осложнения</w:t>
            </w:r>
          </w:p>
        </w:tc>
      </w:tr>
      <w:tr w:rsidR="00C035FA" w14:paraId="1F1BBAA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1C75519" w14:textId="77777777" w:rsidR="00C035FA" w:rsidRDefault="008D5756">
            <w:pPr>
              <w:pStyle w:val="Default"/>
              <w:jc w:val="both"/>
              <w:rPr>
                <w:color w:val="auto"/>
              </w:rPr>
            </w:pPr>
            <w:r>
              <w:rPr>
                <w:color w:val="auto"/>
                <w:shd w:val="clear" w:color="auto" w:fill="FFFFFF"/>
              </w:rPr>
              <w:t>ССС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7186D09" w14:textId="77777777" w:rsidR="00C035FA" w:rsidRDefault="008D5756">
            <w:pPr>
              <w:tabs>
                <w:tab w:val="right" w:pos="7504"/>
              </w:tabs>
              <w:spacing w:after="0" w:line="240" w:lineRule="auto"/>
            </w:pPr>
            <w:r>
              <w:t>Сердечно-сосудистая смертность</w:t>
            </w:r>
          </w:p>
        </w:tc>
      </w:tr>
      <w:tr w:rsidR="00C035FA" w14:paraId="33CD18E7"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5D45DFB" w14:textId="77777777" w:rsidR="00C035FA" w:rsidRDefault="008D5756">
            <w:pPr>
              <w:pStyle w:val="Default"/>
              <w:jc w:val="both"/>
              <w:rPr>
                <w:color w:val="auto"/>
                <w:shd w:val="clear" w:color="auto" w:fill="FFFFFF"/>
              </w:rPr>
            </w:pPr>
            <w:r>
              <w:rPr>
                <w:color w:val="auto"/>
                <w:shd w:val="clear" w:color="auto" w:fill="FFFFFF"/>
              </w:rPr>
              <w:t>ФВ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F261A56" w14:textId="77777777" w:rsidR="00C035FA" w:rsidRDefault="008D5756">
            <w:pPr>
              <w:tabs>
                <w:tab w:val="right" w:pos="7504"/>
              </w:tabs>
              <w:spacing w:after="0" w:line="240" w:lineRule="auto"/>
            </w:pPr>
            <w:r>
              <w:t>Фракция выброса</w:t>
            </w:r>
          </w:p>
        </w:tc>
      </w:tr>
      <w:tr w:rsidR="00C035FA" w14:paraId="2009D2F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E413094" w14:textId="250EE08D" w:rsidR="00C035FA" w:rsidRDefault="006365A7">
            <w:pPr>
              <w:pStyle w:val="Default"/>
              <w:jc w:val="both"/>
              <w:rPr>
                <w:color w:val="auto"/>
              </w:rPr>
            </w:pPr>
            <w:r>
              <w:rPr>
                <w:color w:val="auto"/>
              </w:rPr>
              <w:t>ФВ</w:t>
            </w:r>
            <w:r w:rsidR="008D5756">
              <w:rPr>
                <w:color w:val="auto"/>
              </w:rPr>
              <w:t>ЛЖ</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5F195BB" w14:textId="77777777" w:rsidR="00C035FA" w:rsidRDefault="008D5756">
            <w:pPr>
              <w:tabs>
                <w:tab w:val="right" w:pos="7504"/>
              </w:tabs>
              <w:spacing w:after="0" w:line="240" w:lineRule="auto"/>
            </w:pPr>
            <w:r>
              <w:t>Фракция выброса левого желудочка</w:t>
            </w:r>
          </w:p>
        </w:tc>
      </w:tr>
      <w:tr w:rsidR="00C035FA" w14:paraId="5308839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3F02C9F" w14:textId="77777777" w:rsidR="00C035FA" w:rsidRDefault="008D5756">
            <w:pPr>
              <w:pStyle w:val="Default"/>
              <w:jc w:val="both"/>
              <w:rPr>
                <w:color w:val="auto"/>
              </w:rPr>
            </w:pPr>
            <w:r>
              <w:rPr>
                <w:color w:val="auto"/>
                <w:shd w:val="clear" w:color="auto" w:fill="FFFFFF"/>
              </w:rPr>
              <w:t>ФК</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FEC9B24" w14:textId="77777777" w:rsidR="00C035FA" w:rsidRDefault="008D5756">
            <w:pPr>
              <w:tabs>
                <w:tab w:val="right" w:pos="7504"/>
              </w:tabs>
              <w:spacing w:after="0" w:line="240" w:lineRule="auto"/>
            </w:pPr>
            <w:r>
              <w:rPr>
                <w:shd w:val="clear" w:color="auto" w:fill="FFFFFF"/>
              </w:rPr>
              <w:t>Функциональный класс</w:t>
            </w:r>
          </w:p>
        </w:tc>
      </w:tr>
      <w:tr w:rsidR="00C035FA" w14:paraId="59C55D3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8AC93E5" w14:textId="77777777" w:rsidR="00C035FA" w:rsidRDefault="008D5756">
            <w:pPr>
              <w:pStyle w:val="Default"/>
              <w:jc w:val="both"/>
              <w:rPr>
                <w:color w:val="auto"/>
                <w:shd w:val="clear" w:color="auto" w:fill="FFFFFF"/>
              </w:rPr>
            </w:pPr>
            <w:r>
              <w:rPr>
                <w:color w:val="auto"/>
                <w:shd w:val="clear" w:color="auto" w:fill="FFFFFF"/>
              </w:rPr>
              <w:t>ФР</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FB26479" w14:textId="77777777" w:rsidR="00C035FA" w:rsidRDefault="008D5756">
            <w:pPr>
              <w:tabs>
                <w:tab w:val="right" w:pos="7504"/>
              </w:tabs>
              <w:spacing w:after="0" w:line="240" w:lineRule="auto"/>
            </w:pPr>
            <w:r>
              <w:t>Фактор риска</w:t>
            </w:r>
          </w:p>
        </w:tc>
      </w:tr>
      <w:tr w:rsidR="00C035FA" w14:paraId="60DF3EE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03959FA3" w14:textId="77777777" w:rsidR="00C035FA" w:rsidRDefault="008D5756">
            <w:pPr>
              <w:pStyle w:val="Default"/>
              <w:jc w:val="both"/>
              <w:rPr>
                <w:color w:val="auto"/>
              </w:rPr>
            </w:pPr>
            <w:r>
              <w:rPr>
                <w:color w:val="auto"/>
              </w:rPr>
              <w:t>ХБП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E19DA7A" w14:textId="77777777" w:rsidR="00C035FA" w:rsidRDefault="008D5756">
            <w:pPr>
              <w:tabs>
                <w:tab w:val="right" w:pos="7504"/>
              </w:tabs>
              <w:spacing w:after="0" w:line="240" w:lineRule="auto"/>
            </w:pPr>
            <w:r>
              <w:t>Хроническая болезнь почек</w:t>
            </w:r>
          </w:p>
        </w:tc>
      </w:tr>
      <w:tr w:rsidR="00C035FA" w14:paraId="556BEEE4"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6F7C1F4B" w14:textId="77777777" w:rsidR="00C035FA" w:rsidRDefault="008D5756">
            <w:pPr>
              <w:pStyle w:val="Default"/>
              <w:jc w:val="both"/>
              <w:rPr>
                <w:color w:val="auto"/>
              </w:rPr>
            </w:pPr>
            <w:r>
              <w:rPr>
                <w:color w:val="auto"/>
                <w:shd w:val="clear" w:color="auto" w:fill="FFFFFF"/>
              </w:rPr>
              <w:t>ХСН</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7C96D1F" w14:textId="77777777" w:rsidR="00C035FA" w:rsidRDefault="008D5756">
            <w:pPr>
              <w:tabs>
                <w:tab w:val="right" w:pos="7504"/>
              </w:tabs>
              <w:spacing w:after="0" w:line="240" w:lineRule="auto"/>
            </w:pPr>
            <w:r>
              <w:t>Хроническая сердечная недостаточность</w:t>
            </w:r>
          </w:p>
        </w:tc>
      </w:tr>
      <w:tr w:rsidR="00C035FA" w14:paraId="7397B49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8B87640" w14:textId="77777777" w:rsidR="00C035FA" w:rsidRDefault="008D5756">
            <w:pPr>
              <w:pStyle w:val="Default"/>
              <w:jc w:val="both"/>
              <w:rPr>
                <w:color w:val="auto"/>
              </w:rPr>
            </w:pPr>
            <w:r>
              <w:rPr>
                <w:color w:val="auto"/>
              </w:rPr>
              <w:t>ХСНпФВ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79D2B6C" w14:textId="65E4AA82" w:rsidR="00C035FA" w:rsidRDefault="008D5756">
            <w:pPr>
              <w:tabs>
                <w:tab w:val="right" w:pos="7504"/>
              </w:tabs>
              <w:spacing w:after="0" w:line="240" w:lineRule="auto"/>
            </w:pPr>
            <w:r>
              <w:t xml:space="preserve">Хроническая сердечная недостаточность с промежуточной </w:t>
            </w:r>
            <w:r w:rsidR="005372A0">
              <w:t>фракцией выброса левого желудочка</w:t>
            </w:r>
          </w:p>
        </w:tc>
      </w:tr>
      <w:tr w:rsidR="00C035FA" w14:paraId="25E68DB5"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DF7BCFB" w14:textId="77777777" w:rsidR="00C035FA" w:rsidRDefault="008D5756">
            <w:pPr>
              <w:pStyle w:val="Default"/>
              <w:jc w:val="both"/>
              <w:rPr>
                <w:color w:val="auto"/>
              </w:rPr>
            </w:pPr>
            <w:r>
              <w:rPr>
                <w:color w:val="auto"/>
              </w:rPr>
              <w:t>ХСНсФВ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4199E9C" w14:textId="3C51C426" w:rsidR="00C035FA" w:rsidRDefault="008D5756">
            <w:pPr>
              <w:tabs>
                <w:tab w:val="right" w:pos="7504"/>
              </w:tabs>
              <w:spacing w:after="0" w:line="240" w:lineRule="auto"/>
            </w:pPr>
            <w:r>
              <w:t xml:space="preserve">Хроническая сердечная недостаточность с сохранённой фракцией выброса </w:t>
            </w:r>
            <w:r w:rsidR="005372A0">
              <w:t>левого желудочка</w:t>
            </w:r>
          </w:p>
        </w:tc>
      </w:tr>
      <w:tr w:rsidR="005372A0" w14:paraId="47FDAE40"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4C970E2" w14:textId="6AC74ED2" w:rsidR="005372A0" w:rsidRDefault="005372A0">
            <w:pPr>
              <w:pStyle w:val="Default"/>
              <w:jc w:val="both"/>
              <w:rPr>
                <w:color w:val="auto"/>
              </w:rPr>
            </w:pPr>
            <w:r>
              <w:rPr>
                <w:color w:val="auto"/>
              </w:rPr>
              <w:t>ХСНнФВ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4EFC816A" w14:textId="28A52F8F" w:rsidR="005372A0" w:rsidRDefault="005372A0">
            <w:pPr>
              <w:tabs>
                <w:tab w:val="right" w:pos="7504"/>
              </w:tabs>
              <w:spacing w:after="0" w:line="240" w:lineRule="auto"/>
            </w:pPr>
            <w:r>
              <w:t>Хроническая сердечная недостаточность со сниженной фракцией выброса левого желудочка</w:t>
            </w:r>
          </w:p>
        </w:tc>
      </w:tr>
      <w:tr w:rsidR="00C035FA" w14:paraId="753B134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8D713BA" w14:textId="77777777" w:rsidR="00C035FA" w:rsidRDefault="008D5756">
            <w:pPr>
              <w:pStyle w:val="Default"/>
              <w:jc w:val="both"/>
              <w:rPr>
                <w:color w:val="auto"/>
              </w:rPr>
            </w:pPr>
            <w:r>
              <w:rPr>
                <w:color w:val="auto"/>
              </w:rPr>
              <w:t>ЦНС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E1C782D" w14:textId="77777777" w:rsidR="00C035FA" w:rsidRDefault="008D5756">
            <w:pPr>
              <w:tabs>
                <w:tab w:val="right" w:pos="7504"/>
              </w:tabs>
              <w:spacing w:after="0" w:line="240" w:lineRule="auto"/>
            </w:pPr>
            <w:r>
              <w:t>Центральная нервная система</w:t>
            </w:r>
          </w:p>
        </w:tc>
      </w:tr>
      <w:tr w:rsidR="00C035FA" w14:paraId="5C79BE58"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765EE507" w14:textId="77777777" w:rsidR="00C035FA" w:rsidRDefault="008D5756">
            <w:pPr>
              <w:pStyle w:val="Default"/>
              <w:jc w:val="both"/>
              <w:rPr>
                <w:color w:val="auto"/>
              </w:rPr>
            </w:pPr>
            <w:r>
              <w:rPr>
                <w:color w:val="auto"/>
              </w:rPr>
              <w:t>ЦП</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18528C4" w14:textId="77777777" w:rsidR="00C035FA" w:rsidRDefault="008D5756">
            <w:pPr>
              <w:tabs>
                <w:tab w:val="right" w:pos="7504"/>
              </w:tabs>
              <w:spacing w:after="0" w:line="240" w:lineRule="auto"/>
            </w:pPr>
            <w:r>
              <w:t xml:space="preserve">Цирроз печени </w:t>
            </w:r>
          </w:p>
        </w:tc>
      </w:tr>
      <w:tr w:rsidR="00C035FA" w14:paraId="6CB45183"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45881953" w14:textId="77777777" w:rsidR="00C035FA" w:rsidRDefault="008D5756">
            <w:pPr>
              <w:pStyle w:val="Default"/>
              <w:jc w:val="both"/>
              <w:rPr>
                <w:color w:val="auto"/>
                <w:shd w:val="clear" w:color="auto" w:fill="FFFFFF"/>
              </w:rPr>
            </w:pPr>
            <w:r>
              <w:t>ЧКВ</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11405973" w14:textId="77777777" w:rsidR="00C035FA" w:rsidRDefault="008D5756">
            <w:pPr>
              <w:tabs>
                <w:tab w:val="right" w:pos="7504"/>
              </w:tabs>
              <w:spacing w:after="0" w:line="240" w:lineRule="auto"/>
            </w:pPr>
            <w:r>
              <w:t>Чрескожное коронарное вмешательство</w:t>
            </w:r>
          </w:p>
        </w:tc>
      </w:tr>
      <w:tr w:rsidR="00C035FA" w14:paraId="605EACA1"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5CA80C65" w14:textId="77777777" w:rsidR="00C035FA" w:rsidRDefault="008D5756">
            <w:pPr>
              <w:pStyle w:val="Default"/>
              <w:jc w:val="both"/>
              <w:rPr>
                <w:color w:val="auto"/>
              </w:rPr>
            </w:pPr>
            <w:r>
              <w:rPr>
                <w:color w:val="auto"/>
              </w:rPr>
              <w:t>ЧСС</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35F057A2" w14:textId="77777777" w:rsidR="00C035FA" w:rsidRDefault="008D5756">
            <w:pPr>
              <w:tabs>
                <w:tab w:val="right" w:pos="7504"/>
              </w:tabs>
              <w:spacing w:after="0" w:line="240" w:lineRule="auto"/>
            </w:pPr>
            <w:r>
              <w:t>Частота сердечных сокращений</w:t>
            </w:r>
          </w:p>
        </w:tc>
      </w:tr>
      <w:tr w:rsidR="00C035FA" w14:paraId="22A1354E"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2B1180F8" w14:textId="77777777" w:rsidR="00C035FA" w:rsidRDefault="008D5756">
            <w:pPr>
              <w:pStyle w:val="Default"/>
              <w:jc w:val="both"/>
              <w:rPr>
                <w:color w:val="auto"/>
              </w:rPr>
            </w:pPr>
            <w:r>
              <w:rPr>
                <w:color w:val="auto"/>
              </w:rPr>
              <w:t>ЩФ</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98D73D2" w14:textId="77777777" w:rsidR="00C035FA" w:rsidRDefault="008D5756">
            <w:pPr>
              <w:tabs>
                <w:tab w:val="right" w:pos="7504"/>
              </w:tabs>
              <w:spacing w:after="0" w:line="240" w:lineRule="auto"/>
            </w:pPr>
            <w:r>
              <w:t>Щелочная фосфатаза</w:t>
            </w:r>
          </w:p>
        </w:tc>
      </w:tr>
      <w:tr w:rsidR="00C035FA" w14:paraId="793D4D7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1D86A809" w14:textId="77777777" w:rsidR="00C035FA" w:rsidRDefault="008D5756">
            <w:pPr>
              <w:pStyle w:val="Default"/>
              <w:jc w:val="both"/>
              <w:rPr>
                <w:color w:val="auto"/>
              </w:rPr>
            </w:pPr>
            <w:r>
              <w:rPr>
                <w:color w:val="auto"/>
              </w:rPr>
              <w:t>ЭКГ</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51E92BAC" w14:textId="77777777" w:rsidR="00C035FA" w:rsidRDefault="008D5756">
            <w:pPr>
              <w:tabs>
                <w:tab w:val="right" w:pos="7504"/>
              </w:tabs>
              <w:spacing w:after="0" w:line="240" w:lineRule="auto"/>
            </w:pPr>
            <w:r>
              <w:t>Электрокардиография</w:t>
            </w:r>
          </w:p>
        </w:tc>
      </w:tr>
      <w:tr w:rsidR="00C035FA" w14:paraId="129B666B" w14:textId="77777777">
        <w:trPr>
          <w:trHeight w:val="70"/>
        </w:trPr>
        <w:tc>
          <w:tcPr>
            <w:tcW w:w="1111" w:type="pct"/>
            <w:tcBorders>
              <w:top w:val="single" w:sz="4" w:space="0" w:color="auto"/>
              <w:left w:val="single" w:sz="4" w:space="0" w:color="auto"/>
              <w:bottom w:val="single" w:sz="4" w:space="0" w:color="auto"/>
              <w:right w:val="single" w:sz="4" w:space="0" w:color="auto"/>
            </w:tcBorders>
            <w:shd w:val="clear" w:color="auto" w:fill="FFFFFF"/>
          </w:tcPr>
          <w:p w14:paraId="3FD26C62" w14:textId="77777777" w:rsidR="00C035FA" w:rsidRDefault="008D5756">
            <w:pPr>
              <w:pStyle w:val="Default"/>
              <w:jc w:val="both"/>
              <w:rPr>
                <w:color w:val="auto"/>
                <w:shd w:val="clear" w:color="auto" w:fill="FFFFFF"/>
              </w:rPr>
            </w:pPr>
            <w:r>
              <w:t>ЭХОКГ</w:t>
            </w:r>
          </w:p>
        </w:tc>
        <w:tc>
          <w:tcPr>
            <w:tcW w:w="3889" w:type="pct"/>
            <w:tcBorders>
              <w:top w:val="single" w:sz="4" w:space="0" w:color="auto"/>
              <w:left w:val="single" w:sz="4" w:space="0" w:color="auto"/>
              <w:bottom w:val="single" w:sz="4" w:space="0" w:color="auto"/>
              <w:right w:val="single" w:sz="4" w:space="0" w:color="auto"/>
            </w:tcBorders>
            <w:shd w:val="clear" w:color="auto" w:fill="FFFFFF"/>
          </w:tcPr>
          <w:p w14:paraId="0694B975" w14:textId="77777777" w:rsidR="00C035FA" w:rsidRDefault="008D5756">
            <w:pPr>
              <w:tabs>
                <w:tab w:val="right" w:pos="7504"/>
              </w:tabs>
              <w:spacing w:after="0" w:line="240" w:lineRule="auto"/>
            </w:pPr>
            <w:r>
              <w:t>Эхокардиография</w:t>
            </w:r>
          </w:p>
        </w:tc>
      </w:tr>
    </w:tbl>
    <w:p w14:paraId="6EB4D116" w14:textId="77777777" w:rsidR="00C035FA" w:rsidRDefault="008D5756">
      <w:pPr>
        <w:pStyle w:val="Heading1"/>
        <w:pageBreakBefore/>
        <w:spacing w:line="240" w:lineRule="auto"/>
        <w:rPr>
          <w:rFonts w:cs="Times New Roman"/>
          <w:color w:val="000000" w:themeColor="text1"/>
          <w:szCs w:val="24"/>
        </w:rPr>
      </w:pPr>
      <w:bookmarkStart w:id="7" w:name="_Toc139366811"/>
      <w:r>
        <w:rPr>
          <w:rFonts w:cs="Times New Roman"/>
          <w:color w:val="000000" w:themeColor="text1"/>
          <w:szCs w:val="24"/>
        </w:rPr>
        <w:lastRenderedPageBreak/>
        <w:t>ИСТОРИЯ ДОКУМЕНТА</w:t>
      </w:r>
      <w:bookmarkEnd w:id="5"/>
      <w:bookmarkEnd w:id="7"/>
    </w:p>
    <w:tbl>
      <w:tblPr>
        <w:tblStyle w:val="TableGrid"/>
        <w:tblW w:w="9356" w:type="dxa"/>
        <w:tblInd w:w="-5" w:type="dxa"/>
        <w:tblLook w:val="04A0" w:firstRow="1" w:lastRow="0" w:firstColumn="1" w:lastColumn="0" w:noHBand="0" w:noVBand="1"/>
      </w:tblPr>
      <w:tblGrid>
        <w:gridCol w:w="2815"/>
        <w:gridCol w:w="6541"/>
      </w:tblGrid>
      <w:tr w:rsidR="003024CE" w:rsidRPr="003024CE" w14:paraId="36CF437D" w14:textId="77777777" w:rsidTr="005A6067">
        <w:trPr>
          <w:trHeight w:val="659"/>
        </w:trPr>
        <w:tc>
          <w:tcPr>
            <w:tcW w:w="2815" w:type="dxa"/>
            <w:shd w:val="clear" w:color="auto" w:fill="D9D9D9" w:themeFill="background1" w:themeFillShade="D9"/>
            <w:vAlign w:val="center"/>
          </w:tcPr>
          <w:p w14:paraId="063D5F3A" w14:textId="655A7C67" w:rsidR="003024CE" w:rsidRPr="003024CE" w:rsidRDefault="003024CE" w:rsidP="00421FA2">
            <w:pPr>
              <w:spacing w:after="0" w:line="240" w:lineRule="auto"/>
              <w:jc w:val="center"/>
              <w:rPr>
                <w:b/>
              </w:rPr>
            </w:pPr>
            <w:r w:rsidRPr="003024CE">
              <w:rPr>
                <w:b/>
              </w:rPr>
              <w:t xml:space="preserve">Версия </w:t>
            </w:r>
          </w:p>
        </w:tc>
        <w:tc>
          <w:tcPr>
            <w:tcW w:w="6541" w:type="dxa"/>
            <w:shd w:val="clear" w:color="auto" w:fill="D9D9D9" w:themeFill="background1" w:themeFillShade="D9"/>
            <w:vAlign w:val="center"/>
          </w:tcPr>
          <w:p w14:paraId="7B7AF328" w14:textId="77777777" w:rsidR="003024CE" w:rsidRPr="003024CE" w:rsidRDefault="003024CE" w:rsidP="00421FA2">
            <w:pPr>
              <w:spacing w:after="0" w:line="240" w:lineRule="auto"/>
              <w:jc w:val="center"/>
              <w:rPr>
                <w:b/>
              </w:rPr>
            </w:pPr>
            <w:r w:rsidRPr="003024CE">
              <w:rPr>
                <w:b/>
              </w:rPr>
              <w:t>Описание изменений</w:t>
            </w:r>
          </w:p>
        </w:tc>
      </w:tr>
      <w:tr w:rsidR="003024CE" w:rsidRPr="003024CE" w14:paraId="2BFD7C15" w14:textId="77777777" w:rsidTr="005A6067">
        <w:trPr>
          <w:trHeight w:val="304"/>
        </w:trPr>
        <w:tc>
          <w:tcPr>
            <w:tcW w:w="2815" w:type="dxa"/>
            <w:vAlign w:val="center"/>
          </w:tcPr>
          <w:p w14:paraId="485CD2EC" w14:textId="2962011F" w:rsidR="003024CE" w:rsidRPr="003024CE" w:rsidRDefault="003024CE" w:rsidP="00035195">
            <w:pPr>
              <w:spacing w:after="0"/>
              <w:jc w:val="center"/>
            </w:pPr>
            <w:r w:rsidRPr="003024CE">
              <w:t xml:space="preserve">1.0 </w:t>
            </w:r>
            <w:r w:rsidRPr="008922F3">
              <w:t xml:space="preserve">от </w:t>
            </w:r>
            <w:r w:rsidR="00421FA2">
              <w:t>23</w:t>
            </w:r>
            <w:r w:rsidR="00035195">
              <w:t>-</w:t>
            </w:r>
            <w:r w:rsidR="008922F3" w:rsidRPr="008922F3">
              <w:t>июн</w:t>
            </w:r>
            <w:r w:rsidR="00035195">
              <w:t>-</w:t>
            </w:r>
            <w:r w:rsidRPr="008922F3">
              <w:t>202</w:t>
            </w:r>
            <w:r w:rsidR="00277F6C" w:rsidRPr="008922F3">
              <w:t>3</w:t>
            </w:r>
            <w:r w:rsidRPr="008922F3">
              <w:t xml:space="preserve"> г.</w:t>
            </w:r>
          </w:p>
        </w:tc>
        <w:tc>
          <w:tcPr>
            <w:tcW w:w="6541" w:type="dxa"/>
            <w:vAlign w:val="center"/>
          </w:tcPr>
          <w:p w14:paraId="2C1490A3" w14:textId="77777777" w:rsidR="003024CE" w:rsidRPr="003024CE" w:rsidRDefault="003024CE" w:rsidP="00F35CDB">
            <w:pPr>
              <w:spacing w:after="0"/>
            </w:pPr>
            <w:r w:rsidRPr="003024CE">
              <w:t>Исходная версия.</w:t>
            </w:r>
          </w:p>
        </w:tc>
      </w:tr>
    </w:tbl>
    <w:p w14:paraId="316BA8D7" w14:textId="77777777" w:rsidR="00C035FA" w:rsidRDefault="00C035FA">
      <w:pPr>
        <w:spacing w:line="240" w:lineRule="auto"/>
        <w:rPr>
          <w:color w:val="000000" w:themeColor="text1"/>
        </w:rPr>
      </w:pPr>
    </w:p>
    <w:p w14:paraId="0A3908CA" w14:textId="77777777" w:rsidR="00C035FA" w:rsidRDefault="008D5756">
      <w:pPr>
        <w:tabs>
          <w:tab w:val="center" w:pos="4677"/>
        </w:tabs>
        <w:spacing w:line="240" w:lineRule="auto"/>
        <w:rPr>
          <w:color w:val="000000" w:themeColor="text1"/>
        </w:rPr>
        <w:sectPr w:rsidR="00C035FA">
          <w:pgSz w:w="11906" w:h="16838"/>
          <w:pgMar w:top="1134" w:right="851" w:bottom="1134" w:left="1701" w:header="709" w:footer="708" w:gutter="0"/>
          <w:cols w:space="708"/>
          <w:docGrid w:linePitch="360"/>
        </w:sectPr>
      </w:pPr>
      <w:r>
        <w:rPr>
          <w:color w:val="000000" w:themeColor="text1"/>
        </w:rPr>
        <w:tab/>
      </w:r>
    </w:p>
    <w:p w14:paraId="4912E834" w14:textId="77777777" w:rsidR="00C035FA" w:rsidRDefault="008D5756">
      <w:pPr>
        <w:pStyle w:val="Heading1"/>
        <w:spacing w:line="240" w:lineRule="auto"/>
        <w:rPr>
          <w:rFonts w:cs="Times New Roman"/>
          <w:color w:val="000000" w:themeColor="text1"/>
        </w:rPr>
      </w:pPr>
      <w:bookmarkStart w:id="8" w:name="_Toc139366812"/>
      <w:r>
        <w:rPr>
          <w:rFonts w:cs="Times New Roman"/>
          <w:color w:val="000000" w:themeColor="text1"/>
        </w:rPr>
        <w:lastRenderedPageBreak/>
        <w:t>РЕЗЮМЕ</w:t>
      </w:r>
      <w:bookmarkEnd w:id="8"/>
    </w:p>
    <w:p w14:paraId="7562DCEB" w14:textId="77777777" w:rsidR="00C035FA" w:rsidRDefault="008D5756">
      <w:pPr>
        <w:autoSpaceDE w:val="0"/>
        <w:autoSpaceDN w:val="0"/>
        <w:adjustRightInd w:val="0"/>
        <w:spacing w:after="0" w:line="240" w:lineRule="auto"/>
        <w:ind w:firstLine="709"/>
      </w:pPr>
      <w:r>
        <w:t>Эмпаглифлозин является обратимым, высокоактивным, селективным и конкурентным ингибитором SGLT2. Механизм действия данного препарата основан на ингибировании белка SGLT2, ответственного за реабсорбцию глюкозы в проксимальных канальцах почек, где происходит 90% реабсорбции глюкозы. При ингибировании этого белка возникает искусственная глюкозурия, что и обеспечивает гипогликемический эффект. С учетом инсулиннезависимого сахароснижающего действия эмпаглифлозин не вызывает гипогликемии, а, кроме того, обладает умеренным положительным влиянием на артериальное давление, вес, демонстрирует урикозурический эффект и повышает осмотический диурез.</w:t>
      </w:r>
    </w:p>
    <w:p w14:paraId="6CC20EE4" w14:textId="386B9A41" w:rsidR="00C035FA" w:rsidRDefault="008D5756">
      <w:pPr>
        <w:spacing w:after="0" w:line="240" w:lineRule="auto"/>
        <w:ind w:firstLine="709"/>
        <w:rPr>
          <w:rFonts w:eastAsia="Times New Roman"/>
          <w:shd w:val="clear" w:color="auto" w:fill="FFFFFF"/>
        </w:rPr>
      </w:pPr>
      <w:r>
        <w:rPr>
          <w:lang w:eastAsia="ru-RU"/>
        </w:rPr>
        <w:t>Эмпаглифлозин продемонстрировал низкую токсичность. LD</w:t>
      </w:r>
      <w:r>
        <w:rPr>
          <w:vertAlign w:val="subscript"/>
          <w:lang w:eastAsia="ru-RU"/>
        </w:rPr>
        <w:t>50</w:t>
      </w:r>
      <w:r>
        <w:rPr>
          <w:lang w:eastAsia="ru-RU"/>
        </w:rPr>
        <w:t xml:space="preserve"> эмпаглифлозина у мышей и крыс превышала 2000 мг/кг</w:t>
      </w:r>
      <w:r>
        <w:rPr>
          <w:shd w:val="clear" w:color="auto" w:fill="FFFFFF"/>
        </w:rPr>
        <w:t xml:space="preserve">. </w:t>
      </w:r>
      <w:r>
        <w:t xml:space="preserve">В долгосрочных исследованиях токсичности у грызунов и собак признаки токсичности наблюдались при более высоких дозах, что соответствует 10-кратному увеличению клинической дозы эмпаглифлозина 25 мг для человека на основе AUC. Большая часть токсичности соответствовала вторичной фармакологии, связанной с потерей глюкозы с мочой и дисбалансом электролитов, включая снижение массы тела и жировых отложений, повышенное потребление пищи, диарея, обезвоживание, снижение уровня глюкозы в сыворотке крови и увеличение других параметров сыворотки, отражающих повышенный белковый обмен и глюконеогенез, изменения мочи, такие как полиурия и глюкозурия, и микроскопические изменения, включая минерализацию в почках. Микроскопические признаки воздействия на почки, наблюдаемые у некоторых видов, включали дилатацию канальцев и тубулярную и тазовую минерализацию, что примерно в 4 раза выше клинической экспозиции эмпаглифлозина в дозе 25 мг. </w:t>
      </w:r>
      <w:r>
        <w:rPr>
          <w:rFonts w:eastAsia="Times New Roman"/>
          <w:shd w:val="clear" w:color="auto" w:fill="FFFFFF"/>
        </w:rPr>
        <w:t>Не отмечено генотоксического, канцерогенного и тератогенного потенциала. Не выявлено влияния на фертильность.</w:t>
      </w:r>
    </w:p>
    <w:p w14:paraId="6BC233D7" w14:textId="77777777" w:rsidR="00C035FA" w:rsidRDefault="008D5756">
      <w:pPr>
        <w:spacing w:after="0" w:line="240" w:lineRule="auto"/>
        <w:ind w:firstLine="709"/>
        <w:rPr>
          <w:rFonts w:eastAsia="Calibri"/>
        </w:rPr>
      </w:pPr>
      <w:r>
        <w:rPr>
          <w:rFonts w:eastAsia="Calibri"/>
        </w:rPr>
        <w:t>В клинической практике эмпаглифлозин используется с 2014 года. Препарат применяется для лечения сахарного диабета 2 типа и хронической сердечной недостаточности.</w:t>
      </w:r>
    </w:p>
    <w:p w14:paraId="144BB86B" w14:textId="77777777" w:rsidR="00C035FA" w:rsidRDefault="008D5756">
      <w:pPr>
        <w:spacing w:after="0" w:line="240" w:lineRule="auto"/>
        <w:ind w:firstLine="709"/>
        <w:rPr>
          <w:rFonts w:eastAsia="Calibri"/>
          <w:color w:val="000000" w:themeColor="text1"/>
        </w:rPr>
      </w:pPr>
      <w:r>
        <w:t>По результатам исследования №1245.20 на 24-й неделе скорректированное среднее изменение (SE) HbA1c по сравнению с исходным уровнем на 24-й неделе составило -0,08 (0,05)%, -0,66 (0,05)% и -0,78 (0,05)% для плацебо, эмпаглифлозина 10 мг один раз в день и эмпаглифлозин 25 мг 1 раз в сутки соответственно. Соответственно, разница по сравнению с плацебо для скорректированного среднего изменения (95% ДИ) HbA1c от исходного уровня на 24 неделе составила -0,74 (-0,88, -0,59) % для группы, принимавшей 10 мг эмпаглифлозина один раз в сутки, и -0,85 (-0,99, -0,71) % для группы, принимавшей 25 мг эмпаглифлозина один раз в сутки, демонстрируя численно более высокое снижение HbA1c в последней группе. Доля субъектов, достигших целевого уровня HbA1c &lt;7,0% к 24-й неделе, была выше в группе, принимавшей 25 мг один раз в день (43,6%), чем в группе, принимавшей 10 мг один раз в день (35,3%), и в обоих случаях выше, чем в группе плацебо</w:t>
      </w:r>
      <w:r>
        <w:rPr>
          <w:rFonts w:eastAsia="Calibri"/>
          <w:color w:val="000000" w:themeColor="text1"/>
        </w:rPr>
        <w:t>.</w:t>
      </w:r>
    </w:p>
    <w:p w14:paraId="37EE9758" w14:textId="4A57FBEF" w:rsidR="00C035FA" w:rsidRDefault="008D5756">
      <w:pPr>
        <w:spacing w:after="0" w:line="240" w:lineRule="auto"/>
        <w:ind w:firstLine="709"/>
        <w:rPr>
          <w:rFonts w:eastAsia="Calibri"/>
          <w:color w:val="000000" w:themeColor="text1"/>
        </w:rPr>
      </w:pPr>
      <w:r>
        <w:t>В исследовании EMPA-REG МОНО монотерапии эмпаглифлозином 10 мг или 25 мг, снижение уровня HbA1c на 24-й неделе были сходными при двух дозах эмпаглифлозина и ситаглиптина 100 мг однократно ежедневно, но наблюдалось снижение массы тела при обеих дозах эмпаглифлозина, но не при применении ситаглиптина</w:t>
      </w:r>
      <w:r w:rsidR="00867602">
        <w:t>.</w:t>
      </w:r>
    </w:p>
    <w:p w14:paraId="5730E6D4" w14:textId="3B2D2CA5" w:rsidR="00C035FA" w:rsidRDefault="008D5756">
      <w:pPr>
        <w:spacing w:after="0" w:line="240" w:lineRule="auto"/>
        <w:ind w:firstLine="709"/>
      </w:pPr>
      <w:r>
        <w:t xml:space="preserve">В рандомизированном двойном слепом плацебо-контролируемом исследовании EMPA-REG OUTCOME было показано, что </w:t>
      </w:r>
      <w:r w:rsidR="00A87318">
        <w:t>у пациентов</w:t>
      </w:r>
      <w:r>
        <w:t xml:space="preserve"> </w:t>
      </w:r>
      <w:r w:rsidR="00A87318">
        <w:t>с СД</w:t>
      </w:r>
      <w:r>
        <w:t xml:space="preserve">2 </w:t>
      </w:r>
      <w:r w:rsidR="006365A7">
        <w:t>и сопутствующими</w:t>
      </w:r>
      <w:r>
        <w:t xml:space="preserve"> </w:t>
      </w:r>
      <w:r w:rsidR="00A87318">
        <w:t>сердечно-сосудистыми заболеваниями (</w:t>
      </w:r>
      <w:r>
        <w:t>ССЗ</w:t>
      </w:r>
      <w:r w:rsidR="00A87318">
        <w:t>)</w:t>
      </w:r>
      <w:r>
        <w:t xml:space="preserve"> применение эмпаглифлозина привело </w:t>
      </w:r>
      <w:r w:rsidR="005A6067">
        <w:t>к снижению</w:t>
      </w:r>
      <w:r>
        <w:t xml:space="preserve"> на 35% риска госпитализаций по причине декомпенсации ХСН, а также </w:t>
      </w:r>
      <w:r>
        <w:lastRenderedPageBreak/>
        <w:t>(в анализах подгрупп) к улучшению ряда исходов ХСН, таких как риск первого введения петлевых диуретиков, риск повторной госпитализации по причине ХСН.</w:t>
      </w:r>
    </w:p>
    <w:p w14:paraId="0A144762" w14:textId="4105CC26" w:rsidR="00C035FA" w:rsidRDefault="008D5756">
      <w:pPr>
        <w:spacing w:after="0" w:line="240" w:lineRule="auto"/>
        <w:ind w:firstLine="709"/>
      </w:pPr>
      <w:r>
        <w:t xml:space="preserve">Важным является эффект </w:t>
      </w:r>
      <w:r w:rsidR="00834D2D">
        <w:t>ингибиторов натрий-глюкозного котранспортера 2-го типа (</w:t>
      </w:r>
      <w:r>
        <w:t>иНГЛТ-2</w:t>
      </w:r>
      <w:r w:rsidR="00834D2D">
        <w:t>)</w:t>
      </w:r>
      <w:r>
        <w:t xml:space="preserve"> на сохранение почечной функции и предотвращение развития терминальной стадия хронической болезни почек или стойкого снижения скорости клубочковой фильтрации (СКФ) независимо от наличия СД2.</w:t>
      </w:r>
    </w:p>
    <w:p w14:paraId="47033173" w14:textId="3D44282D" w:rsidR="00C035FA" w:rsidRDefault="008D5756">
      <w:pPr>
        <w:spacing w:after="0" w:line="240" w:lineRule="auto"/>
        <w:ind w:firstLine="709"/>
      </w:pPr>
      <w:r>
        <w:t>В связи с этим большой практический интерес имеют программы исследований эмпаглифлозина EMPEROR-Reduced и EMPEROR-Preserved. Исследование EMPEROR-Reduced вкл</w:t>
      </w:r>
      <w:r w:rsidR="006365A7">
        <w:t>ючило 3730 пациентов с ХСН и фракцией выброса левого желудочка (ФВ</w:t>
      </w:r>
      <w:r>
        <w:t>ЛЖ</w:t>
      </w:r>
      <w:r w:rsidR="006365A7">
        <w:t>)</w:t>
      </w:r>
      <w:r>
        <w:t xml:space="preserve"> 40% и менее, а исследование EMPEROR-Preserv</w:t>
      </w:r>
      <w:r w:rsidR="00834D2D">
        <w:t>ed включило 5988 пациентов с ФВ</w:t>
      </w:r>
      <w:r>
        <w:t>ЛЖ более 40%. Результаты проведенных исследований показывают, что эмпаглифлозин эффективен в снижении риска сердечно-сосудистой смерти и госпитализации по причине СН у пациентов с СД2 и ССЗ, причем эти эффекты сохраняются в различных подгруппах пациентов.</w:t>
      </w:r>
    </w:p>
    <w:p w14:paraId="608CE11E" w14:textId="77777777" w:rsidR="00C035FA" w:rsidRDefault="008D5756">
      <w:pPr>
        <w:spacing w:after="0" w:line="240" w:lineRule="auto"/>
        <w:ind w:firstLine="709"/>
      </w:pPr>
      <w:r>
        <w:t>Эмпаглифлозин имеет благоприятный профиль безопасности. По результатам EMPEROR-Reduced эмпаглифлозин продемонстрировал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значимые различия с группой плацебо по частоте нежелательных явлений, включая гиповолемию, гипотонию, нарушение функции почек, гиперкалиемию.</w:t>
      </w:r>
    </w:p>
    <w:p w14:paraId="17EE7A3B" w14:textId="0E7E1319" w:rsidR="003024CE" w:rsidRPr="00277DDB" w:rsidRDefault="003024CE" w:rsidP="00277DDB">
      <w:pPr>
        <w:spacing w:after="0" w:line="240" w:lineRule="auto"/>
        <w:ind w:firstLine="709"/>
        <w:rPr>
          <w:color w:val="000000"/>
        </w:rPr>
      </w:pPr>
      <w:r>
        <w:rPr>
          <w:lang w:val="en-US" w:eastAsia="ru-RU"/>
        </w:rPr>
        <w:t>DT</w:t>
      </w:r>
      <w:r>
        <w:rPr>
          <w:lang w:eastAsia="ru-RU"/>
        </w:rPr>
        <w:t>-</w:t>
      </w:r>
      <w:r>
        <w:rPr>
          <w:lang w:val="en-US" w:eastAsia="ru-RU"/>
        </w:rPr>
        <w:t>EMP</w:t>
      </w:r>
      <w:r w:rsidR="0014067F">
        <w:rPr>
          <w:bCs/>
          <w:lang w:eastAsia="ru-RU"/>
        </w:rPr>
        <w:t xml:space="preserve">, </w:t>
      </w:r>
      <w:r w:rsidR="0014067F" w:rsidRPr="0088099E">
        <w:rPr>
          <w:bCs/>
          <w:lang w:eastAsia="ru-RU"/>
        </w:rPr>
        <w:t xml:space="preserve">таблетки, покрыыте пленочной оболочкой, 10 мг и 25 мг, </w:t>
      </w:r>
      <w:r w:rsidR="005958B0" w:rsidRPr="0088099E">
        <w:rPr>
          <w:bCs/>
          <w:lang w:eastAsia="ru-RU"/>
        </w:rPr>
        <w:t>–</w:t>
      </w:r>
      <w:r w:rsidR="005958B0">
        <w:rPr>
          <w:bCs/>
          <w:lang w:eastAsia="ru-RU"/>
        </w:rPr>
        <w:t xml:space="preserve"> </w:t>
      </w:r>
      <w:r w:rsidR="0014067F" w:rsidRPr="0088099E">
        <w:rPr>
          <w:bCs/>
          <w:lang w:eastAsia="ru-RU"/>
        </w:rPr>
        <w:t xml:space="preserve">воспроизведенный препарат </w:t>
      </w:r>
      <w:r w:rsidR="0088099E" w:rsidRPr="0088099E">
        <w:rPr>
          <w:bCs/>
          <w:lang w:eastAsia="ru-RU"/>
        </w:rPr>
        <w:t>эмпаглифлозина</w:t>
      </w:r>
      <w:r w:rsidR="0014067F" w:rsidRPr="0088099E">
        <w:rPr>
          <w:bCs/>
          <w:lang w:eastAsia="ru-RU"/>
        </w:rPr>
        <w:t>, разработанный дочерним подразделением ГК «Р-Фарм», Россия – ООО «Технология лекарств», по заказу АО «Р-Фарм».</w:t>
      </w:r>
      <w:r w:rsidR="0088099E">
        <w:rPr>
          <w:bCs/>
          <w:lang w:eastAsia="ru-RU"/>
        </w:rPr>
        <w:t xml:space="preserve"> </w:t>
      </w:r>
      <w:r>
        <w:rPr>
          <w:color w:val="000000"/>
        </w:rPr>
        <w:t xml:space="preserve">Он полностью соответствует по </w:t>
      </w:r>
      <w:r>
        <w:rPr>
          <w:lang w:eastAsia="ru-RU"/>
        </w:rPr>
        <w:t xml:space="preserve">качественному и количественному составу действующего </w:t>
      </w:r>
      <w:r w:rsidR="00481344">
        <w:rPr>
          <w:lang w:eastAsia="ru-RU"/>
        </w:rPr>
        <w:t>и</w:t>
      </w:r>
      <w:r>
        <w:rPr>
          <w:lang w:eastAsia="ru-RU"/>
        </w:rPr>
        <w:t xml:space="preserve"> вспомогательных веществ, лекарственной форме </w:t>
      </w:r>
      <w:r>
        <w:rPr>
          <w:color w:val="000000"/>
        </w:rPr>
        <w:t xml:space="preserve">(таблетки, покрытые пленочной оболочкой) </w:t>
      </w:r>
      <w:r>
        <w:rPr>
          <w:lang w:eastAsia="ru-RU"/>
        </w:rPr>
        <w:t xml:space="preserve">и планируемым к выпуску дозировкам </w:t>
      </w:r>
      <w:r>
        <w:rPr>
          <w:color w:val="000000"/>
        </w:rPr>
        <w:t xml:space="preserve">(10 мг и 25 мг) референтному препарату </w:t>
      </w:r>
      <w:r>
        <w:t>Джардинс</w:t>
      </w:r>
      <w:r>
        <w:rPr>
          <w:vertAlign w:val="superscript"/>
        </w:rPr>
        <w:t>®</w:t>
      </w:r>
      <w:r>
        <w:t xml:space="preserve"> (МНН: эмпаглифлозин), таблетки, покрытые пленочной оболочкой, 10 мг </w:t>
      </w:r>
      <w:r w:rsidR="005958B0">
        <w:t xml:space="preserve">и </w:t>
      </w:r>
      <w:r>
        <w:t>25 мг (</w:t>
      </w:r>
      <w:r>
        <w:rPr>
          <w:rFonts w:eastAsia="Calibri"/>
          <w:bCs/>
        </w:rPr>
        <w:t xml:space="preserve">Берингер Ингельхайм </w:t>
      </w:r>
      <w:r w:rsidRPr="00E323B2">
        <w:rPr>
          <w:rFonts w:eastAsia="Calibri"/>
          <w:bCs/>
        </w:rPr>
        <w:t>Интернешнл ГмбХ, Германия</w:t>
      </w:r>
      <w:r w:rsidRPr="00E323B2">
        <w:t>)</w:t>
      </w:r>
      <w:r w:rsidR="00481344" w:rsidRPr="00E323B2">
        <w:t>, имея незначительные отличия в составе пленочной оболочки</w:t>
      </w:r>
      <w:r w:rsidRPr="00E323B2">
        <w:rPr>
          <w:color w:val="000000"/>
        </w:rPr>
        <w:t>.</w:t>
      </w:r>
      <w:r w:rsidRPr="00E323B2">
        <w:t xml:space="preserve"> </w:t>
      </w:r>
      <w:r w:rsidR="00481344" w:rsidRPr="00E323B2">
        <w:rPr>
          <w:color w:val="000000" w:themeColor="text1"/>
        </w:rPr>
        <w:t xml:space="preserve">Для доказательства эквивалентности препарата </w:t>
      </w:r>
      <w:r w:rsidR="00481344" w:rsidRPr="00E323B2">
        <w:rPr>
          <w:bCs/>
          <w:lang w:val="en-US" w:eastAsia="ru-RU"/>
        </w:rPr>
        <w:t>D</w:t>
      </w:r>
      <w:r w:rsidR="00481344" w:rsidRPr="00E323B2">
        <w:rPr>
          <w:lang w:val="en-US"/>
        </w:rPr>
        <w:t>T</w:t>
      </w:r>
      <w:r w:rsidR="00481344" w:rsidRPr="00E323B2">
        <w:t>-</w:t>
      </w:r>
      <w:r w:rsidR="00481344" w:rsidRPr="00E323B2">
        <w:rPr>
          <w:lang w:val="en-US"/>
        </w:rPr>
        <w:t>EMP</w:t>
      </w:r>
      <w:r w:rsidR="00481344" w:rsidRPr="00E323B2">
        <w:rPr>
          <w:color w:val="000000" w:themeColor="text1"/>
        </w:rPr>
        <w:t xml:space="preserve"> были проведены исследования сравнительной кинетики растворения в сравнении с референтным препаратом </w:t>
      </w:r>
      <w:r w:rsidR="005A6067" w:rsidRPr="00E323B2">
        <w:rPr>
          <w:lang w:eastAsia="ru-RU"/>
        </w:rPr>
        <w:t>Джардинс</w:t>
      </w:r>
      <w:r w:rsidR="00481344" w:rsidRPr="00E323B2">
        <w:rPr>
          <w:vertAlign w:val="superscript"/>
          <w:lang w:eastAsia="ru-RU"/>
        </w:rPr>
        <w:t>®</w:t>
      </w:r>
      <w:r w:rsidR="00481344" w:rsidRPr="00E323B2">
        <w:rPr>
          <w:rFonts w:eastAsia="Calibri"/>
        </w:rPr>
        <w:t xml:space="preserve"> </w:t>
      </w:r>
      <w:r w:rsidR="00481344" w:rsidRPr="00E323B2">
        <w:rPr>
          <w:color w:val="000000"/>
        </w:rPr>
        <w:t>(</w:t>
      </w:r>
      <w:r w:rsidR="00277DDB" w:rsidRPr="00E323B2">
        <w:rPr>
          <w:rFonts w:eastAsia="Calibri"/>
          <w:bCs/>
        </w:rPr>
        <w:t>Берингер Ингельхайм Интернешнл ГмбХ, Германия</w:t>
      </w:r>
      <w:r w:rsidR="00481344" w:rsidRPr="00E323B2">
        <w:rPr>
          <w:color w:val="000000"/>
        </w:rPr>
        <w:t>)</w:t>
      </w:r>
      <w:r w:rsidR="00481344" w:rsidRPr="00E323B2">
        <w:rPr>
          <w:rFonts w:eastAsiaTheme="minorHAnsi"/>
          <w:color w:val="000000" w:themeColor="text1"/>
          <w:lang w:eastAsia="en-US"/>
        </w:rPr>
        <w:t xml:space="preserve"> в дозировк</w:t>
      </w:r>
      <w:r w:rsidR="00277DDB" w:rsidRPr="00E323B2">
        <w:rPr>
          <w:rFonts w:eastAsiaTheme="minorHAnsi"/>
          <w:color w:val="000000" w:themeColor="text1"/>
          <w:lang w:eastAsia="en-US"/>
        </w:rPr>
        <w:t>ах 10 мг и 25 мг</w:t>
      </w:r>
      <w:r w:rsidR="00481344" w:rsidRPr="00E323B2">
        <w:rPr>
          <w:rFonts w:eastAsiaTheme="minorHAnsi"/>
          <w:color w:val="000000" w:themeColor="text1"/>
          <w:lang w:eastAsia="en-US"/>
        </w:rPr>
        <w:t xml:space="preserve"> </w:t>
      </w:r>
      <w:r w:rsidR="00481344" w:rsidRPr="00E323B2">
        <w:rPr>
          <w:color w:val="000000" w:themeColor="text1"/>
        </w:rPr>
        <w:t xml:space="preserve">(в трех модельных средах: </w:t>
      </w:r>
      <w:r w:rsidR="00481344" w:rsidRPr="00E323B2">
        <w:rPr>
          <w:spacing w:val="-4"/>
        </w:rPr>
        <w:t>буферных растворах</w:t>
      </w:r>
      <w:r w:rsidR="00481344" w:rsidRPr="00E323B2">
        <w:rPr>
          <w:color w:val="000000" w:themeColor="text1"/>
        </w:rPr>
        <w:t xml:space="preserve"> с рН </w:t>
      </w:r>
      <w:r w:rsidR="00E323B2" w:rsidRPr="00E323B2">
        <w:rPr>
          <w:color w:val="000000" w:themeColor="text1"/>
        </w:rPr>
        <w:t xml:space="preserve">1,2; </w:t>
      </w:r>
      <w:r w:rsidR="00481344" w:rsidRPr="00E323B2">
        <w:rPr>
          <w:color w:val="000000" w:themeColor="text1"/>
        </w:rPr>
        <w:t>4,5 и 6,8, а также в среде по НД (</w:t>
      </w:r>
      <w:r w:rsidR="00481344" w:rsidRPr="00E323B2">
        <w:rPr>
          <w:spacing w:val="-4"/>
        </w:rPr>
        <w:t>0,0</w:t>
      </w:r>
      <w:r w:rsidR="00E323B2" w:rsidRPr="00E323B2">
        <w:rPr>
          <w:spacing w:val="-4"/>
        </w:rPr>
        <w:t>5</w:t>
      </w:r>
      <w:r w:rsidR="00481344" w:rsidRPr="00E323B2">
        <w:rPr>
          <w:spacing w:val="-4"/>
        </w:rPr>
        <w:t xml:space="preserve"> М </w:t>
      </w:r>
      <w:r w:rsidR="00E323B2" w:rsidRPr="00E323B2">
        <w:rPr>
          <w:spacing w:val="-4"/>
        </w:rPr>
        <w:t xml:space="preserve">фосфатный буферный раствор </w:t>
      </w:r>
      <w:r w:rsidR="00E323B2" w:rsidRPr="00E323B2">
        <w:rPr>
          <w:spacing w:val="-4"/>
          <w:lang w:val="en-US"/>
        </w:rPr>
        <w:t>pH</w:t>
      </w:r>
      <w:r w:rsidR="00E323B2" w:rsidRPr="00E323B2">
        <w:rPr>
          <w:spacing w:val="-4"/>
        </w:rPr>
        <w:t xml:space="preserve"> 6,8</w:t>
      </w:r>
      <w:r w:rsidR="00481344" w:rsidRPr="00E323B2">
        <w:rPr>
          <w:color w:val="000000" w:themeColor="text1"/>
        </w:rPr>
        <w:t xml:space="preserve">). Согласно полученным данным, кинетика растворения </w:t>
      </w:r>
      <w:r w:rsidR="00481344" w:rsidRPr="00E323B2">
        <w:rPr>
          <w:bCs/>
          <w:lang w:val="en-US" w:eastAsia="ru-RU"/>
        </w:rPr>
        <w:t>D</w:t>
      </w:r>
      <w:r w:rsidR="00481344" w:rsidRPr="00E323B2">
        <w:rPr>
          <w:lang w:val="en-US"/>
        </w:rPr>
        <w:t>T</w:t>
      </w:r>
      <w:r w:rsidR="00481344" w:rsidRPr="00E323B2">
        <w:t>-</w:t>
      </w:r>
      <w:r w:rsidR="00277DDB" w:rsidRPr="00E323B2">
        <w:rPr>
          <w:lang w:val="en-US"/>
        </w:rPr>
        <w:t>EMP</w:t>
      </w:r>
      <w:r w:rsidR="00481344" w:rsidRPr="00E323B2">
        <w:rPr>
          <w:color w:val="000000" w:themeColor="text1"/>
        </w:rPr>
        <w:t xml:space="preserve"> эквивалентна кинетике растворения референтного препарата </w:t>
      </w:r>
      <w:r w:rsidR="00277DDB" w:rsidRPr="00E323B2">
        <w:rPr>
          <w:lang w:eastAsia="ru-RU"/>
        </w:rPr>
        <w:t>Джардинс</w:t>
      </w:r>
      <w:r w:rsidR="00481344" w:rsidRPr="00E323B2">
        <w:rPr>
          <w:vertAlign w:val="superscript"/>
          <w:lang w:eastAsia="ru-RU"/>
        </w:rPr>
        <w:t>®</w:t>
      </w:r>
      <w:r w:rsidR="00D810CD">
        <w:rPr>
          <w:lang w:eastAsia="ru-RU"/>
        </w:rPr>
        <w:t xml:space="preserve"> для обеих дозировок</w:t>
      </w:r>
      <w:r w:rsidR="00481344" w:rsidRPr="00E323B2">
        <w:rPr>
          <w:rFonts w:eastAsia="Calibri"/>
        </w:rPr>
        <w:t xml:space="preserve">, </w:t>
      </w:r>
      <w:r w:rsidR="00481344" w:rsidRPr="00E323B2">
        <w:rPr>
          <w:color w:val="000000" w:themeColor="text1"/>
        </w:rPr>
        <w:t>что позволяет предполагать также эквивалентность фармакологических свойств обоих препаратов.</w:t>
      </w:r>
    </w:p>
    <w:p w14:paraId="17A51BA9" w14:textId="08BF9AED" w:rsidR="00C035FA" w:rsidRPr="003024CE" w:rsidRDefault="003024CE" w:rsidP="003024CE">
      <w:pPr>
        <w:autoSpaceDE w:val="0"/>
        <w:autoSpaceDN w:val="0"/>
        <w:adjustRightInd w:val="0"/>
        <w:spacing w:after="0" w:line="240" w:lineRule="auto"/>
        <w:ind w:firstLine="708"/>
        <w:rPr>
          <w:bCs/>
          <w:lang w:eastAsia="ru-RU"/>
        </w:rPr>
      </w:pPr>
      <w:r>
        <w:rPr>
          <w:bCs/>
          <w:lang w:eastAsia="ru-RU"/>
        </w:rPr>
        <w:t xml:space="preserve">Внедрение в клиническую практику нового воспроизведенного препарата эмпаглифлозина позволит снизить цену современной </w:t>
      </w:r>
      <w:r>
        <w:rPr>
          <w:lang w:eastAsia="ru-RU"/>
        </w:rPr>
        <w:t xml:space="preserve">терапии СД типа 2 и </w:t>
      </w:r>
      <w:r>
        <w:rPr>
          <w:bCs/>
          <w:lang w:eastAsia="en-US"/>
        </w:rPr>
        <w:t>хронической сердечной недостаточности</w:t>
      </w:r>
      <w:r>
        <w:rPr>
          <w:bCs/>
          <w:lang w:eastAsia="ru-RU"/>
        </w:rPr>
        <w:t>.</w:t>
      </w:r>
    </w:p>
    <w:p w14:paraId="3B1C7AD8" w14:textId="3825D232" w:rsidR="000C7F59" w:rsidRPr="000C7F59" w:rsidRDefault="000C7F59" w:rsidP="000C7F59">
      <w:pPr>
        <w:pStyle w:val="Heading1"/>
      </w:pPr>
      <w:bookmarkStart w:id="9" w:name="_Toc139366813"/>
      <w:r w:rsidRPr="000C7F59">
        <w:t>1. ВВЕДЕНИЕ</w:t>
      </w:r>
      <w:bookmarkEnd w:id="9"/>
    </w:p>
    <w:p w14:paraId="3422DB1E" w14:textId="77777777" w:rsidR="00C035FA" w:rsidRDefault="008D5756">
      <w:pPr>
        <w:pStyle w:val="Heading2"/>
        <w:spacing w:line="240" w:lineRule="auto"/>
        <w:rPr>
          <w:color w:val="000000" w:themeColor="text1"/>
          <w:szCs w:val="24"/>
        </w:rPr>
      </w:pPr>
      <w:bookmarkStart w:id="10" w:name="_Toc415001066"/>
      <w:bookmarkStart w:id="11" w:name="_Toc139366814"/>
      <w:r>
        <w:rPr>
          <w:color w:val="000000" w:themeColor="text1"/>
          <w:szCs w:val="24"/>
        </w:rPr>
        <w:t>1.1. Химическое название</w:t>
      </w:r>
      <w:bookmarkEnd w:id="10"/>
      <w:bookmarkEnd w:id="11"/>
    </w:p>
    <w:p w14:paraId="383CD4A2" w14:textId="453F31E0" w:rsidR="00C035FA" w:rsidRDefault="008D5756">
      <w:pPr>
        <w:spacing w:after="0"/>
        <w:rPr>
          <w:b/>
          <w:color w:val="000000" w:themeColor="text1"/>
        </w:rPr>
      </w:pPr>
      <w:bookmarkStart w:id="12" w:name="_Toc415001067"/>
      <w:r>
        <w:rPr>
          <w:bCs/>
          <w:color w:val="000000" w:themeColor="text1"/>
          <w:lang w:bidi="ru-RU"/>
        </w:rPr>
        <w:t>(2S,3R,4R,5S,6R)-2-[4-хлоро-3-[[4-[(3S)-оксолан-3-ил]оксифенил]метил]фенил]-6-(гидроксиметил)оксан-3,4,5-триол</w:t>
      </w:r>
    </w:p>
    <w:p w14:paraId="10B61050" w14:textId="77777777" w:rsidR="00C035FA" w:rsidRDefault="008D5756">
      <w:pPr>
        <w:pStyle w:val="Heading2"/>
        <w:spacing w:line="240" w:lineRule="auto"/>
        <w:rPr>
          <w:color w:val="000000" w:themeColor="text1"/>
          <w:szCs w:val="24"/>
        </w:rPr>
      </w:pPr>
      <w:bookmarkStart w:id="13" w:name="_Toc139366815"/>
      <w:r>
        <w:rPr>
          <w:color w:val="000000" w:themeColor="text1"/>
          <w:szCs w:val="24"/>
        </w:rPr>
        <w:lastRenderedPageBreak/>
        <w:t>1.2. Международное непатентованное название</w:t>
      </w:r>
      <w:bookmarkEnd w:id="12"/>
      <w:bookmarkEnd w:id="13"/>
    </w:p>
    <w:p w14:paraId="339C8F26" w14:textId="2D2C04D5" w:rsidR="00C035FA" w:rsidRDefault="008D5756">
      <w:pPr>
        <w:spacing w:after="0" w:line="240" w:lineRule="auto"/>
        <w:ind w:firstLine="709"/>
        <w:rPr>
          <w:color w:val="000000" w:themeColor="text1"/>
        </w:rPr>
      </w:pPr>
      <w:r>
        <w:t>Эмпаглифлозин</w:t>
      </w:r>
      <w:r w:rsidR="005B0121">
        <w:t>.</w:t>
      </w:r>
    </w:p>
    <w:p w14:paraId="182C8697" w14:textId="77777777" w:rsidR="00C035FA" w:rsidRDefault="008D5756">
      <w:pPr>
        <w:pStyle w:val="Heading2"/>
        <w:spacing w:line="240" w:lineRule="auto"/>
        <w:rPr>
          <w:color w:val="000000" w:themeColor="text1"/>
          <w:szCs w:val="24"/>
        </w:rPr>
      </w:pPr>
      <w:bookmarkStart w:id="14" w:name="_Toc415001068"/>
      <w:bookmarkStart w:id="15" w:name="_Toc139366816"/>
      <w:r>
        <w:rPr>
          <w:color w:val="000000" w:themeColor="text1"/>
          <w:szCs w:val="24"/>
        </w:rPr>
        <w:t>1.3. Торговое название</w:t>
      </w:r>
      <w:bookmarkEnd w:id="14"/>
      <w:bookmarkEnd w:id="15"/>
    </w:p>
    <w:p w14:paraId="7F3403E7" w14:textId="1932F54D" w:rsidR="00C035FA" w:rsidRDefault="008D5756">
      <w:pPr>
        <w:spacing w:after="0" w:line="240" w:lineRule="auto"/>
        <w:ind w:firstLine="709"/>
        <w:rPr>
          <w:color w:val="000000" w:themeColor="text1"/>
        </w:rPr>
      </w:pPr>
      <w:r>
        <w:rPr>
          <w:bCs/>
          <w:color w:val="000000" w:themeColor="text1"/>
          <w:lang w:eastAsia="ru-RU"/>
        </w:rPr>
        <w:t xml:space="preserve">Торговое наименование – </w:t>
      </w:r>
      <w:r>
        <w:rPr>
          <w:rFonts w:eastAsiaTheme="minorHAnsi"/>
          <w:lang w:eastAsia="en-US"/>
        </w:rPr>
        <w:t>ЭМПАГЛИФЛОЗИН</w:t>
      </w:r>
    </w:p>
    <w:p w14:paraId="02DEC530" w14:textId="15AF5211" w:rsidR="003024CE" w:rsidRPr="003024CE" w:rsidRDefault="003024CE" w:rsidP="003024CE">
      <w:pPr>
        <w:spacing w:after="0" w:line="240" w:lineRule="auto"/>
        <w:ind w:firstLine="709"/>
        <w:rPr>
          <w:lang w:eastAsia="ru-RU"/>
        </w:rPr>
      </w:pPr>
      <w:r w:rsidRPr="003024CE">
        <w:rPr>
          <w:color w:val="000000" w:themeColor="text1"/>
        </w:rPr>
        <w:t xml:space="preserve">Внутреннее название продукта </w:t>
      </w:r>
      <w:r w:rsidR="005958B0">
        <w:rPr>
          <w:color w:val="000000" w:themeColor="text1"/>
        </w:rPr>
        <w:t>–</w:t>
      </w:r>
      <w:r w:rsidRPr="003024CE">
        <w:rPr>
          <w:color w:val="000000" w:themeColor="text1"/>
        </w:rPr>
        <w:t xml:space="preserve"> </w:t>
      </w:r>
      <w:r>
        <w:rPr>
          <w:lang w:val="en-US" w:eastAsia="ru-RU"/>
        </w:rPr>
        <w:t>DT</w:t>
      </w:r>
      <w:r>
        <w:rPr>
          <w:lang w:eastAsia="ru-RU"/>
        </w:rPr>
        <w:t>-</w:t>
      </w:r>
      <w:r>
        <w:rPr>
          <w:lang w:val="en-US" w:eastAsia="ru-RU"/>
        </w:rPr>
        <w:t>EMP</w:t>
      </w:r>
      <w:r>
        <w:rPr>
          <w:lang w:eastAsia="ru-RU"/>
        </w:rPr>
        <w:t>.</w:t>
      </w:r>
    </w:p>
    <w:p w14:paraId="0986A5D7" w14:textId="01EC218F" w:rsidR="00C035FA" w:rsidRDefault="003024CE" w:rsidP="003024CE">
      <w:pPr>
        <w:spacing w:after="0" w:line="240" w:lineRule="auto"/>
        <w:ind w:firstLine="709"/>
        <w:rPr>
          <w:color w:val="000000" w:themeColor="text1"/>
        </w:rPr>
      </w:pPr>
      <w:r w:rsidRPr="003024CE">
        <w:rPr>
          <w:color w:val="000000" w:themeColor="text1"/>
        </w:rPr>
        <w:t xml:space="preserve">Внутренний код продукта </w:t>
      </w:r>
      <w:r w:rsidR="005958B0">
        <w:rPr>
          <w:color w:val="000000" w:themeColor="text1"/>
        </w:rPr>
        <w:t>–</w:t>
      </w:r>
      <w:r w:rsidRPr="003024CE">
        <w:rPr>
          <w:color w:val="000000" w:themeColor="text1"/>
        </w:rPr>
        <w:t xml:space="preserve"> </w:t>
      </w:r>
      <w:r>
        <w:t>A101052.</w:t>
      </w:r>
    </w:p>
    <w:p w14:paraId="0D94D265" w14:textId="77777777" w:rsidR="00C035FA" w:rsidRDefault="008D5756">
      <w:pPr>
        <w:pStyle w:val="Heading2"/>
        <w:spacing w:line="240" w:lineRule="auto"/>
        <w:rPr>
          <w:color w:val="000000" w:themeColor="text1"/>
          <w:szCs w:val="24"/>
        </w:rPr>
      </w:pPr>
      <w:bookmarkStart w:id="16" w:name="_Toc415001069"/>
      <w:bookmarkStart w:id="17" w:name="_Toc139366817"/>
      <w:r>
        <w:rPr>
          <w:color w:val="000000" w:themeColor="text1"/>
          <w:szCs w:val="24"/>
        </w:rPr>
        <w:t>1.4. Активные ингредиенты</w:t>
      </w:r>
      <w:bookmarkEnd w:id="16"/>
      <w:bookmarkEnd w:id="17"/>
    </w:p>
    <w:p w14:paraId="21582364" w14:textId="77777777" w:rsidR="00C035FA" w:rsidRDefault="008D5756">
      <w:pPr>
        <w:spacing w:after="0" w:line="240" w:lineRule="auto"/>
        <w:ind w:firstLine="709"/>
        <w:rPr>
          <w:color w:val="000000" w:themeColor="text1"/>
        </w:rPr>
      </w:pPr>
      <w:r>
        <w:rPr>
          <w:color w:val="000000" w:themeColor="text1"/>
        </w:rPr>
        <w:t xml:space="preserve">Действующее вещество - </w:t>
      </w:r>
      <w:r>
        <w:t>эмпаглифлозин</w:t>
      </w:r>
      <w:r>
        <w:rPr>
          <w:color w:val="000000" w:themeColor="text1"/>
          <w:lang w:eastAsia="ru-RU"/>
        </w:rPr>
        <w:t>.</w:t>
      </w:r>
    </w:p>
    <w:p w14:paraId="4D527DBB" w14:textId="77777777" w:rsidR="00C035FA" w:rsidRDefault="008D5756">
      <w:pPr>
        <w:pStyle w:val="Heading2"/>
        <w:spacing w:line="240" w:lineRule="auto"/>
        <w:rPr>
          <w:color w:val="000000" w:themeColor="text1"/>
          <w:szCs w:val="24"/>
        </w:rPr>
      </w:pPr>
      <w:bookmarkStart w:id="18" w:name="_Toc415001070"/>
      <w:bookmarkStart w:id="19" w:name="_Toc139366818"/>
      <w:r>
        <w:rPr>
          <w:color w:val="000000" w:themeColor="text1"/>
          <w:szCs w:val="24"/>
        </w:rPr>
        <w:t>1.5. Фармакологическая группа</w:t>
      </w:r>
      <w:bookmarkEnd w:id="18"/>
      <w:bookmarkEnd w:id="19"/>
    </w:p>
    <w:p w14:paraId="70AE56EE" w14:textId="7F0B8F91" w:rsidR="00C035FA" w:rsidRDefault="005B0121">
      <w:pPr>
        <w:pStyle w:val="ListParagraph"/>
        <w:spacing w:after="0" w:line="240" w:lineRule="auto"/>
        <w:ind w:left="0" w:firstLine="709"/>
        <w:contextualSpacing w:val="0"/>
        <w:rPr>
          <w:b/>
          <w:color w:val="000000" w:themeColor="text1"/>
          <w:lang w:eastAsia="ru-RU"/>
        </w:rPr>
      </w:pPr>
      <w:bookmarkStart w:id="20" w:name="_Toc415001071"/>
      <w:r>
        <w:rPr>
          <w:iCs/>
          <w:color w:val="000000" w:themeColor="text1"/>
          <w:lang w:eastAsia="en-US"/>
        </w:rPr>
        <w:t>Препараты для леч</w:t>
      </w:r>
      <w:r w:rsidR="00CD418D">
        <w:rPr>
          <w:iCs/>
          <w:color w:val="000000" w:themeColor="text1"/>
          <w:lang w:eastAsia="en-US"/>
        </w:rPr>
        <w:t>ения сахароного диабета. И</w:t>
      </w:r>
      <w:r w:rsidR="008D5756">
        <w:rPr>
          <w:iCs/>
          <w:color w:val="000000" w:themeColor="text1"/>
          <w:lang w:eastAsia="en-US"/>
        </w:rPr>
        <w:t>нгибитор</w:t>
      </w:r>
      <w:r w:rsidR="00CD418D">
        <w:rPr>
          <w:iCs/>
          <w:color w:val="000000" w:themeColor="text1"/>
          <w:lang w:eastAsia="en-US"/>
        </w:rPr>
        <w:t>ы</w:t>
      </w:r>
      <w:r w:rsidR="008D5756">
        <w:rPr>
          <w:iCs/>
          <w:color w:val="000000" w:themeColor="text1"/>
          <w:lang w:eastAsia="en-US"/>
        </w:rPr>
        <w:t xml:space="preserve"> натрийзависимого переносчика глюкозы 2 типа</w:t>
      </w:r>
      <w:r w:rsidR="00867602">
        <w:rPr>
          <w:iCs/>
          <w:color w:val="000000" w:themeColor="text1"/>
          <w:lang w:eastAsia="en-US"/>
        </w:rPr>
        <w:t>.</w:t>
      </w:r>
    </w:p>
    <w:p w14:paraId="6B49ED28" w14:textId="77777777" w:rsidR="00C035FA" w:rsidRDefault="008D5756">
      <w:pPr>
        <w:pStyle w:val="Heading2"/>
        <w:spacing w:line="240" w:lineRule="auto"/>
        <w:rPr>
          <w:color w:val="000000" w:themeColor="text1"/>
          <w:szCs w:val="24"/>
        </w:rPr>
      </w:pPr>
      <w:bookmarkStart w:id="21" w:name="_Toc139366819"/>
      <w:r>
        <w:rPr>
          <w:color w:val="000000" w:themeColor="text1"/>
          <w:szCs w:val="24"/>
        </w:rPr>
        <w:t>1.6. Код по АТХ</w:t>
      </w:r>
      <w:bookmarkEnd w:id="20"/>
      <w:bookmarkEnd w:id="21"/>
    </w:p>
    <w:p w14:paraId="0E1C0BC0" w14:textId="77777777" w:rsidR="00C035FA" w:rsidRDefault="008D5756">
      <w:pPr>
        <w:pStyle w:val="ListParagraph"/>
        <w:spacing w:after="0" w:line="240" w:lineRule="auto"/>
        <w:contextualSpacing w:val="0"/>
        <w:rPr>
          <w:rStyle w:val="a8"/>
          <w:rFonts w:eastAsia="MS Mincho"/>
          <w:b w:val="0"/>
        </w:rPr>
      </w:pPr>
      <w:bookmarkStart w:id="22" w:name="_Toc415001072"/>
      <w:r>
        <w:rPr>
          <w:rStyle w:val="a8"/>
          <w:rFonts w:eastAsia="MS Mincho"/>
          <w:b w:val="0"/>
        </w:rPr>
        <w:t>A10BK03</w:t>
      </w:r>
    </w:p>
    <w:p w14:paraId="64FB6DBC" w14:textId="77777777" w:rsidR="00C035FA" w:rsidRDefault="008D5756">
      <w:pPr>
        <w:pStyle w:val="Heading2"/>
        <w:numPr>
          <w:ilvl w:val="1"/>
          <w:numId w:val="4"/>
        </w:numPr>
        <w:tabs>
          <w:tab w:val="left" w:pos="284"/>
          <w:tab w:val="left" w:pos="426"/>
        </w:tabs>
        <w:spacing w:line="240" w:lineRule="auto"/>
        <w:ind w:left="0" w:firstLine="0"/>
        <w:rPr>
          <w:color w:val="000000" w:themeColor="text1"/>
          <w:szCs w:val="24"/>
        </w:rPr>
      </w:pPr>
      <w:bookmarkStart w:id="23" w:name="_Toc139366820"/>
      <w:r>
        <w:rPr>
          <w:color w:val="000000" w:themeColor="text1"/>
          <w:szCs w:val="24"/>
        </w:rPr>
        <w:t>Обоснование для изучения исследуемого препарата</w:t>
      </w:r>
      <w:bookmarkEnd w:id="22"/>
      <w:bookmarkEnd w:id="23"/>
    </w:p>
    <w:p w14:paraId="1CADACDA" w14:textId="7E5A1318" w:rsidR="00C035FA" w:rsidRDefault="008D5756">
      <w:pPr>
        <w:pStyle w:val="Heading3"/>
        <w:spacing w:after="240" w:line="240" w:lineRule="auto"/>
        <w:rPr>
          <w:rFonts w:ascii="Times New Roman" w:hAnsi="Times New Roman"/>
          <w:color w:val="000000" w:themeColor="text1"/>
          <w:szCs w:val="24"/>
        </w:rPr>
      </w:pPr>
      <w:bookmarkStart w:id="24" w:name="_Toc139366821"/>
      <w:r>
        <w:rPr>
          <w:rFonts w:ascii="Times New Roman" w:hAnsi="Times New Roman"/>
          <w:color w:val="000000" w:themeColor="text1"/>
          <w:szCs w:val="24"/>
        </w:rPr>
        <w:t>1.7.1. Общие сведения о заболеваниях</w:t>
      </w:r>
      <w:bookmarkEnd w:id="24"/>
    </w:p>
    <w:p w14:paraId="4D947D70" w14:textId="66A6236A" w:rsidR="008D5756" w:rsidRPr="00CD418D" w:rsidRDefault="00CD418D" w:rsidP="00CD418D">
      <w:pPr>
        <w:autoSpaceDE w:val="0"/>
        <w:autoSpaceDN w:val="0"/>
        <w:adjustRightInd w:val="0"/>
        <w:spacing w:after="0" w:line="240" w:lineRule="auto"/>
        <w:rPr>
          <w:rFonts w:eastAsia="TimesNewRomanPSMT"/>
          <w:b/>
          <w:color w:val="000000"/>
          <w:lang w:eastAsia="en-US"/>
        </w:rPr>
      </w:pPr>
      <w:r w:rsidRPr="00CD418D">
        <w:rPr>
          <w:rFonts w:eastAsia="TimesNewRomanPSMT"/>
          <w:b/>
          <w:color w:val="000000"/>
          <w:lang w:eastAsia="en-US"/>
        </w:rPr>
        <w:t>Сахарный диабет 2 типа</w:t>
      </w:r>
    </w:p>
    <w:p w14:paraId="61A90899" w14:textId="77777777" w:rsidR="00CD418D" w:rsidRDefault="00CD418D">
      <w:pPr>
        <w:autoSpaceDE w:val="0"/>
        <w:autoSpaceDN w:val="0"/>
        <w:adjustRightInd w:val="0"/>
        <w:spacing w:after="0" w:line="240" w:lineRule="auto"/>
        <w:ind w:firstLine="708"/>
        <w:rPr>
          <w:rFonts w:eastAsia="TimesNewRomanPSMT"/>
          <w:color w:val="000000"/>
          <w:lang w:eastAsia="en-US"/>
        </w:rPr>
      </w:pPr>
    </w:p>
    <w:p w14:paraId="334B0464" w14:textId="176D92E5" w:rsidR="00C035FA" w:rsidRDefault="008D5756">
      <w:pPr>
        <w:autoSpaceDE w:val="0"/>
        <w:autoSpaceDN w:val="0"/>
        <w:adjustRightInd w:val="0"/>
        <w:spacing w:after="0" w:line="240" w:lineRule="auto"/>
        <w:ind w:firstLine="708"/>
        <w:rPr>
          <w:rFonts w:eastAsia="TimesNewRomanPSMT"/>
          <w:color w:val="000000"/>
          <w:lang w:eastAsia="en-US"/>
        </w:rPr>
      </w:pPr>
      <w:r>
        <w:rPr>
          <w:rFonts w:eastAsia="TimesNewRomanPSMT"/>
          <w:color w:val="000000"/>
          <w:lang w:eastAsia="en-US"/>
        </w:rPr>
        <w:t>Сахарный диабет (СД) – это группа метаболических (обменных) заболеваний, характеризующихся хронической гипергликемией, которая является результатом нарушения секреции инсулина, действия инсулина или обоих этих факторов. Хроническая гипергликемия при СД сопровождается повреждением, дисфункцией и недостаточностью различных органов, особенно глаз, почек, нервов, сердца и кровеносных сосудов.</w:t>
      </w:r>
    </w:p>
    <w:p w14:paraId="5FF443CC" w14:textId="609B876A" w:rsidR="00C035FA" w:rsidRDefault="008D5756">
      <w:pPr>
        <w:autoSpaceDE w:val="0"/>
        <w:autoSpaceDN w:val="0"/>
        <w:adjustRightInd w:val="0"/>
        <w:spacing w:after="0" w:line="240" w:lineRule="auto"/>
        <w:ind w:firstLine="708"/>
        <w:rPr>
          <w:rFonts w:eastAsia="TimesNewRomanPSMT"/>
          <w:color w:val="000000"/>
          <w:lang w:eastAsia="en-US"/>
        </w:rPr>
      </w:pPr>
      <w:r>
        <w:rPr>
          <w:rFonts w:eastAsia="TimesNewRomanPSMT"/>
          <w:color w:val="000000"/>
          <w:lang w:eastAsia="en-US"/>
        </w:rPr>
        <w:t>Сахарный диабет 2 типа (СД2) — нарушение углеводного обмена, вызванное преимущественной инсулинорезистентностью и относительной инсулиновой недостаточностью или преимущественным нарушением секреции инсулина с инсулинорезистентностью или без нее [1–3].</w:t>
      </w:r>
    </w:p>
    <w:p w14:paraId="38D9D049" w14:textId="1DF5761C" w:rsidR="00C035FA" w:rsidRDefault="008D5756">
      <w:pPr>
        <w:autoSpaceDE w:val="0"/>
        <w:autoSpaceDN w:val="0"/>
        <w:adjustRightInd w:val="0"/>
        <w:spacing w:after="0" w:line="240" w:lineRule="auto"/>
        <w:ind w:firstLine="708"/>
        <w:rPr>
          <w:rFonts w:eastAsia="TimesNewRomanPSMT"/>
          <w:color w:val="000000"/>
          <w:lang w:eastAsia="en-US"/>
        </w:rPr>
      </w:pPr>
      <w:r>
        <w:rPr>
          <w:rFonts w:eastAsia="TimesNewRomanPSMT"/>
          <w:color w:val="000000"/>
          <w:lang w:eastAsia="en-US"/>
        </w:rPr>
        <w:t>СД2 является заболеванием со сложным многофакторным патогенезом. Основными патогенетическими механизмами считаются нарушение секреции инсулина и инсулинорезистентность, однако количество новых дефектов, вызывающих хроническую гипергликемию при СД2, постоянно увеличивается [4]:</w:t>
      </w:r>
    </w:p>
    <w:p w14:paraId="17185EEF" w14:textId="77777777" w:rsidR="00C035FA" w:rsidRDefault="008D5756">
      <w:pPr>
        <w:pStyle w:val="ListParagraph"/>
        <w:numPr>
          <w:ilvl w:val="0"/>
          <w:numId w:val="5"/>
        </w:numPr>
        <w:autoSpaceDE w:val="0"/>
        <w:autoSpaceDN w:val="0"/>
        <w:adjustRightInd w:val="0"/>
        <w:spacing w:after="0" w:line="240" w:lineRule="auto"/>
        <w:ind w:left="851"/>
        <w:rPr>
          <w:rFonts w:eastAsia="TimesNewRomanPSMT"/>
          <w:color w:val="000000"/>
          <w:lang w:eastAsia="en-US"/>
        </w:rPr>
      </w:pPr>
      <w:r>
        <w:rPr>
          <w:rFonts w:eastAsia="TimesNewRomanPSMT"/>
          <w:color w:val="000000"/>
          <w:lang w:eastAsia="en-US"/>
        </w:rPr>
        <w:t>Нарушение секреции инсулина;</w:t>
      </w:r>
    </w:p>
    <w:p w14:paraId="1CFEA535" w14:textId="77777777" w:rsidR="00C035FA" w:rsidRDefault="008D5756">
      <w:pPr>
        <w:pStyle w:val="ListParagraph"/>
        <w:numPr>
          <w:ilvl w:val="0"/>
          <w:numId w:val="5"/>
        </w:numPr>
        <w:autoSpaceDE w:val="0"/>
        <w:autoSpaceDN w:val="0"/>
        <w:adjustRightInd w:val="0"/>
        <w:spacing w:after="0" w:line="240" w:lineRule="auto"/>
        <w:ind w:left="851"/>
        <w:rPr>
          <w:rFonts w:eastAsia="TimesNewRomanPSMT"/>
          <w:color w:val="000000"/>
          <w:lang w:eastAsia="en-US"/>
        </w:rPr>
      </w:pPr>
      <w:r>
        <w:rPr>
          <w:rFonts w:eastAsia="TimesNewRomanPSMT"/>
          <w:color w:val="000000"/>
          <w:lang w:eastAsia="en-US"/>
        </w:rPr>
        <w:t>Инсулинорезистентность (наибольшее значение имеет инсулинорезистентность мышц, печени, жировой ткань);</w:t>
      </w:r>
    </w:p>
    <w:p w14:paraId="7014A670" w14:textId="77777777" w:rsidR="00C035FA" w:rsidRDefault="008D5756">
      <w:pPr>
        <w:pStyle w:val="ListParagraph"/>
        <w:numPr>
          <w:ilvl w:val="0"/>
          <w:numId w:val="5"/>
        </w:numPr>
        <w:autoSpaceDE w:val="0"/>
        <w:autoSpaceDN w:val="0"/>
        <w:adjustRightInd w:val="0"/>
        <w:spacing w:after="0" w:line="240" w:lineRule="auto"/>
        <w:ind w:left="851"/>
        <w:rPr>
          <w:rFonts w:eastAsia="TimesNewRomanPSMT"/>
          <w:color w:val="000000"/>
          <w:lang w:eastAsia="en-US"/>
        </w:rPr>
      </w:pPr>
      <w:r>
        <w:rPr>
          <w:rFonts w:eastAsia="TimesNewRomanPSMT"/>
          <w:color w:val="000000"/>
          <w:lang w:eastAsia="en-US"/>
        </w:rPr>
        <w:t>Сниженный инкретиновый эффект (инкретины — гормоны желудочно-кишечного тракта, вырабатываемые в ответ на прием пищи и вызывающие стимуляцию секреции инсулина, наибольшее значение имеют глюкагоноподобный пептид-1 (ГПП-1) и глюкозозависимый инсулинотропный полипептид);</w:t>
      </w:r>
    </w:p>
    <w:p w14:paraId="6341FBC4" w14:textId="5AD01415" w:rsidR="00C035FA" w:rsidRDefault="008D5756">
      <w:pPr>
        <w:pStyle w:val="ListParagraph"/>
        <w:numPr>
          <w:ilvl w:val="0"/>
          <w:numId w:val="5"/>
        </w:numPr>
        <w:autoSpaceDE w:val="0"/>
        <w:autoSpaceDN w:val="0"/>
        <w:adjustRightInd w:val="0"/>
        <w:spacing w:after="0" w:line="240" w:lineRule="auto"/>
        <w:ind w:left="851"/>
        <w:rPr>
          <w:rFonts w:eastAsia="TimesNewRomanPSMT"/>
          <w:color w:val="000000"/>
          <w:lang w:eastAsia="en-US"/>
        </w:rPr>
      </w:pPr>
      <w:r>
        <w:rPr>
          <w:rFonts w:eastAsia="TimesNewRomanPSMT"/>
          <w:color w:val="000000"/>
          <w:lang w:eastAsia="en-US"/>
        </w:rPr>
        <w:lastRenderedPageBreak/>
        <w:t xml:space="preserve">Нарушение секреции глюкагона </w:t>
      </w:r>
      <w:r w:rsidR="00935225">
        <w:rPr>
          <w:rFonts w:eastAsia="TimesNewRomanPSMT"/>
          <w:color w:val="000000"/>
          <w:lang w:eastAsia="en-US"/>
        </w:rPr>
        <w:t>–</w:t>
      </w:r>
      <w:r>
        <w:rPr>
          <w:rFonts w:eastAsia="TimesNewRomanPSMT"/>
          <w:color w:val="000000"/>
          <w:lang w:eastAsia="en-US"/>
        </w:rPr>
        <w:t xml:space="preserve"> гормона, синтезируемого в α-клетках поджелудочной железы и противостоящего своими эффектами действию инсулина;</w:t>
      </w:r>
    </w:p>
    <w:p w14:paraId="75646963" w14:textId="77777777" w:rsidR="00C035FA" w:rsidRDefault="008D5756">
      <w:pPr>
        <w:pStyle w:val="ListParagraph"/>
        <w:numPr>
          <w:ilvl w:val="0"/>
          <w:numId w:val="5"/>
        </w:numPr>
        <w:autoSpaceDE w:val="0"/>
        <w:autoSpaceDN w:val="0"/>
        <w:adjustRightInd w:val="0"/>
        <w:spacing w:after="0" w:line="240" w:lineRule="auto"/>
        <w:ind w:left="851"/>
        <w:rPr>
          <w:color w:val="000000"/>
        </w:rPr>
      </w:pPr>
      <w:r>
        <w:rPr>
          <w:rFonts w:eastAsia="TimesNewRomanPSMT"/>
          <w:color w:val="000000"/>
          <w:lang w:eastAsia="en-US"/>
        </w:rPr>
        <w:t>Повышенная реабсорбция глюкозы в почках (вследствие повышенной активности натрий-глюкозных котранспортеров 2 типа (НГЛТ-2), локализованных преимущественно в проксимальных отделах почечных канальцев).</w:t>
      </w:r>
    </w:p>
    <w:p w14:paraId="282BFD58" w14:textId="77777777" w:rsidR="00C035FA" w:rsidRDefault="00C035FA">
      <w:pPr>
        <w:spacing w:after="0" w:line="240" w:lineRule="auto"/>
        <w:ind w:firstLine="709"/>
        <w:rPr>
          <w:color w:val="000000" w:themeColor="text1"/>
        </w:rPr>
      </w:pPr>
    </w:p>
    <w:p w14:paraId="3AA2CE8B" w14:textId="77777777" w:rsidR="00C035FA" w:rsidRDefault="008D5756">
      <w:pPr>
        <w:autoSpaceDE w:val="0"/>
        <w:autoSpaceDN w:val="0"/>
        <w:adjustRightInd w:val="0"/>
        <w:spacing w:after="0" w:line="240" w:lineRule="auto"/>
        <w:ind w:firstLine="709"/>
        <w:rPr>
          <w:rFonts w:eastAsia="TimesNewRomanPSMT"/>
          <w:color w:val="000000"/>
          <w:lang w:eastAsia="en-US"/>
        </w:rPr>
      </w:pPr>
      <w:r>
        <w:rPr>
          <w:rFonts w:eastAsia="TimesNewRomanPSMT"/>
          <w:color w:val="000000"/>
          <w:lang w:eastAsia="en-US"/>
        </w:rPr>
        <w:t>В последние годы также обсуждается роль в патогенезе иммунной дисрегуляции/хронического воспаления, изменений микробиоты кишечника и других факторов [5].</w:t>
      </w:r>
    </w:p>
    <w:p w14:paraId="12DA7F78" w14:textId="68CB9C61" w:rsidR="00C035FA" w:rsidRDefault="008D5756">
      <w:pPr>
        <w:autoSpaceDE w:val="0"/>
        <w:autoSpaceDN w:val="0"/>
        <w:adjustRightInd w:val="0"/>
        <w:spacing w:after="0" w:line="240" w:lineRule="auto"/>
        <w:ind w:firstLine="709"/>
        <w:rPr>
          <w:rFonts w:eastAsia="TimesNewRomanPSMT"/>
          <w:color w:val="000000"/>
          <w:lang w:eastAsia="en-US"/>
        </w:rPr>
      </w:pPr>
      <w:r>
        <w:rPr>
          <w:rFonts w:eastAsia="TimesNewRomanPSMT"/>
          <w:color w:val="000000"/>
          <w:lang w:eastAsia="en-US"/>
        </w:rPr>
        <w:t xml:space="preserve">Во всем мире происходит увеличение распространенности СД. По данным Международной Диабетической Федерации численность пациентов с СД в возрасте 20-79 лет в мире на 1 января 2020 г. превысила 463 млн [6]. В Российской Федерации (РФ) по данным регистра больных СД на 01.01.2021 г. состояло на диспансерном учете 4,8 </w:t>
      </w:r>
      <w:r w:rsidR="004F2F4A">
        <w:rPr>
          <w:rFonts w:eastAsia="TimesNewRomanPSMT"/>
          <w:color w:val="000000"/>
          <w:lang w:eastAsia="en-US"/>
        </w:rPr>
        <w:t>млн. человек</w:t>
      </w:r>
      <w:r>
        <w:rPr>
          <w:rFonts w:eastAsia="TimesNewRomanPSMT"/>
          <w:color w:val="000000"/>
          <w:lang w:eastAsia="en-US"/>
        </w:rPr>
        <w:t xml:space="preserve"> (3,3% населения), из них 92% (4,43 млн.) – СД 2, 6% (265 тыс.) – СД 1 и 2% (99тыс.) - другие типы СД, в том числе 9400 человек с гестационным СД [7].</w:t>
      </w:r>
    </w:p>
    <w:p w14:paraId="6358D152" w14:textId="6CC0D960" w:rsidR="00C035FA" w:rsidRDefault="008D5756">
      <w:pPr>
        <w:autoSpaceDE w:val="0"/>
        <w:autoSpaceDN w:val="0"/>
        <w:adjustRightInd w:val="0"/>
        <w:spacing w:after="0" w:line="240" w:lineRule="auto"/>
        <w:ind w:firstLine="709"/>
        <w:rPr>
          <w:rFonts w:eastAsia="TimesNewRomanPSMT"/>
          <w:color w:val="000000"/>
          <w:lang w:eastAsia="en-US"/>
        </w:rPr>
      </w:pPr>
      <w:r>
        <w:rPr>
          <w:rFonts w:eastAsia="TimesNewRomanPSMT"/>
          <w:color w:val="000000"/>
          <w:lang w:eastAsia="en-US"/>
        </w:rPr>
        <w:t>Однако эти данные недооценивают реальное количество пациентов, поскольку учитывают только выявленные и зарегистрированные случаи заболевания. Так, результаты масштабного российского эпидемиологического исследования (NATION) подтверждают, что по обращаемости в рутинной клинической практике диагностируется лишь 54% СД2 и у 46% пациентов СД выявляется только посредством активного скрининга [8]. Таким образом, реальная численность пациентов с СД в РФ не менее 9 млн. человек (около 6% населения).</w:t>
      </w:r>
    </w:p>
    <w:p w14:paraId="61630F81" w14:textId="3D602379" w:rsidR="00C035FA" w:rsidRDefault="008D5756">
      <w:pPr>
        <w:autoSpaceDE w:val="0"/>
        <w:autoSpaceDN w:val="0"/>
        <w:adjustRightInd w:val="0"/>
        <w:spacing w:after="0" w:line="240" w:lineRule="auto"/>
        <w:ind w:firstLine="709"/>
        <w:rPr>
          <w:rFonts w:eastAsia="TimesNewRomanPSMT"/>
          <w:color w:val="000000"/>
          <w:lang w:eastAsia="en-US"/>
        </w:rPr>
      </w:pPr>
      <w:r>
        <w:rPr>
          <w:rFonts w:eastAsia="TimesNewRomanPSMT"/>
          <w:color w:val="000000"/>
          <w:lang w:eastAsia="en-US"/>
        </w:rPr>
        <w:t>СД2 чаще развивается у лиц старше 40 лет с избыточной массой тела или ожирением (особенно абдоминальным его типом), но может развиваться и в более молодом возрасте, и у лиц с нормальной массой тела.</w:t>
      </w:r>
    </w:p>
    <w:p w14:paraId="3056A41A" w14:textId="2C3DAC81" w:rsidR="00C035FA" w:rsidRDefault="008D5756">
      <w:pPr>
        <w:autoSpaceDE w:val="0"/>
        <w:autoSpaceDN w:val="0"/>
        <w:adjustRightInd w:val="0"/>
        <w:spacing w:after="0" w:line="240" w:lineRule="auto"/>
        <w:ind w:firstLine="709"/>
        <w:rPr>
          <w:rFonts w:eastAsia="TimesNewRomanPSMT"/>
          <w:color w:val="000000"/>
          <w:lang w:eastAsia="en-US"/>
        </w:rPr>
      </w:pPr>
      <w:r>
        <w:rPr>
          <w:rFonts w:eastAsia="TimesNewRomanPSMT"/>
          <w:color w:val="000000"/>
          <w:lang w:eastAsia="en-US"/>
        </w:rPr>
        <w:t>Особенностью заболевания является длительное бессимптомное течение. Выявление чаще всего происходит либо случайно, либо в ходе диспансерного обследования пациентов с заболеваниями, часто сочетающимися с СД2: ожирение, ишемическая болезнь сердца (ИБС), артериальная гипертензия (АГ), подагра, поликистоз яичников. При отсутствии скрининга установление диагноза может отдаляться на 7-9 лет от начала заболевания.</w:t>
      </w:r>
    </w:p>
    <w:p w14:paraId="06E243EE" w14:textId="77777777" w:rsidR="00C035FA" w:rsidRDefault="00C035FA">
      <w:pPr>
        <w:autoSpaceDE w:val="0"/>
        <w:autoSpaceDN w:val="0"/>
        <w:adjustRightInd w:val="0"/>
        <w:spacing w:after="0" w:line="240" w:lineRule="auto"/>
        <w:ind w:firstLine="709"/>
        <w:rPr>
          <w:rFonts w:eastAsia="TimesNewRomanPSMT"/>
          <w:color w:val="000000"/>
          <w:lang w:eastAsia="en-US"/>
        </w:rPr>
      </w:pPr>
    </w:p>
    <w:p w14:paraId="3154A3B4" w14:textId="77777777" w:rsidR="00C035FA" w:rsidRPr="004F2F4A" w:rsidRDefault="008D5756">
      <w:pPr>
        <w:autoSpaceDE w:val="0"/>
        <w:autoSpaceDN w:val="0"/>
        <w:adjustRightInd w:val="0"/>
        <w:spacing w:after="0" w:line="240" w:lineRule="auto"/>
        <w:ind w:firstLine="709"/>
        <w:rPr>
          <w:rFonts w:eastAsia="TimesNewRomanPSMT"/>
          <w:b/>
          <w:i/>
          <w:color w:val="000000"/>
          <w:lang w:eastAsia="en-US"/>
        </w:rPr>
      </w:pPr>
      <w:r w:rsidRPr="004F2F4A">
        <w:rPr>
          <w:b/>
          <w:bCs/>
          <w:i/>
          <w:lang w:eastAsia="en-US"/>
        </w:rPr>
        <w:t>Факторы риска развития сахарного диабета 2 типа:</w:t>
      </w:r>
    </w:p>
    <w:p w14:paraId="17190A9B"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Возраст ≥ 45 лет;</w:t>
      </w:r>
    </w:p>
    <w:p w14:paraId="36B8AA76"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Избыточная масса тела и ожирение (ИМТ ≥ 25 кг/м2 для европеоидной расы (23 кг/м2 для азиатской популяции);</w:t>
      </w:r>
    </w:p>
    <w:p w14:paraId="657035A6"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Семейный анамнез СД (родители или сибсы с СД 2);</w:t>
      </w:r>
    </w:p>
    <w:p w14:paraId="1CC717C5"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Привычно низкая физическая активность;</w:t>
      </w:r>
    </w:p>
    <w:p w14:paraId="1CE79AB7"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Нарушенная гликемия натощак (НГН) или нарушенная толерантность к глюкозе (НТГ) в анамнезе;</w:t>
      </w:r>
    </w:p>
    <w:p w14:paraId="7C271028"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Гестационный СД или рождение крупного плода в анамнезе;</w:t>
      </w:r>
    </w:p>
    <w:p w14:paraId="01A3B8C9"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Артериальная гипертензия (≥ 140/90 мм рт. ст. или медикаментозная антигипертензивная терапия);</w:t>
      </w:r>
    </w:p>
    <w:p w14:paraId="00F49A04"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Холестерин ЛВП ≤ 0,9 ммоль/л и/или уровень триглицеридов ≥ 2,82 ммоль/л;</w:t>
      </w:r>
    </w:p>
    <w:p w14:paraId="42C53843" w14:textId="77777777" w:rsidR="00C035FA" w:rsidRDefault="008D5756">
      <w:pPr>
        <w:pStyle w:val="ListParagraph"/>
        <w:numPr>
          <w:ilvl w:val="0"/>
          <w:numId w:val="6"/>
        </w:numPr>
        <w:autoSpaceDE w:val="0"/>
        <w:autoSpaceDN w:val="0"/>
        <w:adjustRightInd w:val="0"/>
        <w:spacing w:after="0" w:line="240" w:lineRule="auto"/>
        <w:ind w:left="1134"/>
        <w:jc w:val="left"/>
        <w:rPr>
          <w:rFonts w:eastAsia="TimesNewRomanPSMT"/>
          <w:lang w:eastAsia="en-US"/>
        </w:rPr>
      </w:pPr>
      <w:r>
        <w:rPr>
          <w:rFonts w:eastAsia="TimesNewRomanPSMT"/>
          <w:lang w:eastAsia="en-US"/>
        </w:rPr>
        <w:t>Синдром поликистозных яичников;</w:t>
      </w:r>
    </w:p>
    <w:p w14:paraId="230C3925" w14:textId="77777777" w:rsidR="00C035FA" w:rsidRDefault="008D5756">
      <w:pPr>
        <w:pStyle w:val="ListParagraph"/>
        <w:numPr>
          <w:ilvl w:val="0"/>
          <w:numId w:val="6"/>
        </w:numPr>
        <w:autoSpaceDE w:val="0"/>
        <w:autoSpaceDN w:val="0"/>
        <w:adjustRightInd w:val="0"/>
        <w:spacing w:after="0" w:line="240" w:lineRule="auto"/>
        <w:ind w:left="1134"/>
        <w:rPr>
          <w:rFonts w:eastAsia="TimesNewRomanPSMT"/>
          <w:color w:val="000000"/>
          <w:lang w:eastAsia="en-US"/>
        </w:rPr>
      </w:pPr>
      <w:r>
        <w:rPr>
          <w:rFonts w:eastAsia="TimesNewRomanPSMT"/>
          <w:lang w:eastAsia="en-US"/>
        </w:rPr>
        <w:t>Наличие сердечно-сосудистых заболеваний (ССЗ).</w:t>
      </w:r>
    </w:p>
    <w:p w14:paraId="26F900A8" w14:textId="77777777" w:rsidR="00C035FA" w:rsidRDefault="00C035FA">
      <w:pPr>
        <w:autoSpaceDE w:val="0"/>
        <w:autoSpaceDN w:val="0"/>
        <w:adjustRightInd w:val="0"/>
        <w:spacing w:after="0" w:line="240" w:lineRule="auto"/>
        <w:ind w:firstLine="709"/>
        <w:rPr>
          <w:rFonts w:eastAsia="TimesNewRomanPSMT"/>
          <w:lang w:eastAsia="en-US"/>
        </w:rPr>
      </w:pPr>
    </w:p>
    <w:p w14:paraId="399AFA0F" w14:textId="20E248D0" w:rsidR="00C035FA" w:rsidRDefault="008D5756">
      <w:pPr>
        <w:autoSpaceDE w:val="0"/>
        <w:autoSpaceDN w:val="0"/>
        <w:adjustRightInd w:val="0"/>
        <w:spacing w:after="0" w:line="240" w:lineRule="auto"/>
        <w:ind w:firstLine="709"/>
        <w:rPr>
          <w:rFonts w:eastAsia="TimesNewRomanPSMT"/>
          <w:lang w:eastAsia="en-US"/>
        </w:rPr>
      </w:pPr>
      <w:r>
        <w:rPr>
          <w:rFonts w:eastAsia="TimesNewRomanPSMT"/>
          <w:lang w:eastAsia="en-US"/>
        </w:rPr>
        <w:t>Абдоминальное ожирение служит основным фактором риска СД2 и во многом причиной наблюдаемой инсулинорезистентности. Однако клиническая манифестация СД2 возникает тогда, когда к существующей инсулинорезистентности присоединяется дисфункция β-клеток. Аутоантитела к β-клетке при СД2 отсутствуют. Инсулинорезистентность при СД2 проявляется как в отношении эндогенного, так и экзогенного инсулина. Эндогенный инсулин, как правило, вырабатывается в нормальном или повышенном количестве. Обычно этого хватает для предотвращения диабетического кетоацидоза и пациенты с СД2 не подвержены ему, за исключением случаев острых состояний, сопровождающихся повышенной потребностью в инсулине (острые воспалительные состояния, оперативные вмешательства, острый инфаркт миокарда (ИМ), инсульт и др.). Для пациентов с СД2 характерен хороший ответ на пероральные сахароснижающие препараты (ПССП).</w:t>
      </w:r>
    </w:p>
    <w:p w14:paraId="0977E0CD" w14:textId="24101E91" w:rsidR="00C035FA" w:rsidRDefault="008D5756">
      <w:pPr>
        <w:autoSpaceDE w:val="0"/>
        <w:autoSpaceDN w:val="0"/>
        <w:adjustRightInd w:val="0"/>
        <w:spacing w:after="0" w:line="240" w:lineRule="auto"/>
        <w:ind w:firstLine="709"/>
        <w:rPr>
          <w:rFonts w:eastAsia="TimesNewRomanPSMT"/>
          <w:lang w:eastAsia="en-US"/>
        </w:rPr>
      </w:pPr>
      <w:r>
        <w:rPr>
          <w:rFonts w:eastAsia="TimesNewRomanPSMT"/>
          <w:lang w:eastAsia="en-US"/>
        </w:rPr>
        <w:t>Как правило, у пациентов с СД2 наряду с избыточной массой тела (или ожирением) имеются различные проявления так называемого метаболического синдрома: АГ, атерогенная дислипидемия, гиперурикемия, микроальбуминурия, нарушение свертываемости крови.</w:t>
      </w:r>
    </w:p>
    <w:p w14:paraId="56F7D9A9" w14:textId="197173B3" w:rsidR="00C035FA" w:rsidRDefault="008D5756">
      <w:pPr>
        <w:autoSpaceDE w:val="0"/>
        <w:autoSpaceDN w:val="0"/>
        <w:adjustRightInd w:val="0"/>
        <w:spacing w:after="0" w:line="240" w:lineRule="auto"/>
        <w:ind w:firstLine="709"/>
        <w:rPr>
          <w:rFonts w:eastAsia="TimesNewRomanPSMT"/>
          <w:lang w:eastAsia="en-US"/>
        </w:rPr>
      </w:pPr>
      <w:r>
        <w:rPr>
          <w:rFonts w:eastAsia="TimesNewRomanPSMT"/>
          <w:lang w:eastAsia="en-US"/>
        </w:rPr>
        <w:t>У 20–30% пациентов первым проявлением СД2 могут быть ИМ, инсульт, потеря зрения и другие осложнения.</w:t>
      </w:r>
    </w:p>
    <w:p w14:paraId="7D660347" w14:textId="30705765" w:rsidR="00C035FA" w:rsidRDefault="008D5756">
      <w:pPr>
        <w:autoSpaceDE w:val="0"/>
        <w:autoSpaceDN w:val="0"/>
        <w:adjustRightInd w:val="0"/>
        <w:spacing w:after="0" w:line="240" w:lineRule="auto"/>
        <w:ind w:firstLine="709"/>
        <w:rPr>
          <w:rFonts w:eastAsia="TimesNewRomanPSMT"/>
          <w:lang w:eastAsia="en-US"/>
        </w:rPr>
      </w:pPr>
      <w:r>
        <w:rPr>
          <w:rFonts w:eastAsia="TimesNewRomanPSMT"/>
          <w:lang w:eastAsia="en-US"/>
        </w:rPr>
        <w:t>Неблагоприятный прогноз у пациентов с СД2 определяется развитием макро- и микрососудистых осложнений.</w:t>
      </w:r>
    </w:p>
    <w:p w14:paraId="4D98C7A8" w14:textId="1C5E2B7B" w:rsidR="00C035FA" w:rsidRDefault="008D5756">
      <w:pPr>
        <w:autoSpaceDE w:val="0"/>
        <w:autoSpaceDN w:val="0"/>
        <w:adjustRightInd w:val="0"/>
        <w:spacing w:after="0" w:line="240" w:lineRule="auto"/>
        <w:ind w:firstLine="709"/>
        <w:rPr>
          <w:rFonts w:eastAsia="TimesNewRomanPSMT"/>
          <w:lang w:eastAsia="en-US"/>
        </w:rPr>
      </w:pPr>
      <w:r>
        <w:rPr>
          <w:rFonts w:eastAsia="TimesNewRomanPSMT"/>
          <w:lang w:eastAsia="en-US"/>
        </w:rPr>
        <w:t xml:space="preserve">Основная причина смерти пациентов с СД2 </w:t>
      </w:r>
      <w:r>
        <w:rPr>
          <w:rFonts w:eastAsia="TimesNewRomanPSMT"/>
          <w:color w:val="000000"/>
        </w:rPr>
        <w:t xml:space="preserve">– </w:t>
      </w:r>
      <w:r>
        <w:rPr>
          <w:rFonts w:eastAsia="TimesNewRomanPSMT"/>
          <w:lang w:eastAsia="en-US"/>
        </w:rPr>
        <w:t>это ССЗ, распространенность которых среди пациентов СД2 в 2–4 раза превышает таковую среди лиц без СД [4].</w:t>
      </w:r>
    </w:p>
    <w:p w14:paraId="63B6CDBF" w14:textId="77777777" w:rsidR="004F2F4A" w:rsidRDefault="004F2F4A">
      <w:pPr>
        <w:autoSpaceDE w:val="0"/>
        <w:autoSpaceDN w:val="0"/>
        <w:adjustRightInd w:val="0"/>
        <w:spacing w:after="0" w:line="240" w:lineRule="auto"/>
        <w:ind w:firstLine="709"/>
        <w:rPr>
          <w:rFonts w:eastAsia="TimesNewRomanPSMT"/>
          <w:lang w:eastAsia="en-US"/>
        </w:rPr>
      </w:pPr>
    </w:p>
    <w:p w14:paraId="4FD389B9" w14:textId="5EC614A8" w:rsidR="008D5756" w:rsidRDefault="008D5756" w:rsidP="004F2F4A">
      <w:pPr>
        <w:autoSpaceDE w:val="0"/>
        <w:autoSpaceDN w:val="0"/>
        <w:adjustRightInd w:val="0"/>
        <w:spacing w:after="0" w:line="240" w:lineRule="auto"/>
        <w:rPr>
          <w:b/>
        </w:rPr>
      </w:pPr>
      <w:r w:rsidRPr="004F2F4A">
        <w:rPr>
          <w:b/>
        </w:rPr>
        <w:t xml:space="preserve">Хроническая </w:t>
      </w:r>
      <w:r w:rsidR="004F2F4A">
        <w:rPr>
          <w:b/>
        </w:rPr>
        <w:t>сердечная недостаточность</w:t>
      </w:r>
    </w:p>
    <w:p w14:paraId="70135090" w14:textId="77777777" w:rsidR="004F2F4A" w:rsidRPr="004F2F4A" w:rsidRDefault="004F2F4A" w:rsidP="004F2F4A">
      <w:pPr>
        <w:autoSpaceDE w:val="0"/>
        <w:autoSpaceDN w:val="0"/>
        <w:adjustRightInd w:val="0"/>
        <w:spacing w:after="0" w:line="240" w:lineRule="auto"/>
        <w:rPr>
          <w:b/>
        </w:rPr>
      </w:pPr>
    </w:p>
    <w:p w14:paraId="79306473" w14:textId="7B9F5F1E" w:rsidR="00C035FA" w:rsidRDefault="008D5756">
      <w:pPr>
        <w:autoSpaceDE w:val="0"/>
        <w:autoSpaceDN w:val="0"/>
        <w:adjustRightInd w:val="0"/>
        <w:spacing w:after="0" w:line="240" w:lineRule="auto"/>
        <w:ind w:firstLine="709"/>
      </w:pPr>
      <w:r>
        <w:t>Сердечная недостаточность (</w:t>
      </w:r>
      <w:r w:rsidR="004F2F4A">
        <w:t xml:space="preserve">СН) </w:t>
      </w:r>
      <w:r w:rsidR="005B6230" w:rsidRPr="0088099E">
        <w:rPr>
          <w:bCs/>
          <w:lang w:eastAsia="ru-RU"/>
        </w:rPr>
        <w:t>–</w:t>
      </w:r>
      <w:r w:rsidR="00867602">
        <w:t xml:space="preserve"> это</w:t>
      </w:r>
      <w:r>
        <w:t xml:space="preserve"> синдром, развивающийся </w:t>
      </w:r>
      <w:r w:rsidR="00F12711">
        <w:t>в результате</w:t>
      </w:r>
      <w:r>
        <w:t xml:space="preserve"> нарушения способности сердца к наполнению и/или опорожнению, протекающий </w:t>
      </w:r>
      <w:r w:rsidR="00D810CD">
        <w:t>в условиях</w:t>
      </w:r>
      <w:r>
        <w:t xml:space="preserve"> дисбаланса вазоконстрикторных и вазодилатирующих нейрогормональных систем, сопровождающийся недостаточной перфузией органов </w:t>
      </w:r>
      <w:r w:rsidR="002829CA">
        <w:t>и систем,</w:t>
      </w:r>
      <w:r>
        <w:t xml:space="preserve"> </w:t>
      </w:r>
      <w:r w:rsidR="00A70218">
        <w:t>и проявляющийся</w:t>
      </w:r>
      <w:r>
        <w:t xml:space="preserve"> жалобами: одышкой, слабостью, сердцебиением и повышенной утомляемостью и, при прогрессировании, задержкой жидкости в  организме (отёчным синдромом)</w:t>
      </w:r>
      <w:r>
        <w:rPr>
          <w:rFonts w:eastAsia="TimesNewRomanPSMT"/>
          <w:color w:val="000000"/>
          <w:lang w:eastAsia="en-US"/>
        </w:rPr>
        <w:t>.</w:t>
      </w:r>
    </w:p>
    <w:p w14:paraId="508A899C" w14:textId="6524ED98" w:rsidR="00C035FA" w:rsidRDefault="008D5756">
      <w:pPr>
        <w:autoSpaceDE w:val="0"/>
        <w:autoSpaceDN w:val="0"/>
        <w:adjustRightInd w:val="0"/>
        <w:spacing w:after="0" w:line="240" w:lineRule="auto"/>
        <w:ind w:firstLine="709"/>
        <w:rPr>
          <w:rFonts w:eastAsia="TimesNewRomanPSMT"/>
          <w:color w:val="000000"/>
          <w:lang w:eastAsia="en-US"/>
        </w:rPr>
      </w:pPr>
      <w:r>
        <w:t xml:space="preserve">Хроническая СН (ХСН) – разновидность сердечной недостаточности, типичным является эпизодическое, чаще постепенное усиление симптомов/признаков СН, вплоть до развития “декомпенсации” </w:t>
      </w:r>
      <w:r>
        <w:rPr>
          <w:rFonts w:eastAsia="TimesNewRomanPSMT"/>
          <w:color w:val="000000"/>
          <w:lang w:eastAsia="en-US"/>
        </w:rPr>
        <w:t>[16].</w:t>
      </w:r>
    </w:p>
    <w:p w14:paraId="54BBD7CE" w14:textId="1BB8BBBD" w:rsidR="007F229F" w:rsidRPr="0040607C" w:rsidRDefault="0040607C">
      <w:pPr>
        <w:autoSpaceDE w:val="0"/>
        <w:autoSpaceDN w:val="0"/>
        <w:adjustRightInd w:val="0"/>
        <w:spacing w:after="0" w:line="240" w:lineRule="auto"/>
        <w:ind w:firstLine="709"/>
      </w:pPr>
      <w:r>
        <w:t xml:space="preserve">Наиболее часто ХСН развивается как следствие ослабления сократительной способности миокарда. Слабость сердечной мышцы может быть связана с повреждением миокарда или с его длительной перегрузкой. К повреждению миокарда приводит ишемическая болезнь сердца, воспаление (при миокардитах), воздействие токсических веществ или эндокринные заболевания (при миокардиодистрофиях). Снижается сократительная способность миокарда и в тех случаях, когда сердцу приходится длительное время преодолевать препятствие кровотоку или перекачивать большее, чем в норме, количество крови. В первом случае говорят о перегрузке сопротивлением, во втором – о перегрузке объемом. Перегрузка сопротивлением развивается при артериальной гипертензии, стенозе устья аорты, коарктации аорты, обструктивной гипертрофической кардиомиопатии, легочной гипертензии, стенозе устья легочной артерии. Такие заболевания, как недостаточность митрального, аортального или трикуспидального клапана, дефекты межпредсердной или межжелудочковой перегородок, приводят к </w:t>
      </w:r>
      <w:r>
        <w:lastRenderedPageBreak/>
        <w:t xml:space="preserve">перегрузке объемом. Этому могут способствовать также состояния, сопровождающиеся увеличением объема циркулирующей крови (ОЦК): почечные, эндокринные и обменные заболевания, при которых жидкость задерживается в организме, или введение больному больших количеств плазмозамещающих растворов, особенно при неадекватном диурезе </w:t>
      </w:r>
      <w:r w:rsidR="007F229F" w:rsidRPr="00E14858">
        <w:t>[19].</w:t>
      </w:r>
    </w:p>
    <w:p w14:paraId="2E340641" w14:textId="1CDF9D50" w:rsidR="007F229F" w:rsidRDefault="008D5756">
      <w:pPr>
        <w:autoSpaceDE w:val="0"/>
        <w:autoSpaceDN w:val="0"/>
        <w:adjustRightInd w:val="0"/>
        <w:spacing w:after="0" w:line="240" w:lineRule="auto"/>
        <w:ind w:firstLine="709"/>
      </w:pPr>
      <w:r>
        <w:t>В Российской Федерации (РФ) основными причинами ХСН являются артериальная гипертония (АГ) и ишемическая болезнь сердца (ИБС). К другим причинам ХСН относятся различные пороки сердца (4,3%), миокардиты (3,6%)</w:t>
      </w:r>
      <w:r w:rsidR="0024486E">
        <w:t>.</w:t>
      </w:r>
    </w:p>
    <w:p w14:paraId="52E78E8E" w14:textId="06118BD5" w:rsidR="00EC44FB" w:rsidRDefault="00EC44FB">
      <w:pPr>
        <w:autoSpaceDE w:val="0"/>
        <w:autoSpaceDN w:val="0"/>
        <w:adjustRightInd w:val="0"/>
        <w:spacing w:after="0" w:line="240" w:lineRule="auto"/>
        <w:ind w:firstLine="709"/>
      </w:pPr>
      <w:r>
        <w:t>Проведенная верификация диагноза в исследовании ЭПОХА-Госпитализация-ХСН показала, что истинная распространенность ХСН любого функционального класса (ФК) в европейской части РФ составила 7,0% и ХСН III-IV ФК — 2,1%. При использовании коэффициента достоверности (78,8% по мягким критериям и 92,8% по жестким) можно утверждать, что за 16 лет в РФ число пациентов с ХСН достоверно выросло от 4,9% (1998г) до 10,2% (2014г), р=0,01. При этом, число пациентов с ХСН III-IV ФК увеличилось значительнее: от 1,2% (1998г) до 4,1% (2014г), р=0,002. В 1998г при пересчете на популяцию РФ (146693000) число пациентов с любым ФК ХСН было около 7188000 человек, а в 2015 году (146270000) число больных увеличилось в 2 раза — 14919000. За 16 лет наблюдения в 3,4 раза стало больше тяжелых пациентов с ХСН III-IV ФК: с 1760000 до 5997000 человек.</w:t>
      </w:r>
    </w:p>
    <w:p w14:paraId="679F6461" w14:textId="6A2E196E" w:rsidR="00EC44FB" w:rsidRDefault="00EC44FB">
      <w:pPr>
        <w:autoSpaceDE w:val="0"/>
        <w:autoSpaceDN w:val="0"/>
        <w:adjustRightInd w:val="0"/>
        <w:spacing w:after="0" w:line="240" w:lineRule="auto"/>
        <w:ind w:firstLine="709"/>
      </w:pPr>
      <w:r>
        <w:t>Средний возраст выборки больных ХСН за исследуемый период стал достоверно выше: 64,0±11,9 (1998г), 67,0±11,0 (2000г), 68,3±11,7 (2007г) и 69,9±12,2 (2014г), р=0,02. Госпитальный этап уточнил частотное распределение по ФК ХСН среди всех пациентов:</w:t>
      </w:r>
    </w:p>
    <w:p w14:paraId="029334B3" w14:textId="1DF3AD90" w:rsidR="008D5756" w:rsidRDefault="00EC44FB" w:rsidP="00E14858">
      <w:pPr>
        <w:autoSpaceDE w:val="0"/>
        <w:autoSpaceDN w:val="0"/>
        <w:adjustRightInd w:val="0"/>
        <w:spacing w:after="0" w:line="240" w:lineRule="auto"/>
      </w:pPr>
      <w:r>
        <w:t>I ФК — 22,7%; II ФК — 47,4%; III ФК — 25,1% и IV ФК — 4,7% случаев. Каждый третий пациент с ХСН имеет тяжелый ФК</w:t>
      </w:r>
      <w:r w:rsidRPr="00EC44FB">
        <w:t xml:space="preserve"> </w:t>
      </w:r>
      <w:r w:rsidR="008D5756" w:rsidRPr="00E14858">
        <w:t>[17].</w:t>
      </w:r>
    </w:p>
    <w:p w14:paraId="4897AADB" w14:textId="77777777" w:rsidR="00C035FA" w:rsidRDefault="008D5756">
      <w:pPr>
        <w:pStyle w:val="Heading3"/>
        <w:spacing w:after="240" w:line="240" w:lineRule="auto"/>
        <w:rPr>
          <w:rFonts w:ascii="Times New Roman" w:hAnsi="Times New Roman"/>
          <w:color w:val="000000" w:themeColor="text1"/>
          <w:szCs w:val="24"/>
        </w:rPr>
      </w:pPr>
      <w:bookmarkStart w:id="25" w:name="_Toc395011863"/>
      <w:bookmarkStart w:id="26" w:name="_Toc139366822"/>
      <w:r>
        <w:rPr>
          <w:rFonts w:ascii="Times New Roman" w:hAnsi="Times New Roman"/>
          <w:color w:val="000000" w:themeColor="text1"/>
          <w:szCs w:val="24"/>
        </w:rPr>
        <w:t>1.7.2. Существующие варианты терапии</w:t>
      </w:r>
      <w:bookmarkStart w:id="27" w:name="_Hlk521882537"/>
      <w:bookmarkEnd w:id="25"/>
      <w:bookmarkEnd w:id="26"/>
    </w:p>
    <w:p w14:paraId="10582BF8" w14:textId="71057BDA" w:rsidR="00C035FA" w:rsidRPr="00167D80" w:rsidRDefault="008D5756" w:rsidP="00167D80">
      <w:pPr>
        <w:autoSpaceDE w:val="0"/>
        <w:autoSpaceDN w:val="0"/>
        <w:adjustRightInd w:val="0"/>
        <w:spacing w:after="0" w:line="240" w:lineRule="auto"/>
        <w:jc w:val="left"/>
        <w:rPr>
          <w:rFonts w:eastAsia="TimesNewRomanPSMT"/>
          <w:b/>
          <w:lang w:eastAsia="en-US"/>
        </w:rPr>
      </w:pPr>
      <w:r w:rsidRPr="00167D80">
        <w:rPr>
          <w:rFonts w:eastAsia="TimesNewRomanPSMT"/>
          <w:b/>
          <w:lang w:val="en-US" w:eastAsia="en-US"/>
        </w:rPr>
        <w:t>C</w:t>
      </w:r>
      <w:r w:rsidR="00167D80" w:rsidRPr="00167D80">
        <w:rPr>
          <w:rFonts w:eastAsia="TimesNewRomanPSMT"/>
          <w:b/>
          <w:lang w:eastAsia="en-US"/>
        </w:rPr>
        <w:t>ахарный диабет 2 типа</w:t>
      </w:r>
    </w:p>
    <w:p w14:paraId="7A6D47BD" w14:textId="77777777" w:rsidR="00167D80" w:rsidRPr="00167D80" w:rsidRDefault="00167D80" w:rsidP="00167D80">
      <w:pPr>
        <w:autoSpaceDE w:val="0"/>
        <w:autoSpaceDN w:val="0"/>
        <w:adjustRightInd w:val="0"/>
        <w:spacing w:after="0" w:line="240" w:lineRule="auto"/>
        <w:jc w:val="left"/>
        <w:rPr>
          <w:rFonts w:eastAsia="TimesNewRomanPSMT"/>
          <w:b/>
          <w:lang w:eastAsia="en-US"/>
        </w:rPr>
      </w:pPr>
    </w:p>
    <w:p w14:paraId="73E0AA94" w14:textId="77777777" w:rsidR="00167D80" w:rsidRPr="00B15C28" w:rsidRDefault="00167D80" w:rsidP="00D810CD">
      <w:pPr>
        <w:autoSpaceDE w:val="0"/>
        <w:autoSpaceDN w:val="0"/>
        <w:adjustRightInd w:val="0"/>
        <w:spacing w:after="0" w:line="240" w:lineRule="auto"/>
        <w:ind w:firstLine="709"/>
        <w:contextualSpacing/>
        <w:rPr>
          <w:rFonts w:eastAsia="TimesNewRomanPSMT"/>
          <w:lang w:eastAsia="en-US"/>
        </w:rPr>
      </w:pPr>
      <w:bookmarkStart w:id="28" w:name="_Toc484086226"/>
      <w:bookmarkEnd w:id="27"/>
      <w:r w:rsidRPr="00B15C28">
        <w:rPr>
          <w:rFonts w:eastAsia="TimesNewRomanPSMT"/>
          <w:lang w:eastAsia="en-US"/>
        </w:rPr>
        <w:t>Лечение СД 2 включает в себя:</w:t>
      </w:r>
    </w:p>
    <w:p w14:paraId="0CFCED59"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коррекцию </w:t>
      </w:r>
      <w:r w:rsidRPr="00B15C28">
        <w:rPr>
          <w:rFonts w:eastAsia="TimesNewRomanPSMT"/>
          <w:lang w:eastAsia="en-US"/>
        </w:rPr>
        <w:t>питани</w:t>
      </w:r>
      <w:r>
        <w:rPr>
          <w:rFonts w:eastAsia="TimesNewRomanPSMT"/>
          <w:lang w:eastAsia="en-US"/>
        </w:rPr>
        <w:t>я</w:t>
      </w:r>
      <w:r w:rsidRPr="00B15C28">
        <w:rPr>
          <w:rFonts w:eastAsia="TimesNewRomanPSMT"/>
          <w:lang w:eastAsia="en-US"/>
        </w:rPr>
        <w:t>;</w:t>
      </w:r>
    </w:p>
    <w:p w14:paraId="5E2A334A"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коррекцию </w:t>
      </w:r>
      <w:r w:rsidRPr="00B15C28">
        <w:rPr>
          <w:rFonts w:eastAsia="TimesNewRomanPSMT"/>
          <w:lang w:eastAsia="en-US"/>
        </w:rPr>
        <w:t>физическ</w:t>
      </w:r>
      <w:r>
        <w:rPr>
          <w:rFonts w:eastAsia="TimesNewRomanPSMT"/>
          <w:lang w:eastAsia="en-US"/>
        </w:rPr>
        <w:t>ой</w:t>
      </w:r>
      <w:r w:rsidRPr="00B15C28">
        <w:rPr>
          <w:rFonts w:eastAsia="TimesNewRomanPSMT"/>
          <w:lang w:eastAsia="en-US"/>
        </w:rPr>
        <w:t xml:space="preserve"> активност</w:t>
      </w:r>
      <w:r>
        <w:rPr>
          <w:rFonts w:eastAsia="TimesNewRomanPSMT"/>
          <w:lang w:eastAsia="en-US"/>
        </w:rPr>
        <w:t>и</w:t>
      </w:r>
      <w:r w:rsidRPr="00B15C28">
        <w:rPr>
          <w:rFonts w:eastAsia="TimesNewRomanPSMT"/>
          <w:lang w:eastAsia="en-US"/>
        </w:rPr>
        <w:t>;</w:t>
      </w:r>
    </w:p>
    <w:p w14:paraId="13FE946C"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сахароснижающие препараты;</w:t>
      </w:r>
    </w:p>
    <w:p w14:paraId="2890B459"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самоконтроль гликемии;</w:t>
      </w:r>
    </w:p>
    <w:p w14:paraId="52638E40"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обучение принципам управления заболеванием;</w:t>
      </w:r>
    </w:p>
    <w:p w14:paraId="505517DF" w14:textId="77777777" w:rsidR="00167D80" w:rsidRPr="00B15C28" w:rsidRDefault="00167D80" w:rsidP="00D810CD">
      <w:pPr>
        <w:pStyle w:val="ListParagraph"/>
        <w:numPr>
          <w:ilvl w:val="0"/>
          <w:numId w:val="7"/>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хирургическое лечение (метаболическая хирургия) при ожирении.</w:t>
      </w:r>
    </w:p>
    <w:p w14:paraId="6B81B20E" w14:textId="77777777" w:rsidR="00167D80" w:rsidRPr="00B15C28" w:rsidRDefault="00167D80" w:rsidP="00D810CD">
      <w:pPr>
        <w:autoSpaceDE w:val="0"/>
        <w:autoSpaceDN w:val="0"/>
        <w:adjustRightInd w:val="0"/>
        <w:spacing w:after="0" w:line="240" w:lineRule="auto"/>
        <w:ind w:firstLine="708"/>
        <w:contextualSpacing/>
        <w:rPr>
          <w:rFonts w:eastAsia="TimesNewRomanPSMT"/>
          <w:lang w:eastAsia="en-US"/>
        </w:rPr>
      </w:pPr>
    </w:p>
    <w:p w14:paraId="6998C070" w14:textId="77777777" w:rsidR="00167D80" w:rsidRPr="00B15C28" w:rsidRDefault="00167D80" w:rsidP="00D810CD">
      <w:pPr>
        <w:autoSpaceDE w:val="0"/>
        <w:autoSpaceDN w:val="0"/>
        <w:adjustRightInd w:val="0"/>
        <w:spacing w:after="0" w:line="240" w:lineRule="auto"/>
        <w:ind w:firstLine="708"/>
        <w:contextualSpacing/>
        <w:rPr>
          <w:color w:val="000000" w:themeColor="text1"/>
        </w:rPr>
      </w:pPr>
      <w:r w:rsidRPr="00B15C28">
        <w:rPr>
          <w:color w:val="000000" w:themeColor="text1"/>
        </w:rPr>
        <w:t xml:space="preserve">При лечении СД 2 необходимо придерживаться стратегии многофакторного воздействия и, помимо адекватного контроля углеводного обмена, стремиться достигать целевых показателей АД; липидного обмена; использовать препараты, влияющие на снижение сердечно-сосудистого риска; модифицировать образ жизни (включая физическую активность, снижение массы тела при необходимости, отказ от курения и др.). </w:t>
      </w:r>
    </w:p>
    <w:p w14:paraId="241B848C" w14:textId="77777777" w:rsidR="00167D80" w:rsidRPr="00B15C28" w:rsidRDefault="00167D80" w:rsidP="00167D80">
      <w:pPr>
        <w:autoSpaceDE w:val="0"/>
        <w:autoSpaceDN w:val="0"/>
        <w:adjustRightInd w:val="0"/>
        <w:spacing w:after="0" w:line="240" w:lineRule="auto"/>
        <w:ind w:firstLine="708"/>
        <w:contextualSpacing/>
        <w:rPr>
          <w:color w:val="000000" w:themeColor="text1"/>
        </w:rPr>
      </w:pPr>
      <w:r w:rsidRPr="00B15C28">
        <w:rPr>
          <w:color w:val="000000" w:themeColor="text1"/>
        </w:rPr>
        <w:t xml:space="preserve">Многофакторные вмешательства могут не только значительно снижать риск микрососудистых осложнений и сердечно-сосудистые риски, но и, возможно, приводить к значимому снижению смертности у пациентов с СД 2 [9].   </w:t>
      </w:r>
    </w:p>
    <w:p w14:paraId="1DAB5E3C" w14:textId="2507F1A4" w:rsidR="00167D80" w:rsidRPr="00607857" w:rsidRDefault="00167D80" w:rsidP="00607857">
      <w:pPr>
        <w:autoSpaceDE w:val="0"/>
        <w:autoSpaceDN w:val="0"/>
        <w:adjustRightInd w:val="0"/>
        <w:spacing w:after="0" w:line="240" w:lineRule="auto"/>
        <w:ind w:firstLine="708"/>
        <w:contextualSpacing/>
        <w:rPr>
          <w:color w:val="000000" w:themeColor="text1"/>
        </w:rPr>
      </w:pPr>
      <w:r w:rsidRPr="00B15C28">
        <w:rPr>
          <w:color w:val="000000" w:themeColor="text1"/>
        </w:rPr>
        <w:t xml:space="preserve">Изменение образа жизни является основой терапии СД 2 и должно продолжаться на всем протяжении заболевания. Обучение принципам управления заболеванием и </w:t>
      </w:r>
      <w:r w:rsidRPr="00B15C28">
        <w:rPr>
          <w:color w:val="000000" w:themeColor="text1"/>
        </w:rPr>
        <w:lastRenderedPageBreak/>
        <w:t>мотивация пациента должны начинаться незамедлительно и сопровождать лечение на всем его протяжении.</w:t>
      </w:r>
    </w:p>
    <w:p w14:paraId="1CF20170" w14:textId="352FAA96" w:rsidR="00167D80" w:rsidRPr="00607857" w:rsidRDefault="00167D80" w:rsidP="00167D80">
      <w:pPr>
        <w:autoSpaceDE w:val="0"/>
        <w:autoSpaceDN w:val="0"/>
        <w:adjustRightInd w:val="0"/>
        <w:spacing w:after="0" w:line="240" w:lineRule="auto"/>
        <w:contextualSpacing/>
        <w:rPr>
          <w:i/>
          <w:lang w:eastAsia="en-US"/>
        </w:rPr>
      </w:pPr>
      <w:r w:rsidRPr="00692073">
        <w:rPr>
          <w:b/>
          <w:i/>
          <w:lang w:eastAsia="en-US"/>
        </w:rPr>
        <w:t>Немедикаментозные методы лечения</w:t>
      </w:r>
    </w:p>
    <w:p w14:paraId="0B2DF783" w14:textId="77777777" w:rsidR="00167D80" w:rsidRPr="00B15C28" w:rsidRDefault="00167D80" w:rsidP="00167D80">
      <w:pPr>
        <w:autoSpaceDE w:val="0"/>
        <w:autoSpaceDN w:val="0"/>
        <w:adjustRightInd w:val="0"/>
        <w:spacing w:after="0" w:line="240" w:lineRule="auto"/>
        <w:contextualSpacing/>
        <w:rPr>
          <w:bCs/>
          <w:lang w:eastAsia="en-US"/>
        </w:rPr>
      </w:pPr>
      <w:r w:rsidRPr="00B15C28">
        <w:rPr>
          <w:bCs/>
          <w:lang w:eastAsia="en-US"/>
        </w:rPr>
        <w:t>Рекомендации по питанию:</w:t>
      </w:r>
    </w:p>
    <w:p w14:paraId="7D7D1D8D" w14:textId="77777777" w:rsidR="00167D80" w:rsidRPr="00B15C28" w:rsidRDefault="00167D80" w:rsidP="00167D80">
      <w:pPr>
        <w:pStyle w:val="ListParagraph"/>
        <w:numPr>
          <w:ilvl w:val="0"/>
          <w:numId w:val="8"/>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рассматривать питание как часть терапевтического плана у всех пациентов СД 2 при любом варианте медикаментозной сахароснижающей терапии для достижения метаболических целей.</w:t>
      </w:r>
    </w:p>
    <w:p w14:paraId="43E39692" w14:textId="77777777" w:rsidR="00167D80" w:rsidRPr="00B15C28" w:rsidRDefault="00167D80" w:rsidP="00167D80">
      <w:pPr>
        <w:pStyle w:val="ListParagraph"/>
        <w:numPr>
          <w:ilvl w:val="0"/>
          <w:numId w:val="8"/>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ограничение калорийности рациона всем пациентам СД 2 с избыточной массой тела/ожирением с целью умеренного снижения массы тела.</w:t>
      </w:r>
    </w:p>
    <w:p w14:paraId="0D142BB2" w14:textId="77777777" w:rsidR="00167D80" w:rsidRPr="00B15C28" w:rsidRDefault="00167D80" w:rsidP="00167D80">
      <w:pPr>
        <w:pStyle w:val="ListParagraph"/>
        <w:numPr>
          <w:ilvl w:val="0"/>
          <w:numId w:val="8"/>
        </w:numPr>
        <w:autoSpaceDE w:val="0"/>
        <w:autoSpaceDN w:val="0"/>
        <w:adjustRightInd w:val="0"/>
        <w:spacing w:after="0" w:line="240" w:lineRule="auto"/>
        <w:ind w:left="709" w:hanging="284"/>
        <w:rPr>
          <w:rStyle w:val="tlid-translation"/>
        </w:rPr>
      </w:pPr>
      <w:r w:rsidRPr="00B15C28">
        <w:rPr>
          <w:bCs/>
          <w:lang w:eastAsia="en-US"/>
        </w:rPr>
        <w:t xml:space="preserve">Не рекомендуется </w:t>
      </w:r>
      <w:r w:rsidRPr="00B15C28">
        <w:rPr>
          <w:lang w:eastAsia="en-US"/>
        </w:rPr>
        <w:t>определение процентного соотношения калорий из белков, жиров и углеводов у пациентов с СД 2 ввиду отсутствия значимых преимуществ для снижения массы тела и улучшения гликемического контроля.</w:t>
      </w:r>
    </w:p>
    <w:p w14:paraId="0D2985C8" w14:textId="680E5821" w:rsidR="00167D80" w:rsidRPr="00607857" w:rsidRDefault="00167D80" w:rsidP="00167D80">
      <w:pPr>
        <w:pStyle w:val="ListParagraph"/>
        <w:numPr>
          <w:ilvl w:val="0"/>
          <w:numId w:val="8"/>
        </w:numPr>
        <w:autoSpaceDE w:val="0"/>
        <w:autoSpaceDN w:val="0"/>
        <w:adjustRightInd w:val="0"/>
        <w:spacing w:after="0" w:line="240" w:lineRule="auto"/>
        <w:ind w:left="709" w:hanging="284"/>
      </w:pPr>
      <w:r w:rsidRPr="00B15C28">
        <w:rPr>
          <w:bCs/>
          <w:lang w:eastAsia="en-US"/>
        </w:rPr>
        <w:t xml:space="preserve">Рекомендуется </w:t>
      </w:r>
      <w:r w:rsidRPr="00B15C28">
        <w:rPr>
          <w:lang w:eastAsia="en-US"/>
        </w:rPr>
        <w:t>максимальное ограничение жиров (прежде всего животного происхождения) и сахаров; умеренное (в размере половины привычной порции) –продуктов, состоящих преимущественно из сложных углеводов (крахмалов) и белков; неограниченное потребление – продуктов с минимальной калорийностью (в основном богатых водой и клетчаткой овощей) пациентам с СД 2 для снижения массы тела</w:t>
      </w:r>
      <w:r w:rsidRPr="00B15C28">
        <w:rPr>
          <w:bCs/>
          <w:lang w:eastAsia="en-US"/>
        </w:rPr>
        <w:t>.</w:t>
      </w:r>
    </w:p>
    <w:p w14:paraId="06C53473" w14:textId="7085876E" w:rsidR="00167D80" w:rsidRPr="00607857" w:rsidRDefault="00167D80" w:rsidP="00607857">
      <w:pPr>
        <w:autoSpaceDE w:val="0"/>
        <w:autoSpaceDN w:val="0"/>
        <w:adjustRightInd w:val="0"/>
        <w:spacing w:after="0" w:line="240" w:lineRule="auto"/>
        <w:contextualSpacing/>
        <w:rPr>
          <w:i/>
          <w:lang w:eastAsia="en-US"/>
        </w:rPr>
      </w:pPr>
      <w:r w:rsidRPr="00692073">
        <w:rPr>
          <w:b/>
          <w:i/>
          <w:lang w:eastAsia="en-US"/>
        </w:rPr>
        <w:t>Медикаментозная терапия</w:t>
      </w:r>
    </w:p>
    <w:p w14:paraId="5679D9C5" w14:textId="77777777" w:rsidR="00167D80" w:rsidRPr="00B15C28" w:rsidRDefault="00167D80" w:rsidP="00167D80">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Индивидуальный подход к каждому пациенту с СД 2 является приоритетным при выборе тактики лечения.</w:t>
      </w:r>
    </w:p>
    <w:p w14:paraId="1BA44B09" w14:textId="77777777" w:rsidR="00167D80" w:rsidRPr="00B15C28" w:rsidRDefault="00167D80" w:rsidP="00167D80">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Изменение образа жизни (рациональное питание и повышение физической активности) и обучение принципам управления заболеванием являются неотъемлемой частью лечения и должны проводиться на всем протяжении заболевания.</w:t>
      </w:r>
    </w:p>
    <w:p w14:paraId="08DF6466" w14:textId="77777777" w:rsidR="00167D80" w:rsidRPr="00B15C28" w:rsidRDefault="00167D80" w:rsidP="00167D80">
      <w:pPr>
        <w:autoSpaceDE w:val="0"/>
        <w:autoSpaceDN w:val="0"/>
        <w:adjustRightInd w:val="0"/>
        <w:spacing w:after="0" w:line="240" w:lineRule="auto"/>
        <w:ind w:firstLine="708"/>
        <w:contextualSpacing/>
        <w:rPr>
          <w:color w:val="000000" w:themeColor="text1"/>
        </w:rPr>
      </w:pPr>
      <w:r w:rsidRPr="00B15C28">
        <w:t xml:space="preserve">Медикаментозная терапия СД типа 2 в первую очередь подразумевает прием </w:t>
      </w:r>
      <w:r w:rsidRPr="00B15C28">
        <w:rPr>
          <w:bCs/>
        </w:rPr>
        <w:t xml:space="preserve">ПССП. </w:t>
      </w:r>
      <w:r w:rsidRPr="00B15C28">
        <w:t xml:space="preserve">Метформин является основным препаратом для инициации медикаментозной терапии СД типа 2. Метформин следует использовать в составе сахароснижающей терапии на всем протяжении лечения при условии переносимости препарата и отсутствии противопоказаний. </w:t>
      </w:r>
      <w:r w:rsidRPr="00B15C28">
        <w:rPr>
          <w:bCs/>
        </w:rPr>
        <w:t>Основные сахароснижающие препараты и их механизм действия представлены в таблице ниже</w:t>
      </w:r>
      <w:r w:rsidRPr="00B15C28">
        <w:rPr>
          <w:rFonts w:eastAsia="TimesNewRomanPSMT"/>
          <w:lang w:eastAsia="en-US"/>
        </w:rPr>
        <w:t>.</w:t>
      </w:r>
    </w:p>
    <w:p w14:paraId="7D1B6582" w14:textId="77777777" w:rsidR="00167D80" w:rsidRPr="00B15C28" w:rsidRDefault="00167D80" w:rsidP="00167D80">
      <w:pPr>
        <w:spacing w:after="0" w:line="240" w:lineRule="auto"/>
        <w:contextualSpacing/>
        <w:rPr>
          <w:rStyle w:val="tlid-translation"/>
        </w:rPr>
      </w:pPr>
    </w:p>
    <w:p w14:paraId="1F121EDF" w14:textId="77777777" w:rsidR="00167D80" w:rsidRPr="00B15C28" w:rsidRDefault="00167D80" w:rsidP="00167D80">
      <w:pPr>
        <w:autoSpaceDE w:val="0"/>
        <w:autoSpaceDN w:val="0"/>
        <w:adjustRightInd w:val="0"/>
        <w:spacing w:after="0" w:line="240" w:lineRule="auto"/>
        <w:contextualSpacing/>
        <w:rPr>
          <w:rStyle w:val="tlid-translation"/>
        </w:rPr>
      </w:pPr>
      <w:r w:rsidRPr="00B15C28">
        <w:rPr>
          <w:rStyle w:val="tlid-translation"/>
          <w:b/>
        </w:rPr>
        <w:t xml:space="preserve">Таблица 1-1. </w:t>
      </w:r>
      <w:r w:rsidRPr="00B15C28">
        <w:rPr>
          <w:bCs/>
          <w:lang w:eastAsia="en-US"/>
        </w:rPr>
        <w:t>Группы сахароснижающих препаратов и механизм их действия</w:t>
      </w:r>
      <w:r w:rsidRPr="00B15C28">
        <w:rPr>
          <w:rStyle w:val="tlid-translation"/>
        </w:rPr>
        <w:t>.</w:t>
      </w:r>
    </w:p>
    <w:tbl>
      <w:tblPr>
        <w:tblStyle w:val="TableGrid"/>
        <w:tblW w:w="9356" w:type="dxa"/>
        <w:tblInd w:w="-5" w:type="dxa"/>
        <w:tblLayout w:type="fixed"/>
        <w:tblLook w:val="04A0" w:firstRow="1" w:lastRow="0" w:firstColumn="1" w:lastColumn="0" w:noHBand="0" w:noVBand="1"/>
      </w:tblPr>
      <w:tblGrid>
        <w:gridCol w:w="3374"/>
        <w:gridCol w:w="5982"/>
      </w:tblGrid>
      <w:tr w:rsidR="00167D80" w:rsidRPr="00B15C28" w14:paraId="728028D4" w14:textId="77777777" w:rsidTr="00035195">
        <w:trPr>
          <w:trHeight w:val="667"/>
          <w:tblHeader/>
        </w:trPr>
        <w:tc>
          <w:tcPr>
            <w:tcW w:w="3374" w:type="dxa"/>
            <w:shd w:val="clear" w:color="auto" w:fill="D9D9D9" w:themeFill="background1" w:themeFillShade="D9"/>
            <w:vAlign w:val="center"/>
            <w:hideMark/>
          </w:tcPr>
          <w:p w14:paraId="15370132" w14:textId="77777777" w:rsidR="00167D80" w:rsidRPr="00B15C28" w:rsidRDefault="00167D80" w:rsidP="00035195">
            <w:pPr>
              <w:autoSpaceDE w:val="0"/>
              <w:autoSpaceDN w:val="0"/>
              <w:adjustRightInd w:val="0"/>
              <w:spacing w:after="0" w:line="240" w:lineRule="auto"/>
              <w:jc w:val="center"/>
              <w:rPr>
                <w:b/>
                <w:bCs/>
                <w:lang w:eastAsia="en-US"/>
              </w:rPr>
            </w:pPr>
            <w:r w:rsidRPr="00B15C28">
              <w:rPr>
                <w:b/>
                <w:bCs/>
                <w:lang w:eastAsia="en-US"/>
              </w:rPr>
              <w:t>АТХ-классификация</w:t>
            </w:r>
          </w:p>
        </w:tc>
        <w:tc>
          <w:tcPr>
            <w:tcW w:w="5982" w:type="dxa"/>
            <w:shd w:val="clear" w:color="auto" w:fill="D9D9D9" w:themeFill="background1" w:themeFillShade="D9"/>
            <w:vAlign w:val="center"/>
            <w:hideMark/>
          </w:tcPr>
          <w:p w14:paraId="7A3586C5" w14:textId="77777777" w:rsidR="00167D80" w:rsidRPr="00B15C28" w:rsidRDefault="00167D80" w:rsidP="00035195">
            <w:pPr>
              <w:autoSpaceDE w:val="0"/>
              <w:autoSpaceDN w:val="0"/>
              <w:adjustRightInd w:val="0"/>
              <w:spacing w:after="0" w:line="240" w:lineRule="auto"/>
              <w:jc w:val="center"/>
              <w:rPr>
                <w:b/>
                <w:bCs/>
                <w:lang w:eastAsia="en-US"/>
              </w:rPr>
            </w:pPr>
            <w:r w:rsidRPr="00B15C28">
              <w:rPr>
                <w:b/>
                <w:bCs/>
                <w:lang w:eastAsia="en-US"/>
              </w:rPr>
              <w:t>Механизм действия</w:t>
            </w:r>
          </w:p>
        </w:tc>
      </w:tr>
      <w:tr w:rsidR="00167D80" w:rsidRPr="00B15C28" w14:paraId="78918D9D" w14:textId="77777777" w:rsidTr="004F235C">
        <w:trPr>
          <w:trHeight w:val="640"/>
        </w:trPr>
        <w:tc>
          <w:tcPr>
            <w:tcW w:w="3374" w:type="dxa"/>
            <w:hideMark/>
          </w:tcPr>
          <w:p w14:paraId="39AB3132"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Производные</w:t>
            </w:r>
          </w:p>
          <w:p w14:paraId="778B1F75"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сульфонилмочевины</w:t>
            </w:r>
          </w:p>
          <w:p w14:paraId="2F42B29B" w14:textId="77777777" w:rsidR="00167D80" w:rsidRPr="00B15C28" w:rsidRDefault="00167D80" w:rsidP="00035195">
            <w:pPr>
              <w:tabs>
                <w:tab w:val="left" w:pos="1855"/>
              </w:tabs>
              <w:autoSpaceDE w:val="0"/>
              <w:autoSpaceDN w:val="0"/>
              <w:adjustRightInd w:val="0"/>
              <w:spacing w:after="0" w:line="240" w:lineRule="auto"/>
              <w:rPr>
                <w:lang w:eastAsia="en-US"/>
              </w:rPr>
            </w:pPr>
            <w:r w:rsidRPr="00B15C28">
              <w:rPr>
                <w:lang w:eastAsia="en-US"/>
              </w:rPr>
              <w:t>(ПСМ)</w:t>
            </w:r>
          </w:p>
        </w:tc>
        <w:tc>
          <w:tcPr>
            <w:tcW w:w="5982" w:type="dxa"/>
            <w:hideMark/>
          </w:tcPr>
          <w:p w14:paraId="2CCABBC0"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Стимуляция секреции инсулина</w:t>
            </w:r>
          </w:p>
        </w:tc>
      </w:tr>
      <w:tr w:rsidR="00167D80" w:rsidRPr="00B15C28" w14:paraId="5802C9C9" w14:textId="77777777" w:rsidTr="004F235C">
        <w:tc>
          <w:tcPr>
            <w:tcW w:w="3374" w:type="dxa"/>
            <w:hideMark/>
          </w:tcPr>
          <w:p w14:paraId="02F2AA36"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Прочие гипогликемические препараты (репаглинид)</w:t>
            </w:r>
          </w:p>
        </w:tc>
        <w:tc>
          <w:tcPr>
            <w:tcW w:w="5982" w:type="dxa"/>
            <w:hideMark/>
          </w:tcPr>
          <w:p w14:paraId="32789BEE" w14:textId="77777777" w:rsidR="00167D80" w:rsidRPr="00B15C28" w:rsidRDefault="00167D80" w:rsidP="00035195">
            <w:pPr>
              <w:spacing w:after="0" w:line="240" w:lineRule="auto"/>
              <w:rPr>
                <w:rStyle w:val="tlid-translation"/>
              </w:rPr>
            </w:pPr>
            <w:r w:rsidRPr="00B15C28">
              <w:rPr>
                <w:lang w:eastAsia="en-US"/>
              </w:rPr>
              <w:t>Стимуляция секреции инсулина</w:t>
            </w:r>
          </w:p>
        </w:tc>
      </w:tr>
      <w:tr w:rsidR="00167D80" w:rsidRPr="00B15C28" w14:paraId="108301E6" w14:textId="77777777" w:rsidTr="004F235C">
        <w:tc>
          <w:tcPr>
            <w:tcW w:w="3374" w:type="dxa"/>
            <w:hideMark/>
          </w:tcPr>
          <w:p w14:paraId="7E040A12"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Бигуаниды (метформин) (Мет)</w:t>
            </w:r>
          </w:p>
        </w:tc>
        <w:tc>
          <w:tcPr>
            <w:tcW w:w="5982" w:type="dxa"/>
            <w:hideMark/>
          </w:tcPr>
          <w:p w14:paraId="7C033D83"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Снижение продукции глюкозы печенью</w:t>
            </w:r>
          </w:p>
          <w:p w14:paraId="235BB6DD"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Снижение инсулинорезистентности мышечной и жировой ткани</w:t>
            </w:r>
          </w:p>
        </w:tc>
      </w:tr>
      <w:tr w:rsidR="00167D80" w:rsidRPr="00B15C28" w14:paraId="2F9D1932" w14:textId="77777777" w:rsidTr="004F235C">
        <w:tc>
          <w:tcPr>
            <w:tcW w:w="3374" w:type="dxa"/>
            <w:hideMark/>
          </w:tcPr>
          <w:p w14:paraId="0CEC7E38"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Тиазолидиндионы (ТЗД)</w:t>
            </w:r>
          </w:p>
        </w:tc>
        <w:tc>
          <w:tcPr>
            <w:tcW w:w="5982" w:type="dxa"/>
            <w:hideMark/>
          </w:tcPr>
          <w:p w14:paraId="67B2DD85"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Снижение инсулинорезистентности мышечной и жировой ткани</w:t>
            </w:r>
          </w:p>
          <w:p w14:paraId="53E9137A" w14:textId="77777777" w:rsidR="00167D80" w:rsidRPr="00B15C28" w:rsidRDefault="00167D80" w:rsidP="00035195">
            <w:pPr>
              <w:spacing w:after="0" w:line="240" w:lineRule="auto"/>
              <w:rPr>
                <w:rStyle w:val="tlid-translation"/>
              </w:rPr>
            </w:pPr>
            <w:r w:rsidRPr="00B15C28">
              <w:rPr>
                <w:lang w:eastAsia="en-US"/>
              </w:rPr>
              <w:t>Снижение продукции глюкозы печенью</w:t>
            </w:r>
          </w:p>
        </w:tc>
      </w:tr>
      <w:tr w:rsidR="00167D80" w:rsidRPr="00B15C28" w14:paraId="2DFC7CCB" w14:textId="77777777" w:rsidTr="004F235C">
        <w:tc>
          <w:tcPr>
            <w:tcW w:w="3374" w:type="dxa"/>
            <w:hideMark/>
          </w:tcPr>
          <w:p w14:paraId="38DC5FE4"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Альфа-глюкозидазы ингибиторы</w:t>
            </w:r>
          </w:p>
        </w:tc>
        <w:tc>
          <w:tcPr>
            <w:tcW w:w="5982" w:type="dxa"/>
            <w:hideMark/>
          </w:tcPr>
          <w:p w14:paraId="795787AA" w14:textId="77777777" w:rsidR="00167D80" w:rsidRPr="00B15C28" w:rsidRDefault="00167D80" w:rsidP="00035195">
            <w:pPr>
              <w:spacing w:after="0" w:line="240" w:lineRule="auto"/>
              <w:rPr>
                <w:rStyle w:val="tlid-translation"/>
              </w:rPr>
            </w:pPr>
            <w:r w:rsidRPr="00B15C28">
              <w:rPr>
                <w:lang w:eastAsia="en-US"/>
              </w:rPr>
              <w:t>Замедление всасывания углеводов в кишечнике</w:t>
            </w:r>
          </w:p>
        </w:tc>
      </w:tr>
      <w:tr w:rsidR="00167D80" w:rsidRPr="00B15C28" w14:paraId="2AC52C42" w14:textId="77777777" w:rsidTr="004F235C">
        <w:tc>
          <w:tcPr>
            <w:tcW w:w="3374" w:type="dxa"/>
            <w:hideMark/>
          </w:tcPr>
          <w:p w14:paraId="4A4C5149" w14:textId="77777777" w:rsidR="00167D80" w:rsidRPr="00B15C28" w:rsidRDefault="00167D80" w:rsidP="00035195">
            <w:pPr>
              <w:autoSpaceDE w:val="0"/>
              <w:autoSpaceDN w:val="0"/>
              <w:adjustRightInd w:val="0"/>
              <w:spacing w:after="0" w:line="240" w:lineRule="auto"/>
              <w:rPr>
                <w:lang w:eastAsia="en-US"/>
              </w:rPr>
            </w:pPr>
            <w:r w:rsidRPr="00B15C28">
              <w:rPr>
                <w:lang w:eastAsia="en-US"/>
              </w:rPr>
              <w:lastRenderedPageBreak/>
              <w:t>Прочие гипогликемические</w:t>
            </w:r>
          </w:p>
          <w:p w14:paraId="6CD739AE" w14:textId="77777777" w:rsidR="00167D80" w:rsidRPr="00B15C28" w:rsidRDefault="00167D80" w:rsidP="00035195">
            <w:pPr>
              <w:autoSpaceDE w:val="0"/>
              <w:autoSpaceDN w:val="0"/>
              <w:adjustRightInd w:val="0"/>
              <w:spacing w:after="0" w:line="240" w:lineRule="auto"/>
              <w:rPr>
                <w:rStyle w:val="tlid-translation"/>
              </w:rPr>
            </w:pPr>
            <w:r w:rsidRPr="00B15C28">
              <w:rPr>
                <w:lang w:eastAsia="en-US"/>
              </w:rPr>
              <w:t>препараты (эксенатид, лираглутид, ликсисенатид, дулаглутид, семаглутид)</w:t>
            </w:r>
          </w:p>
        </w:tc>
        <w:tc>
          <w:tcPr>
            <w:tcW w:w="5982" w:type="dxa"/>
            <w:hideMark/>
          </w:tcPr>
          <w:p w14:paraId="17CCB216"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Глюкозозависимая стимуляция секреции инсулина</w:t>
            </w:r>
          </w:p>
          <w:p w14:paraId="22D8C2CC"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Глюкозозависимое снижение секреции глюкагона и уменьшение продукции глюкозы печенью</w:t>
            </w:r>
          </w:p>
          <w:p w14:paraId="70B5C68D"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Замедление опорожнения желудка</w:t>
            </w:r>
          </w:p>
          <w:p w14:paraId="088F0324"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Уменьшение потребления пищи</w:t>
            </w:r>
          </w:p>
          <w:p w14:paraId="71782F8D" w14:textId="77777777" w:rsidR="00167D80" w:rsidRPr="00B15C28" w:rsidRDefault="00167D80" w:rsidP="00035195">
            <w:pPr>
              <w:spacing w:after="0" w:line="240" w:lineRule="auto"/>
              <w:rPr>
                <w:rStyle w:val="tlid-translation"/>
              </w:rPr>
            </w:pPr>
            <w:r w:rsidRPr="00B15C28">
              <w:rPr>
                <w:lang w:eastAsia="en-US"/>
              </w:rPr>
              <w:t>Снижение массы тела</w:t>
            </w:r>
          </w:p>
        </w:tc>
      </w:tr>
      <w:tr w:rsidR="00167D80" w:rsidRPr="00B15C28" w14:paraId="6B1C61AC" w14:textId="77777777" w:rsidTr="004F235C">
        <w:tc>
          <w:tcPr>
            <w:tcW w:w="3374" w:type="dxa"/>
            <w:hideMark/>
          </w:tcPr>
          <w:p w14:paraId="693FB984"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Ингибиторы дипептидилпептидазы-4 (ситаглиптин, вилдаглиптин, саксаглиптин, алоглиптин, линаглиптин, гемиглиптин, гозоглиптин, эвоглиптин)</w:t>
            </w:r>
          </w:p>
        </w:tc>
        <w:tc>
          <w:tcPr>
            <w:tcW w:w="5982" w:type="dxa"/>
            <w:hideMark/>
          </w:tcPr>
          <w:p w14:paraId="4CBCD91D"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Глюкозозависимая стимуляция секреции</w:t>
            </w:r>
          </w:p>
          <w:p w14:paraId="03E2176A"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инсулина</w:t>
            </w:r>
          </w:p>
          <w:p w14:paraId="13A8E3E0"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Глюкозозависимое подавление секреции</w:t>
            </w:r>
          </w:p>
          <w:p w14:paraId="513ABBDA"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глюкагона</w:t>
            </w:r>
          </w:p>
          <w:p w14:paraId="55456BDE"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Снижение продукции глюкозы печенью</w:t>
            </w:r>
          </w:p>
          <w:p w14:paraId="6347FD09"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Не вызывают замедления опорожнения желудка</w:t>
            </w:r>
          </w:p>
          <w:p w14:paraId="5BC336DB"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Нейтральное действие на массу тела</w:t>
            </w:r>
          </w:p>
        </w:tc>
      </w:tr>
      <w:tr w:rsidR="00167D80" w:rsidRPr="00B15C28" w14:paraId="3DCC1E9A" w14:textId="77777777" w:rsidTr="004F235C">
        <w:tc>
          <w:tcPr>
            <w:tcW w:w="3374" w:type="dxa"/>
            <w:hideMark/>
          </w:tcPr>
          <w:p w14:paraId="3ADBF5D3"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Прочие гипогликемические препараты (дапаглифлозин, канаглифлозин, эмпаглифлозин, ипраглифлозин, эртуглифлозин)</w:t>
            </w:r>
          </w:p>
        </w:tc>
        <w:tc>
          <w:tcPr>
            <w:tcW w:w="5982" w:type="dxa"/>
            <w:hideMark/>
          </w:tcPr>
          <w:p w14:paraId="237280B0"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Снижение реабсорбции глюкозы в почках</w:t>
            </w:r>
          </w:p>
          <w:p w14:paraId="7ABF9C07"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Снижение массы тела</w:t>
            </w:r>
          </w:p>
          <w:p w14:paraId="23D1AC4F" w14:textId="77777777" w:rsidR="00167D80" w:rsidRPr="00B15C28" w:rsidRDefault="00167D80" w:rsidP="00035195">
            <w:pPr>
              <w:autoSpaceDE w:val="0"/>
              <w:autoSpaceDN w:val="0"/>
              <w:adjustRightInd w:val="0"/>
              <w:spacing w:after="0" w:line="240" w:lineRule="auto"/>
              <w:rPr>
                <w:lang w:eastAsia="en-US"/>
              </w:rPr>
            </w:pPr>
            <w:r w:rsidRPr="00B15C28">
              <w:rPr>
                <w:lang w:eastAsia="en-US"/>
              </w:rPr>
              <w:t>Инсулиннезависимый механизм действия</w:t>
            </w:r>
          </w:p>
        </w:tc>
      </w:tr>
    </w:tbl>
    <w:p w14:paraId="5B692786" w14:textId="488D77D1" w:rsidR="00167D80" w:rsidRDefault="00167D80" w:rsidP="00A61E5F">
      <w:pPr>
        <w:autoSpaceDE w:val="0"/>
        <w:autoSpaceDN w:val="0"/>
        <w:adjustRightInd w:val="0"/>
        <w:spacing w:after="0" w:line="240" w:lineRule="auto"/>
      </w:pPr>
    </w:p>
    <w:p w14:paraId="2352C124" w14:textId="5FD076C4" w:rsidR="00C035FA" w:rsidRDefault="008D5756">
      <w:pPr>
        <w:autoSpaceDE w:val="0"/>
        <w:autoSpaceDN w:val="0"/>
        <w:adjustRightInd w:val="0"/>
        <w:spacing w:after="0" w:line="240" w:lineRule="auto"/>
        <w:ind w:firstLine="709"/>
      </w:pPr>
      <w:r>
        <w:t>Среди приведенных в Таблице 1-</w:t>
      </w:r>
      <w:r w:rsidR="003B1FBF">
        <w:t>1</w:t>
      </w:r>
      <w:r>
        <w:t xml:space="preserve"> групп сахаропонижающих препаратов отдельно следует выделить группу ингибиторов дипептидилпептидазы-4 (ДПП-4), так называемых ингибиторы натрий-глюкозного котранспортера 2-го типа (иНГЛТ-2).</w:t>
      </w:r>
    </w:p>
    <w:p w14:paraId="38C84C1C" w14:textId="1B5702FA" w:rsidR="00C035FA" w:rsidRDefault="008D5756">
      <w:pPr>
        <w:pStyle w:val="text"/>
        <w:shd w:val="clear" w:color="auto" w:fill="FFFFFF"/>
        <w:spacing w:before="0" w:beforeAutospacing="0" w:after="0" w:afterAutospacing="0"/>
        <w:ind w:firstLine="709"/>
        <w:jc w:val="both"/>
      </w:pPr>
      <w:r>
        <w:t>Новый подход к терапии СД2 основан на развитии лекарственно-индуцированной глюкозурии и снижении почечного порога глюкозы, а препараты с подобным механизмом действия относятся к инновационному классу сахароснижающих средств: ингибиторы натрий-глюкозного котранспортера 2-го типа (иНГЛТ-2) [11]. Важно, что действие иНГЛТ-2 является глюкозозависимым и становится минимальным при снижении уровня глюкозы плазмы ниже 5 ммоль/л (90 мг/дл), поэтому их применение связано с гораздо меньшим риском гипогликемии по сравнению с сахароснижающими препаратами, действие которых зависит от секреции инсулина или степени инсулинорезистентности [12].</w:t>
      </w:r>
    </w:p>
    <w:p w14:paraId="771CAA55" w14:textId="77777777" w:rsidR="00C035FA" w:rsidRDefault="008D5756">
      <w:pPr>
        <w:pStyle w:val="text"/>
        <w:shd w:val="clear" w:color="auto" w:fill="FFFFFF"/>
        <w:spacing w:before="0" w:beforeAutospacing="0" w:after="0" w:afterAutospacing="0"/>
        <w:ind w:firstLine="709"/>
        <w:jc w:val="both"/>
        <w:rPr>
          <w:color w:val="000000"/>
        </w:rPr>
      </w:pPr>
      <w:r>
        <w:rPr>
          <w:color w:val="000000"/>
        </w:rPr>
        <w:t xml:space="preserve">Ингибиторы </w:t>
      </w:r>
      <w:r>
        <w:t>НГЛТ-2</w:t>
      </w:r>
      <w:r>
        <w:rPr>
          <w:color w:val="000000"/>
        </w:rPr>
        <w:t xml:space="preserve">, представляют новый класс противодиабетических препаратов, отличающихся влиянием на механизм регуляции гипергликемии, не зависящий от инсулина и гликемического статуса пациентов. Особенностью данного класса препаратов является их влияние на снижение массы тела и, что важно, минимальный риск гипогликемий </w:t>
      </w:r>
      <w:r>
        <w:rPr>
          <w:color w:val="000000"/>
          <w:shd w:val="clear" w:color="auto" w:fill="FFFFFF"/>
        </w:rPr>
        <w:t>[10]</w:t>
      </w:r>
      <w:r>
        <w:rPr>
          <w:color w:val="000000"/>
        </w:rPr>
        <w:t>.</w:t>
      </w:r>
    </w:p>
    <w:p w14:paraId="21BF68C1" w14:textId="211F3757" w:rsidR="00C035FA" w:rsidRDefault="008D5756">
      <w:pPr>
        <w:pStyle w:val="text"/>
        <w:shd w:val="clear" w:color="auto" w:fill="FFFFFF"/>
        <w:spacing w:before="0" w:beforeAutospacing="0" w:after="0" w:afterAutospacing="0"/>
        <w:ind w:firstLine="709"/>
        <w:jc w:val="both"/>
        <w:rPr>
          <w:color w:val="000000"/>
        </w:rPr>
      </w:pPr>
      <w:r>
        <w:rPr>
          <w:color w:val="000000"/>
          <w:shd w:val="clear" w:color="auto" w:fill="FFFFFF"/>
        </w:rPr>
        <w:t xml:space="preserve">Ингибиторы </w:t>
      </w:r>
      <w:r>
        <w:t xml:space="preserve">НГЛТ-2 </w:t>
      </w:r>
      <w:r>
        <w:rPr>
          <w:color w:val="000000"/>
          <w:shd w:val="clear" w:color="auto" w:fill="FFFFFF"/>
        </w:rPr>
        <w:t>вследствие уникального механизма действия, не зависящего от выраженности резистентности к инсулину и недостаточности бета-клеток, одинаково эффективны как у пациентов с СД2 с длительностью заболевания менее одного года, так и у пациентов с СД2 длительного течения (более десяти лет). Все ингибиторы обладают высокой селективностью к SGLT2 по отношению к SGLT1 [10].</w:t>
      </w:r>
    </w:p>
    <w:p w14:paraId="472280EA" w14:textId="7419F42E" w:rsidR="00C035FA" w:rsidRDefault="008D5756">
      <w:pPr>
        <w:spacing w:after="0" w:line="240" w:lineRule="auto"/>
        <w:ind w:firstLine="709"/>
      </w:pPr>
      <w:r>
        <w:t xml:space="preserve">Результаты клинических исследований продемонстрировали, что глюкозурия, вызываемая иНГЛТ-2, также опосредованно способствует улучшению секреции инсулина </w:t>
      </w:r>
      <w:r>
        <w:rPr>
          <w:rFonts w:eastAsia="Arial"/>
        </w:rPr>
        <w:t>β</w:t>
      </w:r>
      <w:r>
        <w:t xml:space="preserve">-клетками и чувствительности периферических тканей к инсулину вследствие устранения фактора глюкозотоксичности и снижения массы жировой ткани [13-15]. Помимо этого, </w:t>
      </w:r>
      <w:r>
        <w:lastRenderedPageBreak/>
        <w:t>важными клиническими преимуществами иНГЛТ-2 является натрийуретический эффект и умеренное снижение систолического и диастолического артериального дав</w:t>
      </w:r>
      <w:r>
        <w:softHyphen/>
        <w:t>ления, что может оказать положительное влияние на развитие и прогрессирование различных сердечно</w:t>
      </w:r>
      <w:r>
        <w:softHyphen/>
        <w:t>сосудистых заболеваний [15, 16].</w:t>
      </w:r>
    </w:p>
    <w:p w14:paraId="11B871D1" w14:textId="77777777" w:rsidR="00C035FA" w:rsidRDefault="008D5756">
      <w:pPr>
        <w:autoSpaceDE w:val="0"/>
        <w:autoSpaceDN w:val="0"/>
        <w:adjustRightInd w:val="0"/>
        <w:spacing w:after="0" w:line="240" w:lineRule="auto"/>
        <w:ind w:firstLine="709"/>
      </w:pPr>
      <w:r>
        <w:t>К данному классу препаратов относится эмпаглифлозин. Главным фармакодинамическим эффектом эмпаглифлозина является увеличение глюкозурии. Прием эмпаглифлозина вызывает увеличение экскреции глюкозы у больных СД2 и у лиц без нарушений углеводного обмена. На фоне приема препарата у больных СД наблюдается уменьшение гликемии натощак и среднего уровня глюкозы крови без изменения уровня инсулина и С-пептида натощак.</w:t>
      </w:r>
    </w:p>
    <w:p w14:paraId="6BF32C79" w14:textId="77777777" w:rsidR="00C035FA" w:rsidRDefault="008D5756">
      <w:pPr>
        <w:autoSpaceDE w:val="0"/>
        <w:autoSpaceDN w:val="0"/>
        <w:adjustRightInd w:val="0"/>
        <w:spacing w:after="0" w:line="240" w:lineRule="auto"/>
        <w:ind w:firstLine="709"/>
      </w:pPr>
      <w:r>
        <w:t>Увеличение реабсорбции глюкозы почкой – одно из важных звеньев патогенеза СД. Основным фактором реабсорбции глюкозы в почечных канальцах является SGLT2, наиболее селективным ингибитором которого является эмпаглифлозин. Применение эмпаглифлозина у больных СД2 позволяет не только улучшить контроль гликемии и снизить частоту сердечно-сосудистых осложнений, но и замедлить темпы развития диабетического поражения почек (снизить скорость нарастания альбуминурии и падения СКФ, уменьшить вероятность развития терминальной почечной недостаточности и смерти от поражения почек) [10].</w:t>
      </w:r>
    </w:p>
    <w:p w14:paraId="6AFE1E15" w14:textId="3E430145" w:rsidR="00C035FA" w:rsidRDefault="008D5756">
      <w:pPr>
        <w:autoSpaceDE w:val="0"/>
        <w:autoSpaceDN w:val="0"/>
        <w:adjustRightInd w:val="0"/>
        <w:spacing w:after="0" w:line="240" w:lineRule="auto"/>
        <w:ind w:firstLine="709"/>
      </w:pPr>
      <w:r>
        <w:t>Препарат эмпаглифлозин был одобрен американским регулятором (</w:t>
      </w:r>
      <w:r>
        <w:rPr>
          <w:lang w:val="en-US"/>
        </w:rPr>
        <w:t>FDA</w:t>
      </w:r>
      <w:r>
        <w:t>) и Европейским агентством лекарственных средств в 2014 году, а также зарегистрирован в РФ: под торговым наименованием Джардинс</w:t>
      </w:r>
      <w:r>
        <w:rPr>
          <w:vertAlign w:val="superscript"/>
        </w:rPr>
        <w:t>®</w:t>
      </w:r>
      <w:r>
        <w:t xml:space="preserve"> в 2014 г.</w:t>
      </w:r>
    </w:p>
    <w:p w14:paraId="5B80B034" w14:textId="2CDE10BF" w:rsidR="003B1FBF" w:rsidRDefault="003B1FBF" w:rsidP="00A61E5F">
      <w:pPr>
        <w:spacing w:after="0"/>
        <w:rPr>
          <w:i/>
        </w:rPr>
      </w:pPr>
    </w:p>
    <w:p w14:paraId="31D4FCD9" w14:textId="6FF17B0D" w:rsidR="00C035FA" w:rsidRDefault="008D5756" w:rsidP="00A61E5F">
      <w:pPr>
        <w:spacing w:after="0"/>
        <w:rPr>
          <w:b/>
        </w:rPr>
      </w:pPr>
      <w:r w:rsidRPr="00A61E5F">
        <w:rPr>
          <w:b/>
        </w:rPr>
        <w:t>Хронич</w:t>
      </w:r>
      <w:r w:rsidR="00A61E5F">
        <w:rPr>
          <w:b/>
        </w:rPr>
        <w:t>еская сердечная недостаточность</w:t>
      </w:r>
    </w:p>
    <w:p w14:paraId="1E0A920B" w14:textId="77777777" w:rsidR="00A61E5F" w:rsidRPr="00A61E5F" w:rsidRDefault="00A61E5F" w:rsidP="00BA7A67">
      <w:pPr>
        <w:spacing w:after="0" w:line="240" w:lineRule="auto"/>
        <w:rPr>
          <w:b/>
        </w:rPr>
      </w:pPr>
    </w:p>
    <w:p w14:paraId="52F4D5FD" w14:textId="15083070" w:rsidR="00C035FA" w:rsidRDefault="005372A0" w:rsidP="00BA7A67">
      <w:pPr>
        <w:spacing w:after="0" w:line="240" w:lineRule="auto"/>
        <w:ind w:firstLine="708"/>
      </w:pPr>
      <w:r>
        <w:t>Лечение</w:t>
      </w:r>
      <w:r w:rsidR="008D5756">
        <w:t> ХСН</w:t>
      </w:r>
      <w:r>
        <w:t xml:space="preserve"> включает в себя</w:t>
      </w:r>
      <w:r w:rsidR="008D5756">
        <w:t xml:space="preserve">: </w:t>
      </w:r>
    </w:p>
    <w:p w14:paraId="15C23DDA" w14:textId="5969C34C" w:rsidR="00C035FA" w:rsidRDefault="008D5756" w:rsidP="00BA7A67">
      <w:pPr>
        <w:spacing w:after="0" w:line="240" w:lineRule="auto"/>
        <w:ind w:firstLine="708"/>
      </w:pPr>
      <w:r w:rsidRPr="00E14858">
        <w:t>-</w:t>
      </w:r>
      <w:r>
        <w:t xml:space="preserve"> </w:t>
      </w:r>
      <w:r w:rsidR="005372A0">
        <w:t>диетотерапию</w:t>
      </w:r>
      <w:r w:rsidRPr="00E14858">
        <w:t>;</w:t>
      </w:r>
    </w:p>
    <w:p w14:paraId="57CBA019" w14:textId="21D522A5" w:rsidR="00C035FA" w:rsidRPr="00E14858" w:rsidRDefault="008D5756" w:rsidP="00BA7A67">
      <w:pPr>
        <w:spacing w:after="0" w:line="240" w:lineRule="auto"/>
        <w:ind w:firstLine="708"/>
      </w:pPr>
      <w:r w:rsidRPr="00E14858">
        <w:t>-</w:t>
      </w:r>
      <w:r>
        <w:t xml:space="preserve"> </w:t>
      </w:r>
      <w:r w:rsidR="005372A0">
        <w:t>медикоментозную терапию</w:t>
      </w:r>
      <w:r w:rsidRPr="00E14858">
        <w:t>;</w:t>
      </w:r>
    </w:p>
    <w:p w14:paraId="0ACAE748" w14:textId="3201B7D0" w:rsidR="00C035FA" w:rsidRPr="00E14858" w:rsidRDefault="008D5756" w:rsidP="00BA7A67">
      <w:pPr>
        <w:spacing w:after="0" w:line="240" w:lineRule="auto"/>
        <w:ind w:firstLine="708"/>
      </w:pPr>
      <w:r w:rsidRPr="00E14858">
        <w:t>-</w:t>
      </w:r>
      <w:r>
        <w:t xml:space="preserve"> </w:t>
      </w:r>
      <w:r w:rsidR="005372A0">
        <w:t>хирургические методы</w:t>
      </w:r>
      <w:r w:rsidR="00FD1A88" w:rsidRPr="00E14858">
        <w:t>;</w:t>
      </w:r>
    </w:p>
    <w:p w14:paraId="06F58739" w14:textId="61390870" w:rsidR="00FD1A88" w:rsidRPr="00FD1A88" w:rsidRDefault="00FD1A88" w:rsidP="00BA7A67">
      <w:pPr>
        <w:spacing w:after="0" w:line="240" w:lineRule="auto"/>
        <w:ind w:firstLine="708"/>
      </w:pPr>
      <w:r>
        <w:t>- иные методы лечения.</w:t>
      </w:r>
    </w:p>
    <w:p w14:paraId="0D66886A" w14:textId="501E50B1" w:rsidR="00C035FA" w:rsidRDefault="008D5756" w:rsidP="00607857">
      <w:pPr>
        <w:spacing w:after="0" w:line="240" w:lineRule="auto"/>
        <w:ind w:firstLine="708"/>
      </w:pPr>
      <w:r>
        <w:t xml:space="preserve">Снижение смертности </w:t>
      </w:r>
      <w:r w:rsidR="00692073">
        <w:t>и числа</w:t>
      </w:r>
      <w:r>
        <w:t xml:space="preserve"> госпитализаций является главным критерием эффективности терапевтических мероприятий. Как правило, это сопровождается реверсией ремоделирования </w:t>
      </w:r>
      <w:r w:rsidR="005372A0">
        <w:t>левого желудочка</w:t>
      </w:r>
      <w:r>
        <w:t xml:space="preserve"> и снижением концентраций натрийуретических пептидов. Для любого пациента так же чрезвычайно важно, чтобы проводимое лечение позволяло ему добиться устранения симптомов болезни, улучшало качество жизни </w:t>
      </w:r>
      <w:r w:rsidR="00692073">
        <w:t>и повышало</w:t>
      </w:r>
      <w:r>
        <w:t xml:space="preserve"> его функциональные возможности</w:t>
      </w:r>
      <w:r w:rsidR="001E7F44">
        <w:t xml:space="preserve"> </w:t>
      </w:r>
      <w:r w:rsidR="001E7F44" w:rsidRPr="008F05B5">
        <w:t>[16].</w:t>
      </w:r>
    </w:p>
    <w:p w14:paraId="4D027A2E" w14:textId="18AD458C" w:rsidR="00692073" w:rsidRPr="00607857" w:rsidRDefault="00692073" w:rsidP="00607857">
      <w:pPr>
        <w:spacing w:after="0" w:line="240" w:lineRule="auto"/>
        <w:rPr>
          <w:b/>
          <w:i/>
        </w:rPr>
      </w:pPr>
      <w:r w:rsidRPr="00692073">
        <w:rPr>
          <w:b/>
          <w:i/>
        </w:rPr>
        <w:t>Медикаментозная терапия ХСН</w:t>
      </w:r>
    </w:p>
    <w:p w14:paraId="54769772" w14:textId="5F369BC3" w:rsidR="00C035FA" w:rsidRPr="00E14858" w:rsidRDefault="008D5756" w:rsidP="00BA7A67">
      <w:pPr>
        <w:spacing w:after="0" w:line="240" w:lineRule="auto"/>
        <w:ind w:firstLine="708"/>
      </w:pPr>
      <w:r w:rsidRPr="00E14858">
        <w:t>Для медикаментозной терапии ХСН применяются следующие группы препаратов:</w:t>
      </w:r>
    </w:p>
    <w:p w14:paraId="705816A4" w14:textId="71BA5487" w:rsidR="00C035FA" w:rsidRPr="00E14858" w:rsidRDefault="005372A0" w:rsidP="00393BA2">
      <w:pPr>
        <w:spacing w:after="0" w:line="240" w:lineRule="auto"/>
        <w:ind w:firstLine="708"/>
      </w:pPr>
      <w:r>
        <w:t xml:space="preserve">1. </w:t>
      </w:r>
      <w:r w:rsidR="008D5756">
        <w:t>Ингибиторы АПФ</w:t>
      </w:r>
      <w:r w:rsidR="008D5756" w:rsidRPr="00E14858">
        <w:t xml:space="preserve"> (</w:t>
      </w:r>
      <w:r w:rsidR="008D5756">
        <w:t xml:space="preserve">иАФП) рекомендуются всем пациентам </w:t>
      </w:r>
      <w:r w:rsidR="00692073">
        <w:t>с симптоматической</w:t>
      </w:r>
      <w:r w:rsidR="00393BA2">
        <w:t xml:space="preserve"> СН и сниженной ФВ</w:t>
      </w:r>
      <w:r w:rsidR="008D5756">
        <w:t xml:space="preserve">ЛЖ при отсутствии противопоказаний для снижения риска госпитализации из-за СН и смерти, пациентам </w:t>
      </w:r>
      <w:r w:rsidR="00692073">
        <w:t>с бессимптомной</w:t>
      </w:r>
      <w:r w:rsidR="008D5756">
        <w:t xml:space="preserve"> </w:t>
      </w:r>
      <w:r w:rsidR="00393BA2">
        <w:t>систолической дисфункцией ЛЖ и </w:t>
      </w:r>
      <w:r w:rsidR="008D5756">
        <w:t xml:space="preserve">ИМ </w:t>
      </w:r>
      <w:r w:rsidR="00393BA2">
        <w:t>в анамнезе</w:t>
      </w:r>
      <w:r w:rsidR="008D5756">
        <w:t xml:space="preserve"> для профилактики развития симптомов, пациентам </w:t>
      </w:r>
      <w:r w:rsidR="00393BA2">
        <w:t>с бессимптомной</w:t>
      </w:r>
      <w:r w:rsidR="008D5756">
        <w:t xml:space="preserve"> систолической дисфункцией ЛЖ без перенесенного ИМ в анамнезе для профилактики развития симптомов</w:t>
      </w:r>
      <w:r w:rsidR="009D404A">
        <w:t>.</w:t>
      </w:r>
      <w:r w:rsidR="00393BA2">
        <w:t xml:space="preserve"> </w:t>
      </w:r>
      <w:r w:rsidR="008D5756">
        <w:t>Для лечения ХСН применяются следующие иАПФ: каптоприл, хинаприл, лизиноприл, периндоприл, рамиприл, спираприл, фозиноприл, эналаприл и другие.</w:t>
      </w:r>
    </w:p>
    <w:p w14:paraId="7E698C62" w14:textId="3014CD80" w:rsidR="00C035FA" w:rsidRPr="00E14858" w:rsidRDefault="005372A0" w:rsidP="00393BA2">
      <w:pPr>
        <w:spacing w:after="0" w:line="240" w:lineRule="auto"/>
        <w:ind w:firstLine="708"/>
      </w:pPr>
      <w:r>
        <w:t xml:space="preserve">2. </w:t>
      </w:r>
      <w:r w:rsidR="008D5756" w:rsidRPr="00E14858">
        <w:t xml:space="preserve">Бета-адреноблокаторы (β-АБ) дополнительно к иАПФ рекомендуются всем пациентам со стабильной симптоматической сердечной недостаточностью и сниженной </w:t>
      </w:r>
      <w:r w:rsidR="008D5756" w:rsidRPr="00E14858">
        <w:lastRenderedPageBreak/>
        <w:t>фракцией выброса ЛЖ для снижения риска госпитализации из-за СН и смерти. β-АБ рекомендуются пациентам после перенесенного ИМ и с наличием систолической дисфункции ЛЖ для снижения риска смерти и профилактики развития симптомов СН. У пациентов с декомпенсацией ХСН, если β-АБ уже были назначены до возникновения симптомов декомпенсации, рекомендуются продолжение терапии, при необходимости - в уменьшенной дозе для улучшения прогноза.</w:t>
      </w:r>
    </w:p>
    <w:p w14:paraId="323B80B7" w14:textId="1D6CE65B" w:rsidR="00C035FA" w:rsidRDefault="005372A0" w:rsidP="00BA7A67">
      <w:pPr>
        <w:spacing w:after="0" w:line="240" w:lineRule="auto"/>
        <w:ind w:firstLine="708"/>
      </w:pPr>
      <w:r>
        <w:t xml:space="preserve">3. </w:t>
      </w:r>
      <w:r w:rsidR="008D5756">
        <w:t xml:space="preserve">Антагонисты альдостерона </w:t>
      </w:r>
      <w:r w:rsidR="008D5756" w:rsidRPr="00E14858">
        <w:t>должны назначаться как во время стационарного лечения, так амбулаторно, если не были назначены ранее:</w:t>
      </w:r>
      <w:r w:rsidR="008D5756">
        <w:t xml:space="preserve"> Спиронолактон, Эплеренон.</w:t>
      </w:r>
    </w:p>
    <w:p w14:paraId="2FC5C2B9" w14:textId="45B87AC8" w:rsidR="00C035FA" w:rsidRDefault="005372A0" w:rsidP="00BA7A67">
      <w:pPr>
        <w:spacing w:after="0" w:line="240" w:lineRule="auto"/>
        <w:ind w:firstLine="708"/>
      </w:pPr>
      <w:r>
        <w:t xml:space="preserve">4. </w:t>
      </w:r>
      <w:r w:rsidR="008D5756">
        <w:t xml:space="preserve">Диуретики. В отличие от остальных средств терапии эффект диуретиков на заболеваемость и смертность пациентов с ХСН в длительных исследованиях не изучался. Тем не менее, применение мочегонных препаратов устраняет симптомы, связанные с задержкой жидкости (периферические отеки, одышку, застой </w:t>
      </w:r>
      <w:r w:rsidR="00692073">
        <w:t>в легких</w:t>
      </w:r>
      <w:r w:rsidR="008D5756">
        <w:t>), что обосновывает их использование у п</w:t>
      </w:r>
      <w:r w:rsidR="00393BA2">
        <w:t>ациентов с ХСН независимо от ФВ</w:t>
      </w:r>
      <w:r w:rsidR="008D5756">
        <w:t>ЛЖ. Диуретики рекомендуются для улучшения симптомов СН и повышения физической активности у пациентов с признаками задержки жидкости</w:t>
      </w:r>
      <w:r w:rsidR="00867602">
        <w:t>.</w:t>
      </w:r>
    </w:p>
    <w:p w14:paraId="50CC0FAB" w14:textId="0A737107" w:rsidR="00C035FA" w:rsidRDefault="005372A0" w:rsidP="00BA7A67">
      <w:pPr>
        <w:spacing w:after="0" w:line="240" w:lineRule="auto"/>
        <w:ind w:firstLine="708"/>
      </w:pPr>
      <w:r>
        <w:t xml:space="preserve">5. </w:t>
      </w:r>
      <w:r w:rsidR="008D5756" w:rsidRPr="00393BA2">
        <w:t>Прочие гипогликемические препараты (ингибиторы натрий-глюкозного котранспортера 2 типа).</w:t>
      </w:r>
      <w:r w:rsidR="008D5756">
        <w:t xml:space="preserve"> Пациентам </w:t>
      </w:r>
      <w:r w:rsidR="00692073">
        <w:t>с ХСНнФВ</w:t>
      </w:r>
      <w:r w:rsidR="008D5756">
        <w:t xml:space="preserve"> </w:t>
      </w:r>
      <w:r w:rsidR="00393BA2">
        <w:t>с сохраняющимися</w:t>
      </w:r>
      <w:r w:rsidR="008D5756">
        <w:t xml:space="preserve"> симптомами СН несмотря на терапию иАПФ/АРА/валсартан+сакубитрил, β-АБ </w:t>
      </w:r>
      <w:r w:rsidR="00F12711">
        <w:t>и антагонистами</w:t>
      </w:r>
      <w:r w:rsidR="008D5756">
        <w:t xml:space="preserve"> альдостерона рекомендован препарат дапаглифлозин для снижения риска сердечнососудистой смерти </w:t>
      </w:r>
      <w:r w:rsidR="00F12711">
        <w:t>и госпитализаций</w:t>
      </w:r>
      <w:r w:rsidR="008D5756">
        <w:t xml:space="preserve"> по поводу СН.</w:t>
      </w:r>
    </w:p>
    <w:p w14:paraId="3F81F281" w14:textId="078B0D23" w:rsidR="00C035FA" w:rsidRDefault="005372A0" w:rsidP="00BA7A67">
      <w:pPr>
        <w:spacing w:after="0" w:line="240" w:lineRule="auto"/>
        <w:ind w:firstLine="708"/>
      </w:pPr>
      <w:r>
        <w:t xml:space="preserve">6. </w:t>
      </w:r>
      <w:r w:rsidR="008D5756">
        <w:t xml:space="preserve">Применение </w:t>
      </w:r>
      <w:r w:rsidR="00F12711">
        <w:t>антагонистов рецепторов ангиотензина II (</w:t>
      </w:r>
      <w:r w:rsidR="008D5756">
        <w:t>АРА</w:t>
      </w:r>
      <w:r w:rsidR="00F12711">
        <w:t>)</w:t>
      </w:r>
      <w:r w:rsidR="008D5756">
        <w:t xml:space="preserve"> рекомендуется пациентам </w:t>
      </w:r>
      <w:r w:rsidR="00393BA2">
        <w:t>с ХСН</w:t>
      </w:r>
      <w:r w:rsidR="00F12711">
        <w:t xml:space="preserve"> со сниженной ФВ</w:t>
      </w:r>
      <w:r w:rsidR="008D5756">
        <w:t xml:space="preserve">ЛЖ ≤40% только </w:t>
      </w:r>
      <w:r w:rsidR="001A29C0">
        <w:t>в случае</w:t>
      </w:r>
      <w:r w:rsidR="008D5756">
        <w:t xml:space="preserve"> непереносимости иАПФ (CHARM-Alternative, VALHeFT) для уменьшения количества госпитализаций и смертности. Присоединение АРА не рекомендуются у пациентов, имеющих симптомы СН (II-IV ФК), получающих терапию иАПФ и β-</w:t>
      </w:r>
      <w:r w:rsidR="00393BA2">
        <w:t>АБ.</w:t>
      </w:r>
      <w:r w:rsidR="008D5756">
        <w:t xml:space="preserve"> АРА рекомендуются пациентам </w:t>
      </w:r>
      <w:r w:rsidR="00393BA2">
        <w:t>с симптомами</w:t>
      </w:r>
      <w:r w:rsidR="008D5756">
        <w:t xml:space="preserve"> СН, неспособных переносить иАПФ (пациенты также должны принимать β-АБ и антагонисты альдостерона) для снижения риска госпитализаций из-за СН и смерти по сердечно-сосудистой причине.</w:t>
      </w:r>
    </w:p>
    <w:p w14:paraId="77412177" w14:textId="64D20C5C" w:rsidR="00C035FA" w:rsidRDefault="005372A0" w:rsidP="00BA7A67">
      <w:pPr>
        <w:spacing w:after="0" w:line="240" w:lineRule="auto"/>
        <w:ind w:firstLine="708"/>
      </w:pPr>
      <w:r>
        <w:t xml:space="preserve">7. </w:t>
      </w:r>
      <w:r w:rsidR="008D5756">
        <w:t>Ингибиторы If -</w:t>
      </w:r>
      <w:r w:rsidR="009D404A">
        <w:t xml:space="preserve"> </w:t>
      </w:r>
      <w:r w:rsidR="008D5756">
        <w:t>каналов. Применение ивабрадина рекомендуется пациентам только с синусовым ритмом, ФВ ≤</w:t>
      </w:r>
      <w:r w:rsidR="009D404A">
        <w:t xml:space="preserve"> </w:t>
      </w:r>
      <w:r w:rsidR="008D5756">
        <w:t xml:space="preserve">35%, симптомами ХСН II-IV ФК </w:t>
      </w:r>
      <w:r w:rsidR="001A29C0">
        <w:t>и уровнем</w:t>
      </w:r>
      <w:r w:rsidR="008D5756">
        <w:t xml:space="preserve"> ЧСС ≥70 уд./мин, обязательно находящихся на подобранной терапии рекомендованными (или максимально переносимыми) дозами β-АБ, иАПФ/АРА/валсартан+сакубитрил и  антагонисты альдостерона для снижения госпитализаций и  смертности по причине СН.</w:t>
      </w:r>
    </w:p>
    <w:p w14:paraId="5FA83B7C" w14:textId="5EB912C2" w:rsidR="00C035FA" w:rsidRDefault="005372A0" w:rsidP="00607857">
      <w:pPr>
        <w:spacing w:after="0" w:line="240" w:lineRule="auto"/>
        <w:ind w:firstLine="708"/>
      </w:pPr>
      <w:r>
        <w:t xml:space="preserve">8. </w:t>
      </w:r>
      <w:r w:rsidR="008D5756">
        <w:t xml:space="preserve">Применение сердечных гликозидов </w:t>
      </w:r>
      <w:r w:rsidR="001A29C0">
        <w:t>у пациентов</w:t>
      </w:r>
      <w:r w:rsidR="008D5756">
        <w:t xml:space="preserve"> </w:t>
      </w:r>
      <w:r w:rsidR="001A29C0">
        <w:t>с ХСН</w:t>
      </w:r>
      <w:r w:rsidR="008D5756">
        <w:t xml:space="preserve"> ограничено. Из существующих препаратов рекомендован дигоксин, эффективность </w:t>
      </w:r>
      <w:r w:rsidR="00607857">
        <w:t>и безопасность</w:t>
      </w:r>
      <w:r w:rsidR="008D5756">
        <w:t xml:space="preserve"> других сердечных гликозидов при ХСН изучена недостаточно. Назначение дигоксина пациентам </w:t>
      </w:r>
      <w:r w:rsidR="00607857">
        <w:t>с ХСН</w:t>
      </w:r>
      <w:r w:rsidR="008D5756">
        <w:t xml:space="preserve"> не улучшает их прогноз, тем не менее, снижает количество госпитализаций из-за ХСН, улучшает симптомы ХСН </w:t>
      </w:r>
      <w:r w:rsidR="00C30034">
        <w:t>и качество</w:t>
      </w:r>
      <w:r w:rsidR="008D5756">
        <w:t xml:space="preserve"> жизни</w:t>
      </w:r>
      <w:r w:rsidR="008D5756" w:rsidRPr="00E14858">
        <w:t xml:space="preserve"> [16].</w:t>
      </w:r>
    </w:p>
    <w:p w14:paraId="56258008" w14:textId="2D71719D" w:rsidR="00FD1A88" w:rsidRDefault="008D5756" w:rsidP="00607857">
      <w:pPr>
        <w:spacing w:after="0" w:line="240" w:lineRule="auto"/>
        <w:ind w:firstLine="708"/>
      </w:pPr>
      <w:r>
        <w:t>Для лечения пациентов с ХСН и сахарным диабетом применяются те же лекарственные препараты, включая бета-адреноблокаторы. Риск развития гипогликемии и других побочных эффектов на фоне их приема резко преувеличен</w:t>
      </w:r>
      <w:r w:rsidR="00FD1A88" w:rsidRPr="00E14858">
        <w:t xml:space="preserve"> [16].</w:t>
      </w:r>
    </w:p>
    <w:p w14:paraId="3A3310A7" w14:textId="01611F6C" w:rsidR="00FD1A88" w:rsidRDefault="008D5756" w:rsidP="00607857">
      <w:pPr>
        <w:spacing w:after="0" w:line="240" w:lineRule="auto"/>
        <w:ind w:firstLine="708"/>
      </w:pPr>
      <w:r>
        <w:t xml:space="preserve">Пациентам с ХСНнФВ в сочетании с СД2, рекомендованы препараты класса ингибиторов дапаглифлозин и эмпаглифлозин, канаглифлозин (кроме тяжелых пациентов ХСН 3-4 ФК для канаглифлозина) для гликемического контроля и снижения риска госпитализаций по поводу СН в качестве препаратов первой линии </w:t>
      </w:r>
      <w:r w:rsidRPr="00E14858">
        <w:t>[18].</w:t>
      </w:r>
    </w:p>
    <w:p w14:paraId="65342A86" w14:textId="77777777" w:rsidR="00035195" w:rsidRDefault="00035195" w:rsidP="00607857">
      <w:pPr>
        <w:spacing w:after="0" w:line="240" w:lineRule="auto"/>
        <w:rPr>
          <w:b/>
          <w:i/>
        </w:rPr>
        <w:sectPr w:rsidR="00035195">
          <w:pgSz w:w="11906" w:h="16838"/>
          <w:pgMar w:top="1134" w:right="851" w:bottom="1134" w:left="1701" w:header="709" w:footer="708" w:gutter="0"/>
          <w:cols w:space="708"/>
          <w:docGrid w:linePitch="360"/>
        </w:sectPr>
      </w:pPr>
    </w:p>
    <w:p w14:paraId="65161ADC" w14:textId="2399FAB8" w:rsidR="00607857" w:rsidRPr="00607857" w:rsidRDefault="00607857" w:rsidP="00607857">
      <w:pPr>
        <w:spacing w:after="0" w:line="240" w:lineRule="auto"/>
        <w:rPr>
          <w:b/>
          <w:i/>
        </w:rPr>
      </w:pPr>
      <w:r w:rsidRPr="00607857">
        <w:rPr>
          <w:b/>
          <w:i/>
        </w:rPr>
        <w:lastRenderedPageBreak/>
        <w:t>Хирургическое лечение ХСН</w:t>
      </w:r>
    </w:p>
    <w:p w14:paraId="4E95CBFD" w14:textId="07C70013" w:rsidR="00FD1A88" w:rsidRPr="00E14858" w:rsidRDefault="00FD1A88" w:rsidP="00BA7A67">
      <w:pPr>
        <w:spacing w:after="0" w:line="240" w:lineRule="auto"/>
        <w:ind w:firstLine="708"/>
      </w:pPr>
      <w:r w:rsidRPr="00E14858">
        <w:t>Пациентам с ХСН рекомендуется проведение реваскуляризации миокарда при сохранении приступов стенокардии напряжения, несмотря на проводимую антиангинальную терапию для улучшения прогноза и клинического течения ИБС.</w:t>
      </w:r>
    </w:p>
    <w:p w14:paraId="4D35D35D" w14:textId="06755E65" w:rsidR="00FD1A88" w:rsidRDefault="00FD1A88" w:rsidP="00BA7A67">
      <w:pPr>
        <w:spacing w:after="0" w:line="240" w:lineRule="auto"/>
        <w:ind w:firstLine="708"/>
      </w:pPr>
      <w:r w:rsidRPr="00E14858">
        <w:t xml:space="preserve">Пациентам с ХСН операция коронарного шунтирования рекомендована как метод выбора </w:t>
      </w:r>
      <w:r w:rsidR="009D404A">
        <w:t>при</w:t>
      </w:r>
      <w:r w:rsidRPr="00E14858">
        <w:t xml:space="preserve"> СН и многососудистым поражением коронарного русла </w:t>
      </w:r>
      <w:r w:rsidR="00670240">
        <w:t>и</w:t>
      </w:r>
      <w:r w:rsidRPr="00E14858">
        <w:t xml:space="preserve"> допустимом хирургическом риске для улучшения прогноза и клинического течения ИБС.</w:t>
      </w:r>
    </w:p>
    <w:p w14:paraId="21E55AE7" w14:textId="07B03FB5" w:rsidR="00FD1A88" w:rsidRDefault="00FD1A88" w:rsidP="009E3C01">
      <w:pPr>
        <w:spacing w:after="0" w:line="240" w:lineRule="auto"/>
        <w:ind w:firstLine="708"/>
      </w:pPr>
      <w:r w:rsidRPr="00FD1A88">
        <w:t>Хирургическая реконструкция левого желудочка во время проведения операции коронарного шунтирования рекомендована в отдельных случаях в центрах с опытом проведения подобных операций для улучшения гемодинамических показателей и отдаленного прогноза у отдельных пациентов</w:t>
      </w:r>
      <w:r w:rsidR="00015692">
        <w:t xml:space="preserve"> </w:t>
      </w:r>
      <w:r w:rsidR="00015692" w:rsidRPr="00E14858">
        <w:t>[</w:t>
      </w:r>
      <w:r w:rsidR="00015692">
        <w:t>21</w:t>
      </w:r>
      <w:r w:rsidR="00015692" w:rsidRPr="00E14858">
        <w:t>]</w:t>
      </w:r>
      <w:r w:rsidR="00015692">
        <w:t>.</w:t>
      </w:r>
    </w:p>
    <w:p w14:paraId="1DAD9A3A" w14:textId="5E3FA714" w:rsidR="00FD1A88" w:rsidRPr="009E3C01" w:rsidRDefault="00FD1A88" w:rsidP="009E3C01">
      <w:pPr>
        <w:spacing w:after="0" w:line="240" w:lineRule="auto"/>
        <w:rPr>
          <w:b/>
          <w:i/>
        </w:rPr>
      </w:pPr>
      <w:r w:rsidRPr="009E3C01">
        <w:rPr>
          <w:b/>
          <w:i/>
        </w:rPr>
        <w:t>Иные методы лечени</w:t>
      </w:r>
      <w:r w:rsidR="009E3C01" w:rsidRPr="009E3C01">
        <w:rPr>
          <w:b/>
          <w:i/>
        </w:rPr>
        <w:t>я ХСН</w:t>
      </w:r>
    </w:p>
    <w:p w14:paraId="7FB650D6" w14:textId="672F99A6" w:rsidR="00FD1A88" w:rsidRDefault="00FD1A88" w:rsidP="00BA7A67">
      <w:pPr>
        <w:spacing w:after="0" w:line="240" w:lineRule="auto"/>
        <w:ind w:firstLine="708"/>
      </w:pPr>
      <w:r>
        <w:t>Сердечная ресинхронизирующая терапия (СРТ) – эффективный метод лечения пациентов с систолической ХСН и расширенным комплексом QRS. Эффективность СРТ доказана у пациентов с тяжелой (III-IV ФК) и умеренной (II ФК) систолической ХСН (ФВЛЖ &lt; 35%) и расширенным комплексом QRS (&gt;120-150 мс), находящихся на оптимальной медикаментозной терапии</w:t>
      </w:r>
      <w:r w:rsidR="00015692" w:rsidRPr="00E14858">
        <w:t xml:space="preserve"> [22].</w:t>
      </w:r>
    </w:p>
    <w:p w14:paraId="6EC4531B" w14:textId="2A70405A" w:rsidR="00FD1A88" w:rsidRPr="00FD1A88" w:rsidRDefault="00015692" w:rsidP="00C30034">
      <w:pPr>
        <w:spacing w:after="0" w:line="240" w:lineRule="auto"/>
        <w:ind w:firstLine="708"/>
      </w:pPr>
      <w:r>
        <w:t xml:space="preserve">У пациентов с ХСН часто наблюдаются предсердные и желудочковые нарушения ритма. В последнее время возрос интерес к фибрилляции предсердий (ФП), в связи с ее влиянием на прогноз у пациентов с ХСН, сочетание ХСН и ФП обладает худшим прогнозом по сравнению с изолированной ФП или ХСН. Этим пациентам необходим контроль частоты желудочковых сокращений с помощью постоянной правожелудочковой стимуляции. Однако постоянная правожелудочковая стимуляция приводит к ухудшению функции левого желудочка через сложные механизмы нарушения синхронии в работе сердца. </w:t>
      </w:r>
      <w:r w:rsidRPr="00015692">
        <w:t>Пациентам с СН, перенесшим эпизод желудочковой аритмии, приведший к нестабильности показателей гемодинамики, рекомендован имплантируемый кардиовертер дефибриллятор в тех случаях, когда ожидаемая продолжительность жизни составляет более 1 года при хорошем функциональном статусе для снижения риска внезапной смерти и смертности от всех причин</w:t>
      </w:r>
      <w:r>
        <w:t xml:space="preserve"> </w:t>
      </w:r>
      <w:r w:rsidRPr="00E14858">
        <w:t>[</w:t>
      </w:r>
      <w:r w:rsidR="00670240">
        <w:t>16, 23</w:t>
      </w:r>
      <w:r w:rsidRPr="00E14858">
        <w:t>].</w:t>
      </w:r>
    </w:p>
    <w:p w14:paraId="6A80BC0D" w14:textId="77777777" w:rsidR="00C035FA" w:rsidRDefault="008D5756">
      <w:pPr>
        <w:pStyle w:val="Heading3"/>
        <w:spacing w:after="240" w:line="240" w:lineRule="auto"/>
        <w:rPr>
          <w:rFonts w:ascii="Times New Roman" w:hAnsi="Times New Roman"/>
          <w:color w:val="000000" w:themeColor="text1"/>
          <w:szCs w:val="24"/>
        </w:rPr>
      </w:pPr>
      <w:bookmarkStart w:id="29" w:name="_Toc139366823"/>
      <w:r>
        <w:rPr>
          <w:rFonts w:ascii="Times New Roman" w:hAnsi="Times New Roman"/>
          <w:color w:val="000000" w:themeColor="text1"/>
          <w:szCs w:val="24"/>
        </w:rPr>
        <w:t>1.7.3.</w:t>
      </w:r>
      <w:r>
        <w:rPr>
          <w:rFonts w:ascii="Times New Roman" w:hAnsi="Times New Roman"/>
          <w:color w:val="000000" w:themeColor="text1"/>
          <w:szCs w:val="24"/>
        </w:rPr>
        <w:tab/>
        <w:t>Вводная информация по исследуемой терапии</w:t>
      </w:r>
      <w:bookmarkStart w:id="30" w:name="_Hlk521882563"/>
      <w:bookmarkEnd w:id="28"/>
      <w:bookmarkEnd w:id="29"/>
    </w:p>
    <w:p w14:paraId="67BB21DA" w14:textId="7ED25AE7" w:rsidR="00C035FA" w:rsidRDefault="008D5756">
      <w:pPr>
        <w:autoSpaceDE w:val="0"/>
        <w:autoSpaceDN w:val="0"/>
        <w:adjustRightInd w:val="0"/>
        <w:spacing w:after="0" w:line="240" w:lineRule="auto"/>
        <w:ind w:firstLine="708"/>
        <w:rPr>
          <w:bCs/>
          <w:lang w:eastAsia="en-US"/>
        </w:rPr>
      </w:pPr>
      <w:r>
        <w:t>Эмпаглифлозин является обратимым, высокоактивным, селективным и конкурентным ингибитором SGLT2. Особые фармакологические свойства его молекулы обусловливают хороший клинический эффект у пациентов с СД2; в частности, даже небольшая концентрация, равная 1,3 нмоль, достаточна для ингибирования 50%-ной активности белка-транспортера SGLT2. Это приводит к усилению натрийуреза, экскреции до 80 г глюкозы в сутки, снижению глюкозы крови натощак максимально на 2,01 ммоль/л и уменьшению HbA1c – до 0,85%. Эмпаглифлозин отличает пролонгированный период полувыведения (10–19 часов), а прием пищи не влияет на фармакокинетику. Существенным обстоятельством, обеспечивающим приверженность пациентов терапии эмпаглифлозином, является возможность однократного применения препарата (1 раз в сутки) в дозе 10 или 25 мг независимо от приема пищи. Эмпаглифлозин не ингибирует, не инактивирует и не индуцирует изоферменты CYP450, что позволяет применять этот препарат одновременно с другими лекарственными средствами. Активные метаболиты отсутствуют, выводится препарат в равной степени почками и печенью [11]</w:t>
      </w:r>
      <w:r>
        <w:rPr>
          <w:bCs/>
          <w:lang w:eastAsia="en-US"/>
        </w:rPr>
        <w:t>.</w:t>
      </w:r>
    </w:p>
    <w:p w14:paraId="76687060" w14:textId="260DD06B" w:rsidR="00C035FA" w:rsidRDefault="008D5756">
      <w:pPr>
        <w:spacing w:after="0" w:line="240" w:lineRule="auto"/>
        <w:ind w:firstLine="709"/>
        <w:rPr>
          <w:szCs w:val="28"/>
        </w:rPr>
      </w:pPr>
      <w:r>
        <w:rPr>
          <w:szCs w:val="28"/>
        </w:rPr>
        <w:t xml:space="preserve">Эмпаглифлозин зарекомендовал себя как высокоэффективный препарат для широкого круга пациентов с СД2. Эффективность и безопасность длительного применения </w:t>
      </w:r>
      <w:r>
        <w:rPr>
          <w:szCs w:val="28"/>
        </w:rPr>
        <w:lastRenderedPageBreak/>
        <w:t>эмпаглифлозина у пациентов с СД2 и высоким кардиоваскулярным риском доказана в проспективном многоцентровом двойном слепом рандомизированном исследовании EMPA-REG OUTCOME.</w:t>
      </w:r>
    </w:p>
    <w:p w14:paraId="1FAC0F8F" w14:textId="62B4B99F" w:rsidR="00C035FA" w:rsidRDefault="008D5756">
      <w:pPr>
        <w:spacing w:after="0" w:line="240" w:lineRule="auto"/>
        <w:ind w:firstLine="709"/>
        <w:rPr>
          <w:szCs w:val="28"/>
        </w:rPr>
      </w:pPr>
      <w:r>
        <w:rPr>
          <w:szCs w:val="28"/>
        </w:rPr>
        <w:t xml:space="preserve">В рандомизированном двойном слепом плацебо-контролируемом исследовании EMPA-REG OUTCOME было показано, что </w:t>
      </w:r>
      <w:r w:rsidR="00C30034">
        <w:rPr>
          <w:szCs w:val="28"/>
        </w:rPr>
        <w:t>у пациентов</w:t>
      </w:r>
      <w:r>
        <w:rPr>
          <w:szCs w:val="28"/>
        </w:rPr>
        <w:t xml:space="preserve"> </w:t>
      </w:r>
      <w:r w:rsidR="00D810CD">
        <w:rPr>
          <w:szCs w:val="28"/>
        </w:rPr>
        <w:t>с СД</w:t>
      </w:r>
      <w:r>
        <w:rPr>
          <w:szCs w:val="28"/>
        </w:rPr>
        <w:t xml:space="preserve">2 </w:t>
      </w:r>
      <w:r w:rsidR="000B06CC">
        <w:rPr>
          <w:szCs w:val="28"/>
        </w:rPr>
        <w:t>и сопутствующими</w:t>
      </w:r>
      <w:r>
        <w:rPr>
          <w:szCs w:val="28"/>
        </w:rPr>
        <w:t xml:space="preserve"> ССЗ применение эмпаглифлозина привело </w:t>
      </w:r>
      <w:r w:rsidR="00EE306C">
        <w:rPr>
          <w:szCs w:val="28"/>
        </w:rPr>
        <w:t>к снижению</w:t>
      </w:r>
      <w:r>
        <w:rPr>
          <w:szCs w:val="28"/>
        </w:rPr>
        <w:t xml:space="preserve"> на 35% риска госпитализаций по причине декомпенсации ХСН, а также (в анализах подгрупп) к улучшению ряда исходов ХСН, таких как риск первого введения петлевых диуретиков, риск повторной госпитализации по причине ХСН. </w:t>
      </w:r>
    </w:p>
    <w:p w14:paraId="26DD9E05" w14:textId="77777777" w:rsidR="00C035FA" w:rsidRPr="00E14858" w:rsidRDefault="008D5756" w:rsidP="00E14858">
      <w:pPr>
        <w:spacing w:after="0" w:line="240" w:lineRule="auto"/>
        <w:ind w:firstLine="709"/>
        <w:rPr>
          <w:szCs w:val="28"/>
        </w:rPr>
      </w:pPr>
      <w:r>
        <w:rPr>
          <w:szCs w:val="28"/>
        </w:rPr>
        <w:t xml:space="preserve">По результатам EMPEROR-Reduced эмпаглифлозин показал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значимые различия с группой плацебо по частоте нежелательных явлений, включая гиповолемию, гипотонию, нарушение функции почек, гиперкалиемию. </w:t>
      </w:r>
    </w:p>
    <w:p w14:paraId="1F03DAB8" w14:textId="22B96DDE" w:rsidR="00C035FA" w:rsidRDefault="00904F66">
      <w:pPr>
        <w:spacing w:after="0" w:line="240" w:lineRule="auto"/>
        <w:ind w:firstLine="708"/>
      </w:pPr>
      <w:bookmarkStart w:id="31" w:name="_Hlk115948620"/>
      <w:r>
        <w:rPr>
          <w:lang w:val="en-US" w:eastAsia="ru-RU"/>
        </w:rPr>
        <w:t>DT</w:t>
      </w:r>
      <w:r>
        <w:rPr>
          <w:lang w:eastAsia="ru-RU"/>
        </w:rPr>
        <w:t>-</w:t>
      </w:r>
      <w:r>
        <w:rPr>
          <w:lang w:val="en-US" w:eastAsia="ru-RU"/>
        </w:rPr>
        <w:t>EMP</w:t>
      </w:r>
      <w:r>
        <w:rPr>
          <w:bCs/>
          <w:lang w:eastAsia="ru-RU"/>
        </w:rPr>
        <w:t xml:space="preserve">, </w:t>
      </w:r>
      <w:r w:rsidRPr="0088099E">
        <w:rPr>
          <w:bCs/>
          <w:lang w:eastAsia="ru-RU"/>
        </w:rPr>
        <w:t xml:space="preserve">таблетки, покрыыте пленочной оболочкой, 10 мг и 25 мг, </w:t>
      </w:r>
      <w:r w:rsidR="00842629">
        <w:rPr>
          <w:bCs/>
          <w:lang w:eastAsia="ru-RU"/>
        </w:rPr>
        <w:t>–</w:t>
      </w:r>
      <w:r w:rsidRPr="0088099E">
        <w:rPr>
          <w:bCs/>
          <w:lang w:eastAsia="ru-RU"/>
        </w:rPr>
        <w:t xml:space="preserve"> воспроизведенный препарат эмпаглифлозина, разработанный дочерним подразделением ГК «Р-Фарм», Россия – ООО «Технология лекарств», по заказу АО «Р-Фарм».</w:t>
      </w:r>
      <w:r>
        <w:rPr>
          <w:bCs/>
          <w:lang w:eastAsia="ru-RU"/>
        </w:rPr>
        <w:t xml:space="preserve"> </w:t>
      </w:r>
      <w:r>
        <w:rPr>
          <w:color w:val="000000"/>
        </w:rPr>
        <w:t xml:space="preserve">Он полностью соответствует по </w:t>
      </w:r>
      <w:r>
        <w:rPr>
          <w:lang w:eastAsia="ru-RU"/>
        </w:rPr>
        <w:t xml:space="preserve">качественному и количественному составу действующего и вспомогательных веществ, лекарственной форме </w:t>
      </w:r>
      <w:r>
        <w:rPr>
          <w:color w:val="000000"/>
        </w:rPr>
        <w:t xml:space="preserve">(таблетки, покрытые пленочной оболочкой) </w:t>
      </w:r>
      <w:r>
        <w:rPr>
          <w:lang w:eastAsia="ru-RU"/>
        </w:rPr>
        <w:t xml:space="preserve">и планируемым к выпуску дозировкам </w:t>
      </w:r>
      <w:r>
        <w:rPr>
          <w:color w:val="000000"/>
        </w:rPr>
        <w:t xml:space="preserve">(10 мг и 25 мг) референтному препарату </w:t>
      </w:r>
      <w:r>
        <w:t>Джардинс</w:t>
      </w:r>
      <w:r>
        <w:rPr>
          <w:vertAlign w:val="superscript"/>
        </w:rPr>
        <w:t>®</w:t>
      </w:r>
      <w:r>
        <w:t xml:space="preserve"> (МНН: эмпаглифлозин), таблетки, покрытые пленочной оболочкой, 10 мг 25 мг (</w:t>
      </w:r>
      <w:r>
        <w:rPr>
          <w:rFonts w:eastAsia="Calibri"/>
          <w:bCs/>
        </w:rPr>
        <w:t xml:space="preserve">Берингер Ингельхайм </w:t>
      </w:r>
      <w:r w:rsidRPr="00E323B2">
        <w:rPr>
          <w:rFonts w:eastAsia="Calibri"/>
          <w:bCs/>
        </w:rPr>
        <w:t>Интернешнл ГмбХ, Германия</w:t>
      </w:r>
      <w:r w:rsidRPr="00E323B2">
        <w:t>), имея незначительные отличия в составе пленочной оболочки</w:t>
      </w:r>
      <w:r w:rsidRPr="00E323B2">
        <w:rPr>
          <w:color w:val="000000"/>
        </w:rPr>
        <w:t>.</w:t>
      </w:r>
      <w:r w:rsidRPr="00E323B2">
        <w:t xml:space="preserve"> </w:t>
      </w:r>
      <w:r w:rsidRPr="00E323B2">
        <w:rPr>
          <w:color w:val="000000" w:themeColor="text1"/>
        </w:rPr>
        <w:t xml:space="preserve">Для доказательства эквивалентности препарата </w:t>
      </w:r>
      <w:r w:rsidRPr="00E323B2">
        <w:rPr>
          <w:bCs/>
          <w:lang w:val="en-US" w:eastAsia="ru-RU"/>
        </w:rPr>
        <w:t>D</w:t>
      </w:r>
      <w:r w:rsidRPr="00E323B2">
        <w:rPr>
          <w:lang w:val="en-US"/>
        </w:rPr>
        <w:t>T</w:t>
      </w:r>
      <w:r w:rsidRPr="00E323B2">
        <w:t>-</w:t>
      </w:r>
      <w:r w:rsidRPr="00E323B2">
        <w:rPr>
          <w:lang w:val="en-US"/>
        </w:rPr>
        <w:t>EMP</w:t>
      </w:r>
      <w:r w:rsidRPr="00E323B2">
        <w:rPr>
          <w:color w:val="000000" w:themeColor="text1"/>
        </w:rPr>
        <w:t xml:space="preserve"> были проведены исследования сравнительной кинетики растворения в сравнении с референтным препаратом </w:t>
      </w:r>
      <w:r w:rsidRPr="00E323B2">
        <w:rPr>
          <w:lang w:eastAsia="ru-RU"/>
        </w:rPr>
        <w:t>Джардинс</w:t>
      </w:r>
      <w:r w:rsidRPr="00E323B2">
        <w:rPr>
          <w:vertAlign w:val="superscript"/>
          <w:lang w:eastAsia="ru-RU"/>
        </w:rPr>
        <w:t>®</w:t>
      </w:r>
      <w:r w:rsidRPr="00E323B2">
        <w:rPr>
          <w:rFonts w:eastAsia="Calibri"/>
        </w:rPr>
        <w:t xml:space="preserve"> </w:t>
      </w:r>
      <w:r w:rsidRPr="00E323B2">
        <w:rPr>
          <w:color w:val="000000"/>
        </w:rPr>
        <w:t>(</w:t>
      </w:r>
      <w:r w:rsidRPr="00E323B2">
        <w:rPr>
          <w:rFonts w:eastAsia="Calibri"/>
          <w:bCs/>
        </w:rPr>
        <w:t>Берингер Ингельхайм Интернешнл ГмбХ, Германия</w:t>
      </w:r>
      <w:r w:rsidRPr="00E323B2">
        <w:rPr>
          <w:color w:val="000000"/>
        </w:rPr>
        <w:t>)</w:t>
      </w:r>
      <w:r w:rsidRPr="00E323B2">
        <w:rPr>
          <w:rFonts w:eastAsiaTheme="minorHAnsi"/>
          <w:color w:val="000000" w:themeColor="text1"/>
          <w:lang w:eastAsia="en-US"/>
        </w:rPr>
        <w:t xml:space="preserve"> в дозировках 10 мг и 25 мг </w:t>
      </w:r>
      <w:r w:rsidRPr="00E323B2">
        <w:rPr>
          <w:color w:val="000000" w:themeColor="text1"/>
        </w:rPr>
        <w:t xml:space="preserve">(в трех модельных средах: </w:t>
      </w:r>
      <w:r w:rsidRPr="00E323B2">
        <w:rPr>
          <w:spacing w:val="-4"/>
        </w:rPr>
        <w:t>буферных растворах</w:t>
      </w:r>
      <w:r w:rsidRPr="00E323B2">
        <w:rPr>
          <w:color w:val="000000" w:themeColor="text1"/>
        </w:rPr>
        <w:t xml:space="preserve"> с рН 1,2; 4,5 и 6,8, а также в среде по НД (</w:t>
      </w:r>
      <w:r w:rsidRPr="00E323B2">
        <w:rPr>
          <w:spacing w:val="-4"/>
        </w:rPr>
        <w:t xml:space="preserve">0,05 М фосфатный буферный раствор </w:t>
      </w:r>
      <w:r w:rsidRPr="00E323B2">
        <w:rPr>
          <w:spacing w:val="-4"/>
          <w:lang w:val="en-US"/>
        </w:rPr>
        <w:t>pH</w:t>
      </w:r>
      <w:r w:rsidRPr="00E323B2">
        <w:rPr>
          <w:spacing w:val="-4"/>
        </w:rPr>
        <w:t xml:space="preserve"> 6,8</w:t>
      </w:r>
      <w:r w:rsidRPr="00E323B2">
        <w:rPr>
          <w:color w:val="000000" w:themeColor="text1"/>
        </w:rPr>
        <w:t xml:space="preserve">). </w:t>
      </w:r>
      <w:r w:rsidR="008D5756">
        <w:t>В связи с этим представляется целесообразным проведение клинического исследования биоэквивалентности</w:t>
      </w:r>
      <w:r w:rsidR="008D5756">
        <w:rPr>
          <w:bCs/>
          <w:lang w:eastAsia="ru-RU"/>
        </w:rPr>
        <w:t xml:space="preserve"> лекарственного препарата </w:t>
      </w:r>
      <w:r w:rsidR="008D5756">
        <w:rPr>
          <w:lang w:val="en-US" w:eastAsia="ru-RU"/>
        </w:rPr>
        <w:t>DT</w:t>
      </w:r>
      <w:r w:rsidR="008D5756">
        <w:rPr>
          <w:lang w:eastAsia="ru-RU"/>
        </w:rPr>
        <w:t>-</w:t>
      </w:r>
      <w:r w:rsidR="008D5756">
        <w:rPr>
          <w:lang w:val="en-US" w:eastAsia="ru-RU"/>
        </w:rPr>
        <w:t>EMP</w:t>
      </w:r>
      <w:r w:rsidR="008D5756">
        <w:rPr>
          <w:bCs/>
          <w:lang w:eastAsia="ru-RU"/>
        </w:rPr>
        <w:t xml:space="preserve">, таблетки, покрытые пленочной оболочкой, </w:t>
      </w:r>
      <w:r>
        <w:rPr>
          <w:bCs/>
          <w:lang w:eastAsia="ru-RU"/>
        </w:rPr>
        <w:t xml:space="preserve">10 мг и </w:t>
      </w:r>
      <w:r w:rsidR="008D5756">
        <w:t xml:space="preserve">25 мг </w:t>
      </w:r>
      <w:r w:rsidR="008D5756">
        <w:rPr>
          <w:lang w:eastAsia="ru-RU"/>
        </w:rPr>
        <w:t>(</w:t>
      </w:r>
      <w:r w:rsidR="008D5756">
        <w:rPr>
          <w:rFonts w:eastAsia="SimSun"/>
        </w:rPr>
        <w:t>АО «Р-Фарм», Россия</w:t>
      </w:r>
      <w:r w:rsidR="008D5756">
        <w:rPr>
          <w:lang w:eastAsia="ru-RU"/>
        </w:rPr>
        <w:t xml:space="preserve">) в сравнении с оригинальным препаратом </w:t>
      </w:r>
      <w:r w:rsidR="008D5756">
        <w:t>Джардинс</w:t>
      </w:r>
      <w:r w:rsidR="008D5756">
        <w:rPr>
          <w:vertAlign w:val="superscript"/>
        </w:rPr>
        <w:t>®</w:t>
      </w:r>
      <w:r w:rsidR="008D5756">
        <w:t xml:space="preserve">, таблетки, покрытые пленочной оболочкой, </w:t>
      </w:r>
      <w:r w:rsidR="002829CA" w:rsidRPr="002829CA">
        <w:t xml:space="preserve">10 </w:t>
      </w:r>
      <w:r w:rsidR="002829CA">
        <w:t xml:space="preserve">мг и </w:t>
      </w:r>
      <w:r w:rsidR="008D5756">
        <w:t>25 мг (</w:t>
      </w:r>
      <w:r w:rsidR="008D5756">
        <w:rPr>
          <w:rFonts w:eastAsia="Calibri"/>
          <w:bCs/>
        </w:rPr>
        <w:t>Берингер Ингельхайм Интернешнл ГмбХ, Германия</w:t>
      </w:r>
      <w:r w:rsidR="008D5756">
        <w:t>)</w:t>
      </w:r>
      <w:r w:rsidR="008D5756">
        <w:rPr>
          <w:bCs/>
          <w:lang w:eastAsia="ru-RU"/>
        </w:rPr>
        <w:t>.</w:t>
      </w:r>
    </w:p>
    <w:bookmarkEnd w:id="31"/>
    <w:p w14:paraId="71EA8175" w14:textId="77777777" w:rsidR="00C035FA" w:rsidRDefault="008D5756">
      <w:pPr>
        <w:autoSpaceDE w:val="0"/>
        <w:autoSpaceDN w:val="0"/>
        <w:adjustRightInd w:val="0"/>
        <w:spacing w:after="0" w:line="240" w:lineRule="auto"/>
        <w:ind w:firstLine="708"/>
        <w:rPr>
          <w:bCs/>
          <w:lang w:eastAsia="ru-RU"/>
        </w:rPr>
      </w:pPr>
      <w:r>
        <w:rPr>
          <w:bCs/>
          <w:lang w:eastAsia="ru-RU"/>
        </w:rPr>
        <w:t xml:space="preserve">Внедрение в клиническую практику нового воспроизведенного препарата эмпаглифлозина позволит снизить цену современной </w:t>
      </w:r>
      <w:r>
        <w:rPr>
          <w:lang w:eastAsia="ru-RU"/>
        </w:rPr>
        <w:t xml:space="preserve">терапии СД типа 2 и </w:t>
      </w:r>
      <w:r>
        <w:rPr>
          <w:bCs/>
          <w:lang w:eastAsia="en-US"/>
        </w:rPr>
        <w:t>хронической сердечной недостаточности</w:t>
      </w:r>
      <w:r>
        <w:rPr>
          <w:bCs/>
          <w:lang w:eastAsia="ru-RU"/>
        </w:rPr>
        <w:t>.</w:t>
      </w:r>
    </w:p>
    <w:p w14:paraId="4C7563AF" w14:textId="2B45F5C3" w:rsidR="00C035FA" w:rsidRDefault="008D5756" w:rsidP="002829CA">
      <w:pPr>
        <w:pStyle w:val="Heading2"/>
        <w:numPr>
          <w:ilvl w:val="1"/>
          <w:numId w:val="10"/>
        </w:numPr>
        <w:spacing w:line="240" w:lineRule="auto"/>
        <w:ind w:left="0" w:firstLine="0"/>
        <w:rPr>
          <w:color w:val="000000" w:themeColor="text1"/>
          <w:szCs w:val="24"/>
        </w:rPr>
      </w:pPr>
      <w:bookmarkStart w:id="32" w:name="_Toc535339329"/>
      <w:bookmarkStart w:id="33" w:name="_Toc139366824"/>
      <w:bookmarkEnd w:id="30"/>
      <w:bookmarkEnd w:id="32"/>
      <w:r>
        <w:rPr>
          <w:color w:val="000000" w:themeColor="text1"/>
          <w:szCs w:val="24"/>
        </w:rPr>
        <w:t>Ожидаемые показания к применению</w:t>
      </w:r>
      <w:bookmarkEnd w:id="33"/>
    </w:p>
    <w:p w14:paraId="4E7E05EB" w14:textId="5FB92735" w:rsidR="00C035FA" w:rsidRDefault="008D5756" w:rsidP="00562515">
      <w:pPr>
        <w:spacing w:after="0" w:line="240" w:lineRule="auto"/>
        <w:rPr>
          <w:b/>
          <w:color w:val="000000" w:themeColor="text1"/>
        </w:rPr>
      </w:pPr>
      <w:bookmarkStart w:id="34" w:name="_Toc32336729"/>
      <w:r w:rsidRPr="00562515">
        <w:rPr>
          <w:b/>
          <w:color w:val="000000" w:themeColor="text1"/>
        </w:rPr>
        <w:t>Сахарный диабет 2 типа</w:t>
      </w:r>
    </w:p>
    <w:p w14:paraId="5D220E4B" w14:textId="77777777" w:rsidR="00562515" w:rsidRPr="00562515" w:rsidRDefault="00562515" w:rsidP="00562515">
      <w:pPr>
        <w:spacing w:after="0" w:line="240" w:lineRule="auto"/>
        <w:rPr>
          <w:b/>
          <w:color w:val="000000" w:themeColor="text1"/>
        </w:rPr>
      </w:pPr>
    </w:p>
    <w:p w14:paraId="53B5DDF0" w14:textId="29BE3BBE" w:rsidR="00C035FA" w:rsidRDefault="008D5756">
      <w:pPr>
        <w:spacing w:after="0" w:line="240" w:lineRule="auto"/>
        <w:ind w:firstLine="709"/>
        <w:rPr>
          <w:color w:val="000000" w:themeColor="text1"/>
        </w:rPr>
      </w:pPr>
      <w:r>
        <w:rPr>
          <w:color w:val="000000" w:themeColor="text1"/>
        </w:rPr>
        <w:t>Для терапии СД2 у взрослых пациентов с неадекватным гликемическим контролем в дополнение к диетотерапии и физическим упражнениям:</w:t>
      </w:r>
    </w:p>
    <w:p w14:paraId="03102AAA" w14:textId="77777777" w:rsidR="00C035FA" w:rsidRDefault="008D5756">
      <w:pPr>
        <w:tabs>
          <w:tab w:val="left" w:pos="142"/>
        </w:tabs>
        <w:spacing w:after="0" w:line="240" w:lineRule="auto"/>
        <w:ind w:firstLine="709"/>
        <w:rPr>
          <w:color w:val="000000" w:themeColor="text1"/>
        </w:rPr>
      </w:pPr>
      <w:r>
        <w:rPr>
          <w:color w:val="000000" w:themeColor="text1"/>
        </w:rPr>
        <w:t>•</w:t>
      </w:r>
      <w:r>
        <w:rPr>
          <w:color w:val="000000" w:themeColor="text1"/>
        </w:rPr>
        <w:tab/>
        <w:t>в качестве монотерапии;</w:t>
      </w:r>
    </w:p>
    <w:p w14:paraId="1E417382" w14:textId="77777777" w:rsidR="00C035FA" w:rsidRDefault="008D5756">
      <w:pPr>
        <w:tabs>
          <w:tab w:val="left" w:pos="142"/>
        </w:tabs>
        <w:spacing w:after="0" w:line="240" w:lineRule="auto"/>
        <w:ind w:firstLine="709"/>
        <w:rPr>
          <w:color w:val="000000" w:themeColor="text1"/>
        </w:rPr>
      </w:pPr>
      <w:r>
        <w:rPr>
          <w:color w:val="000000" w:themeColor="text1"/>
        </w:rPr>
        <w:t>•</w:t>
      </w:r>
      <w:r>
        <w:rPr>
          <w:color w:val="000000" w:themeColor="text1"/>
        </w:rPr>
        <w:tab/>
        <w:t>в качестве комбинированной терапии с другими гипогликемическими препаратами, включая инсулин.</w:t>
      </w:r>
    </w:p>
    <w:p w14:paraId="4FF8FB19" w14:textId="0206BC66" w:rsidR="00C035FA" w:rsidRDefault="008D5756">
      <w:pPr>
        <w:spacing w:after="0" w:line="240" w:lineRule="auto"/>
        <w:ind w:firstLine="709"/>
        <w:rPr>
          <w:color w:val="000000" w:themeColor="text1"/>
        </w:rPr>
      </w:pPr>
      <w:r>
        <w:rPr>
          <w:color w:val="000000" w:themeColor="text1"/>
        </w:rPr>
        <w:t>Препарат показан пациентам с СД2 и высоким сердечно-сосудистым риском* в комбинации со стандартной терапией сердечно-сосудистых заболеваний с целью снижения:</w:t>
      </w:r>
    </w:p>
    <w:p w14:paraId="1DC5D9C2" w14:textId="77777777" w:rsidR="00C035FA" w:rsidRDefault="008D5756">
      <w:pPr>
        <w:tabs>
          <w:tab w:val="left" w:pos="142"/>
        </w:tabs>
        <w:spacing w:after="0" w:line="240" w:lineRule="auto"/>
        <w:ind w:firstLine="709"/>
        <w:rPr>
          <w:color w:val="000000" w:themeColor="text1"/>
        </w:rPr>
      </w:pPr>
      <w:r>
        <w:rPr>
          <w:color w:val="000000" w:themeColor="text1"/>
        </w:rPr>
        <w:t>•</w:t>
      </w:r>
      <w:r>
        <w:rPr>
          <w:color w:val="000000" w:themeColor="text1"/>
        </w:rPr>
        <w:tab/>
        <w:t>общей смертности за счет снижения сердечно-сосудистой смертности;</w:t>
      </w:r>
    </w:p>
    <w:p w14:paraId="4A3F9BA0" w14:textId="77777777" w:rsidR="00C035FA" w:rsidRDefault="008D5756">
      <w:pPr>
        <w:tabs>
          <w:tab w:val="left" w:pos="142"/>
        </w:tabs>
        <w:spacing w:after="0" w:line="240" w:lineRule="auto"/>
        <w:ind w:firstLine="709"/>
        <w:rPr>
          <w:color w:val="000000" w:themeColor="text1"/>
        </w:rPr>
      </w:pPr>
      <w:r>
        <w:rPr>
          <w:color w:val="000000" w:themeColor="text1"/>
        </w:rPr>
        <w:lastRenderedPageBreak/>
        <w:t>•</w:t>
      </w:r>
      <w:r>
        <w:rPr>
          <w:color w:val="000000" w:themeColor="text1"/>
        </w:rPr>
        <w:tab/>
        <w:t>сердечно-сосудистой смертности или госпитализации по поводу сердечной недостаточности.</w:t>
      </w:r>
    </w:p>
    <w:p w14:paraId="57B11378" w14:textId="1BF45D06" w:rsidR="00C035FA" w:rsidRDefault="008D5756" w:rsidP="00562515">
      <w:pPr>
        <w:spacing w:after="0" w:line="240" w:lineRule="auto"/>
        <w:ind w:firstLine="709"/>
        <w:rPr>
          <w:color w:val="000000" w:themeColor="text1"/>
        </w:rPr>
      </w:pPr>
      <w:r>
        <w:rPr>
          <w:color w:val="000000" w:themeColor="text1"/>
        </w:rPr>
        <w:t>* Высокий сердечно-сосудистый риск определен как наличие хотя бы одного из следующих заболеваний и/или состояний: ИБС (инфаркт миокарда в анамнезе, шунтирование коронарных артерий, ИБС с поражением одного коронарного сосуда, ИБС с поражением нескольких коронарных сосудов); ишемический или геморрагический инсульт в анамнезе; заболевания периферических артерий (с симптоматикой или без).</w:t>
      </w:r>
    </w:p>
    <w:p w14:paraId="08A1734B" w14:textId="77777777" w:rsidR="00562515" w:rsidRDefault="00562515" w:rsidP="00562515">
      <w:pPr>
        <w:spacing w:after="0" w:line="240" w:lineRule="auto"/>
        <w:ind w:firstLine="709"/>
        <w:rPr>
          <w:color w:val="000000" w:themeColor="text1"/>
        </w:rPr>
      </w:pPr>
    </w:p>
    <w:p w14:paraId="3F44B431" w14:textId="63B7F150" w:rsidR="00C035FA" w:rsidRPr="00562515" w:rsidRDefault="008D5756" w:rsidP="00562515">
      <w:pPr>
        <w:spacing w:after="0" w:line="240" w:lineRule="auto"/>
        <w:rPr>
          <w:b/>
          <w:color w:val="000000" w:themeColor="text1"/>
        </w:rPr>
      </w:pPr>
      <w:r w:rsidRPr="00562515">
        <w:rPr>
          <w:b/>
          <w:color w:val="000000" w:themeColor="text1"/>
        </w:rPr>
        <w:t>Сердечная недостаточность</w:t>
      </w:r>
    </w:p>
    <w:p w14:paraId="22B1676D" w14:textId="77777777" w:rsidR="00562515" w:rsidRDefault="00562515">
      <w:pPr>
        <w:spacing w:after="0" w:line="240" w:lineRule="auto"/>
        <w:ind w:firstLine="709"/>
        <w:rPr>
          <w:color w:val="000000" w:themeColor="text1"/>
          <w:u w:val="single"/>
        </w:rPr>
      </w:pPr>
    </w:p>
    <w:p w14:paraId="1DFE87FF" w14:textId="3B158B2E" w:rsidR="00035195" w:rsidRDefault="00904F66" w:rsidP="00AA4E66">
      <w:pPr>
        <w:spacing w:after="0" w:line="240" w:lineRule="auto"/>
        <w:ind w:firstLine="709"/>
        <w:rPr>
          <w:color w:val="000000" w:themeColor="text1"/>
        </w:rPr>
      </w:pPr>
      <w:r>
        <w:rPr>
          <w:color w:val="000000" w:themeColor="text1"/>
        </w:rPr>
        <w:t xml:space="preserve">Препарат </w:t>
      </w:r>
      <w:r w:rsidR="00562515">
        <w:rPr>
          <w:color w:val="000000" w:themeColor="text1"/>
        </w:rPr>
        <w:t xml:space="preserve">показан </w:t>
      </w:r>
      <w:r w:rsidR="00EE306C">
        <w:rPr>
          <w:color w:val="000000" w:themeColor="text1"/>
        </w:rPr>
        <w:t>взрослым пациентам</w:t>
      </w:r>
      <w:r w:rsidR="008D5756">
        <w:rPr>
          <w:color w:val="000000" w:themeColor="text1"/>
        </w:rPr>
        <w:t xml:space="preserve"> с ХСН (функциональные классы II-IV по классификации NYHA) независимо от фракции выброса левого желудочка, с или без СД 2 для снижения риска сердечно-сосудистой смерти и госпитализации по поводу сердечной недостаточности.</w:t>
      </w:r>
    </w:p>
    <w:p w14:paraId="2179F30E" w14:textId="15EF723F" w:rsidR="00C035FA" w:rsidRPr="00035195" w:rsidRDefault="008D5756" w:rsidP="00AA4E66">
      <w:pPr>
        <w:pStyle w:val="Heading2"/>
        <w:spacing w:line="240" w:lineRule="auto"/>
        <w:rPr>
          <w:color w:val="000000" w:themeColor="text1"/>
          <w:szCs w:val="24"/>
        </w:rPr>
      </w:pPr>
      <w:bookmarkStart w:id="35" w:name="_Toc139366825"/>
      <w:r w:rsidRPr="00035195">
        <w:rPr>
          <w:color w:val="000000" w:themeColor="text1"/>
          <w:szCs w:val="24"/>
        </w:rPr>
        <w:t>Список литературы</w:t>
      </w:r>
      <w:bookmarkEnd w:id="34"/>
      <w:bookmarkEnd w:id="35"/>
      <w:r w:rsidR="000C7F59" w:rsidRPr="00035195">
        <w:rPr>
          <w:color w:val="000000" w:themeColor="text1"/>
          <w:szCs w:val="24"/>
        </w:rPr>
        <w:t xml:space="preserve"> </w:t>
      </w:r>
    </w:p>
    <w:p w14:paraId="5E6E2B76" w14:textId="4921F892"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val="en-US" w:eastAsia="en-US"/>
        </w:rPr>
        <w:t xml:space="preserve">World Health Organization, International Diabetes Federation. </w:t>
      </w:r>
      <w:r w:rsidRPr="00677CFF">
        <w:rPr>
          <w:rFonts w:eastAsia="TimesNewRomanPSMT"/>
          <w:color w:val="000000"/>
          <w:lang w:val="en-US" w:eastAsia="en-US"/>
        </w:rPr>
        <w:t xml:space="preserve">Definition and diagnosis of diabetes mellitus and intermediate hyperglycaemia. // Report of a WHO/IDF consultation. </w:t>
      </w:r>
      <w:r w:rsidRPr="00AA4E66">
        <w:rPr>
          <w:rFonts w:eastAsia="TimesNewRomanPSMT"/>
          <w:color w:val="000000"/>
          <w:lang w:eastAsia="en-US"/>
        </w:rPr>
        <w:t>Geneva, 2006.</w:t>
      </w:r>
    </w:p>
    <w:p w14:paraId="438643BB"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World Health Organization. Definition, diagnosis and classification of diabetes mellitus and its complications: report of a WHO consultation. </w:t>
      </w:r>
      <w:r w:rsidRPr="00AA4E66">
        <w:rPr>
          <w:rFonts w:eastAsia="TimesNewRomanPSMT"/>
          <w:color w:val="000000"/>
          <w:lang w:eastAsia="en-US"/>
        </w:rPr>
        <w:t>Part 1, // Diagnosis and classification of diabetes mellitus. Geneva, 1999.</w:t>
      </w:r>
    </w:p>
    <w:p w14:paraId="10E12C10"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Дедов ИИ, Шестакова МВ, Майоров АЮ, и др. Алгоритмы специализированной медицинской помощи больным сахарным диабетом // Под редакцией И.И. Дедова, М.В. Шестаковой, А.Ю. Майорова. – 9-й выпуск. Сахарный диабет; 22.</w:t>
      </w:r>
    </w:p>
    <w:p w14:paraId="29640E19"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Дедов ИИ, Шестакова МВ. Сахарный диабет типа 2: от теории к практике. // МИА, 2016.</w:t>
      </w:r>
    </w:p>
    <w:p w14:paraId="7E7D95F7" w14:textId="77777777" w:rsidR="00C035FA" w:rsidRPr="00677CFF"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val="en-US" w:eastAsia="en-US"/>
        </w:rPr>
      </w:pPr>
      <w:r w:rsidRPr="00677CFF">
        <w:rPr>
          <w:rFonts w:eastAsia="TimesNewRomanPSMT"/>
          <w:color w:val="000000"/>
          <w:lang w:val="en-US" w:eastAsia="en-US"/>
        </w:rPr>
        <w:t xml:space="preserve">Schwartz SS, Epstein S, Corkey BE, et al. The Time Is Right for a New Classification System for Diabetes: Rationale and Implications of the </w:t>
      </w:r>
      <w:r w:rsidRPr="00AA4E66">
        <w:rPr>
          <w:rFonts w:eastAsia="TimesNewRomanPSMT"/>
          <w:color w:val="000000"/>
          <w:lang w:eastAsia="en-US"/>
        </w:rPr>
        <w:t>β</w:t>
      </w:r>
      <w:r w:rsidRPr="00677CFF">
        <w:rPr>
          <w:rFonts w:eastAsia="TimesNewRomanPSMT"/>
          <w:color w:val="000000"/>
          <w:lang w:val="en-US" w:eastAsia="en-US"/>
        </w:rPr>
        <w:t>-Cell–Centric Classification Schema. // Diabetes Care 2016; 39: 179–186.</w:t>
      </w:r>
    </w:p>
    <w:p w14:paraId="32EF3079"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International Diabetes Federation. // IDF Diabetes Atlas. </w:t>
      </w:r>
      <w:r w:rsidRPr="00AA4E66">
        <w:rPr>
          <w:rFonts w:eastAsia="TimesNewRomanPSMT"/>
          <w:color w:val="000000"/>
          <w:lang w:eastAsia="en-US"/>
        </w:rPr>
        <w:t>9th ed. 2019.</w:t>
      </w:r>
    </w:p>
    <w:p w14:paraId="1D2362A8"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Дедов ИИ, Шестакова МВ, Викулова ОК, и др. Эпидемиологические характеристики сахарного диабета в Российской Федерации: клинико-статистический анализ по данным регистра сахарного диабета на 01.01.2021. // Сахарный диабет; 24.</w:t>
      </w:r>
    </w:p>
    <w:p w14:paraId="718C928E"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Дедов ИИ, Шестакова МВ, Галстян ГР. Распространенность сахарного диабета 2 типа у взрослого населения России (исследование NATION). // Сахарный диабет 2016; 19: 104–112.</w:t>
      </w:r>
    </w:p>
    <w:p w14:paraId="38DF5563" w14:textId="77777777" w:rsidR="00C035FA" w:rsidRPr="00677CFF"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val="en-US" w:eastAsia="en-US"/>
        </w:rPr>
      </w:pPr>
      <w:r w:rsidRPr="00677CFF">
        <w:rPr>
          <w:rFonts w:eastAsia="TimesNewRomanPSMT"/>
          <w:color w:val="000000"/>
          <w:lang w:val="en-US" w:eastAsia="en-US"/>
        </w:rPr>
        <w:t>GadeP, OellgaardJ, CarstensenB, etal. Years of life gained by multifactorial intervention in patients with type 2 diabetes mellitus and microalbuminuria: 21 years follow-up on the Steno-2 randomised trial. // Diabetologia 2016; 59: 2298–2307.</w:t>
      </w:r>
    </w:p>
    <w:p w14:paraId="6ADB7DEB"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Корбут А.И., Климонтов В.В. Эмпаглифлозин: новая стратегия нефропротекции при сахарном диабете. Сахарный диабет. 2017;20(1):75-84.</w:t>
      </w:r>
    </w:p>
    <w:p w14:paraId="017AA11A"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Салухов В.В., Демидова Т.Ю. Эмпаглифлозин как новая стратегия управления исходами у пациентов с сахарным диабетом 2 типа и высоким кардиоваскулярным риском. Сахарный диабет. 2016;19(6):494-510.</w:t>
      </w:r>
    </w:p>
    <w:p w14:paraId="58831851"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Scheen AJ. Pharmacodynamics, efficacy and safety of sodium-glucose co-transporter type 2 (SGLT2) inhibitors for the treatment of type 2 diabetes mellitus. </w:t>
      </w:r>
      <w:r w:rsidRPr="00AA4E66">
        <w:rPr>
          <w:rFonts w:eastAsia="TimesNewRomanPSMT"/>
          <w:color w:val="000000"/>
          <w:lang w:eastAsia="en-US"/>
        </w:rPr>
        <w:t>Drugs, 2015, 75: 33-59.</w:t>
      </w:r>
    </w:p>
    <w:p w14:paraId="3848CC45"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lastRenderedPageBreak/>
        <w:t xml:space="preserve">Merovci A, Mari A, Solis C, Xiong J, Daniele G, Chavez A. Dapagliflozin lowers plasma glucose concentration and improves beta cell function. </w:t>
      </w:r>
      <w:r w:rsidRPr="00AA4E66">
        <w:rPr>
          <w:rFonts w:eastAsia="TimesNewRomanPSMT"/>
          <w:color w:val="000000"/>
          <w:lang w:eastAsia="en-US"/>
        </w:rPr>
        <w:t>J Clin Endocrinol Metab., 2015, 100(5): 1927-32.</w:t>
      </w:r>
    </w:p>
    <w:p w14:paraId="5BD14722"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Scheen AJ, Paquot N. Metabolic effects of SGLT- 2 inhibitors beyond increased glucosuria: a review of the clinical evidence. </w:t>
      </w:r>
      <w:r w:rsidRPr="00AA4E66">
        <w:rPr>
          <w:rFonts w:eastAsia="TimesNewRomanPSMT"/>
          <w:color w:val="000000"/>
          <w:lang w:eastAsia="en-US"/>
        </w:rPr>
        <w:t>Diabetes Metab, 2014, 40: S4-11.</w:t>
      </w:r>
    </w:p>
    <w:p w14:paraId="06A2DBEA"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Nauck MA. Update on developments with SGLT2 inhibitors in the management of type 2 diabetes. </w:t>
      </w:r>
      <w:r w:rsidRPr="00AA4E66">
        <w:rPr>
          <w:rFonts w:eastAsia="TimesNewRomanPSMT"/>
          <w:color w:val="000000"/>
          <w:lang w:eastAsia="en-US"/>
        </w:rPr>
        <w:t>Drug Des Devel Ther., 2014; 8: 1335-80.</w:t>
      </w:r>
    </w:p>
    <w:p w14:paraId="30DB5D73" w14:textId="08B5713C"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Хроническая сердечная недостаточность. Клинические рекомендации 2020. Российский кардиологический журнал. 2020;25(11):4083. doi:10.15829/1560-4071-2020-4083 https://russjcardiol.elpub.ru/jour/article/viewFile/4083/3084</w:t>
      </w:r>
    </w:p>
    <w:p w14:paraId="6A9CDC84" w14:textId="77777777" w:rsidR="00C035FA" w:rsidRPr="00AA4E66"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Fomin IV. Epidemiology of chronic heart failure in the Russian Federation. In: Chronic heart failure. </w:t>
      </w:r>
      <w:proofErr w:type="gramStart"/>
      <w:r w:rsidRPr="00677CFF">
        <w:rPr>
          <w:rFonts w:eastAsia="TimesNewRomanPSMT"/>
          <w:color w:val="000000"/>
          <w:lang w:val="en-US" w:eastAsia="en-US"/>
        </w:rPr>
        <w:t>M.:GEOTAR</w:t>
      </w:r>
      <w:proofErr w:type="gramEnd"/>
      <w:r w:rsidRPr="00677CFF">
        <w:rPr>
          <w:rFonts w:eastAsia="TimesNewRomanPSMT"/>
          <w:color w:val="000000"/>
          <w:lang w:val="en-US" w:eastAsia="en-US"/>
        </w:rPr>
        <w:t xml:space="preserve">-Media. 2010. p. 7-77. (In Russ). </w:t>
      </w:r>
      <w:r w:rsidRPr="00AA4E66">
        <w:rPr>
          <w:rFonts w:eastAsia="TimesNewRomanPSMT"/>
          <w:color w:val="000000"/>
          <w:lang w:eastAsia="en-US"/>
        </w:rPr>
        <w:t>Фомин И.В. Эпидемиология хронической сердечной недостаточности в Российской Федерации. В кн.: Хроническая сердечная недостаточность. М.: ГЭОТАР-Медиа. 2010.c. 7–77</w:t>
      </w:r>
    </w:p>
    <w:p w14:paraId="1EC4A8B2" w14:textId="01050E9D" w:rsidR="00C035FA" w:rsidRPr="00677CFF" w:rsidRDefault="008D5756" w:rsidP="00AA4E66">
      <w:pPr>
        <w:pStyle w:val="ListParagraph"/>
        <w:numPr>
          <w:ilvl w:val="0"/>
          <w:numId w:val="19"/>
        </w:numPr>
        <w:autoSpaceDE w:val="0"/>
        <w:autoSpaceDN w:val="0"/>
        <w:adjustRightInd w:val="0"/>
        <w:spacing w:after="0" w:line="240" w:lineRule="auto"/>
        <w:ind w:left="709"/>
        <w:rPr>
          <w:rFonts w:eastAsia="TimesNewRomanPSMT"/>
          <w:color w:val="000000"/>
          <w:lang w:val="en-US" w:eastAsia="en-US"/>
        </w:rPr>
      </w:pPr>
      <w:r w:rsidRPr="00677CFF">
        <w:rPr>
          <w:rFonts w:eastAsia="TimesNewRomanPSMT"/>
          <w:color w:val="000000"/>
          <w:lang w:val="en-US" w:eastAsia="en-US"/>
        </w:rPr>
        <w:t>McMurray JJV, Solomon SD, Inzucchi SE, et al. Dapagliflozin in Patients with Heart Failure and Reduced Ejection Fraction. N Engl J Med. 2019;381(21):1995-2008. doi:10.1056/ NEJMoa1911303.</w:t>
      </w:r>
    </w:p>
    <w:p w14:paraId="3A0E4952" w14:textId="6971FBC6" w:rsidR="007F229F" w:rsidRPr="00AA4E66" w:rsidRDefault="007F229F"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 xml:space="preserve">Кивва Владимир Николаевич, Абрамова Татьяна Николаевна Патогенез сердечной недостаточности // Астраханский медицинский журнал. 2009. №1. </w:t>
      </w:r>
    </w:p>
    <w:p w14:paraId="2C0709C7" w14:textId="4F5EBA2B" w:rsidR="008F489E" w:rsidRPr="00AA4E66" w:rsidRDefault="008F489E"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Raphael C, Briscoe C, Davies J, Ian Whinnett Z, Manisty C, Sutton R, Mayet J, Francis DP. Limitations of the New York Heart Association functional classification system and self-reported walking distances in chronic heart failure. </w:t>
      </w:r>
      <w:r w:rsidRPr="00AA4E66">
        <w:rPr>
          <w:rFonts w:eastAsia="TimesNewRomanPSMT"/>
          <w:color w:val="000000"/>
          <w:lang w:eastAsia="en-US"/>
        </w:rPr>
        <w:t>Heart. 2007 Apr;93(4):476-82. doi: 10.1136/hrt.2006.089656. Epub 2006 Sep 27. PMID: 17005715; PMCID: PMC1861501.</w:t>
      </w:r>
    </w:p>
    <w:p w14:paraId="0018DB11" w14:textId="57200153" w:rsidR="00FD1A88" w:rsidRPr="00AA4E66" w:rsidRDefault="00015692"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677CFF">
        <w:rPr>
          <w:rFonts w:eastAsia="TimesNewRomanPSMT"/>
          <w:color w:val="000000"/>
          <w:lang w:val="en-US" w:eastAsia="en-US"/>
        </w:rPr>
        <w:t xml:space="preserve">Fadi </w:t>
      </w:r>
      <w:proofErr w:type="gramStart"/>
      <w:r w:rsidRPr="00677CFF">
        <w:rPr>
          <w:rFonts w:eastAsia="TimesNewRomanPSMT"/>
          <w:color w:val="000000"/>
          <w:lang w:val="en-US" w:eastAsia="en-US"/>
        </w:rPr>
        <w:t>Hage ,</w:t>
      </w:r>
      <w:proofErr w:type="gramEnd"/>
      <w:r w:rsidRPr="00677CFF">
        <w:rPr>
          <w:rFonts w:eastAsia="TimesNewRomanPSMT"/>
          <w:color w:val="000000"/>
          <w:lang w:val="en-US" w:eastAsia="en-US"/>
        </w:rPr>
        <w:t xml:space="preserve"> Ali Hage , Haissam Haddad , Bob Kiaii. Update on revascularization in patients with heart failure and coronary artery disease. </w:t>
      </w:r>
      <w:r w:rsidRPr="00AA4E66">
        <w:rPr>
          <w:rFonts w:eastAsia="TimesNewRomanPSMT"/>
          <w:color w:val="000000"/>
          <w:lang w:eastAsia="en-US"/>
        </w:rPr>
        <w:t>Curr Opin Cardiol. 2018 Mar;33(2):232-236. doi: 10.1097/HCO.0000000000000483</w:t>
      </w:r>
    </w:p>
    <w:p w14:paraId="6183C5FE" w14:textId="572C2024" w:rsidR="00FD1A88" w:rsidRPr="00AA4E66" w:rsidRDefault="00FD1A88"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 xml:space="preserve">Глава 6. Сердечная ресинхронизирующая терапия // </w:t>
      </w:r>
      <w:r w:rsidR="00015692" w:rsidRPr="00AA4E66">
        <w:rPr>
          <w:rFonts w:eastAsia="TimesNewRomanPSMT"/>
          <w:color w:val="000000"/>
          <w:lang w:eastAsia="en-US"/>
        </w:rPr>
        <w:t>Евразийский кардиологический журнал</w:t>
      </w:r>
      <w:r w:rsidRPr="00AA4E66">
        <w:rPr>
          <w:rFonts w:eastAsia="TimesNewRomanPSMT"/>
          <w:color w:val="000000"/>
          <w:lang w:eastAsia="en-US"/>
        </w:rPr>
        <w:t xml:space="preserve">. 2014. №2. </w:t>
      </w:r>
    </w:p>
    <w:p w14:paraId="798867FD" w14:textId="7CD55ACB" w:rsidR="00C035FA" w:rsidRPr="00AA4E66" w:rsidRDefault="00FD1A88" w:rsidP="00AA4E66">
      <w:pPr>
        <w:pStyle w:val="ListParagraph"/>
        <w:numPr>
          <w:ilvl w:val="0"/>
          <w:numId w:val="19"/>
        </w:numPr>
        <w:autoSpaceDE w:val="0"/>
        <w:autoSpaceDN w:val="0"/>
        <w:adjustRightInd w:val="0"/>
        <w:spacing w:after="0" w:line="240" w:lineRule="auto"/>
        <w:ind w:left="709"/>
        <w:rPr>
          <w:rFonts w:eastAsia="TimesNewRomanPSMT"/>
          <w:color w:val="000000"/>
          <w:lang w:eastAsia="en-US"/>
        </w:rPr>
      </w:pPr>
      <w:r w:rsidRPr="00AA4E66">
        <w:rPr>
          <w:rFonts w:eastAsia="TimesNewRomanPSMT"/>
          <w:color w:val="000000"/>
          <w:lang w:eastAsia="en-US"/>
        </w:rPr>
        <w:t xml:space="preserve">Ступаков С.И. Кардиостимуляция и нарушения ритма у пациентов с хронической сердечной недостаточностью // КВТиП. 2015. №3. </w:t>
      </w:r>
    </w:p>
    <w:p w14:paraId="0120115D" w14:textId="3AFD79C4" w:rsidR="00C035FA" w:rsidRDefault="000C7F59" w:rsidP="000C7F59">
      <w:pPr>
        <w:pStyle w:val="Heading1"/>
        <w:tabs>
          <w:tab w:val="left" w:pos="142"/>
          <w:tab w:val="left" w:pos="284"/>
          <w:tab w:val="left" w:pos="720"/>
        </w:tabs>
        <w:spacing w:line="240" w:lineRule="auto"/>
        <w:rPr>
          <w:rFonts w:cs="Times New Roman"/>
          <w:color w:val="000000" w:themeColor="text1"/>
          <w:szCs w:val="24"/>
        </w:rPr>
      </w:pPr>
      <w:bookmarkStart w:id="36" w:name="_Toc139366826"/>
      <w:r>
        <w:rPr>
          <w:rFonts w:cs="Times New Roman"/>
          <w:color w:val="000000" w:themeColor="text1"/>
          <w:szCs w:val="24"/>
        </w:rPr>
        <w:t xml:space="preserve">2. </w:t>
      </w:r>
      <w:r w:rsidR="008D5756">
        <w:rPr>
          <w:rFonts w:cs="Times New Roman"/>
          <w:color w:val="000000" w:themeColor="text1"/>
          <w:szCs w:val="24"/>
        </w:rPr>
        <w:t>ФИЗИЧЕСКИЕ, ХИМИЧЕСКИЕ И ФАРМАЦЕВТИЧЕСКИЕ СВОЙСТВА И ЛЕКАРСТВЕННАЯ ФОРМА</w:t>
      </w:r>
      <w:bookmarkEnd w:id="36"/>
    </w:p>
    <w:p w14:paraId="4646C3E6" w14:textId="77777777" w:rsidR="00C035FA" w:rsidRDefault="008D5756">
      <w:pPr>
        <w:pStyle w:val="Heading2"/>
        <w:spacing w:line="240" w:lineRule="auto"/>
        <w:rPr>
          <w:color w:val="000000" w:themeColor="text1"/>
          <w:szCs w:val="24"/>
        </w:rPr>
      </w:pPr>
      <w:bookmarkStart w:id="37" w:name="_Toc415001079"/>
      <w:bookmarkStart w:id="38" w:name="_Toc139366827"/>
      <w:r>
        <w:rPr>
          <w:color w:val="000000" w:themeColor="text1"/>
          <w:szCs w:val="24"/>
        </w:rPr>
        <w:t>2.1. Описание свойств исследуемого препарата</w:t>
      </w:r>
      <w:bookmarkEnd w:id="37"/>
      <w:bookmarkEnd w:id="38"/>
    </w:p>
    <w:p w14:paraId="23D62CDA" w14:textId="77777777" w:rsidR="00C035FA" w:rsidRDefault="008D5756">
      <w:pPr>
        <w:pStyle w:val="Heading3"/>
        <w:spacing w:after="240" w:line="240" w:lineRule="auto"/>
        <w:rPr>
          <w:rFonts w:ascii="Times New Roman" w:hAnsi="Times New Roman"/>
          <w:color w:val="000000" w:themeColor="text1"/>
          <w:szCs w:val="24"/>
        </w:rPr>
      </w:pPr>
      <w:bookmarkStart w:id="39" w:name="_Toc415001080"/>
      <w:bookmarkStart w:id="40" w:name="_Toc139366828"/>
      <w:r>
        <w:rPr>
          <w:rFonts w:ascii="Times New Roman" w:hAnsi="Times New Roman"/>
          <w:color w:val="000000" w:themeColor="text1"/>
          <w:szCs w:val="24"/>
        </w:rPr>
        <w:t>2.1.1. Химическая формула</w:t>
      </w:r>
      <w:bookmarkEnd w:id="39"/>
      <w:bookmarkEnd w:id="40"/>
    </w:p>
    <w:bookmarkStart w:id="41" w:name="_Toc415001081"/>
    <w:p w14:paraId="6A836DB3" w14:textId="77777777" w:rsidR="00C035FA" w:rsidRDefault="008D5756">
      <w:pPr>
        <w:rPr>
          <w:b/>
          <w:bCs/>
          <w:color w:val="000000" w:themeColor="text1"/>
        </w:rPr>
      </w:pPr>
      <w:r>
        <w:rPr>
          <w:color w:val="000000" w:themeColor="text1"/>
          <w:lang w:val="en-US"/>
        </w:rPr>
        <w:fldChar w:fldCharType="begin"/>
      </w:r>
      <w:r>
        <w:rPr>
          <w:color w:val="000000" w:themeColor="text1"/>
        </w:rPr>
        <w:instrText xml:space="preserve"> </w:instrText>
      </w:r>
      <w:r>
        <w:rPr>
          <w:color w:val="000000" w:themeColor="text1"/>
          <w:lang w:val="en-US"/>
        </w:rPr>
        <w:instrText>HYPERLINK</w:instrText>
      </w:r>
      <w:r>
        <w:rPr>
          <w:color w:val="000000" w:themeColor="text1"/>
        </w:rPr>
        <w:instrText xml:space="preserve"> "</w:instrText>
      </w:r>
      <w:r>
        <w:rPr>
          <w:color w:val="000000" w:themeColor="text1"/>
          <w:lang w:val="en-US"/>
        </w:rPr>
        <w:instrText>https</w:instrText>
      </w:r>
      <w:r>
        <w:rPr>
          <w:color w:val="000000" w:themeColor="text1"/>
        </w:rPr>
        <w:instrText>://</w:instrText>
      </w:r>
      <w:r>
        <w:rPr>
          <w:color w:val="000000" w:themeColor="text1"/>
          <w:lang w:val="en-US"/>
        </w:rPr>
        <w:instrText>pubchem</w:instrText>
      </w:r>
      <w:r>
        <w:rPr>
          <w:color w:val="000000" w:themeColor="text1"/>
        </w:rPr>
        <w:instrText>.</w:instrText>
      </w:r>
      <w:r>
        <w:rPr>
          <w:color w:val="000000" w:themeColor="text1"/>
          <w:lang w:val="en-US"/>
        </w:rPr>
        <w:instrText>ncbi</w:instrText>
      </w:r>
      <w:r>
        <w:rPr>
          <w:color w:val="000000" w:themeColor="text1"/>
        </w:rPr>
        <w:instrText>.</w:instrText>
      </w:r>
      <w:r>
        <w:rPr>
          <w:color w:val="000000" w:themeColor="text1"/>
          <w:lang w:val="en-US"/>
        </w:rPr>
        <w:instrText>nlm</w:instrText>
      </w:r>
      <w:r>
        <w:rPr>
          <w:color w:val="000000" w:themeColor="text1"/>
        </w:rPr>
        <w:instrText>.</w:instrText>
      </w:r>
      <w:r>
        <w:rPr>
          <w:color w:val="000000" w:themeColor="text1"/>
          <w:lang w:val="en-US"/>
        </w:rPr>
        <w:instrText>nih</w:instrText>
      </w:r>
      <w:r>
        <w:rPr>
          <w:color w:val="000000" w:themeColor="text1"/>
        </w:rPr>
        <w:instrText>.</w:instrText>
      </w:r>
      <w:r>
        <w:rPr>
          <w:color w:val="000000" w:themeColor="text1"/>
          <w:lang w:val="en-US"/>
        </w:rPr>
        <w:instrText>gov</w:instrText>
      </w:r>
      <w:r>
        <w:rPr>
          <w:color w:val="000000" w:themeColor="text1"/>
        </w:rPr>
        <w:instrText>/" \</w:instrText>
      </w:r>
      <w:r>
        <w:rPr>
          <w:color w:val="000000" w:themeColor="text1"/>
          <w:lang w:val="en-US"/>
        </w:rPr>
        <w:instrText>l</w:instrText>
      </w:r>
      <w:r>
        <w:rPr>
          <w:color w:val="000000" w:themeColor="text1"/>
        </w:rPr>
        <w:instrText xml:space="preserve"> "</w:instrText>
      </w:r>
      <w:r>
        <w:rPr>
          <w:color w:val="000000" w:themeColor="text1"/>
          <w:lang w:val="en-US"/>
        </w:rPr>
        <w:instrText>query</w:instrText>
      </w:r>
      <w:r>
        <w:rPr>
          <w:color w:val="000000" w:themeColor="text1"/>
        </w:rPr>
        <w:instrText>=</w:instrText>
      </w:r>
      <w:r>
        <w:rPr>
          <w:color w:val="000000" w:themeColor="text1"/>
          <w:lang w:val="en-US"/>
        </w:rPr>
        <w:instrText>C</w:instrText>
      </w:r>
      <w:r>
        <w:rPr>
          <w:color w:val="000000" w:themeColor="text1"/>
        </w:rPr>
        <w:instrText>23</w:instrText>
      </w:r>
      <w:r>
        <w:rPr>
          <w:color w:val="000000" w:themeColor="text1"/>
          <w:lang w:val="en-US"/>
        </w:rPr>
        <w:instrText>H</w:instrText>
      </w:r>
      <w:r>
        <w:rPr>
          <w:color w:val="000000" w:themeColor="text1"/>
        </w:rPr>
        <w:instrText>27</w:instrText>
      </w:r>
      <w:r>
        <w:rPr>
          <w:color w:val="000000" w:themeColor="text1"/>
          <w:lang w:val="en-US"/>
        </w:rPr>
        <w:instrText>ClO</w:instrText>
      </w:r>
      <w:r>
        <w:rPr>
          <w:color w:val="000000" w:themeColor="text1"/>
        </w:rPr>
        <w:instrText>7" \</w:instrText>
      </w:r>
      <w:r>
        <w:rPr>
          <w:color w:val="000000" w:themeColor="text1"/>
          <w:lang w:val="en-US"/>
        </w:rPr>
        <w:instrText>o</w:instrText>
      </w:r>
      <w:r>
        <w:rPr>
          <w:color w:val="000000" w:themeColor="text1"/>
        </w:rPr>
        <w:instrText xml:space="preserve"> "</w:instrText>
      </w:r>
      <w:r>
        <w:rPr>
          <w:color w:val="000000" w:themeColor="text1"/>
          <w:lang w:val="en-US"/>
        </w:rPr>
        <w:instrText>Find</w:instrText>
      </w:r>
      <w:r>
        <w:rPr>
          <w:color w:val="000000" w:themeColor="text1"/>
        </w:rPr>
        <w:instrText xml:space="preserve"> </w:instrText>
      </w:r>
      <w:r>
        <w:rPr>
          <w:color w:val="000000" w:themeColor="text1"/>
          <w:lang w:val="en-US"/>
        </w:rPr>
        <w:instrText>all</w:instrText>
      </w:r>
      <w:r>
        <w:rPr>
          <w:color w:val="000000" w:themeColor="text1"/>
        </w:rPr>
        <w:instrText xml:space="preserve"> </w:instrText>
      </w:r>
      <w:r>
        <w:rPr>
          <w:color w:val="000000" w:themeColor="text1"/>
          <w:lang w:val="en-US"/>
        </w:rPr>
        <w:instrText>compounds</w:instrText>
      </w:r>
      <w:r>
        <w:rPr>
          <w:color w:val="000000" w:themeColor="text1"/>
        </w:rPr>
        <w:instrText xml:space="preserve"> </w:instrText>
      </w:r>
      <w:r>
        <w:rPr>
          <w:color w:val="000000" w:themeColor="text1"/>
          <w:lang w:val="en-US"/>
        </w:rPr>
        <w:instrText>that</w:instrText>
      </w:r>
      <w:r>
        <w:rPr>
          <w:color w:val="000000" w:themeColor="text1"/>
        </w:rPr>
        <w:instrText xml:space="preserve"> </w:instrText>
      </w:r>
      <w:r>
        <w:rPr>
          <w:color w:val="000000" w:themeColor="text1"/>
          <w:lang w:val="en-US"/>
        </w:rPr>
        <w:instrText>have</w:instrText>
      </w:r>
      <w:r>
        <w:rPr>
          <w:color w:val="000000" w:themeColor="text1"/>
        </w:rPr>
        <w:instrText xml:space="preserve"> </w:instrText>
      </w:r>
      <w:r>
        <w:rPr>
          <w:color w:val="000000" w:themeColor="text1"/>
          <w:lang w:val="en-US"/>
        </w:rPr>
        <w:instrText>this</w:instrText>
      </w:r>
      <w:r>
        <w:rPr>
          <w:color w:val="000000" w:themeColor="text1"/>
        </w:rPr>
        <w:instrText xml:space="preserve"> </w:instrText>
      </w:r>
      <w:r>
        <w:rPr>
          <w:color w:val="000000" w:themeColor="text1"/>
          <w:lang w:val="en-US"/>
        </w:rPr>
        <w:instrText>formula</w:instrText>
      </w:r>
      <w:r>
        <w:rPr>
          <w:color w:val="000000" w:themeColor="text1"/>
        </w:rPr>
        <w:instrText xml:space="preserve">" </w:instrText>
      </w:r>
      <w:r>
        <w:rPr>
          <w:color w:val="000000" w:themeColor="text1"/>
          <w:lang w:val="en-US"/>
        </w:rPr>
        <w:fldChar w:fldCharType="separate"/>
      </w:r>
      <w:r>
        <w:rPr>
          <w:rStyle w:val="Hyperlink"/>
          <w:color w:val="000000" w:themeColor="text1"/>
          <w:u w:val="none"/>
          <w:lang w:val="en-US"/>
        </w:rPr>
        <w:t>C</w:t>
      </w:r>
      <w:r>
        <w:rPr>
          <w:rStyle w:val="Hyperlink"/>
          <w:color w:val="000000" w:themeColor="text1"/>
          <w:u w:val="none"/>
          <w:vertAlign w:val="subscript"/>
        </w:rPr>
        <w:t>23</w:t>
      </w:r>
      <w:r>
        <w:rPr>
          <w:rStyle w:val="Hyperlink"/>
          <w:color w:val="000000" w:themeColor="text1"/>
          <w:u w:val="none"/>
          <w:lang w:val="en-US"/>
        </w:rPr>
        <w:t>H</w:t>
      </w:r>
      <w:r>
        <w:rPr>
          <w:rStyle w:val="Hyperlink"/>
          <w:color w:val="000000" w:themeColor="text1"/>
          <w:u w:val="none"/>
          <w:vertAlign w:val="subscript"/>
        </w:rPr>
        <w:t>27</w:t>
      </w:r>
      <w:proofErr w:type="spellStart"/>
      <w:r>
        <w:rPr>
          <w:rStyle w:val="Hyperlink"/>
          <w:color w:val="000000" w:themeColor="text1"/>
          <w:u w:val="none"/>
          <w:lang w:val="en-US"/>
        </w:rPr>
        <w:t>ClO</w:t>
      </w:r>
      <w:proofErr w:type="spellEnd"/>
      <w:r>
        <w:rPr>
          <w:rStyle w:val="Hyperlink"/>
          <w:color w:val="000000" w:themeColor="text1"/>
          <w:u w:val="none"/>
          <w:vertAlign w:val="subscript"/>
        </w:rPr>
        <w:t>7</w:t>
      </w:r>
      <w:r>
        <w:rPr>
          <w:color w:val="000000" w:themeColor="text1"/>
        </w:rPr>
        <w:fldChar w:fldCharType="end"/>
      </w:r>
    </w:p>
    <w:p w14:paraId="4F14694F" w14:textId="77777777" w:rsidR="00C035FA" w:rsidRDefault="008D5756">
      <w:pPr>
        <w:pStyle w:val="Heading3"/>
        <w:spacing w:after="240" w:line="240" w:lineRule="auto"/>
        <w:rPr>
          <w:rFonts w:ascii="Times New Roman" w:hAnsi="Times New Roman"/>
          <w:color w:val="000000" w:themeColor="text1"/>
          <w:szCs w:val="24"/>
        </w:rPr>
      </w:pPr>
      <w:bookmarkStart w:id="42" w:name="_Toc139366829"/>
      <w:r>
        <w:rPr>
          <w:rFonts w:ascii="Times New Roman" w:hAnsi="Times New Roman"/>
          <w:color w:val="000000" w:themeColor="text1"/>
          <w:szCs w:val="24"/>
        </w:rPr>
        <w:t>2.1.2. Структурная формула</w:t>
      </w:r>
      <w:bookmarkEnd w:id="41"/>
      <w:bookmarkEnd w:id="42"/>
    </w:p>
    <w:p w14:paraId="3884D096" w14:textId="77777777" w:rsidR="00AA4E66" w:rsidRDefault="00AA4E66">
      <w:pPr>
        <w:spacing w:after="0" w:line="240" w:lineRule="auto"/>
        <w:rPr>
          <w:b/>
          <w:color w:val="000000" w:themeColor="text1"/>
        </w:rPr>
        <w:sectPr w:rsidR="00AA4E66">
          <w:pgSz w:w="11906" w:h="16838"/>
          <w:pgMar w:top="1134" w:right="851" w:bottom="1134" w:left="1701" w:header="709" w:footer="709" w:gutter="0"/>
          <w:cols w:space="708"/>
          <w:docGrid w:linePitch="360"/>
        </w:sectPr>
      </w:pPr>
    </w:p>
    <w:p w14:paraId="5D18CA26" w14:textId="5504E9A9" w:rsidR="00C035FA" w:rsidRDefault="008D5756">
      <w:pPr>
        <w:spacing w:after="0" w:line="240" w:lineRule="auto"/>
        <w:rPr>
          <w:color w:val="000000" w:themeColor="text1"/>
        </w:rPr>
      </w:pPr>
      <w:r>
        <w:rPr>
          <w:b/>
          <w:color w:val="000000" w:themeColor="text1"/>
        </w:rPr>
        <w:lastRenderedPageBreak/>
        <w:t>Рисунок 2-1.</w:t>
      </w:r>
      <w:r>
        <w:rPr>
          <w:color w:val="000000" w:themeColor="text1"/>
        </w:rPr>
        <w:t xml:space="preserve"> Структурная формула </w:t>
      </w:r>
      <w:r>
        <w:rPr>
          <w:rFonts w:eastAsia="Times New Roman"/>
          <w:bCs/>
          <w:lang w:eastAsia="ru-RU"/>
        </w:rPr>
        <w:t>эмпаглифлозина</w:t>
      </w:r>
      <w:r>
        <w:rPr>
          <w:color w:val="000000" w:themeColor="text1"/>
        </w:rPr>
        <w:t>.</w:t>
      </w:r>
    </w:p>
    <w:p w14:paraId="1B0FF477" w14:textId="48DF324D" w:rsidR="00C035FA" w:rsidRDefault="008D5756">
      <w:r>
        <w:t xml:space="preserve"> </w:t>
      </w:r>
      <w:r w:rsidR="00C9580E" w:rsidRPr="00C9580E">
        <w:rPr>
          <w:noProof/>
          <w:lang w:eastAsia="ru-RU"/>
        </w:rPr>
        <w:drawing>
          <wp:inline distT="0" distB="0" distL="0" distR="0" wp14:anchorId="083DDA70" wp14:editId="12E99C54">
            <wp:extent cx="34861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524000"/>
                    </a:xfrm>
                    <a:prstGeom prst="rect">
                      <a:avLst/>
                    </a:prstGeom>
                    <a:noFill/>
                    <a:ln>
                      <a:noFill/>
                    </a:ln>
                  </pic:spPr>
                </pic:pic>
              </a:graphicData>
            </a:graphic>
          </wp:inline>
        </w:drawing>
      </w:r>
    </w:p>
    <w:p w14:paraId="4E2238D8" w14:textId="77777777" w:rsidR="00C035FA" w:rsidRDefault="008D5756">
      <w:pPr>
        <w:spacing w:after="0" w:line="240" w:lineRule="auto"/>
        <w:rPr>
          <w:rFonts w:eastAsiaTheme="minorHAnsi"/>
          <w:color w:val="000000" w:themeColor="text1"/>
          <w:lang w:eastAsia="en-US"/>
        </w:rPr>
      </w:pPr>
      <w:r>
        <w:rPr>
          <w:rStyle w:val="lrzxr"/>
          <w:b/>
        </w:rPr>
        <w:t xml:space="preserve">Молекулярная масса: </w:t>
      </w:r>
      <w:r>
        <w:rPr>
          <w:szCs w:val="28"/>
          <w:lang w:bidi="ru-RU"/>
        </w:rPr>
        <w:t xml:space="preserve">450,9 г/моль </w:t>
      </w:r>
    </w:p>
    <w:p w14:paraId="11EB987A" w14:textId="77777777" w:rsidR="00C035FA" w:rsidRDefault="008D5756">
      <w:pPr>
        <w:pStyle w:val="Heading3"/>
        <w:spacing w:after="240" w:line="240" w:lineRule="auto"/>
        <w:rPr>
          <w:rFonts w:ascii="Times New Roman" w:hAnsi="Times New Roman"/>
          <w:color w:val="000000" w:themeColor="text1"/>
          <w:szCs w:val="24"/>
        </w:rPr>
      </w:pPr>
      <w:bookmarkStart w:id="43" w:name="_Toc323751672"/>
      <w:bookmarkStart w:id="44" w:name="_Toc139366830"/>
      <w:r>
        <w:rPr>
          <w:rFonts w:ascii="Times New Roman" w:hAnsi="Times New Roman"/>
          <w:color w:val="000000" w:themeColor="text1"/>
          <w:szCs w:val="24"/>
        </w:rPr>
        <w:t>2.1.3. Физико-химические и фармацевтические свойства</w:t>
      </w:r>
      <w:bookmarkEnd w:id="43"/>
      <w:bookmarkEnd w:id="44"/>
    </w:p>
    <w:p w14:paraId="16454A47" w14:textId="36C01B52" w:rsidR="00C035FA" w:rsidRDefault="008D5756">
      <w:pPr>
        <w:spacing w:after="0" w:line="240" w:lineRule="auto"/>
        <w:ind w:firstLine="708"/>
      </w:pPr>
      <w:r>
        <w:t xml:space="preserve">Эмпаглифлозин представляет собой порошок от белого до желтоватого цвета. Очень мало растворим в водной среде при всех значениях рН. Температура плавления составляет 150 </w:t>
      </w:r>
      <w:r w:rsidR="00C9580E" w:rsidRPr="00DF261B">
        <w:t>℃</w:t>
      </w:r>
      <w:r>
        <w:t>.</w:t>
      </w:r>
    </w:p>
    <w:p w14:paraId="7B3F43FB" w14:textId="77777777" w:rsidR="00C035FA" w:rsidRDefault="008D5756">
      <w:pPr>
        <w:pStyle w:val="Heading2"/>
        <w:spacing w:line="240" w:lineRule="auto"/>
        <w:rPr>
          <w:color w:val="000000" w:themeColor="text1"/>
          <w:szCs w:val="24"/>
        </w:rPr>
      </w:pPr>
      <w:bookmarkStart w:id="45" w:name="_Toc139366831"/>
      <w:r>
        <w:rPr>
          <w:color w:val="000000" w:themeColor="text1"/>
          <w:szCs w:val="24"/>
        </w:rPr>
        <w:t>2.2. Лекарственная форма</w:t>
      </w:r>
      <w:bookmarkEnd w:id="45"/>
    </w:p>
    <w:p w14:paraId="451FEB3F" w14:textId="77777777" w:rsidR="00C035FA" w:rsidRDefault="008D5756">
      <w:pPr>
        <w:pStyle w:val="Heading3"/>
        <w:spacing w:after="240" w:line="240" w:lineRule="auto"/>
        <w:rPr>
          <w:rFonts w:ascii="Times New Roman" w:hAnsi="Times New Roman"/>
          <w:color w:val="000000" w:themeColor="text1"/>
          <w:szCs w:val="24"/>
        </w:rPr>
      </w:pPr>
      <w:bookmarkStart w:id="46" w:name="_Toc139366832"/>
      <w:r>
        <w:rPr>
          <w:rFonts w:ascii="Times New Roman" w:hAnsi="Times New Roman"/>
          <w:color w:val="000000" w:themeColor="text1"/>
          <w:szCs w:val="24"/>
        </w:rPr>
        <w:t>2.2.1. Название лекарственной формы</w:t>
      </w:r>
      <w:bookmarkEnd w:id="46"/>
    </w:p>
    <w:p w14:paraId="74909B7D" w14:textId="77777777" w:rsidR="00C035FA" w:rsidRDefault="008D5756">
      <w:pPr>
        <w:spacing w:after="0" w:line="240" w:lineRule="auto"/>
        <w:ind w:firstLine="709"/>
        <w:rPr>
          <w:rFonts w:eastAsia="Calibri"/>
          <w:color w:val="000000" w:themeColor="text1"/>
          <w:lang w:eastAsia="en-US"/>
        </w:rPr>
      </w:pPr>
      <w:r>
        <w:t>Таблетки, покрытые пленочной оболочкой.</w:t>
      </w:r>
    </w:p>
    <w:p w14:paraId="6AA9EED0" w14:textId="6720A363" w:rsidR="00C035FA" w:rsidRDefault="008D5756">
      <w:pPr>
        <w:pStyle w:val="Heading3"/>
        <w:spacing w:after="240" w:line="240" w:lineRule="auto"/>
        <w:rPr>
          <w:rFonts w:ascii="Times New Roman" w:hAnsi="Times New Roman"/>
          <w:color w:val="000000" w:themeColor="text1"/>
          <w:szCs w:val="24"/>
        </w:rPr>
      </w:pPr>
      <w:bookmarkStart w:id="47" w:name="_Toc139366833"/>
      <w:r w:rsidRPr="003A036A">
        <w:rPr>
          <w:rFonts w:ascii="Times New Roman" w:hAnsi="Times New Roman"/>
          <w:color w:val="000000" w:themeColor="text1"/>
          <w:szCs w:val="24"/>
        </w:rPr>
        <w:t>2.2.2. Описание лекарственной формы</w:t>
      </w:r>
      <w:bookmarkEnd w:id="47"/>
    </w:p>
    <w:p w14:paraId="07324E7B" w14:textId="7EBAE16C" w:rsidR="00DF261B" w:rsidRDefault="00DF261B" w:rsidP="00C376ED">
      <w:pPr>
        <w:spacing w:after="0" w:line="240" w:lineRule="auto"/>
        <w:ind w:firstLine="709"/>
        <w:contextualSpacing/>
      </w:pPr>
      <w:r w:rsidRPr="001C6A4E">
        <w:t xml:space="preserve">Лекарственный препарат </w:t>
      </w:r>
      <w:r w:rsidRPr="001C6A4E">
        <w:rPr>
          <w:lang w:val="en-US" w:eastAsia="ru-RU"/>
        </w:rPr>
        <w:t>D</w:t>
      </w:r>
      <w:r w:rsidRPr="001C6A4E">
        <w:rPr>
          <w:lang w:eastAsia="ru-RU"/>
        </w:rPr>
        <w:t>T-</w:t>
      </w:r>
      <w:r>
        <w:rPr>
          <w:lang w:val="en-US" w:eastAsia="ru-RU"/>
        </w:rPr>
        <w:t>EMP</w:t>
      </w:r>
      <w:r w:rsidRPr="001C6A4E">
        <w:t xml:space="preserve"> планируется выпускать в </w:t>
      </w:r>
      <w:r>
        <w:t>дозировках 10 мг и 25 мг</w:t>
      </w:r>
      <w:r w:rsidRPr="001C6A4E">
        <w:t>.</w:t>
      </w:r>
    </w:p>
    <w:p w14:paraId="6266F2A7" w14:textId="77777777" w:rsidR="00C376ED" w:rsidRPr="001C6A4E" w:rsidRDefault="00C376ED" w:rsidP="00C376ED">
      <w:pPr>
        <w:spacing w:after="0" w:line="240" w:lineRule="auto"/>
        <w:ind w:firstLine="709"/>
        <w:contextualSpacing/>
      </w:pPr>
    </w:p>
    <w:p w14:paraId="6A290260" w14:textId="467E3FA5" w:rsidR="00DF261B" w:rsidRDefault="00C376ED" w:rsidP="00C376ED">
      <w:pPr>
        <w:spacing w:after="0" w:line="240" w:lineRule="auto"/>
        <w:rPr>
          <w:rFonts w:eastAsia="Times New Roman"/>
          <w:i/>
          <w:lang w:eastAsia="ru-RU"/>
        </w:rPr>
      </w:pPr>
      <w:r w:rsidRPr="00C376ED">
        <w:rPr>
          <w:rFonts w:eastAsia="Times New Roman"/>
          <w:i/>
          <w:lang w:eastAsia="ru-RU"/>
        </w:rPr>
        <w:t>Дозировка 10 мг:</w:t>
      </w:r>
    </w:p>
    <w:p w14:paraId="745C6BEA" w14:textId="476C11F8" w:rsidR="00C376ED" w:rsidRDefault="00C376ED" w:rsidP="00C376ED">
      <w:pPr>
        <w:spacing w:after="0" w:line="240" w:lineRule="auto"/>
        <w:rPr>
          <w:rFonts w:eastAsia="Times New Roman"/>
          <w:lang w:eastAsia="ru-RU"/>
        </w:rPr>
      </w:pPr>
      <w:r>
        <w:rPr>
          <w:rFonts w:eastAsia="Times New Roman"/>
          <w:lang w:eastAsia="ru-RU"/>
        </w:rPr>
        <w:t>Круглые двояковыпуклые таблетки, покрытые пленочной оболочкой белого или почти белого цвета. На поперечном разрезе ядро таблетки от белого до почти белого цвета.</w:t>
      </w:r>
    </w:p>
    <w:p w14:paraId="241E6DF9" w14:textId="77777777" w:rsidR="00D74479" w:rsidRDefault="00D74479" w:rsidP="00D74479">
      <w:pPr>
        <w:spacing w:after="0" w:line="240" w:lineRule="auto"/>
        <w:rPr>
          <w:rFonts w:eastAsia="Times New Roman"/>
          <w:i/>
          <w:lang w:eastAsia="ru-RU"/>
        </w:rPr>
      </w:pPr>
    </w:p>
    <w:p w14:paraId="77C98388" w14:textId="7244A142" w:rsidR="00D74479" w:rsidRDefault="00D74479" w:rsidP="00D74479">
      <w:pPr>
        <w:spacing w:after="0" w:line="240" w:lineRule="auto"/>
        <w:rPr>
          <w:rFonts w:eastAsia="Times New Roman"/>
          <w:i/>
          <w:lang w:eastAsia="ru-RU"/>
        </w:rPr>
      </w:pPr>
      <w:r w:rsidRPr="00C376ED">
        <w:rPr>
          <w:rFonts w:eastAsia="Times New Roman"/>
          <w:i/>
          <w:lang w:eastAsia="ru-RU"/>
        </w:rPr>
        <w:t xml:space="preserve">Дозировка </w:t>
      </w:r>
      <w:r>
        <w:rPr>
          <w:rFonts w:eastAsia="Times New Roman"/>
          <w:i/>
          <w:lang w:eastAsia="ru-RU"/>
        </w:rPr>
        <w:t>25</w:t>
      </w:r>
      <w:r w:rsidRPr="00C376ED">
        <w:rPr>
          <w:rFonts w:eastAsia="Times New Roman"/>
          <w:i/>
          <w:lang w:eastAsia="ru-RU"/>
        </w:rPr>
        <w:t xml:space="preserve"> мг:</w:t>
      </w:r>
    </w:p>
    <w:p w14:paraId="5C934C6B" w14:textId="16D3746D" w:rsidR="00C376ED" w:rsidRDefault="00D74479" w:rsidP="00806318">
      <w:pPr>
        <w:spacing w:after="0" w:line="240" w:lineRule="auto"/>
        <w:rPr>
          <w:rFonts w:eastAsia="Times New Roman"/>
          <w:lang w:eastAsia="ru-RU"/>
        </w:rPr>
      </w:pPr>
      <w:r>
        <w:rPr>
          <w:rFonts w:eastAsia="Times New Roman"/>
          <w:lang w:eastAsia="ru-RU"/>
        </w:rPr>
        <w:t>Круглые двояковыпуклые таблетки, покрытые пленочной оболочкой светло-желтого с коричневатым оттенком цвета. На поперечном разрезе ядро таблетки от белого до почти белого цвета.</w:t>
      </w:r>
    </w:p>
    <w:p w14:paraId="49262FC5" w14:textId="77777777" w:rsidR="00806318" w:rsidRPr="00806318" w:rsidRDefault="00806318" w:rsidP="00806318">
      <w:pPr>
        <w:spacing w:after="0" w:line="240" w:lineRule="auto"/>
        <w:rPr>
          <w:rFonts w:eastAsia="Times New Roman"/>
          <w:lang w:eastAsia="ru-RU"/>
        </w:rPr>
      </w:pPr>
    </w:p>
    <w:p w14:paraId="143B8AB1" w14:textId="77777777" w:rsidR="00C035FA" w:rsidRPr="003A036A" w:rsidRDefault="008D5756" w:rsidP="00806318">
      <w:pPr>
        <w:pStyle w:val="Heading3"/>
        <w:spacing w:before="0" w:after="240" w:line="240" w:lineRule="auto"/>
        <w:rPr>
          <w:rFonts w:ascii="Times New Roman" w:hAnsi="Times New Roman"/>
          <w:color w:val="000000" w:themeColor="text1"/>
          <w:szCs w:val="24"/>
        </w:rPr>
      </w:pPr>
      <w:bookmarkStart w:id="48" w:name="_Toc139366834"/>
      <w:r w:rsidRPr="003A036A">
        <w:rPr>
          <w:rFonts w:ascii="Times New Roman" w:hAnsi="Times New Roman"/>
          <w:color w:val="000000" w:themeColor="text1"/>
          <w:szCs w:val="24"/>
        </w:rPr>
        <w:t>2.2.3. Состав лекарственной формы</w:t>
      </w:r>
      <w:bookmarkEnd w:id="48"/>
    </w:p>
    <w:p w14:paraId="4B4455B5" w14:textId="5B4BECD2" w:rsidR="00C035FA" w:rsidRPr="003A036A" w:rsidRDefault="008D5756">
      <w:pPr>
        <w:spacing w:after="0" w:line="240" w:lineRule="auto"/>
        <w:rPr>
          <w:rFonts w:eastAsia="Times New Roman"/>
          <w:b/>
          <w:lang w:eastAsia="ru-RU"/>
        </w:rPr>
      </w:pPr>
      <w:r w:rsidRPr="003A036A">
        <w:rPr>
          <w:rFonts w:eastAsia="Calibri"/>
          <w:b/>
          <w:lang w:eastAsia="en-US"/>
        </w:rPr>
        <w:t xml:space="preserve">Таблица 2-1. </w:t>
      </w:r>
      <w:r w:rsidRPr="003A036A">
        <w:rPr>
          <w:rFonts w:eastAsia="Times New Roman"/>
          <w:color w:val="000000" w:themeColor="text1"/>
          <w:lang w:eastAsia="ru-RU"/>
        </w:rPr>
        <w:t>Состав на одну таблетку, покрытую пленочной оболочкой, 10 и 25 мг</w:t>
      </w:r>
      <w:r w:rsidRPr="003A036A">
        <w:rPr>
          <w:rFonts w:eastAsia="Times New Roman"/>
          <w:lang w:eastAsia="ru-RU"/>
        </w:rPr>
        <w:t>.</w:t>
      </w:r>
    </w:p>
    <w:tbl>
      <w:tblPr>
        <w:tblW w:w="9351" w:type="dxa"/>
        <w:tblLayout w:type="fixed"/>
        <w:tblLook w:val="04A0" w:firstRow="1" w:lastRow="0" w:firstColumn="1" w:lastColumn="0" w:noHBand="0" w:noVBand="1"/>
      </w:tblPr>
      <w:tblGrid>
        <w:gridCol w:w="6658"/>
        <w:gridCol w:w="1417"/>
        <w:gridCol w:w="1276"/>
      </w:tblGrid>
      <w:tr w:rsidR="003A036A" w:rsidRPr="003A036A" w14:paraId="24161E11" w14:textId="68E042B5" w:rsidTr="00AA4E66">
        <w:trPr>
          <w:trHeight w:val="20"/>
          <w:tblHead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8DD71" w14:textId="77777777" w:rsidR="003A036A" w:rsidRPr="003A036A" w:rsidRDefault="003A036A" w:rsidP="003A036A">
            <w:pPr>
              <w:spacing w:after="0" w:line="240" w:lineRule="auto"/>
              <w:contextualSpacing/>
              <w:jc w:val="center"/>
              <w:rPr>
                <w:b/>
                <w:iCs/>
                <w:lang w:eastAsia="en-US"/>
              </w:rPr>
            </w:pPr>
            <w:r w:rsidRPr="003A036A">
              <w:rPr>
                <w:b/>
                <w:iCs/>
                <w:lang w:eastAsia="en-US"/>
              </w:rPr>
              <w:t>Для дозировки:</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7405FA" w14:textId="098541D7" w:rsidR="003A036A" w:rsidRPr="003A036A" w:rsidRDefault="003A036A" w:rsidP="003A036A">
            <w:pPr>
              <w:tabs>
                <w:tab w:val="left" w:pos="553"/>
                <w:tab w:val="center" w:pos="641"/>
              </w:tabs>
              <w:spacing w:after="0" w:line="240" w:lineRule="auto"/>
              <w:jc w:val="center"/>
              <w:rPr>
                <w:b/>
              </w:rPr>
            </w:pPr>
            <w:r w:rsidRPr="003A036A">
              <w:rPr>
                <w:b/>
              </w:rPr>
              <w:t>10 мг</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6C0100" w14:textId="73C5FC69" w:rsidR="003A036A" w:rsidRPr="003A036A" w:rsidRDefault="003A036A" w:rsidP="003A036A">
            <w:pPr>
              <w:spacing w:after="0" w:line="240" w:lineRule="auto"/>
              <w:jc w:val="center"/>
              <w:rPr>
                <w:b/>
              </w:rPr>
            </w:pPr>
            <w:r w:rsidRPr="003A036A">
              <w:rPr>
                <w:b/>
              </w:rPr>
              <w:t>25 мг</w:t>
            </w:r>
          </w:p>
        </w:tc>
      </w:tr>
      <w:tr w:rsidR="003A036A" w:rsidRPr="003A036A" w14:paraId="60E3E23E" w14:textId="71533D17" w:rsidTr="007756D8">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tcPr>
          <w:p w14:paraId="215B84EE" w14:textId="1E69E2D4" w:rsidR="003A036A" w:rsidRPr="003A036A" w:rsidRDefault="003A036A" w:rsidP="003A036A">
            <w:pPr>
              <w:spacing w:after="0" w:line="240" w:lineRule="auto"/>
              <w:contextualSpacing/>
              <w:jc w:val="left"/>
            </w:pPr>
            <w:r w:rsidRPr="003A036A">
              <w:rPr>
                <w:i/>
                <w:iCs/>
                <w:lang w:eastAsia="en-US"/>
              </w:rPr>
              <w:t>Действующее вещество:</w:t>
            </w:r>
          </w:p>
        </w:tc>
      </w:tr>
      <w:tr w:rsidR="003A036A" w:rsidRPr="003A036A" w14:paraId="458AEA8A" w14:textId="2D9AC5E3"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tcPr>
          <w:p w14:paraId="216B46D5" w14:textId="096BE1C3" w:rsidR="003A036A" w:rsidRPr="003A036A" w:rsidRDefault="003A036A" w:rsidP="003A036A">
            <w:pPr>
              <w:spacing w:after="0" w:line="240" w:lineRule="auto"/>
              <w:ind w:left="567"/>
              <w:contextualSpacing/>
              <w:jc w:val="left"/>
              <w:rPr>
                <w:iCs/>
                <w:lang w:eastAsia="en-US"/>
              </w:rPr>
            </w:pPr>
            <w:r w:rsidRPr="003A036A">
              <w:rPr>
                <w:iCs/>
                <w:lang w:eastAsia="en-US"/>
              </w:rPr>
              <w:t>Эмпаглифлозин</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B8918D8" w14:textId="502B52E7" w:rsidR="003A036A" w:rsidRPr="003A036A" w:rsidRDefault="003A036A" w:rsidP="003A036A">
            <w:pPr>
              <w:spacing w:after="0" w:line="240" w:lineRule="auto"/>
              <w:jc w:val="center"/>
            </w:pPr>
            <w:r w:rsidRPr="003A036A">
              <w:rPr>
                <w:lang w:eastAsia="en-US"/>
              </w:rPr>
              <w:t>10,00 мг</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5A6675D" w14:textId="29183F36" w:rsidR="003A036A" w:rsidRPr="003A036A" w:rsidRDefault="003A036A" w:rsidP="003A036A">
            <w:pPr>
              <w:spacing w:after="0" w:line="240" w:lineRule="auto"/>
              <w:jc w:val="center"/>
            </w:pPr>
            <w:r w:rsidRPr="003A036A">
              <w:rPr>
                <w:lang w:eastAsia="en-US"/>
              </w:rPr>
              <w:t>25,00 мг</w:t>
            </w:r>
          </w:p>
        </w:tc>
      </w:tr>
      <w:tr w:rsidR="003A036A" w:rsidRPr="003A036A" w14:paraId="04CA8589" w14:textId="5B20FE06" w:rsidTr="007756D8">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tcPr>
          <w:p w14:paraId="1BBE06C5" w14:textId="1E159E0D" w:rsidR="003A036A" w:rsidRPr="003A036A" w:rsidRDefault="003A036A" w:rsidP="003A036A">
            <w:pPr>
              <w:spacing w:after="0" w:line="240" w:lineRule="auto"/>
              <w:contextualSpacing/>
              <w:jc w:val="left"/>
            </w:pPr>
            <w:r w:rsidRPr="003A036A">
              <w:rPr>
                <w:i/>
                <w:iCs/>
                <w:lang w:eastAsia="en-US"/>
              </w:rPr>
              <w:t>Вспомогательные вещества:</w:t>
            </w:r>
          </w:p>
        </w:tc>
      </w:tr>
      <w:tr w:rsidR="003A036A" w:rsidRPr="003A036A" w14:paraId="2171E412" w14:textId="4917D0B3"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687180C7" w14:textId="50FB455F" w:rsidR="003A036A" w:rsidRPr="003A036A" w:rsidRDefault="003A036A" w:rsidP="003A036A">
            <w:pPr>
              <w:spacing w:line="240" w:lineRule="auto"/>
              <w:ind w:firstLine="594"/>
              <w:contextualSpacing/>
              <w:jc w:val="left"/>
              <w:rPr>
                <w:lang w:eastAsia="en-US"/>
              </w:rPr>
            </w:pPr>
            <w:r w:rsidRPr="003A036A">
              <w:rPr>
                <w:lang w:eastAsia="en-US"/>
              </w:rPr>
              <w:t>Лактозы моногидрат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5665258" w14:textId="05CCFDC4" w:rsidR="003A036A" w:rsidRPr="003A036A" w:rsidRDefault="003A036A" w:rsidP="003A036A">
            <w:pPr>
              <w:spacing w:after="0" w:line="240" w:lineRule="auto"/>
              <w:jc w:val="center"/>
            </w:pPr>
            <w:r w:rsidRPr="003A036A">
              <w:rPr>
                <w:lang w:eastAsia="en-US"/>
              </w:rPr>
              <w:t>162,50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1AE3048" w14:textId="242FFB75" w:rsidR="003A036A" w:rsidRPr="003A036A" w:rsidRDefault="003A036A" w:rsidP="003A036A">
            <w:pPr>
              <w:spacing w:after="0" w:line="240" w:lineRule="auto"/>
              <w:jc w:val="center"/>
            </w:pPr>
            <w:r w:rsidRPr="003A036A">
              <w:rPr>
                <w:lang w:eastAsia="en-US"/>
              </w:rPr>
              <w:t>113,00 мг</w:t>
            </w:r>
          </w:p>
        </w:tc>
      </w:tr>
      <w:tr w:rsidR="003A036A" w:rsidRPr="003A036A" w14:paraId="7E2D12A4" w14:textId="0D97E68C"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94741CF" w14:textId="63030E10" w:rsidR="003A036A" w:rsidRPr="003A036A" w:rsidRDefault="003A036A" w:rsidP="003A036A">
            <w:pPr>
              <w:spacing w:line="240" w:lineRule="auto"/>
              <w:ind w:firstLine="594"/>
              <w:contextualSpacing/>
              <w:jc w:val="left"/>
              <w:rPr>
                <w:lang w:eastAsia="en-US"/>
              </w:rPr>
            </w:pPr>
            <w:r w:rsidRPr="003A036A">
              <w:rPr>
                <w:lang w:eastAsia="en-US"/>
              </w:rPr>
              <w:t>Целлюлоза микрокристаллическая тип</w:t>
            </w:r>
            <w:r w:rsidR="00881499">
              <w:rPr>
                <w:lang w:eastAsia="en-US"/>
              </w:rPr>
              <w:t xml:space="preserve"> 101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DB46FAD" w14:textId="16422565" w:rsidR="003A036A" w:rsidRPr="003A036A" w:rsidRDefault="003A036A" w:rsidP="003A036A">
            <w:pPr>
              <w:spacing w:after="0" w:line="240" w:lineRule="auto"/>
              <w:jc w:val="center"/>
            </w:pPr>
            <w:r w:rsidRPr="003A036A">
              <w:rPr>
                <w:lang w:eastAsia="en-US"/>
              </w:rPr>
              <w:t>62,50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743C6A" w14:textId="02A143A6" w:rsidR="003A036A" w:rsidRPr="003A036A" w:rsidRDefault="003A036A" w:rsidP="003A036A">
            <w:pPr>
              <w:spacing w:after="0" w:line="240" w:lineRule="auto"/>
              <w:jc w:val="center"/>
            </w:pPr>
            <w:r w:rsidRPr="003A036A">
              <w:rPr>
                <w:lang w:eastAsia="en-US"/>
              </w:rPr>
              <w:t>50,00 мг</w:t>
            </w:r>
          </w:p>
        </w:tc>
      </w:tr>
      <w:tr w:rsidR="003A036A" w:rsidRPr="003A036A" w14:paraId="3F2AC8FA" w14:textId="11213B88"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23112C5" w14:textId="3096195E" w:rsidR="003A036A" w:rsidRPr="003A036A" w:rsidRDefault="003A036A" w:rsidP="003A036A">
            <w:pPr>
              <w:spacing w:line="240" w:lineRule="auto"/>
              <w:ind w:firstLine="594"/>
              <w:contextualSpacing/>
              <w:jc w:val="left"/>
              <w:rPr>
                <w:lang w:eastAsia="en-US"/>
              </w:rPr>
            </w:pPr>
            <w:r w:rsidRPr="003A036A">
              <w:rPr>
                <w:lang w:eastAsia="en-US"/>
              </w:rPr>
              <w:t>Гипролоза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FA9C657" w14:textId="745B94FC" w:rsidR="003A036A" w:rsidRPr="003A036A" w:rsidRDefault="003A036A" w:rsidP="003A036A">
            <w:pPr>
              <w:spacing w:after="0" w:line="240" w:lineRule="auto"/>
              <w:jc w:val="center"/>
            </w:pPr>
            <w:r w:rsidRPr="003A036A">
              <w:rPr>
                <w:lang w:eastAsia="en-US"/>
              </w:rPr>
              <w:t>7,50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2F58CCC" w14:textId="786F83A0" w:rsidR="003A036A" w:rsidRPr="003A036A" w:rsidRDefault="003A036A" w:rsidP="003A036A">
            <w:pPr>
              <w:spacing w:after="0" w:line="240" w:lineRule="auto"/>
              <w:jc w:val="center"/>
            </w:pPr>
            <w:r w:rsidRPr="003A036A">
              <w:rPr>
                <w:lang w:eastAsia="en-US"/>
              </w:rPr>
              <w:t>6,00 мг</w:t>
            </w:r>
          </w:p>
        </w:tc>
      </w:tr>
      <w:tr w:rsidR="003A036A" w:rsidRPr="003A036A" w14:paraId="09EAFBEB" w14:textId="54A61F19"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676D02B3" w14:textId="0E65AAE0" w:rsidR="003A036A" w:rsidRPr="003A036A" w:rsidRDefault="003A036A" w:rsidP="003A036A">
            <w:pPr>
              <w:spacing w:line="240" w:lineRule="auto"/>
              <w:ind w:firstLine="594"/>
              <w:contextualSpacing/>
              <w:jc w:val="left"/>
              <w:rPr>
                <w:lang w:eastAsia="en-US"/>
              </w:rPr>
            </w:pPr>
            <w:r w:rsidRPr="003A036A">
              <w:rPr>
                <w:lang w:eastAsia="en-US"/>
              </w:rPr>
              <w:lastRenderedPageBreak/>
              <w:t>Кроскармеллоза натрия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C0D6BBC" w14:textId="00468713" w:rsidR="003A036A" w:rsidRPr="003A036A" w:rsidRDefault="003A036A" w:rsidP="003A036A">
            <w:pPr>
              <w:spacing w:after="0" w:line="240" w:lineRule="auto"/>
              <w:jc w:val="center"/>
            </w:pPr>
            <w:r w:rsidRPr="003A036A">
              <w:rPr>
                <w:lang w:eastAsia="en-US"/>
              </w:rPr>
              <w:t>5,00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403DBB3" w14:textId="2CB8870C" w:rsidR="003A036A" w:rsidRPr="003A036A" w:rsidRDefault="003A036A" w:rsidP="003A036A">
            <w:pPr>
              <w:spacing w:after="0" w:line="240" w:lineRule="auto"/>
              <w:jc w:val="center"/>
            </w:pPr>
            <w:r w:rsidRPr="003A036A">
              <w:rPr>
                <w:lang w:eastAsia="en-US"/>
              </w:rPr>
              <w:t>4,00 мг</w:t>
            </w:r>
          </w:p>
        </w:tc>
      </w:tr>
      <w:tr w:rsidR="003A036A" w:rsidRPr="003A036A" w14:paraId="753F4AEC" w14:textId="77A515C4"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6CF1A13" w14:textId="102A539F" w:rsidR="003A036A" w:rsidRPr="003A036A" w:rsidRDefault="003A036A" w:rsidP="003A036A">
            <w:pPr>
              <w:spacing w:line="240" w:lineRule="auto"/>
              <w:ind w:firstLine="594"/>
              <w:contextualSpacing/>
              <w:jc w:val="left"/>
              <w:rPr>
                <w:lang w:eastAsia="en-US"/>
              </w:rPr>
            </w:pPr>
            <w:r w:rsidRPr="003A036A">
              <w:rPr>
                <w:lang w:eastAsia="en-US"/>
              </w:rPr>
              <w:t>Кремния диоксид коллоидный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2280B1E" w14:textId="702A9375" w:rsidR="003A036A" w:rsidRPr="003A036A" w:rsidRDefault="003A036A" w:rsidP="003A036A">
            <w:pPr>
              <w:spacing w:after="0" w:line="240" w:lineRule="auto"/>
              <w:jc w:val="center"/>
            </w:pPr>
            <w:r w:rsidRPr="003A036A">
              <w:rPr>
                <w:lang w:eastAsia="en-US"/>
              </w:rPr>
              <w:t>1,25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34101E8" w14:textId="2C67F075" w:rsidR="003A036A" w:rsidRPr="003A036A" w:rsidRDefault="003A036A" w:rsidP="003A036A">
            <w:pPr>
              <w:spacing w:after="0" w:line="240" w:lineRule="auto"/>
              <w:jc w:val="center"/>
            </w:pPr>
            <w:r w:rsidRPr="003A036A">
              <w:rPr>
                <w:lang w:eastAsia="en-US"/>
              </w:rPr>
              <w:t>1,00 мг</w:t>
            </w:r>
          </w:p>
        </w:tc>
      </w:tr>
      <w:tr w:rsidR="003A036A" w:rsidRPr="003A036A" w14:paraId="15C5E77E" w14:textId="4A23C6C9"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82A3573" w14:textId="402F341C" w:rsidR="003A036A" w:rsidRPr="003A036A" w:rsidRDefault="003A036A" w:rsidP="003A036A">
            <w:pPr>
              <w:spacing w:line="240" w:lineRule="auto"/>
              <w:ind w:firstLine="594"/>
              <w:contextualSpacing/>
              <w:jc w:val="left"/>
              <w:rPr>
                <w:lang w:eastAsia="en-US"/>
              </w:rPr>
            </w:pPr>
            <w:r w:rsidRPr="003A036A">
              <w:rPr>
                <w:lang w:eastAsia="en-US"/>
              </w:rPr>
              <w:t>Магния стеарат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6513E0B" w14:textId="04EADE0F" w:rsidR="003A036A" w:rsidRPr="003A036A" w:rsidRDefault="003A036A" w:rsidP="003A036A">
            <w:pPr>
              <w:spacing w:after="0" w:line="240" w:lineRule="auto"/>
              <w:jc w:val="center"/>
            </w:pPr>
            <w:r w:rsidRPr="003A036A">
              <w:rPr>
                <w:lang w:eastAsia="en-US"/>
              </w:rPr>
              <w:t>1,25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98DD865" w14:textId="41558E5C" w:rsidR="003A036A" w:rsidRPr="003A036A" w:rsidRDefault="003A036A" w:rsidP="003A036A">
            <w:pPr>
              <w:spacing w:after="0" w:line="240" w:lineRule="auto"/>
              <w:jc w:val="center"/>
            </w:pPr>
            <w:r w:rsidRPr="003A036A">
              <w:rPr>
                <w:lang w:eastAsia="en-US"/>
              </w:rPr>
              <w:t>1,00 мг</w:t>
            </w:r>
          </w:p>
        </w:tc>
      </w:tr>
      <w:tr w:rsidR="003A036A" w:rsidRPr="003A036A" w14:paraId="1741A6AA" w14:textId="2BB3CDBC" w:rsidTr="003A036A">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644E88CA" w14:textId="062E9452" w:rsidR="003A036A" w:rsidRPr="003A036A" w:rsidRDefault="003A036A" w:rsidP="003A036A">
            <w:pPr>
              <w:spacing w:after="0" w:line="240" w:lineRule="auto"/>
              <w:contextualSpacing/>
              <w:rPr>
                <w:b/>
                <w:iCs/>
                <w:lang w:eastAsia="en-US"/>
              </w:rPr>
            </w:pPr>
            <w:r w:rsidRPr="003A036A">
              <w:rPr>
                <w:b/>
                <w:lang w:eastAsia="en-US"/>
              </w:rPr>
              <w:t>Масса таблетки без оболочки: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3E29A2E" w14:textId="43FCB547" w:rsidR="003A036A" w:rsidRPr="003A036A" w:rsidRDefault="003A036A" w:rsidP="003A036A">
            <w:pPr>
              <w:spacing w:after="0" w:line="240" w:lineRule="auto"/>
              <w:jc w:val="center"/>
              <w:rPr>
                <w:b/>
              </w:rPr>
            </w:pPr>
            <w:r w:rsidRPr="003A036A">
              <w:rPr>
                <w:b/>
                <w:lang w:eastAsia="en-US"/>
              </w:rPr>
              <w:t>250,00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E875EC" w14:textId="50C33411" w:rsidR="003A036A" w:rsidRPr="003A036A" w:rsidRDefault="003A036A" w:rsidP="003A036A">
            <w:pPr>
              <w:spacing w:after="0" w:line="240" w:lineRule="auto"/>
              <w:jc w:val="center"/>
              <w:rPr>
                <w:b/>
              </w:rPr>
            </w:pPr>
            <w:r w:rsidRPr="003A036A">
              <w:rPr>
                <w:b/>
                <w:lang w:eastAsia="en-US"/>
              </w:rPr>
              <w:t>200,00 мг</w:t>
            </w:r>
          </w:p>
        </w:tc>
      </w:tr>
      <w:tr w:rsidR="003A036A" w:rsidRPr="003A036A" w14:paraId="09417B98" w14:textId="449F36EA" w:rsidTr="007756D8">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tcPr>
          <w:p w14:paraId="2B0A8FAB" w14:textId="6844AA2F" w:rsidR="003A036A" w:rsidRPr="003A036A" w:rsidRDefault="003A036A" w:rsidP="003A036A">
            <w:pPr>
              <w:spacing w:after="0" w:line="240" w:lineRule="auto"/>
              <w:contextualSpacing/>
              <w:jc w:val="left"/>
            </w:pPr>
            <w:r w:rsidRPr="003A036A">
              <w:rPr>
                <w:i/>
                <w:lang w:eastAsia="en-US"/>
              </w:rPr>
              <w:t>Пленочная оболочка</w:t>
            </w:r>
          </w:p>
        </w:tc>
      </w:tr>
      <w:tr w:rsidR="003A036A" w:rsidRPr="003A036A" w14:paraId="6F3DC1A0" w14:textId="4B76AA41" w:rsidTr="007756D8">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02F201B" w14:textId="5F7D9BB6" w:rsidR="003A036A" w:rsidRPr="003A036A" w:rsidRDefault="003A036A" w:rsidP="00806318">
            <w:pPr>
              <w:spacing w:line="240" w:lineRule="auto"/>
              <w:ind w:left="589" w:firstLine="5"/>
              <w:contextualSpacing/>
              <w:jc w:val="left"/>
              <w:rPr>
                <w:lang w:eastAsia="en-US"/>
              </w:rPr>
            </w:pPr>
            <w:r w:rsidRPr="003A036A">
              <w:rPr>
                <w:lang w:eastAsia="en-US"/>
              </w:rPr>
              <w:t>Поливиниловый спирт – 46,9 %; макрогол 3350* – 23,6 %; тальк – 17,4 %; титана диоксид – 12,1 %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AEF73E4" w14:textId="1245DEC6" w:rsidR="003A036A" w:rsidRPr="003A036A" w:rsidRDefault="003A036A" w:rsidP="003A036A">
            <w:pPr>
              <w:spacing w:after="0" w:line="240" w:lineRule="auto"/>
              <w:jc w:val="center"/>
              <w:rPr>
                <w:b/>
              </w:rPr>
            </w:pPr>
            <w:r w:rsidRPr="003A036A">
              <w:rPr>
                <w:lang w:eastAsia="en-US"/>
              </w:rPr>
              <w:t>7,00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26E6D63" w14:textId="1D8019DD" w:rsidR="003A036A" w:rsidRPr="003A036A" w:rsidRDefault="003A036A" w:rsidP="003A036A">
            <w:pPr>
              <w:spacing w:after="0" w:line="240" w:lineRule="auto"/>
              <w:jc w:val="center"/>
              <w:rPr>
                <w:b/>
              </w:rPr>
            </w:pPr>
            <w:r w:rsidRPr="003A036A">
              <w:rPr>
                <w:lang w:eastAsia="en-US"/>
              </w:rPr>
              <w:t>-</w:t>
            </w:r>
          </w:p>
        </w:tc>
      </w:tr>
      <w:tr w:rsidR="003A036A" w:rsidRPr="003A036A" w14:paraId="46A29423" w14:textId="77777777" w:rsidTr="007756D8">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158F6BA" w14:textId="4BE76B13" w:rsidR="003A036A" w:rsidRPr="003A036A" w:rsidRDefault="003A036A" w:rsidP="00806318">
            <w:pPr>
              <w:pStyle w:val="NoSpacing"/>
              <w:ind w:left="589" w:firstLine="5"/>
              <w:contextualSpacing/>
              <w:rPr>
                <w:rFonts w:ascii="Times New Roman" w:hAnsi="Times New Roman"/>
                <w:szCs w:val="24"/>
              </w:rPr>
            </w:pPr>
            <w:r w:rsidRPr="003A036A">
              <w:rPr>
                <w:rFonts w:ascii="Times New Roman" w:hAnsi="Times New Roman"/>
                <w:szCs w:val="24"/>
              </w:rPr>
              <w:t>Поливиниловый спирт – 40,0 %; макрогол 3350* – 20,2 %; титана диоксид – 20,2 %; тальк – 14,8 %; железа оксид желтый – 4,8%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CFDFB89" w14:textId="47001DFD" w:rsidR="003A036A" w:rsidRPr="003A036A" w:rsidRDefault="003A036A" w:rsidP="003A036A">
            <w:pPr>
              <w:spacing w:after="0" w:line="240" w:lineRule="auto"/>
              <w:jc w:val="center"/>
              <w:rPr>
                <w:b/>
              </w:rPr>
            </w:pPr>
            <w:r w:rsidRPr="003A036A">
              <w:rPr>
                <w:lang w:eastAsia="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6A798EC" w14:textId="6A8B3C56" w:rsidR="003A036A" w:rsidRPr="003A036A" w:rsidRDefault="003A036A" w:rsidP="003A036A">
            <w:pPr>
              <w:spacing w:after="0" w:line="240" w:lineRule="auto"/>
              <w:jc w:val="center"/>
              <w:rPr>
                <w:b/>
              </w:rPr>
            </w:pPr>
            <w:r w:rsidRPr="003A036A">
              <w:rPr>
                <w:lang w:eastAsia="en-US"/>
              </w:rPr>
              <w:t>6,00 мг</w:t>
            </w:r>
          </w:p>
        </w:tc>
      </w:tr>
      <w:tr w:rsidR="003A036A" w:rsidRPr="003A036A" w14:paraId="3DC8BADA" w14:textId="77777777" w:rsidTr="007756D8">
        <w:trPr>
          <w:trHeight w:val="20"/>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48DC6F2A" w14:textId="7A96AFBE" w:rsidR="003A036A" w:rsidRPr="003A036A" w:rsidRDefault="003A036A" w:rsidP="003A036A">
            <w:pPr>
              <w:spacing w:after="0" w:line="240" w:lineRule="auto"/>
              <w:contextualSpacing/>
              <w:rPr>
                <w:b/>
                <w:iCs/>
                <w:lang w:eastAsia="en-US"/>
              </w:rPr>
            </w:pPr>
            <w:r w:rsidRPr="003A036A">
              <w:rPr>
                <w:b/>
                <w:lang w:eastAsia="en-US"/>
              </w:rPr>
              <w:t>Масса таблетки, покрытые пленочной оболочкой: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A18223" w14:textId="01E0F993" w:rsidR="003A036A" w:rsidRPr="003A036A" w:rsidRDefault="003A036A" w:rsidP="003A036A">
            <w:pPr>
              <w:spacing w:after="0" w:line="240" w:lineRule="auto"/>
              <w:jc w:val="center"/>
              <w:rPr>
                <w:b/>
              </w:rPr>
            </w:pPr>
            <w:r w:rsidRPr="003A036A">
              <w:rPr>
                <w:b/>
                <w:lang w:eastAsia="en-US"/>
              </w:rPr>
              <w:t>257,00 мг</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E0A576D" w14:textId="2ED31F18" w:rsidR="003A036A" w:rsidRPr="003A036A" w:rsidRDefault="003A036A" w:rsidP="003A036A">
            <w:pPr>
              <w:spacing w:after="0" w:line="240" w:lineRule="auto"/>
              <w:jc w:val="center"/>
              <w:rPr>
                <w:b/>
              </w:rPr>
            </w:pPr>
            <w:r w:rsidRPr="003A036A">
              <w:rPr>
                <w:b/>
                <w:lang w:eastAsia="en-US"/>
              </w:rPr>
              <w:t>206,00 мг</w:t>
            </w:r>
          </w:p>
        </w:tc>
      </w:tr>
      <w:tr w:rsidR="003A036A" w:rsidRPr="003A036A" w14:paraId="7E05A761" w14:textId="77777777" w:rsidTr="007756D8">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8F859C" w14:textId="5D3F08D9" w:rsidR="003A036A" w:rsidRPr="003A036A" w:rsidRDefault="003A036A" w:rsidP="004916D5">
            <w:pPr>
              <w:spacing w:before="240" w:line="240" w:lineRule="auto"/>
              <w:contextualSpacing/>
              <w:rPr>
                <w:rFonts w:eastAsia="Times New Roman"/>
                <w:sz w:val="20"/>
                <w:szCs w:val="20"/>
                <w:lang w:eastAsia="ru-RU"/>
              </w:rPr>
            </w:pPr>
            <w:r w:rsidRPr="003A036A">
              <w:rPr>
                <w:b/>
                <w:sz w:val="20"/>
                <w:szCs w:val="20"/>
              </w:rPr>
              <w:t>Примечание:</w:t>
            </w:r>
            <w:r w:rsidRPr="003A036A">
              <w:rPr>
                <w:b/>
                <w:sz w:val="20"/>
                <w:szCs w:val="20"/>
              </w:rPr>
              <w:br/>
            </w:r>
            <w:r w:rsidRPr="003A036A">
              <w:rPr>
                <w:rFonts w:eastAsia="Times New Roman"/>
                <w:sz w:val="20"/>
                <w:szCs w:val="20"/>
                <w:lang w:eastAsia="ru-RU"/>
              </w:rPr>
              <w:t>* макр</w:t>
            </w:r>
            <w:r w:rsidR="004916D5">
              <w:rPr>
                <w:rFonts w:eastAsia="Times New Roman"/>
                <w:sz w:val="20"/>
                <w:szCs w:val="20"/>
                <w:lang w:eastAsia="ru-RU"/>
              </w:rPr>
              <w:t>огол с молекулярной массой 3350</w:t>
            </w:r>
          </w:p>
        </w:tc>
      </w:tr>
    </w:tbl>
    <w:p w14:paraId="2F3A0220" w14:textId="77777777" w:rsidR="00C035FA" w:rsidRDefault="00C035FA">
      <w:pPr>
        <w:spacing w:after="0" w:line="240" w:lineRule="auto"/>
        <w:rPr>
          <w:shd w:val="clear" w:color="auto" w:fill="FFFFFF"/>
          <w:lang w:eastAsia="ru-RU" w:bidi="ru-RU"/>
        </w:rPr>
      </w:pPr>
    </w:p>
    <w:p w14:paraId="45954767" w14:textId="052862C1" w:rsidR="003024CE" w:rsidRPr="003A036A" w:rsidRDefault="003024CE" w:rsidP="003024CE">
      <w:pPr>
        <w:spacing w:after="0" w:line="240" w:lineRule="auto"/>
        <w:ind w:firstLine="709"/>
        <w:rPr>
          <w:rFonts w:eastAsia="Times New Roman"/>
          <w:color w:val="000000" w:themeColor="text1"/>
          <w:lang w:eastAsia="en-US"/>
        </w:rPr>
      </w:pPr>
      <w:r w:rsidRPr="003A036A">
        <w:rPr>
          <w:rFonts w:eastAsia="Times New Roman"/>
          <w:color w:val="000000" w:themeColor="text1"/>
          <w:lang w:eastAsia="ru-RU"/>
        </w:rPr>
        <w:t xml:space="preserve">Препарат </w:t>
      </w:r>
      <w:r w:rsidR="003A036A" w:rsidRPr="003A036A">
        <w:rPr>
          <w:color w:val="000000" w:themeColor="text1"/>
        </w:rPr>
        <w:t>DT-EMP</w:t>
      </w:r>
      <w:r w:rsidRPr="003A036A">
        <w:rPr>
          <w:color w:val="000000" w:themeColor="text1"/>
        </w:rPr>
        <w:t xml:space="preserve">, разработанный </w:t>
      </w:r>
      <w:r w:rsidRPr="003A036A">
        <w:rPr>
          <w:bCs/>
          <w:lang w:eastAsia="ru-RU"/>
        </w:rPr>
        <w:t>дочерним подразделением ГК «Р-Фарм», Россия – ООО «Технология лекарств»</w:t>
      </w:r>
      <w:r w:rsidRPr="003A036A">
        <w:rPr>
          <w:color w:val="000000" w:themeColor="text1"/>
        </w:rPr>
        <w:t xml:space="preserve">, полностью соответствует </w:t>
      </w:r>
      <w:r w:rsidRPr="003A036A">
        <w:rPr>
          <w:rFonts w:eastAsia="Times New Roman"/>
          <w:color w:val="000000" w:themeColor="text1"/>
          <w:lang w:eastAsia="ru-RU"/>
        </w:rPr>
        <w:t xml:space="preserve">по качественному и количественному составу </w:t>
      </w:r>
      <w:r w:rsidR="00B42640">
        <w:rPr>
          <w:rFonts w:eastAsia="Times New Roman"/>
          <w:color w:val="000000" w:themeColor="text1"/>
          <w:lang w:eastAsia="ru-RU"/>
        </w:rPr>
        <w:t xml:space="preserve">действующего и </w:t>
      </w:r>
      <w:r w:rsidRPr="003A036A">
        <w:rPr>
          <w:rFonts w:eastAsia="Times New Roman"/>
          <w:color w:val="000000" w:themeColor="text1"/>
          <w:lang w:eastAsia="ru-RU"/>
        </w:rPr>
        <w:t xml:space="preserve">вспомогательных веществ референтному препарату </w:t>
      </w:r>
      <w:r w:rsidR="003A036A" w:rsidRPr="003A036A">
        <w:rPr>
          <w:lang w:eastAsia="ru-RU"/>
        </w:rPr>
        <w:t>Джардинс</w:t>
      </w:r>
      <w:r w:rsidR="003A036A" w:rsidRPr="003A036A">
        <w:rPr>
          <w:vertAlign w:val="superscript"/>
          <w:lang w:eastAsia="ru-RU"/>
        </w:rPr>
        <w:t>®</w:t>
      </w:r>
      <w:r w:rsidR="003A036A" w:rsidRPr="003A036A">
        <w:rPr>
          <w:lang w:eastAsia="ru-RU"/>
        </w:rPr>
        <w:t xml:space="preserve">, </w:t>
      </w:r>
      <w:r w:rsidRPr="003A036A">
        <w:rPr>
          <w:bCs/>
          <w:lang w:eastAsia="ru-RU"/>
        </w:rPr>
        <w:t xml:space="preserve">таблетки, </w:t>
      </w:r>
      <w:r w:rsidR="003A036A" w:rsidRPr="003A036A">
        <w:rPr>
          <w:bCs/>
          <w:lang w:eastAsia="ru-RU"/>
        </w:rPr>
        <w:t xml:space="preserve">покрытые пленочной оболочкой, </w:t>
      </w:r>
      <w:r w:rsidR="00B42640">
        <w:rPr>
          <w:bCs/>
          <w:lang w:eastAsia="ru-RU"/>
        </w:rPr>
        <w:t xml:space="preserve">10 мг и </w:t>
      </w:r>
      <w:r w:rsidR="003A036A" w:rsidRPr="003A036A">
        <w:rPr>
          <w:bCs/>
          <w:lang w:eastAsia="ru-RU"/>
        </w:rPr>
        <w:t>25</w:t>
      </w:r>
      <w:r w:rsidRPr="003A036A">
        <w:rPr>
          <w:bCs/>
          <w:lang w:eastAsia="ru-RU"/>
        </w:rPr>
        <w:t xml:space="preserve"> мг</w:t>
      </w:r>
      <w:r w:rsidRPr="003A036A">
        <w:rPr>
          <w:rFonts w:eastAsia="Times New Roman"/>
        </w:rPr>
        <w:t xml:space="preserve"> </w:t>
      </w:r>
      <w:r w:rsidRPr="003A036A">
        <w:rPr>
          <w:color w:val="000000"/>
        </w:rPr>
        <w:t>(</w:t>
      </w:r>
      <w:r w:rsidR="003A036A" w:rsidRPr="003A036A">
        <w:rPr>
          <w:lang w:eastAsia="ru-RU"/>
        </w:rPr>
        <w:t>Берингер Ингельхайм Интернешнл ГмбХ, Германия</w:t>
      </w:r>
      <w:r w:rsidRPr="003A036A">
        <w:rPr>
          <w:color w:val="000000"/>
        </w:rPr>
        <w:t>)</w:t>
      </w:r>
      <w:r w:rsidRPr="003A036A">
        <w:rPr>
          <w:bCs/>
          <w:lang w:eastAsia="ru-RU"/>
        </w:rPr>
        <w:t xml:space="preserve"> </w:t>
      </w:r>
      <w:r w:rsidRPr="003A036A">
        <w:rPr>
          <w:color w:val="000000" w:themeColor="text1"/>
        </w:rPr>
        <w:t>(</w:t>
      </w:r>
      <w:r w:rsidRPr="003A036A">
        <w:rPr>
          <w:rFonts w:eastAsia="Times New Roman"/>
          <w:color w:val="000000" w:themeColor="text1"/>
          <w:lang w:eastAsia="en-US"/>
        </w:rPr>
        <w:t>табл. 2-2).</w:t>
      </w:r>
    </w:p>
    <w:p w14:paraId="0AE1075F" w14:textId="77777777" w:rsidR="003024CE" w:rsidRPr="003A036A" w:rsidRDefault="003024CE" w:rsidP="003024CE">
      <w:pPr>
        <w:spacing w:after="0" w:line="240" w:lineRule="auto"/>
        <w:ind w:firstLine="709"/>
        <w:rPr>
          <w:rFonts w:eastAsia="Times New Roman"/>
          <w:color w:val="000000" w:themeColor="text1"/>
          <w:lang w:eastAsia="en-US"/>
        </w:rPr>
      </w:pPr>
    </w:p>
    <w:p w14:paraId="75E48FE4" w14:textId="4B3C804E" w:rsidR="003024CE" w:rsidRPr="003024CE" w:rsidRDefault="003024CE" w:rsidP="003024CE">
      <w:pPr>
        <w:spacing w:after="0" w:line="240" w:lineRule="auto"/>
        <w:rPr>
          <w:color w:val="000000" w:themeColor="text1"/>
        </w:rPr>
      </w:pPr>
      <w:r w:rsidRPr="003A036A">
        <w:rPr>
          <w:b/>
        </w:rPr>
        <w:t>Таблица 2-2.</w:t>
      </w:r>
      <w:r w:rsidRPr="003A036A">
        <w:t xml:space="preserve"> Сопоставление составов препарата </w:t>
      </w:r>
      <w:r w:rsidR="003A036A" w:rsidRPr="003A036A">
        <w:rPr>
          <w:rFonts w:eastAsia="Times New Roman"/>
          <w:color w:val="000000" w:themeColor="text1"/>
          <w:lang w:eastAsia="en-US"/>
        </w:rPr>
        <w:t xml:space="preserve">DT-EMP </w:t>
      </w:r>
      <w:r w:rsidRPr="003A036A">
        <w:rPr>
          <w:rFonts w:eastAsia="Times New Roman"/>
          <w:color w:val="000000" w:themeColor="text1"/>
          <w:lang w:eastAsia="en-US"/>
        </w:rPr>
        <w:t xml:space="preserve">(АО «Р-Фарм», Россия) и референтного препарата </w:t>
      </w:r>
      <w:r w:rsidR="003A036A" w:rsidRPr="003A036A">
        <w:rPr>
          <w:lang w:eastAsia="ru-RU"/>
        </w:rPr>
        <w:t>Джардинс</w:t>
      </w:r>
      <w:r w:rsidR="003A036A" w:rsidRPr="003A036A">
        <w:rPr>
          <w:vertAlign w:val="superscript"/>
          <w:lang w:eastAsia="ru-RU"/>
        </w:rPr>
        <w:t>®</w:t>
      </w:r>
      <w:r w:rsidR="003A036A" w:rsidRPr="003A036A">
        <w:rPr>
          <w:lang w:eastAsia="ru-RU"/>
        </w:rPr>
        <w:t xml:space="preserve">, </w:t>
      </w:r>
      <w:r w:rsidRPr="003A036A">
        <w:rPr>
          <w:bCs/>
          <w:lang w:eastAsia="ru-RU"/>
        </w:rPr>
        <w:t xml:space="preserve">таблетки, </w:t>
      </w:r>
      <w:r w:rsidR="00705F16">
        <w:rPr>
          <w:bCs/>
          <w:lang w:eastAsia="ru-RU"/>
        </w:rPr>
        <w:t xml:space="preserve">покрытые пленочной оболочкой </w:t>
      </w:r>
      <w:r w:rsidRPr="003A036A">
        <w:rPr>
          <w:color w:val="000000"/>
        </w:rPr>
        <w:t>(</w:t>
      </w:r>
      <w:r w:rsidR="003A036A" w:rsidRPr="003A036A">
        <w:rPr>
          <w:lang w:eastAsia="ru-RU"/>
        </w:rPr>
        <w:t>Берингер Ингельхайм Интернешнл ГмбХ, Германия</w:t>
      </w:r>
      <w:r w:rsidRPr="003A036A">
        <w:rPr>
          <w:color w:val="000000"/>
        </w:rPr>
        <w:t>)</w:t>
      </w:r>
      <w:r w:rsidRPr="003A036A">
        <w:rPr>
          <w:bCs/>
          <w:lang w:eastAsia="ru-RU"/>
        </w:rPr>
        <w:t xml:space="preserve"> </w:t>
      </w:r>
      <w:r w:rsidRPr="003A036A">
        <w:rPr>
          <w:color w:val="000000" w:themeColor="text1"/>
        </w:rPr>
        <w:t>в дозировк</w:t>
      </w:r>
      <w:r w:rsidR="00705F16">
        <w:rPr>
          <w:color w:val="000000" w:themeColor="text1"/>
        </w:rPr>
        <w:t>ах 10 мг и</w:t>
      </w:r>
      <w:r w:rsidRPr="003A036A">
        <w:rPr>
          <w:color w:val="000000" w:themeColor="text1"/>
        </w:rPr>
        <w:t xml:space="preserve"> </w:t>
      </w:r>
      <w:r w:rsidR="003A036A" w:rsidRPr="003A036A">
        <w:rPr>
          <w:color w:val="000000" w:themeColor="text1"/>
        </w:rPr>
        <w:t>25</w:t>
      </w:r>
      <w:r w:rsidRPr="003A036A">
        <w:rPr>
          <w:color w:val="000000" w:themeColor="text1"/>
        </w:rPr>
        <w:t xml:space="preserve"> мг.</w:t>
      </w:r>
    </w:p>
    <w:tbl>
      <w:tblPr>
        <w:tblW w:w="9320" w:type="dxa"/>
        <w:tblInd w:w="-5" w:type="dxa"/>
        <w:tblLayout w:type="fixed"/>
        <w:tblLook w:val="01E0" w:firstRow="1" w:lastRow="1" w:firstColumn="1" w:lastColumn="1" w:noHBand="0" w:noVBand="0"/>
      </w:tblPr>
      <w:tblGrid>
        <w:gridCol w:w="3536"/>
        <w:gridCol w:w="1283"/>
        <w:gridCol w:w="1574"/>
        <w:gridCol w:w="1428"/>
        <w:gridCol w:w="1499"/>
      </w:tblGrid>
      <w:tr w:rsidR="00705F16" w:rsidRPr="003024CE" w14:paraId="0B09A418" w14:textId="77777777" w:rsidTr="00A056C2">
        <w:trPr>
          <w:trHeight w:val="261"/>
          <w:tblHeader/>
        </w:trPr>
        <w:tc>
          <w:tcPr>
            <w:tcW w:w="3537"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C710980" w14:textId="77777777" w:rsidR="00705F16" w:rsidRPr="003024CE" w:rsidRDefault="00705F16" w:rsidP="003024CE">
            <w:pPr>
              <w:spacing w:after="0" w:line="240" w:lineRule="auto"/>
              <w:jc w:val="center"/>
              <w:rPr>
                <w:b/>
                <w:iCs/>
                <w:lang w:eastAsia="en-US"/>
              </w:rPr>
            </w:pPr>
            <w:bookmarkStart w:id="49" w:name="_Hlk135595662"/>
            <w:r w:rsidRPr="003024CE">
              <w:rPr>
                <w:b/>
                <w:iCs/>
                <w:lang w:eastAsia="en-US"/>
              </w:rPr>
              <w:t>Компонент</w:t>
            </w:r>
          </w:p>
        </w:tc>
        <w:tc>
          <w:tcPr>
            <w:tcW w:w="285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41D71A" w14:textId="09F30696" w:rsidR="00705F16" w:rsidRPr="00400A9F" w:rsidRDefault="00400A9F" w:rsidP="003024CE">
            <w:pPr>
              <w:spacing w:after="0" w:line="240" w:lineRule="auto"/>
              <w:jc w:val="center"/>
              <w:rPr>
                <w:rFonts w:eastAsia="Times New Roman"/>
                <w:b/>
                <w:color w:val="000000" w:themeColor="text1"/>
                <w:lang w:eastAsia="en-US"/>
              </w:rPr>
            </w:pPr>
            <w:r>
              <w:rPr>
                <w:rFonts w:eastAsia="Times New Roman"/>
                <w:b/>
                <w:color w:val="000000" w:themeColor="text1"/>
                <w:lang w:eastAsia="en-US"/>
              </w:rPr>
              <w:t>Дозировка 10 мг</w:t>
            </w:r>
          </w:p>
        </w:tc>
        <w:tc>
          <w:tcPr>
            <w:tcW w:w="29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6E92FB" w14:textId="37EF19B4" w:rsidR="00705F16" w:rsidRPr="003024CE" w:rsidRDefault="00400A9F" w:rsidP="00400A9F">
            <w:pPr>
              <w:spacing w:after="0" w:line="240" w:lineRule="auto"/>
              <w:jc w:val="center"/>
              <w:rPr>
                <w:b/>
              </w:rPr>
            </w:pPr>
            <w:r>
              <w:rPr>
                <w:rFonts w:eastAsia="Times New Roman"/>
                <w:b/>
                <w:color w:val="000000" w:themeColor="text1"/>
                <w:lang w:eastAsia="en-US"/>
              </w:rPr>
              <w:t>Дозировка 25 мг</w:t>
            </w:r>
          </w:p>
        </w:tc>
      </w:tr>
      <w:tr w:rsidR="00705F16" w:rsidRPr="003024CE" w14:paraId="13FF0E25" w14:textId="77777777" w:rsidTr="00705F16">
        <w:trPr>
          <w:trHeight w:val="308"/>
          <w:tblHeader/>
        </w:trPr>
        <w:tc>
          <w:tcPr>
            <w:tcW w:w="3537"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66A9DF3" w14:textId="77777777" w:rsidR="00705F16" w:rsidRPr="003024CE" w:rsidRDefault="00705F16" w:rsidP="00705F16">
            <w:pPr>
              <w:spacing w:after="0" w:line="240" w:lineRule="auto"/>
              <w:jc w:val="center"/>
              <w:rPr>
                <w:b/>
                <w:iCs/>
                <w:lang w:eastAsia="en-US"/>
              </w:rPr>
            </w:pPr>
          </w:p>
        </w:tc>
        <w:tc>
          <w:tcPr>
            <w:tcW w:w="1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3A6206" w14:textId="426142F1" w:rsidR="00705F16" w:rsidRPr="00F76A44" w:rsidRDefault="00705F16" w:rsidP="00705F16">
            <w:pPr>
              <w:spacing w:after="0" w:line="240" w:lineRule="auto"/>
              <w:jc w:val="center"/>
              <w:rPr>
                <w:rFonts w:eastAsia="Times New Roman"/>
                <w:b/>
                <w:color w:val="000000" w:themeColor="text1"/>
                <w:lang w:val="en-US" w:eastAsia="en-US"/>
              </w:rPr>
            </w:pPr>
            <w:r w:rsidRPr="00F76A44">
              <w:rPr>
                <w:rFonts w:eastAsia="Times New Roman"/>
                <w:b/>
                <w:color w:val="000000" w:themeColor="text1"/>
                <w:lang w:val="en-US" w:eastAsia="en-US"/>
              </w:rPr>
              <w:t>DT-EMP</w:t>
            </w:r>
          </w:p>
        </w:tc>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CF457E" w14:textId="2851E34E" w:rsidR="00705F16" w:rsidRPr="00F76A44" w:rsidRDefault="00705F16" w:rsidP="00705F16">
            <w:pPr>
              <w:spacing w:after="0" w:line="240" w:lineRule="auto"/>
              <w:jc w:val="center"/>
              <w:rPr>
                <w:rFonts w:eastAsia="Times New Roman"/>
                <w:b/>
                <w:color w:val="000000" w:themeColor="text1"/>
                <w:lang w:val="en-US" w:eastAsia="en-US"/>
              </w:rPr>
            </w:pPr>
            <w:r w:rsidRPr="00F76A44">
              <w:rPr>
                <w:b/>
                <w:lang w:eastAsia="ru-RU"/>
              </w:rPr>
              <w:t>Джардинс</w:t>
            </w:r>
            <w:r w:rsidRPr="003024CE">
              <w:rPr>
                <w:b/>
                <w:color w:val="000000" w:themeColor="text1"/>
                <w:vertAlign w:val="superscript"/>
              </w:rPr>
              <w:t>®</w:t>
            </w:r>
          </w:p>
        </w:tc>
        <w:tc>
          <w:tcPr>
            <w:tcW w:w="1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9A6EC" w14:textId="0EAAC428" w:rsidR="00705F16" w:rsidRPr="00F76A44" w:rsidRDefault="00705F16" w:rsidP="00705F16">
            <w:pPr>
              <w:spacing w:after="0" w:line="240" w:lineRule="auto"/>
              <w:jc w:val="center"/>
              <w:rPr>
                <w:rFonts w:eastAsia="Times New Roman"/>
                <w:b/>
                <w:color w:val="000000" w:themeColor="text1"/>
                <w:lang w:val="en-US" w:eastAsia="en-US"/>
              </w:rPr>
            </w:pPr>
            <w:r w:rsidRPr="00F76A44">
              <w:rPr>
                <w:rFonts w:eastAsia="Times New Roman"/>
                <w:b/>
                <w:color w:val="000000" w:themeColor="text1"/>
                <w:lang w:val="en-US" w:eastAsia="en-US"/>
              </w:rPr>
              <w:t>DT-EMP</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95C3" w14:textId="4833FA3D" w:rsidR="00705F16" w:rsidRPr="00F76A44" w:rsidRDefault="00705F16" w:rsidP="00705F16">
            <w:pPr>
              <w:spacing w:after="0" w:line="240" w:lineRule="auto"/>
              <w:jc w:val="center"/>
              <w:rPr>
                <w:b/>
                <w:lang w:eastAsia="ru-RU"/>
              </w:rPr>
            </w:pPr>
            <w:r w:rsidRPr="00F76A44">
              <w:rPr>
                <w:b/>
                <w:lang w:eastAsia="ru-RU"/>
              </w:rPr>
              <w:t>Джардинс</w:t>
            </w:r>
            <w:r w:rsidRPr="003024CE">
              <w:rPr>
                <w:b/>
                <w:color w:val="000000" w:themeColor="text1"/>
                <w:vertAlign w:val="superscript"/>
              </w:rPr>
              <w:t>®</w:t>
            </w:r>
          </w:p>
        </w:tc>
      </w:tr>
      <w:tr w:rsidR="00B42640" w:rsidRPr="003024CE" w14:paraId="4B161790" w14:textId="77777777" w:rsidTr="00B42640">
        <w:trPr>
          <w:trHeight w:val="96"/>
        </w:trPr>
        <w:tc>
          <w:tcPr>
            <w:tcW w:w="9320" w:type="dxa"/>
            <w:gridSpan w:val="5"/>
            <w:tcBorders>
              <w:top w:val="single" w:sz="4" w:space="0" w:color="auto"/>
              <w:left w:val="single" w:sz="4" w:space="0" w:color="auto"/>
              <w:bottom w:val="single" w:sz="4" w:space="0" w:color="auto"/>
              <w:right w:val="single" w:sz="4" w:space="0" w:color="auto"/>
            </w:tcBorders>
          </w:tcPr>
          <w:p w14:paraId="0FE47982" w14:textId="22E5C48F" w:rsidR="00B42640" w:rsidRPr="003024CE" w:rsidRDefault="00B42640" w:rsidP="0079047B">
            <w:pPr>
              <w:spacing w:after="0" w:line="240" w:lineRule="auto"/>
              <w:jc w:val="left"/>
            </w:pPr>
            <w:r w:rsidRPr="003024CE">
              <w:rPr>
                <w:i/>
                <w:iCs/>
                <w:lang w:eastAsia="en-US"/>
              </w:rPr>
              <w:t>Действующее вещество:</w:t>
            </w:r>
          </w:p>
        </w:tc>
      </w:tr>
      <w:tr w:rsidR="00B42640" w:rsidRPr="003024CE" w14:paraId="547C96E0" w14:textId="77777777" w:rsidTr="00705F16">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2992D704" w14:textId="1641A9A1" w:rsidR="00B42640" w:rsidRPr="003024CE" w:rsidRDefault="00B42640" w:rsidP="003024CE">
            <w:pPr>
              <w:spacing w:after="0" w:line="240" w:lineRule="auto"/>
              <w:ind w:left="567"/>
              <w:jc w:val="left"/>
              <w:rPr>
                <w:iCs/>
                <w:lang w:eastAsia="en-US"/>
              </w:rPr>
            </w:pPr>
            <w:r>
              <w:rPr>
                <w:rFonts w:eastAsia="Times New Roman"/>
              </w:rPr>
              <w:t>Эмпаглифлозин</w:t>
            </w:r>
          </w:p>
        </w:tc>
        <w:tc>
          <w:tcPr>
            <w:tcW w:w="1283" w:type="dxa"/>
            <w:tcBorders>
              <w:top w:val="single" w:sz="4" w:space="0" w:color="auto"/>
              <w:left w:val="single" w:sz="4" w:space="0" w:color="auto"/>
              <w:bottom w:val="single" w:sz="4" w:space="0" w:color="auto"/>
              <w:right w:val="single" w:sz="4" w:space="0" w:color="auto"/>
            </w:tcBorders>
          </w:tcPr>
          <w:p w14:paraId="5C3AEA49" w14:textId="1B51DBC6" w:rsidR="00B42640" w:rsidRPr="003A036A" w:rsidRDefault="00400A9F" w:rsidP="003024CE">
            <w:pPr>
              <w:spacing w:after="0" w:line="240" w:lineRule="auto"/>
              <w:jc w:val="center"/>
              <w:rPr>
                <w:lang w:eastAsia="en-US"/>
              </w:rPr>
            </w:pPr>
            <w:r w:rsidRPr="003A036A">
              <w:rPr>
                <w:lang w:eastAsia="en-US"/>
              </w:rPr>
              <w:t>10,00 мг</w:t>
            </w:r>
          </w:p>
        </w:tc>
        <w:tc>
          <w:tcPr>
            <w:tcW w:w="1575" w:type="dxa"/>
            <w:tcBorders>
              <w:top w:val="single" w:sz="4" w:space="0" w:color="auto"/>
              <w:left w:val="single" w:sz="4" w:space="0" w:color="auto"/>
              <w:bottom w:val="single" w:sz="4" w:space="0" w:color="auto"/>
              <w:right w:val="single" w:sz="4" w:space="0" w:color="auto"/>
            </w:tcBorders>
          </w:tcPr>
          <w:p w14:paraId="5B3ADBB8" w14:textId="5E333E40" w:rsidR="00B42640" w:rsidRPr="003A036A" w:rsidRDefault="00162913" w:rsidP="003024CE">
            <w:pPr>
              <w:spacing w:after="0" w:line="240" w:lineRule="auto"/>
              <w:jc w:val="center"/>
              <w:rPr>
                <w:lang w:eastAsia="en-US"/>
              </w:rPr>
            </w:pPr>
            <w:r w:rsidRPr="003A036A">
              <w:rPr>
                <w:lang w:eastAsia="en-US"/>
              </w:rPr>
              <w:t>10,00 мг</w:t>
            </w:r>
          </w:p>
        </w:tc>
        <w:tc>
          <w:tcPr>
            <w:tcW w:w="1429" w:type="dxa"/>
            <w:tcBorders>
              <w:top w:val="single" w:sz="4" w:space="0" w:color="auto"/>
              <w:left w:val="single" w:sz="4" w:space="0" w:color="auto"/>
              <w:bottom w:val="single" w:sz="4" w:space="0" w:color="auto"/>
              <w:right w:val="single" w:sz="4" w:space="0" w:color="auto"/>
            </w:tcBorders>
            <w:vAlign w:val="center"/>
          </w:tcPr>
          <w:p w14:paraId="014F76EB" w14:textId="30EBAC3A" w:rsidR="00B42640" w:rsidRPr="003024CE" w:rsidRDefault="00B42640" w:rsidP="003024CE">
            <w:pPr>
              <w:spacing w:after="0" w:line="240" w:lineRule="auto"/>
              <w:jc w:val="center"/>
            </w:pPr>
            <w:r w:rsidRPr="003A036A">
              <w:rPr>
                <w:lang w:eastAsia="en-US"/>
              </w:rPr>
              <w:t>25,00 мг</w:t>
            </w:r>
          </w:p>
        </w:tc>
        <w:tc>
          <w:tcPr>
            <w:tcW w:w="1496" w:type="dxa"/>
            <w:tcBorders>
              <w:top w:val="single" w:sz="4" w:space="0" w:color="auto"/>
              <w:left w:val="single" w:sz="4" w:space="0" w:color="auto"/>
              <w:bottom w:val="single" w:sz="4" w:space="0" w:color="auto"/>
              <w:right w:val="single" w:sz="4" w:space="0" w:color="auto"/>
            </w:tcBorders>
            <w:vAlign w:val="center"/>
          </w:tcPr>
          <w:p w14:paraId="6091CD44" w14:textId="3D1D2F64" w:rsidR="00B42640" w:rsidRPr="003024CE" w:rsidRDefault="00B42640" w:rsidP="003024CE">
            <w:pPr>
              <w:spacing w:after="0" w:line="240" w:lineRule="auto"/>
              <w:jc w:val="center"/>
            </w:pPr>
            <w:r w:rsidRPr="003A036A">
              <w:rPr>
                <w:lang w:eastAsia="en-US"/>
              </w:rPr>
              <w:t>25,00 мг</w:t>
            </w:r>
          </w:p>
        </w:tc>
      </w:tr>
      <w:tr w:rsidR="00B42640" w:rsidRPr="003024CE" w14:paraId="187D9C68" w14:textId="77777777" w:rsidTr="00B42640">
        <w:trPr>
          <w:trHeight w:val="96"/>
        </w:trPr>
        <w:tc>
          <w:tcPr>
            <w:tcW w:w="9320" w:type="dxa"/>
            <w:gridSpan w:val="5"/>
            <w:tcBorders>
              <w:top w:val="single" w:sz="4" w:space="0" w:color="auto"/>
              <w:left w:val="single" w:sz="4" w:space="0" w:color="auto"/>
              <w:bottom w:val="single" w:sz="4" w:space="0" w:color="auto"/>
              <w:right w:val="single" w:sz="4" w:space="0" w:color="auto"/>
            </w:tcBorders>
          </w:tcPr>
          <w:p w14:paraId="6DEF82E6" w14:textId="7C0BFC94" w:rsidR="00B42640" w:rsidRPr="003024CE" w:rsidRDefault="00B42640" w:rsidP="0079047B">
            <w:pPr>
              <w:spacing w:after="0" w:line="240" w:lineRule="auto"/>
              <w:jc w:val="left"/>
            </w:pPr>
            <w:r w:rsidRPr="003024CE">
              <w:rPr>
                <w:i/>
                <w:iCs/>
                <w:lang w:eastAsia="en-US"/>
              </w:rPr>
              <w:t>Вспомогательные вещества:</w:t>
            </w:r>
          </w:p>
        </w:tc>
      </w:tr>
      <w:tr w:rsidR="00162913" w:rsidRPr="003024CE" w14:paraId="20405854"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25E5F628" w14:textId="7E317835" w:rsidR="00162913" w:rsidRPr="003024CE" w:rsidRDefault="00162913" w:rsidP="00162913">
            <w:pPr>
              <w:spacing w:after="0" w:line="240" w:lineRule="auto"/>
              <w:ind w:left="567"/>
              <w:jc w:val="left"/>
              <w:rPr>
                <w:iCs/>
                <w:lang w:eastAsia="en-US"/>
              </w:rPr>
            </w:pPr>
            <w:r w:rsidRPr="003A036A">
              <w:rPr>
                <w:lang w:eastAsia="en-US"/>
              </w:rPr>
              <w:t>Лактозы моногидрат</w:t>
            </w:r>
          </w:p>
        </w:tc>
        <w:tc>
          <w:tcPr>
            <w:tcW w:w="1283" w:type="dxa"/>
            <w:tcBorders>
              <w:top w:val="single" w:sz="4" w:space="0" w:color="auto"/>
              <w:left w:val="single" w:sz="4" w:space="0" w:color="auto"/>
              <w:bottom w:val="single" w:sz="4" w:space="0" w:color="auto"/>
              <w:right w:val="single" w:sz="4" w:space="0" w:color="auto"/>
            </w:tcBorders>
            <w:vAlign w:val="center"/>
          </w:tcPr>
          <w:p w14:paraId="19D9FDBA" w14:textId="559DC457" w:rsidR="00162913" w:rsidRPr="003A036A" w:rsidRDefault="00162913" w:rsidP="00162913">
            <w:pPr>
              <w:spacing w:after="0" w:line="240" w:lineRule="auto"/>
              <w:jc w:val="center"/>
              <w:rPr>
                <w:lang w:eastAsia="en-US"/>
              </w:rPr>
            </w:pPr>
            <w:r w:rsidRPr="003A036A">
              <w:rPr>
                <w:lang w:eastAsia="en-US"/>
              </w:rPr>
              <w:t>162,50 мг</w:t>
            </w:r>
          </w:p>
        </w:tc>
        <w:tc>
          <w:tcPr>
            <w:tcW w:w="1575" w:type="dxa"/>
            <w:tcBorders>
              <w:top w:val="single" w:sz="4" w:space="0" w:color="auto"/>
              <w:left w:val="single" w:sz="4" w:space="0" w:color="auto"/>
              <w:bottom w:val="single" w:sz="4" w:space="0" w:color="auto"/>
              <w:right w:val="single" w:sz="4" w:space="0" w:color="auto"/>
            </w:tcBorders>
            <w:vAlign w:val="center"/>
          </w:tcPr>
          <w:p w14:paraId="5AE78722" w14:textId="27F4C992" w:rsidR="00162913" w:rsidRPr="003A036A" w:rsidRDefault="00162913" w:rsidP="00162913">
            <w:pPr>
              <w:spacing w:after="0" w:line="240" w:lineRule="auto"/>
              <w:jc w:val="center"/>
              <w:rPr>
                <w:lang w:eastAsia="en-US"/>
              </w:rPr>
            </w:pPr>
            <w:r w:rsidRPr="003A036A">
              <w:rPr>
                <w:lang w:eastAsia="en-US"/>
              </w:rPr>
              <w:t>162,50 мг</w:t>
            </w:r>
          </w:p>
        </w:tc>
        <w:tc>
          <w:tcPr>
            <w:tcW w:w="1429" w:type="dxa"/>
            <w:tcBorders>
              <w:top w:val="single" w:sz="4" w:space="0" w:color="auto"/>
              <w:left w:val="single" w:sz="4" w:space="0" w:color="auto"/>
              <w:bottom w:val="single" w:sz="4" w:space="0" w:color="auto"/>
              <w:right w:val="single" w:sz="4" w:space="0" w:color="auto"/>
            </w:tcBorders>
            <w:vAlign w:val="center"/>
          </w:tcPr>
          <w:p w14:paraId="0221351A" w14:textId="6BE06044" w:rsidR="00162913" w:rsidRPr="003024CE" w:rsidRDefault="00162913" w:rsidP="00162913">
            <w:pPr>
              <w:spacing w:after="0" w:line="240" w:lineRule="auto"/>
              <w:jc w:val="center"/>
            </w:pPr>
            <w:r w:rsidRPr="003A036A">
              <w:rPr>
                <w:lang w:eastAsia="en-US"/>
              </w:rPr>
              <w:t>113,00 мг</w:t>
            </w:r>
          </w:p>
        </w:tc>
        <w:tc>
          <w:tcPr>
            <w:tcW w:w="1496" w:type="dxa"/>
            <w:tcBorders>
              <w:top w:val="single" w:sz="4" w:space="0" w:color="auto"/>
              <w:left w:val="single" w:sz="4" w:space="0" w:color="auto"/>
              <w:bottom w:val="single" w:sz="4" w:space="0" w:color="auto"/>
              <w:right w:val="single" w:sz="4" w:space="0" w:color="auto"/>
            </w:tcBorders>
            <w:vAlign w:val="center"/>
          </w:tcPr>
          <w:p w14:paraId="4EFECE62" w14:textId="108B3CD0" w:rsidR="00162913" w:rsidRPr="003024CE" w:rsidRDefault="00162913" w:rsidP="00162913">
            <w:pPr>
              <w:spacing w:after="0" w:line="240" w:lineRule="auto"/>
              <w:jc w:val="center"/>
            </w:pPr>
            <w:r w:rsidRPr="003A036A">
              <w:rPr>
                <w:lang w:eastAsia="en-US"/>
              </w:rPr>
              <w:t>113,00 мг</w:t>
            </w:r>
          </w:p>
        </w:tc>
      </w:tr>
      <w:tr w:rsidR="00162913" w:rsidRPr="003024CE" w14:paraId="18BCF326"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5F894703" w14:textId="43B87969" w:rsidR="00162913" w:rsidRPr="003024CE" w:rsidRDefault="00162913" w:rsidP="00162913">
            <w:pPr>
              <w:spacing w:after="0" w:line="240" w:lineRule="auto"/>
              <w:ind w:left="567"/>
              <w:jc w:val="left"/>
              <w:rPr>
                <w:iCs/>
                <w:lang w:val="en-US" w:eastAsia="en-US"/>
              </w:rPr>
            </w:pPr>
            <w:r w:rsidRPr="003A036A">
              <w:rPr>
                <w:lang w:eastAsia="en-US"/>
              </w:rPr>
              <w:t>Целлюлоза микрокристаллическая</w:t>
            </w:r>
            <w:r w:rsidRPr="002E3599">
              <w:rPr>
                <w:vertAlign w:val="superscript"/>
                <w:lang w:eastAsia="en-US"/>
              </w:rPr>
              <w:t>1</w:t>
            </w:r>
          </w:p>
        </w:tc>
        <w:tc>
          <w:tcPr>
            <w:tcW w:w="1283" w:type="dxa"/>
            <w:tcBorders>
              <w:top w:val="single" w:sz="4" w:space="0" w:color="auto"/>
              <w:left w:val="single" w:sz="4" w:space="0" w:color="auto"/>
              <w:bottom w:val="single" w:sz="4" w:space="0" w:color="auto"/>
              <w:right w:val="single" w:sz="4" w:space="0" w:color="auto"/>
            </w:tcBorders>
            <w:vAlign w:val="center"/>
          </w:tcPr>
          <w:p w14:paraId="25D3061E" w14:textId="20821C9E" w:rsidR="00162913" w:rsidRPr="003A036A" w:rsidRDefault="00162913" w:rsidP="00162913">
            <w:pPr>
              <w:spacing w:after="0" w:line="240" w:lineRule="auto"/>
              <w:jc w:val="center"/>
              <w:rPr>
                <w:lang w:eastAsia="en-US"/>
              </w:rPr>
            </w:pPr>
            <w:r w:rsidRPr="003A036A">
              <w:rPr>
                <w:lang w:eastAsia="en-US"/>
              </w:rPr>
              <w:t>62,50 мг</w:t>
            </w:r>
          </w:p>
        </w:tc>
        <w:tc>
          <w:tcPr>
            <w:tcW w:w="1575" w:type="dxa"/>
            <w:tcBorders>
              <w:top w:val="single" w:sz="4" w:space="0" w:color="auto"/>
              <w:left w:val="single" w:sz="4" w:space="0" w:color="auto"/>
              <w:bottom w:val="single" w:sz="4" w:space="0" w:color="auto"/>
              <w:right w:val="single" w:sz="4" w:space="0" w:color="auto"/>
            </w:tcBorders>
            <w:vAlign w:val="center"/>
          </w:tcPr>
          <w:p w14:paraId="2B9E65EC" w14:textId="74E5B071" w:rsidR="00162913" w:rsidRPr="003A036A" w:rsidRDefault="00162913" w:rsidP="00162913">
            <w:pPr>
              <w:spacing w:after="0" w:line="240" w:lineRule="auto"/>
              <w:jc w:val="center"/>
              <w:rPr>
                <w:lang w:eastAsia="en-US"/>
              </w:rPr>
            </w:pPr>
            <w:r w:rsidRPr="003A036A">
              <w:rPr>
                <w:lang w:eastAsia="en-US"/>
              </w:rPr>
              <w:t>62,50 мг</w:t>
            </w:r>
          </w:p>
        </w:tc>
        <w:tc>
          <w:tcPr>
            <w:tcW w:w="1429" w:type="dxa"/>
            <w:tcBorders>
              <w:top w:val="single" w:sz="4" w:space="0" w:color="auto"/>
              <w:left w:val="single" w:sz="4" w:space="0" w:color="auto"/>
              <w:bottom w:val="single" w:sz="4" w:space="0" w:color="auto"/>
              <w:right w:val="single" w:sz="4" w:space="0" w:color="auto"/>
            </w:tcBorders>
            <w:vAlign w:val="center"/>
          </w:tcPr>
          <w:p w14:paraId="30761648" w14:textId="7F3816E3" w:rsidR="00162913" w:rsidRPr="003024CE" w:rsidRDefault="00162913" w:rsidP="00162913">
            <w:pPr>
              <w:spacing w:after="0" w:line="240" w:lineRule="auto"/>
              <w:jc w:val="center"/>
            </w:pPr>
            <w:r w:rsidRPr="003A036A">
              <w:rPr>
                <w:lang w:eastAsia="en-US"/>
              </w:rPr>
              <w:t>50,00 мг</w:t>
            </w:r>
          </w:p>
        </w:tc>
        <w:tc>
          <w:tcPr>
            <w:tcW w:w="1496" w:type="dxa"/>
            <w:tcBorders>
              <w:top w:val="single" w:sz="4" w:space="0" w:color="auto"/>
              <w:left w:val="single" w:sz="4" w:space="0" w:color="auto"/>
              <w:bottom w:val="single" w:sz="4" w:space="0" w:color="auto"/>
              <w:right w:val="single" w:sz="4" w:space="0" w:color="auto"/>
            </w:tcBorders>
            <w:vAlign w:val="center"/>
          </w:tcPr>
          <w:p w14:paraId="3D4199FA" w14:textId="48A8C03E" w:rsidR="00162913" w:rsidRPr="003024CE" w:rsidRDefault="00162913" w:rsidP="00162913">
            <w:pPr>
              <w:spacing w:after="0" w:line="240" w:lineRule="auto"/>
              <w:jc w:val="center"/>
            </w:pPr>
            <w:r w:rsidRPr="003A036A">
              <w:rPr>
                <w:lang w:eastAsia="en-US"/>
              </w:rPr>
              <w:t>50,00 мг</w:t>
            </w:r>
          </w:p>
        </w:tc>
      </w:tr>
      <w:tr w:rsidR="00162913" w:rsidRPr="003024CE" w14:paraId="5DAA3B17"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23C8BECA" w14:textId="0B149443" w:rsidR="00162913" w:rsidRPr="003024CE" w:rsidRDefault="00162913" w:rsidP="00162913">
            <w:pPr>
              <w:spacing w:after="0" w:line="240" w:lineRule="auto"/>
              <w:ind w:left="567"/>
              <w:jc w:val="left"/>
              <w:rPr>
                <w:iCs/>
                <w:vertAlign w:val="superscript"/>
                <w:lang w:eastAsia="en-US"/>
              </w:rPr>
            </w:pPr>
            <w:r w:rsidRPr="003A036A">
              <w:rPr>
                <w:lang w:eastAsia="en-US"/>
              </w:rPr>
              <w:t>Гипролоза</w:t>
            </w:r>
          </w:p>
        </w:tc>
        <w:tc>
          <w:tcPr>
            <w:tcW w:w="1283" w:type="dxa"/>
            <w:tcBorders>
              <w:top w:val="single" w:sz="4" w:space="0" w:color="auto"/>
              <w:left w:val="single" w:sz="4" w:space="0" w:color="auto"/>
              <w:bottom w:val="single" w:sz="4" w:space="0" w:color="auto"/>
              <w:right w:val="single" w:sz="4" w:space="0" w:color="auto"/>
            </w:tcBorders>
            <w:vAlign w:val="center"/>
          </w:tcPr>
          <w:p w14:paraId="2A4FB429" w14:textId="3A90992A" w:rsidR="00162913" w:rsidRPr="003A036A" w:rsidRDefault="00162913" w:rsidP="00162913">
            <w:pPr>
              <w:spacing w:after="0" w:line="240" w:lineRule="auto"/>
              <w:jc w:val="center"/>
              <w:rPr>
                <w:lang w:eastAsia="en-US"/>
              </w:rPr>
            </w:pPr>
            <w:r w:rsidRPr="003A036A">
              <w:rPr>
                <w:lang w:eastAsia="en-US"/>
              </w:rPr>
              <w:t>7,50 мг</w:t>
            </w:r>
          </w:p>
        </w:tc>
        <w:tc>
          <w:tcPr>
            <w:tcW w:w="1575" w:type="dxa"/>
            <w:tcBorders>
              <w:top w:val="single" w:sz="4" w:space="0" w:color="auto"/>
              <w:left w:val="single" w:sz="4" w:space="0" w:color="auto"/>
              <w:bottom w:val="single" w:sz="4" w:space="0" w:color="auto"/>
              <w:right w:val="single" w:sz="4" w:space="0" w:color="auto"/>
            </w:tcBorders>
            <w:vAlign w:val="center"/>
          </w:tcPr>
          <w:p w14:paraId="4EBF4C8E" w14:textId="2AAEC70E" w:rsidR="00162913" w:rsidRPr="003A036A" w:rsidRDefault="00162913" w:rsidP="00162913">
            <w:pPr>
              <w:spacing w:after="0" w:line="240" w:lineRule="auto"/>
              <w:jc w:val="center"/>
              <w:rPr>
                <w:lang w:eastAsia="en-US"/>
              </w:rPr>
            </w:pPr>
            <w:r w:rsidRPr="003A036A">
              <w:rPr>
                <w:lang w:eastAsia="en-US"/>
              </w:rPr>
              <w:t>7,50 мг</w:t>
            </w:r>
          </w:p>
        </w:tc>
        <w:tc>
          <w:tcPr>
            <w:tcW w:w="1429" w:type="dxa"/>
            <w:tcBorders>
              <w:top w:val="single" w:sz="4" w:space="0" w:color="auto"/>
              <w:left w:val="single" w:sz="4" w:space="0" w:color="auto"/>
              <w:bottom w:val="single" w:sz="4" w:space="0" w:color="auto"/>
              <w:right w:val="single" w:sz="4" w:space="0" w:color="auto"/>
            </w:tcBorders>
            <w:vAlign w:val="center"/>
          </w:tcPr>
          <w:p w14:paraId="674C17E2" w14:textId="76B8CAF9" w:rsidR="00162913" w:rsidRPr="003024CE" w:rsidRDefault="00162913" w:rsidP="00162913">
            <w:pPr>
              <w:spacing w:after="0" w:line="240" w:lineRule="auto"/>
              <w:jc w:val="center"/>
            </w:pPr>
            <w:r w:rsidRPr="003A036A">
              <w:rPr>
                <w:lang w:eastAsia="en-US"/>
              </w:rPr>
              <w:t>6,00 мг</w:t>
            </w:r>
          </w:p>
        </w:tc>
        <w:tc>
          <w:tcPr>
            <w:tcW w:w="1496" w:type="dxa"/>
            <w:tcBorders>
              <w:top w:val="single" w:sz="4" w:space="0" w:color="auto"/>
              <w:left w:val="single" w:sz="4" w:space="0" w:color="auto"/>
              <w:bottom w:val="single" w:sz="4" w:space="0" w:color="auto"/>
              <w:right w:val="single" w:sz="4" w:space="0" w:color="auto"/>
            </w:tcBorders>
            <w:vAlign w:val="center"/>
          </w:tcPr>
          <w:p w14:paraId="6D3D2465" w14:textId="0CE3EBB5" w:rsidR="00162913" w:rsidRPr="003024CE" w:rsidRDefault="00162913" w:rsidP="00162913">
            <w:pPr>
              <w:spacing w:after="0" w:line="240" w:lineRule="auto"/>
              <w:jc w:val="center"/>
            </w:pPr>
            <w:r w:rsidRPr="003A036A">
              <w:rPr>
                <w:lang w:eastAsia="en-US"/>
              </w:rPr>
              <w:t>6,00 мг</w:t>
            </w:r>
          </w:p>
        </w:tc>
      </w:tr>
      <w:tr w:rsidR="00162913" w:rsidRPr="003024CE" w14:paraId="51FCAF85"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66A9B9B2" w14:textId="25C8DF7E" w:rsidR="00162913" w:rsidRPr="003024CE" w:rsidRDefault="00162913" w:rsidP="00162913">
            <w:pPr>
              <w:spacing w:after="0" w:line="240" w:lineRule="auto"/>
              <w:ind w:left="567"/>
              <w:jc w:val="left"/>
              <w:rPr>
                <w:rFonts w:eastAsia="Times New Roman"/>
              </w:rPr>
            </w:pPr>
            <w:r w:rsidRPr="003A036A">
              <w:rPr>
                <w:lang w:eastAsia="en-US"/>
              </w:rPr>
              <w:t>Кроскармеллоза натрия</w:t>
            </w:r>
          </w:p>
        </w:tc>
        <w:tc>
          <w:tcPr>
            <w:tcW w:w="1283" w:type="dxa"/>
            <w:tcBorders>
              <w:top w:val="single" w:sz="4" w:space="0" w:color="auto"/>
              <w:left w:val="single" w:sz="4" w:space="0" w:color="auto"/>
              <w:bottom w:val="single" w:sz="4" w:space="0" w:color="auto"/>
              <w:right w:val="single" w:sz="4" w:space="0" w:color="auto"/>
            </w:tcBorders>
            <w:vAlign w:val="center"/>
          </w:tcPr>
          <w:p w14:paraId="4AD76ED9" w14:textId="5850A9D6" w:rsidR="00162913" w:rsidRPr="003A036A" w:rsidRDefault="00162913" w:rsidP="00162913">
            <w:pPr>
              <w:spacing w:after="0" w:line="240" w:lineRule="auto"/>
              <w:jc w:val="center"/>
              <w:rPr>
                <w:lang w:eastAsia="en-US"/>
              </w:rPr>
            </w:pPr>
            <w:r w:rsidRPr="003A036A">
              <w:rPr>
                <w:lang w:eastAsia="en-US"/>
              </w:rPr>
              <w:t>5,00 мг</w:t>
            </w:r>
          </w:p>
        </w:tc>
        <w:tc>
          <w:tcPr>
            <w:tcW w:w="1575" w:type="dxa"/>
            <w:tcBorders>
              <w:top w:val="single" w:sz="4" w:space="0" w:color="auto"/>
              <w:left w:val="single" w:sz="4" w:space="0" w:color="auto"/>
              <w:bottom w:val="single" w:sz="4" w:space="0" w:color="auto"/>
              <w:right w:val="single" w:sz="4" w:space="0" w:color="auto"/>
            </w:tcBorders>
            <w:vAlign w:val="center"/>
          </w:tcPr>
          <w:p w14:paraId="45C44D41" w14:textId="0E171C10" w:rsidR="00162913" w:rsidRPr="003A036A" w:rsidRDefault="00162913" w:rsidP="00162913">
            <w:pPr>
              <w:spacing w:after="0" w:line="240" w:lineRule="auto"/>
              <w:jc w:val="center"/>
              <w:rPr>
                <w:lang w:eastAsia="en-US"/>
              </w:rPr>
            </w:pPr>
            <w:r w:rsidRPr="003A036A">
              <w:rPr>
                <w:lang w:eastAsia="en-US"/>
              </w:rPr>
              <w:t>5,00 мг</w:t>
            </w:r>
          </w:p>
        </w:tc>
        <w:tc>
          <w:tcPr>
            <w:tcW w:w="1429" w:type="dxa"/>
            <w:tcBorders>
              <w:top w:val="single" w:sz="4" w:space="0" w:color="auto"/>
              <w:left w:val="single" w:sz="4" w:space="0" w:color="auto"/>
              <w:bottom w:val="single" w:sz="4" w:space="0" w:color="auto"/>
              <w:right w:val="single" w:sz="4" w:space="0" w:color="auto"/>
            </w:tcBorders>
            <w:vAlign w:val="center"/>
          </w:tcPr>
          <w:p w14:paraId="1845C16D" w14:textId="1BE8BE40" w:rsidR="00162913" w:rsidRPr="003024CE" w:rsidRDefault="00162913" w:rsidP="00162913">
            <w:pPr>
              <w:spacing w:after="0" w:line="240" w:lineRule="auto"/>
              <w:jc w:val="center"/>
              <w:rPr>
                <w:rFonts w:eastAsia="Times New Roman"/>
              </w:rPr>
            </w:pPr>
            <w:r w:rsidRPr="003A036A">
              <w:rPr>
                <w:lang w:eastAsia="en-US"/>
              </w:rPr>
              <w:t>4,00 мг</w:t>
            </w:r>
          </w:p>
        </w:tc>
        <w:tc>
          <w:tcPr>
            <w:tcW w:w="1496" w:type="dxa"/>
            <w:tcBorders>
              <w:top w:val="single" w:sz="4" w:space="0" w:color="auto"/>
              <w:left w:val="single" w:sz="4" w:space="0" w:color="auto"/>
              <w:bottom w:val="single" w:sz="4" w:space="0" w:color="auto"/>
              <w:right w:val="single" w:sz="4" w:space="0" w:color="auto"/>
            </w:tcBorders>
            <w:vAlign w:val="center"/>
          </w:tcPr>
          <w:p w14:paraId="471A2B51" w14:textId="1ED648C9" w:rsidR="00162913" w:rsidRPr="003024CE" w:rsidRDefault="00162913" w:rsidP="00162913">
            <w:pPr>
              <w:spacing w:after="0" w:line="240" w:lineRule="auto"/>
              <w:jc w:val="center"/>
              <w:rPr>
                <w:rFonts w:eastAsia="Times New Roman"/>
              </w:rPr>
            </w:pPr>
            <w:r w:rsidRPr="003A036A">
              <w:rPr>
                <w:lang w:eastAsia="en-US"/>
              </w:rPr>
              <w:t>4,00 мг</w:t>
            </w:r>
          </w:p>
        </w:tc>
      </w:tr>
      <w:tr w:rsidR="00162913" w:rsidRPr="003024CE" w14:paraId="110150E9"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48C6DAFD" w14:textId="2632AAFC" w:rsidR="00162913" w:rsidRPr="003024CE" w:rsidRDefault="00162913" w:rsidP="00162913">
            <w:pPr>
              <w:spacing w:after="0" w:line="240" w:lineRule="auto"/>
              <w:ind w:left="567"/>
              <w:jc w:val="left"/>
              <w:rPr>
                <w:rFonts w:eastAsia="Times New Roman"/>
              </w:rPr>
            </w:pPr>
            <w:r w:rsidRPr="003A036A">
              <w:rPr>
                <w:lang w:eastAsia="en-US"/>
              </w:rPr>
              <w:t>Кремния диоксид коллоидный</w:t>
            </w:r>
          </w:p>
        </w:tc>
        <w:tc>
          <w:tcPr>
            <w:tcW w:w="1283" w:type="dxa"/>
            <w:tcBorders>
              <w:top w:val="single" w:sz="4" w:space="0" w:color="auto"/>
              <w:left w:val="single" w:sz="4" w:space="0" w:color="auto"/>
              <w:bottom w:val="single" w:sz="4" w:space="0" w:color="auto"/>
              <w:right w:val="single" w:sz="4" w:space="0" w:color="auto"/>
            </w:tcBorders>
            <w:vAlign w:val="center"/>
          </w:tcPr>
          <w:p w14:paraId="729710BE" w14:textId="29905ED2" w:rsidR="00162913" w:rsidRPr="003A036A" w:rsidRDefault="00162913" w:rsidP="00162913">
            <w:pPr>
              <w:spacing w:after="0" w:line="240" w:lineRule="auto"/>
              <w:jc w:val="center"/>
              <w:rPr>
                <w:lang w:eastAsia="en-US"/>
              </w:rPr>
            </w:pPr>
            <w:r w:rsidRPr="003A036A">
              <w:rPr>
                <w:lang w:eastAsia="en-US"/>
              </w:rPr>
              <w:t>1,25 мг</w:t>
            </w:r>
          </w:p>
        </w:tc>
        <w:tc>
          <w:tcPr>
            <w:tcW w:w="1575" w:type="dxa"/>
            <w:tcBorders>
              <w:top w:val="single" w:sz="4" w:space="0" w:color="auto"/>
              <w:left w:val="single" w:sz="4" w:space="0" w:color="auto"/>
              <w:bottom w:val="single" w:sz="4" w:space="0" w:color="auto"/>
              <w:right w:val="single" w:sz="4" w:space="0" w:color="auto"/>
            </w:tcBorders>
            <w:vAlign w:val="center"/>
          </w:tcPr>
          <w:p w14:paraId="286A3EE3" w14:textId="279C393A" w:rsidR="00162913" w:rsidRPr="003A036A" w:rsidRDefault="00162913" w:rsidP="00162913">
            <w:pPr>
              <w:spacing w:after="0" w:line="240" w:lineRule="auto"/>
              <w:jc w:val="center"/>
              <w:rPr>
                <w:lang w:eastAsia="en-US"/>
              </w:rPr>
            </w:pPr>
            <w:r w:rsidRPr="003A036A">
              <w:rPr>
                <w:lang w:eastAsia="en-US"/>
              </w:rPr>
              <w:t>1,25 мг</w:t>
            </w:r>
          </w:p>
        </w:tc>
        <w:tc>
          <w:tcPr>
            <w:tcW w:w="1429" w:type="dxa"/>
            <w:tcBorders>
              <w:top w:val="single" w:sz="4" w:space="0" w:color="auto"/>
              <w:left w:val="single" w:sz="4" w:space="0" w:color="auto"/>
              <w:bottom w:val="single" w:sz="4" w:space="0" w:color="auto"/>
              <w:right w:val="single" w:sz="4" w:space="0" w:color="auto"/>
            </w:tcBorders>
            <w:vAlign w:val="center"/>
          </w:tcPr>
          <w:p w14:paraId="0FCBF84D" w14:textId="16D488F6" w:rsidR="00162913" w:rsidRPr="003024CE" w:rsidRDefault="00162913" w:rsidP="00162913">
            <w:pPr>
              <w:spacing w:after="0" w:line="240" w:lineRule="auto"/>
              <w:jc w:val="center"/>
              <w:rPr>
                <w:rFonts w:eastAsia="Times New Roman"/>
              </w:rPr>
            </w:pPr>
            <w:r w:rsidRPr="003A036A">
              <w:rPr>
                <w:lang w:eastAsia="en-US"/>
              </w:rPr>
              <w:t>1,00 мг</w:t>
            </w:r>
          </w:p>
        </w:tc>
        <w:tc>
          <w:tcPr>
            <w:tcW w:w="1496" w:type="dxa"/>
            <w:tcBorders>
              <w:top w:val="single" w:sz="4" w:space="0" w:color="auto"/>
              <w:left w:val="single" w:sz="4" w:space="0" w:color="auto"/>
              <w:bottom w:val="single" w:sz="4" w:space="0" w:color="auto"/>
              <w:right w:val="single" w:sz="4" w:space="0" w:color="auto"/>
            </w:tcBorders>
            <w:vAlign w:val="center"/>
          </w:tcPr>
          <w:p w14:paraId="1F015407" w14:textId="1DB30C2E" w:rsidR="00162913" w:rsidRPr="003024CE" w:rsidRDefault="00162913" w:rsidP="00162913">
            <w:pPr>
              <w:spacing w:after="0" w:line="240" w:lineRule="auto"/>
              <w:jc w:val="center"/>
              <w:rPr>
                <w:rFonts w:eastAsia="Times New Roman"/>
              </w:rPr>
            </w:pPr>
            <w:r w:rsidRPr="003A036A">
              <w:rPr>
                <w:lang w:eastAsia="en-US"/>
              </w:rPr>
              <w:t>1,00 мг</w:t>
            </w:r>
          </w:p>
        </w:tc>
      </w:tr>
      <w:tr w:rsidR="00162913" w:rsidRPr="003024CE" w14:paraId="67B432D4" w14:textId="77777777" w:rsidTr="00A056C2">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73EE6D1D" w14:textId="00D64098" w:rsidR="00162913" w:rsidRPr="003024CE" w:rsidRDefault="00162913" w:rsidP="00162913">
            <w:pPr>
              <w:spacing w:after="0" w:line="240" w:lineRule="auto"/>
              <w:ind w:left="567"/>
              <w:jc w:val="left"/>
              <w:rPr>
                <w:rFonts w:eastAsia="Times New Roman"/>
              </w:rPr>
            </w:pPr>
            <w:r w:rsidRPr="003A036A">
              <w:rPr>
                <w:lang w:eastAsia="en-US"/>
              </w:rPr>
              <w:t>Магния стеарат</w:t>
            </w:r>
          </w:p>
        </w:tc>
        <w:tc>
          <w:tcPr>
            <w:tcW w:w="1283" w:type="dxa"/>
            <w:tcBorders>
              <w:top w:val="single" w:sz="4" w:space="0" w:color="auto"/>
              <w:left w:val="single" w:sz="4" w:space="0" w:color="auto"/>
              <w:bottom w:val="single" w:sz="4" w:space="0" w:color="auto"/>
              <w:right w:val="single" w:sz="4" w:space="0" w:color="auto"/>
            </w:tcBorders>
            <w:vAlign w:val="center"/>
          </w:tcPr>
          <w:p w14:paraId="5BABA85F" w14:textId="22925D3B" w:rsidR="00162913" w:rsidRPr="003A036A" w:rsidRDefault="00162913" w:rsidP="00162913">
            <w:pPr>
              <w:spacing w:after="0" w:line="240" w:lineRule="auto"/>
              <w:jc w:val="center"/>
              <w:rPr>
                <w:lang w:eastAsia="en-US"/>
              </w:rPr>
            </w:pPr>
            <w:r w:rsidRPr="003A036A">
              <w:rPr>
                <w:lang w:eastAsia="en-US"/>
              </w:rPr>
              <w:t>1,25 мг</w:t>
            </w:r>
          </w:p>
        </w:tc>
        <w:tc>
          <w:tcPr>
            <w:tcW w:w="1575" w:type="dxa"/>
            <w:tcBorders>
              <w:top w:val="single" w:sz="4" w:space="0" w:color="auto"/>
              <w:left w:val="single" w:sz="4" w:space="0" w:color="auto"/>
              <w:bottom w:val="single" w:sz="4" w:space="0" w:color="auto"/>
              <w:right w:val="single" w:sz="4" w:space="0" w:color="auto"/>
            </w:tcBorders>
            <w:vAlign w:val="center"/>
          </w:tcPr>
          <w:p w14:paraId="636727A4" w14:textId="2F4C2E61" w:rsidR="00162913" w:rsidRPr="003A036A" w:rsidRDefault="00162913" w:rsidP="00162913">
            <w:pPr>
              <w:spacing w:after="0" w:line="240" w:lineRule="auto"/>
              <w:jc w:val="center"/>
              <w:rPr>
                <w:lang w:eastAsia="en-US"/>
              </w:rPr>
            </w:pPr>
            <w:r w:rsidRPr="003A036A">
              <w:rPr>
                <w:lang w:eastAsia="en-US"/>
              </w:rPr>
              <w:t>1,25 мг</w:t>
            </w:r>
          </w:p>
        </w:tc>
        <w:tc>
          <w:tcPr>
            <w:tcW w:w="1429" w:type="dxa"/>
            <w:tcBorders>
              <w:top w:val="single" w:sz="4" w:space="0" w:color="auto"/>
              <w:left w:val="single" w:sz="4" w:space="0" w:color="auto"/>
              <w:bottom w:val="single" w:sz="4" w:space="0" w:color="auto"/>
              <w:right w:val="single" w:sz="4" w:space="0" w:color="auto"/>
            </w:tcBorders>
            <w:vAlign w:val="center"/>
          </w:tcPr>
          <w:p w14:paraId="1CDCF76F" w14:textId="0EFB59AB" w:rsidR="00162913" w:rsidRPr="003024CE" w:rsidRDefault="00162913" w:rsidP="00162913">
            <w:pPr>
              <w:spacing w:after="0" w:line="240" w:lineRule="auto"/>
              <w:jc w:val="center"/>
              <w:rPr>
                <w:rFonts w:eastAsia="Times New Roman"/>
              </w:rPr>
            </w:pPr>
            <w:r w:rsidRPr="003A036A">
              <w:rPr>
                <w:lang w:eastAsia="en-US"/>
              </w:rPr>
              <w:t>1,00 мг</w:t>
            </w:r>
          </w:p>
        </w:tc>
        <w:tc>
          <w:tcPr>
            <w:tcW w:w="1496" w:type="dxa"/>
            <w:tcBorders>
              <w:top w:val="single" w:sz="4" w:space="0" w:color="auto"/>
              <w:left w:val="single" w:sz="4" w:space="0" w:color="auto"/>
              <w:bottom w:val="single" w:sz="4" w:space="0" w:color="auto"/>
              <w:right w:val="single" w:sz="4" w:space="0" w:color="auto"/>
            </w:tcBorders>
            <w:vAlign w:val="center"/>
          </w:tcPr>
          <w:p w14:paraId="640D2794" w14:textId="78E70D49" w:rsidR="00162913" w:rsidRPr="003024CE" w:rsidRDefault="00162913" w:rsidP="00162913">
            <w:pPr>
              <w:spacing w:after="0" w:line="240" w:lineRule="auto"/>
              <w:jc w:val="center"/>
              <w:rPr>
                <w:rFonts w:eastAsia="Times New Roman"/>
              </w:rPr>
            </w:pPr>
            <w:r w:rsidRPr="003A036A">
              <w:rPr>
                <w:lang w:eastAsia="en-US"/>
              </w:rPr>
              <w:t>1,00 мг</w:t>
            </w:r>
          </w:p>
        </w:tc>
      </w:tr>
      <w:tr w:rsidR="00162913" w:rsidRPr="003024CE" w14:paraId="6467740B" w14:textId="0090060B" w:rsidTr="00162913">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65E66D23" w14:textId="77777777" w:rsidR="00162913" w:rsidRPr="003024CE" w:rsidRDefault="00162913" w:rsidP="00162913">
            <w:pPr>
              <w:spacing w:after="0" w:line="240" w:lineRule="auto"/>
              <w:rPr>
                <w:b/>
                <w:iCs/>
                <w:lang w:eastAsia="en-US"/>
              </w:rPr>
            </w:pPr>
            <w:r w:rsidRPr="003024CE">
              <w:rPr>
                <w:b/>
                <w:iCs/>
                <w:lang w:eastAsia="en-US"/>
              </w:rPr>
              <w:t>Масса таблетки</w:t>
            </w:r>
          </w:p>
        </w:tc>
        <w:tc>
          <w:tcPr>
            <w:tcW w:w="1283" w:type="dxa"/>
            <w:tcBorders>
              <w:top w:val="single" w:sz="4" w:space="0" w:color="auto"/>
              <w:left w:val="single" w:sz="4" w:space="0" w:color="auto"/>
              <w:bottom w:val="single" w:sz="4" w:space="0" w:color="auto"/>
              <w:right w:val="single" w:sz="4" w:space="0" w:color="auto"/>
            </w:tcBorders>
            <w:vAlign w:val="center"/>
          </w:tcPr>
          <w:p w14:paraId="54751DFB" w14:textId="640F6A16" w:rsidR="00162913" w:rsidRPr="003024CE" w:rsidRDefault="00162913" w:rsidP="00162913">
            <w:pPr>
              <w:spacing w:after="0" w:line="240" w:lineRule="auto"/>
              <w:jc w:val="center"/>
              <w:rPr>
                <w:b/>
              </w:rPr>
            </w:pPr>
            <w:r w:rsidRPr="003A036A">
              <w:rPr>
                <w:b/>
                <w:lang w:eastAsia="en-US"/>
              </w:rPr>
              <w:t>250,00 мг</w:t>
            </w:r>
          </w:p>
        </w:tc>
        <w:tc>
          <w:tcPr>
            <w:tcW w:w="1575" w:type="dxa"/>
            <w:tcBorders>
              <w:top w:val="single" w:sz="4" w:space="0" w:color="auto"/>
              <w:left w:val="single" w:sz="4" w:space="0" w:color="auto"/>
              <w:bottom w:val="single" w:sz="4" w:space="0" w:color="auto"/>
              <w:right w:val="single" w:sz="4" w:space="0" w:color="auto"/>
            </w:tcBorders>
            <w:vAlign w:val="center"/>
          </w:tcPr>
          <w:p w14:paraId="2C0BFC81" w14:textId="189BFD95" w:rsidR="00162913" w:rsidRPr="003024CE" w:rsidRDefault="00162913" w:rsidP="00162913">
            <w:pPr>
              <w:spacing w:after="0" w:line="240" w:lineRule="auto"/>
              <w:jc w:val="center"/>
              <w:rPr>
                <w:b/>
              </w:rPr>
            </w:pPr>
            <w:r w:rsidRPr="003A036A">
              <w:rPr>
                <w:b/>
                <w:lang w:eastAsia="en-US"/>
              </w:rPr>
              <w:t>250,00 мг</w:t>
            </w:r>
          </w:p>
        </w:tc>
        <w:tc>
          <w:tcPr>
            <w:tcW w:w="1425" w:type="dxa"/>
            <w:tcBorders>
              <w:top w:val="single" w:sz="4" w:space="0" w:color="auto"/>
              <w:left w:val="single" w:sz="4" w:space="0" w:color="auto"/>
              <w:bottom w:val="single" w:sz="4" w:space="0" w:color="auto"/>
              <w:right w:val="single" w:sz="4" w:space="0" w:color="auto"/>
            </w:tcBorders>
            <w:vAlign w:val="center"/>
          </w:tcPr>
          <w:p w14:paraId="15D9ED0B" w14:textId="3FCC1568" w:rsidR="00162913" w:rsidRPr="003024CE" w:rsidRDefault="00162913" w:rsidP="00162913">
            <w:pPr>
              <w:spacing w:after="0" w:line="240" w:lineRule="auto"/>
              <w:jc w:val="center"/>
              <w:rPr>
                <w:b/>
              </w:rPr>
            </w:pPr>
            <w:r w:rsidRPr="003024CE">
              <w:rPr>
                <w:b/>
              </w:rPr>
              <w:t>2</w:t>
            </w:r>
            <w:r>
              <w:rPr>
                <w:b/>
              </w:rPr>
              <w:t>0</w:t>
            </w:r>
            <w:r w:rsidRPr="003024CE">
              <w:rPr>
                <w:b/>
              </w:rPr>
              <w:t>0,00 мг</w:t>
            </w:r>
          </w:p>
        </w:tc>
        <w:tc>
          <w:tcPr>
            <w:tcW w:w="1500" w:type="dxa"/>
            <w:tcBorders>
              <w:top w:val="single" w:sz="4" w:space="0" w:color="auto"/>
              <w:left w:val="single" w:sz="4" w:space="0" w:color="auto"/>
              <w:bottom w:val="single" w:sz="4" w:space="0" w:color="auto"/>
              <w:right w:val="single" w:sz="4" w:space="0" w:color="auto"/>
            </w:tcBorders>
            <w:vAlign w:val="center"/>
          </w:tcPr>
          <w:p w14:paraId="304488E6" w14:textId="7C9DC51A" w:rsidR="00162913" w:rsidRPr="003024CE" w:rsidRDefault="00162913" w:rsidP="00162913">
            <w:pPr>
              <w:spacing w:after="0" w:line="240" w:lineRule="auto"/>
              <w:jc w:val="center"/>
              <w:rPr>
                <w:b/>
              </w:rPr>
            </w:pPr>
            <w:r w:rsidRPr="003024CE">
              <w:rPr>
                <w:b/>
              </w:rPr>
              <w:t>2</w:t>
            </w:r>
            <w:r>
              <w:rPr>
                <w:b/>
              </w:rPr>
              <w:t>0</w:t>
            </w:r>
            <w:r w:rsidRPr="003024CE">
              <w:rPr>
                <w:b/>
              </w:rPr>
              <w:t>0,00 мг</w:t>
            </w:r>
          </w:p>
        </w:tc>
      </w:tr>
      <w:tr w:rsidR="00B42640" w:rsidRPr="003024CE" w14:paraId="136BA597" w14:textId="77777777" w:rsidTr="00B42640">
        <w:trPr>
          <w:trHeight w:val="96"/>
        </w:trPr>
        <w:tc>
          <w:tcPr>
            <w:tcW w:w="9320" w:type="dxa"/>
            <w:gridSpan w:val="5"/>
            <w:tcBorders>
              <w:top w:val="single" w:sz="4" w:space="0" w:color="auto"/>
              <w:left w:val="single" w:sz="4" w:space="0" w:color="auto"/>
              <w:bottom w:val="single" w:sz="4" w:space="0" w:color="auto"/>
              <w:right w:val="single" w:sz="4" w:space="0" w:color="auto"/>
            </w:tcBorders>
          </w:tcPr>
          <w:p w14:paraId="3EFD3875" w14:textId="62E29DEE" w:rsidR="00B42640" w:rsidRPr="003024CE" w:rsidRDefault="00B42640" w:rsidP="003A036A">
            <w:pPr>
              <w:spacing w:after="0" w:line="240" w:lineRule="auto"/>
              <w:jc w:val="left"/>
              <w:rPr>
                <w:b/>
              </w:rPr>
            </w:pPr>
            <w:r w:rsidRPr="003A036A">
              <w:rPr>
                <w:i/>
                <w:lang w:eastAsia="en-US"/>
              </w:rPr>
              <w:t>Пленочная оболочка</w:t>
            </w:r>
          </w:p>
        </w:tc>
      </w:tr>
      <w:tr w:rsidR="00400A9F" w:rsidRPr="003024CE" w14:paraId="7326166D" w14:textId="77777777" w:rsidTr="00842389">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15B3BB04" w14:textId="34F44074" w:rsidR="00400A9F" w:rsidRDefault="00842389" w:rsidP="0079047B">
            <w:pPr>
              <w:spacing w:after="0" w:line="240" w:lineRule="auto"/>
              <w:ind w:firstLine="490"/>
              <w:rPr>
                <w:lang w:eastAsia="en-US"/>
              </w:rPr>
            </w:pPr>
            <w:r w:rsidRPr="003A036A">
              <w:rPr>
                <w:lang w:eastAsia="en-US"/>
              </w:rPr>
              <w:t>Поливиниловый спирт – 46,9 %; макрогол 3350* – 23,6 %; тальк – 17,4 %; титана диоксид – 12,1 %</w:t>
            </w:r>
          </w:p>
        </w:tc>
        <w:tc>
          <w:tcPr>
            <w:tcW w:w="1283" w:type="dxa"/>
            <w:tcBorders>
              <w:top w:val="single" w:sz="4" w:space="0" w:color="auto"/>
              <w:left w:val="single" w:sz="4" w:space="0" w:color="auto"/>
              <w:bottom w:val="single" w:sz="4" w:space="0" w:color="auto"/>
              <w:right w:val="single" w:sz="4" w:space="0" w:color="auto"/>
            </w:tcBorders>
            <w:vAlign w:val="center"/>
          </w:tcPr>
          <w:p w14:paraId="2B1A3CD4" w14:textId="3CEE38F6" w:rsidR="00400A9F" w:rsidRPr="000477C0" w:rsidRDefault="00842389" w:rsidP="003A036A">
            <w:pPr>
              <w:spacing w:after="0" w:line="240" w:lineRule="auto"/>
              <w:jc w:val="center"/>
            </w:pPr>
            <w:r w:rsidRPr="000477C0">
              <w:t>7,00 мг</w:t>
            </w:r>
          </w:p>
        </w:tc>
        <w:tc>
          <w:tcPr>
            <w:tcW w:w="1575" w:type="dxa"/>
            <w:tcBorders>
              <w:top w:val="single" w:sz="4" w:space="0" w:color="auto"/>
              <w:left w:val="single" w:sz="4" w:space="0" w:color="auto"/>
              <w:bottom w:val="single" w:sz="4" w:space="0" w:color="auto"/>
              <w:right w:val="single" w:sz="4" w:space="0" w:color="auto"/>
            </w:tcBorders>
            <w:vAlign w:val="center"/>
          </w:tcPr>
          <w:p w14:paraId="289C6995" w14:textId="77777777" w:rsidR="00400A9F" w:rsidRPr="003024CE" w:rsidRDefault="00400A9F" w:rsidP="003A036A">
            <w:pPr>
              <w:spacing w:after="0" w:line="240" w:lineRule="auto"/>
              <w:jc w:val="center"/>
              <w:rPr>
                <w:b/>
              </w:rPr>
            </w:pPr>
          </w:p>
        </w:tc>
        <w:tc>
          <w:tcPr>
            <w:tcW w:w="1429" w:type="dxa"/>
            <w:tcBorders>
              <w:top w:val="single" w:sz="4" w:space="0" w:color="auto"/>
              <w:left w:val="single" w:sz="4" w:space="0" w:color="auto"/>
              <w:bottom w:val="single" w:sz="4" w:space="0" w:color="auto"/>
              <w:right w:val="single" w:sz="4" w:space="0" w:color="auto"/>
            </w:tcBorders>
            <w:vAlign w:val="center"/>
          </w:tcPr>
          <w:p w14:paraId="138B476F" w14:textId="77777777" w:rsidR="00400A9F" w:rsidRPr="003024CE" w:rsidRDefault="00400A9F" w:rsidP="003A036A">
            <w:pPr>
              <w:spacing w:after="0" w:line="240" w:lineRule="auto"/>
              <w:jc w:val="center"/>
              <w:rPr>
                <w:b/>
              </w:rPr>
            </w:pPr>
          </w:p>
        </w:tc>
        <w:tc>
          <w:tcPr>
            <w:tcW w:w="1496" w:type="dxa"/>
            <w:tcBorders>
              <w:top w:val="single" w:sz="4" w:space="0" w:color="auto"/>
              <w:left w:val="single" w:sz="4" w:space="0" w:color="auto"/>
              <w:bottom w:val="single" w:sz="4" w:space="0" w:color="auto"/>
              <w:right w:val="single" w:sz="4" w:space="0" w:color="auto"/>
            </w:tcBorders>
            <w:vAlign w:val="center"/>
          </w:tcPr>
          <w:p w14:paraId="614019AE" w14:textId="77777777" w:rsidR="00400A9F" w:rsidRPr="003A036A" w:rsidRDefault="00400A9F" w:rsidP="003A036A">
            <w:pPr>
              <w:spacing w:after="0" w:line="240" w:lineRule="auto"/>
              <w:jc w:val="center"/>
              <w:rPr>
                <w:lang w:eastAsia="en-US"/>
              </w:rPr>
            </w:pPr>
          </w:p>
        </w:tc>
      </w:tr>
      <w:tr w:rsidR="00B42640" w:rsidRPr="003024CE" w14:paraId="3C5182ED" w14:textId="77777777" w:rsidTr="00705F16">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5E37CF54" w14:textId="42F410E6" w:rsidR="00B42640" w:rsidRPr="0079047B" w:rsidRDefault="00842389" w:rsidP="00842389">
            <w:pPr>
              <w:spacing w:after="0" w:line="240" w:lineRule="auto"/>
              <w:ind w:firstLine="490"/>
              <w:rPr>
                <w:lang w:eastAsia="en-US"/>
              </w:rPr>
            </w:pPr>
            <w:r w:rsidRPr="003A036A">
              <w:t xml:space="preserve">Поливиниловый спирт – 40,0 %; макрогол 3350* – 20,2 %; титана диоксид – 20,2 %; тальк – </w:t>
            </w:r>
            <w:r w:rsidRPr="003A036A">
              <w:lastRenderedPageBreak/>
              <w:t>14,8 %; железа оксид желтый – 4,8%</w:t>
            </w:r>
          </w:p>
        </w:tc>
        <w:tc>
          <w:tcPr>
            <w:tcW w:w="1283" w:type="dxa"/>
            <w:tcBorders>
              <w:top w:val="single" w:sz="4" w:space="0" w:color="auto"/>
              <w:left w:val="single" w:sz="4" w:space="0" w:color="auto"/>
              <w:bottom w:val="single" w:sz="4" w:space="0" w:color="auto"/>
              <w:right w:val="single" w:sz="4" w:space="0" w:color="auto"/>
            </w:tcBorders>
          </w:tcPr>
          <w:p w14:paraId="33CA19F5" w14:textId="77777777" w:rsidR="00B42640" w:rsidRPr="003024CE" w:rsidRDefault="00B42640" w:rsidP="003A036A">
            <w:pPr>
              <w:spacing w:after="0" w:line="240" w:lineRule="auto"/>
              <w:jc w:val="center"/>
              <w:rPr>
                <w:b/>
              </w:rPr>
            </w:pPr>
          </w:p>
        </w:tc>
        <w:tc>
          <w:tcPr>
            <w:tcW w:w="1575" w:type="dxa"/>
            <w:tcBorders>
              <w:top w:val="single" w:sz="4" w:space="0" w:color="auto"/>
              <w:left w:val="single" w:sz="4" w:space="0" w:color="auto"/>
              <w:bottom w:val="single" w:sz="4" w:space="0" w:color="auto"/>
              <w:right w:val="single" w:sz="4" w:space="0" w:color="auto"/>
            </w:tcBorders>
          </w:tcPr>
          <w:p w14:paraId="6B52A192" w14:textId="77777777" w:rsidR="00B42640" w:rsidRPr="003024CE" w:rsidRDefault="00B42640" w:rsidP="003A036A">
            <w:pPr>
              <w:spacing w:after="0" w:line="240" w:lineRule="auto"/>
              <w:jc w:val="center"/>
              <w:rPr>
                <w:b/>
              </w:rPr>
            </w:pPr>
          </w:p>
        </w:tc>
        <w:tc>
          <w:tcPr>
            <w:tcW w:w="1429" w:type="dxa"/>
            <w:tcBorders>
              <w:top w:val="single" w:sz="4" w:space="0" w:color="auto"/>
              <w:left w:val="single" w:sz="4" w:space="0" w:color="auto"/>
              <w:bottom w:val="single" w:sz="4" w:space="0" w:color="auto"/>
              <w:right w:val="single" w:sz="4" w:space="0" w:color="auto"/>
            </w:tcBorders>
            <w:vAlign w:val="center"/>
          </w:tcPr>
          <w:p w14:paraId="1E19B364" w14:textId="66CE0359" w:rsidR="00B42640" w:rsidRPr="003024CE" w:rsidRDefault="00842389" w:rsidP="003A036A">
            <w:pPr>
              <w:spacing w:after="0" w:line="240" w:lineRule="auto"/>
              <w:jc w:val="center"/>
              <w:rPr>
                <w:b/>
              </w:rPr>
            </w:pPr>
            <w:r w:rsidRPr="003A036A">
              <w:rPr>
                <w:lang w:eastAsia="en-US"/>
              </w:rPr>
              <w:t>6,00 мг</w:t>
            </w:r>
          </w:p>
        </w:tc>
        <w:tc>
          <w:tcPr>
            <w:tcW w:w="1496" w:type="dxa"/>
            <w:tcBorders>
              <w:top w:val="single" w:sz="4" w:space="0" w:color="auto"/>
              <w:left w:val="single" w:sz="4" w:space="0" w:color="auto"/>
              <w:bottom w:val="single" w:sz="4" w:space="0" w:color="auto"/>
              <w:right w:val="single" w:sz="4" w:space="0" w:color="auto"/>
            </w:tcBorders>
            <w:vAlign w:val="center"/>
          </w:tcPr>
          <w:p w14:paraId="5B03D00E" w14:textId="3FEAEEDD" w:rsidR="00B42640" w:rsidRPr="003024CE" w:rsidRDefault="00B42640" w:rsidP="003A036A">
            <w:pPr>
              <w:spacing w:after="0" w:line="240" w:lineRule="auto"/>
              <w:jc w:val="center"/>
              <w:rPr>
                <w:b/>
              </w:rPr>
            </w:pPr>
          </w:p>
        </w:tc>
      </w:tr>
      <w:tr w:rsidR="00B42640" w:rsidRPr="003024CE" w14:paraId="5F870DD8" w14:textId="77777777" w:rsidTr="000477C0">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36AD8D30" w14:textId="283917E1" w:rsidR="00B42640" w:rsidRPr="003024CE" w:rsidRDefault="00842389" w:rsidP="00F76A44">
            <w:pPr>
              <w:spacing w:after="0" w:line="240" w:lineRule="auto"/>
              <w:ind w:firstLine="490"/>
              <w:rPr>
                <w:b/>
                <w:iCs/>
                <w:lang w:eastAsia="en-US"/>
              </w:rPr>
            </w:pPr>
            <w:r>
              <w:rPr>
                <w:lang w:eastAsia="en-US"/>
              </w:rPr>
              <w:t>Опадрай</w:t>
            </w:r>
            <w:r w:rsidRPr="0079047B">
              <w:rPr>
                <w:vertAlign w:val="superscript"/>
                <w:lang w:eastAsia="en-US"/>
              </w:rPr>
              <w:t>®</w:t>
            </w:r>
            <w:r>
              <w:rPr>
                <w:lang w:eastAsia="en-US"/>
              </w:rPr>
              <w:t xml:space="preserve"> желтый 02В38190 [гипромеллоза 2910 – 50,00 %; титана диоксид – 24,75 %; тальк – 20,00 %; макрогол 400 – 5,00 %; краситель железа оксид желтый – 0,25 %]</w:t>
            </w:r>
          </w:p>
        </w:tc>
        <w:tc>
          <w:tcPr>
            <w:tcW w:w="1283" w:type="dxa"/>
            <w:tcBorders>
              <w:top w:val="single" w:sz="4" w:space="0" w:color="auto"/>
              <w:left w:val="single" w:sz="4" w:space="0" w:color="auto"/>
              <w:bottom w:val="single" w:sz="4" w:space="0" w:color="auto"/>
              <w:right w:val="single" w:sz="4" w:space="0" w:color="auto"/>
            </w:tcBorders>
            <w:vAlign w:val="center"/>
          </w:tcPr>
          <w:p w14:paraId="04A3A7C7" w14:textId="77777777" w:rsidR="00B42640" w:rsidRPr="003A036A" w:rsidRDefault="00B42640" w:rsidP="00F76A44">
            <w:pPr>
              <w:spacing w:after="0" w:line="240" w:lineRule="auto"/>
              <w:jc w:val="center"/>
              <w:rPr>
                <w:lang w:eastAsia="en-US"/>
              </w:rPr>
            </w:pPr>
          </w:p>
        </w:tc>
        <w:tc>
          <w:tcPr>
            <w:tcW w:w="1575" w:type="dxa"/>
            <w:tcBorders>
              <w:top w:val="single" w:sz="4" w:space="0" w:color="auto"/>
              <w:left w:val="single" w:sz="4" w:space="0" w:color="auto"/>
              <w:bottom w:val="single" w:sz="4" w:space="0" w:color="auto"/>
              <w:right w:val="single" w:sz="4" w:space="0" w:color="auto"/>
            </w:tcBorders>
            <w:vAlign w:val="center"/>
          </w:tcPr>
          <w:p w14:paraId="15683D23" w14:textId="4E791F38" w:rsidR="00B42640" w:rsidRPr="003A036A" w:rsidRDefault="000477C0" w:rsidP="00F76A44">
            <w:pPr>
              <w:spacing w:after="0" w:line="240" w:lineRule="auto"/>
              <w:jc w:val="center"/>
              <w:rPr>
                <w:lang w:eastAsia="en-US"/>
              </w:rPr>
            </w:pPr>
            <w:r>
              <w:rPr>
                <w:lang w:eastAsia="en-US"/>
              </w:rPr>
              <w:t>7</w:t>
            </w:r>
            <w:r w:rsidRPr="003A036A">
              <w:rPr>
                <w:lang w:eastAsia="en-US"/>
              </w:rPr>
              <w:t>,00 мг</w:t>
            </w:r>
          </w:p>
        </w:tc>
        <w:tc>
          <w:tcPr>
            <w:tcW w:w="1429" w:type="dxa"/>
            <w:tcBorders>
              <w:top w:val="single" w:sz="4" w:space="0" w:color="auto"/>
              <w:left w:val="single" w:sz="4" w:space="0" w:color="auto"/>
              <w:bottom w:val="single" w:sz="4" w:space="0" w:color="auto"/>
              <w:right w:val="single" w:sz="4" w:space="0" w:color="auto"/>
            </w:tcBorders>
            <w:vAlign w:val="center"/>
          </w:tcPr>
          <w:p w14:paraId="3B0E366A" w14:textId="54C00D60" w:rsidR="00B42640" w:rsidRPr="003024CE" w:rsidRDefault="00B42640" w:rsidP="00F76A44">
            <w:pPr>
              <w:spacing w:after="0" w:line="240" w:lineRule="auto"/>
              <w:jc w:val="center"/>
              <w:rPr>
                <w:b/>
              </w:rPr>
            </w:pPr>
          </w:p>
        </w:tc>
        <w:tc>
          <w:tcPr>
            <w:tcW w:w="1496" w:type="dxa"/>
            <w:tcBorders>
              <w:top w:val="single" w:sz="4" w:space="0" w:color="auto"/>
              <w:left w:val="single" w:sz="4" w:space="0" w:color="auto"/>
              <w:bottom w:val="single" w:sz="4" w:space="0" w:color="auto"/>
              <w:right w:val="single" w:sz="4" w:space="0" w:color="auto"/>
            </w:tcBorders>
            <w:vAlign w:val="center"/>
          </w:tcPr>
          <w:p w14:paraId="2B4A6164" w14:textId="32DA7684" w:rsidR="00B42640" w:rsidRPr="003024CE" w:rsidRDefault="00842389" w:rsidP="00F76A44">
            <w:pPr>
              <w:spacing w:after="0" w:line="240" w:lineRule="auto"/>
              <w:jc w:val="center"/>
              <w:rPr>
                <w:b/>
              </w:rPr>
            </w:pPr>
            <w:r w:rsidRPr="003A036A">
              <w:rPr>
                <w:lang w:eastAsia="en-US"/>
              </w:rPr>
              <w:t>6,00 мг</w:t>
            </w:r>
          </w:p>
        </w:tc>
      </w:tr>
      <w:tr w:rsidR="00B42640" w:rsidRPr="003024CE" w14:paraId="06160F66" w14:textId="77777777" w:rsidTr="000477C0">
        <w:trPr>
          <w:trHeight w:val="96"/>
        </w:trPr>
        <w:tc>
          <w:tcPr>
            <w:tcW w:w="3537" w:type="dxa"/>
            <w:tcBorders>
              <w:top w:val="single" w:sz="4" w:space="0" w:color="auto"/>
              <w:left w:val="single" w:sz="4" w:space="0" w:color="auto"/>
              <w:bottom w:val="single" w:sz="4" w:space="0" w:color="auto"/>
              <w:right w:val="single" w:sz="4" w:space="0" w:color="auto"/>
            </w:tcBorders>
            <w:vAlign w:val="center"/>
          </w:tcPr>
          <w:p w14:paraId="2295869B" w14:textId="4E13B395" w:rsidR="00B42640" w:rsidRPr="003024CE" w:rsidRDefault="00B42640" w:rsidP="00F76A44">
            <w:pPr>
              <w:spacing w:after="0" w:line="240" w:lineRule="auto"/>
              <w:ind w:firstLine="490"/>
              <w:rPr>
                <w:b/>
                <w:iCs/>
                <w:lang w:eastAsia="en-US"/>
              </w:rPr>
            </w:pPr>
            <w:r w:rsidRPr="003A036A">
              <w:rPr>
                <w:b/>
                <w:lang w:eastAsia="en-US"/>
              </w:rPr>
              <w:t>Масса таблетки, покрытые пленочной оболочкой:</w:t>
            </w:r>
          </w:p>
        </w:tc>
        <w:tc>
          <w:tcPr>
            <w:tcW w:w="1283" w:type="dxa"/>
            <w:tcBorders>
              <w:top w:val="single" w:sz="4" w:space="0" w:color="auto"/>
              <w:left w:val="single" w:sz="4" w:space="0" w:color="auto"/>
              <w:bottom w:val="single" w:sz="4" w:space="0" w:color="auto"/>
              <w:right w:val="single" w:sz="4" w:space="0" w:color="auto"/>
            </w:tcBorders>
            <w:vAlign w:val="center"/>
          </w:tcPr>
          <w:p w14:paraId="60018882" w14:textId="0E917FA6" w:rsidR="00842389" w:rsidRPr="003A036A" w:rsidRDefault="00842389" w:rsidP="00F76A44">
            <w:pPr>
              <w:spacing w:after="0" w:line="240" w:lineRule="auto"/>
              <w:jc w:val="center"/>
              <w:rPr>
                <w:b/>
                <w:lang w:eastAsia="en-US"/>
              </w:rPr>
            </w:pPr>
            <w:r>
              <w:rPr>
                <w:b/>
                <w:lang w:eastAsia="en-US"/>
              </w:rPr>
              <w:t>257,00 мг</w:t>
            </w:r>
          </w:p>
        </w:tc>
        <w:tc>
          <w:tcPr>
            <w:tcW w:w="1575" w:type="dxa"/>
            <w:tcBorders>
              <w:top w:val="single" w:sz="4" w:space="0" w:color="auto"/>
              <w:left w:val="single" w:sz="4" w:space="0" w:color="auto"/>
              <w:bottom w:val="single" w:sz="4" w:space="0" w:color="auto"/>
              <w:right w:val="single" w:sz="4" w:space="0" w:color="auto"/>
            </w:tcBorders>
            <w:vAlign w:val="center"/>
          </w:tcPr>
          <w:p w14:paraId="35DEC8E8" w14:textId="47446B86" w:rsidR="00B42640" w:rsidRPr="003A036A" w:rsidRDefault="000477C0" w:rsidP="00F76A44">
            <w:pPr>
              <w:spacing w:after="0" w:line="240" w:lineRule="auto"/>
              <w:jc w:val="center"/>
              <w:rPr>
                <w:b/>
                <w:lang w:eastAsia="en-US"/>
              </w:rPr>
            </w:pPr>
            <w:r>
              <w:rPr>
                <w:b/>
                <w:lang w:eastAsia="en-US"/>
              </w:rPr>
              <w:t>257,00 мг</w:t>
            </w:r>
          </w:p>
        </w:tc>
        <w:tc>
          <w:tcPr>
            <w:tcW w:w="1429" w:type="dxa"/>
            <w:tcBorders>
              <w:top w:val="single" w:sz="4" w:space="0" w:color="auto"/>
              <w:left w:val="single" w:sz="4" w:space="0" w:color="auto"/>
              <w:bottom w:val="single" w:sz="4" w:space="0" w:color="auto"/>
              <w:right w:val="single" w:sz="4" w:space="0" w:color="auto"/>
            </w:tcBorders>
            <w:vAlign w:val="center"/>
          </w:tcPr>
          <w:p w14:paraId="5D59B974" w14:textId="5AFE11E6" w:rsidR="00B42640" w:rsidRPr="003024CE" w:rsidRDefault="00B42640" w:rsidP="00F76A44">
            <w:pPr>
              <w:spacing w:after="0" w:line="240" w:lineRule="auto"/>
              <w:jc w:val="center"/>
              <w:rPr>
                <w:b/>
              </w:rPr>
            </w:pPr>
            <w:r w:rsidRPr="003A036A">
              <w:rPr>
                <w:b/>
                <w:lang w:eastAsia="en-US"/>
              </w:rPr>
              <w:t>206,00 мг</w:t>
            </w:r>
          </w:p>
        </w:tc>
        <w:tc>
          <w:tcPr>
            <w:tcW w:w="1496" w:type="dxa"/>
            <w:tcBorders>
              <w:top w:val="single" w:sz="4" w:space="0" w:color="auto"/>
              <w:left w:val="single" w:sz="4" w:space="0" w:color="auto"/>
              <w:bottom w:val="single" w:sz="4" w:space="0" w:color="auto"/>
              <w:right w:val="single" w:sz="4" w:space="0" w:color="auto"/>
            </w:tcBorders>
            <w:vAlign w:val="center"/>
          </w:tcPr>
          <w:p w14:paraId="562C8C7A" w14:textId="4970E306" w:rsidR="00B42640" w:rsidRPr="003024CE" w:rsidRDefault="00B42640" w:rsidP="00F76A44">
            <w:pPr>
              <w:spacing w:after="0" w:line="240" w:lineRule="auto"/>
              <w:jc w:val="center"/>
              <w:rPr>
                <w:b/>
              </w:rPr>
            </w:pPr>
            <w:r w:rsidRPr="003A036A">
              <w:rPr>
                <w:b/>
                <w:lang w:eastAsia="en-US"/>
              </w:rPr>
              <w:t>206,00 мг</w:t>
            </w:r>
          </w:p>
        </w:tc>
      </w:tr>
      <w:tr w:rsidR="00B42640" w:rsidRPr="003024CE" w14:paraId="26AEDCFA" w14:textId="77777777" w:rsidTr="00B42640">
        <w:trPr>
          <w:trHeight w:val="96"/>
        </w:trPr>
        <w:tc>
          <w:tcPr>
            <w:tcW w:w="9320" w:type="dxa"/>
            <w:gridSpan w:val="5"/>
            <w:tcBorders>
              <w:top w:val="single" w:sz="4" w:space="0" w:color="auto"/>
              <w:left w:val="single" w:sz="4" w:space="0" w:color="auto"/>
              <w:bottom w:val="single" w:sz="4" w:space="0" w:color="auto"/>
              <w:right w:val="single" w:sz="4" w:space="0" w:color="auto"/>
            </w:tcBorders>
          </w:tcPr>
          <w:p w14:paraId="6FDBBAE9" w14:textId="3ECE326A" w:rsidR="00B42640" w:rsidRPr="003024CE" w:rsidRDefault="00B42640" w:rsidP="00F76A44">
            <w:pPr>
              <w:spacing w:after="0" w:line="240" w:lineRule="auto"/>
              <w:rPr>
                <w:b/>
                <w:sz w:val="20"/>
                <w:szCs w:val="20"/>
              </w:rPr>
            </w:pPr>
            <w:r w:rsidRPr="003024CE">
              <w:rPr>
                <w:b/>
                <w:sz w:val="20"/>
                <w:szCs w:val="20"/>
              </w:rPr>
              <w:t>Примечание:</w:t>
            </w:r>
          </w:p>
          <w:p w14:paraId="364D9F33" w14:textId="77777777" w:rsidR="00B42640" w:rsidRDefault="00B42640" w:rsidP="00F76A44">
            <w:pPr>
              <w:spacing w:after="0" w:line="240" w:lineRule="auto"/>
              <w:rPr>
                <w:sz w:val="20"/>
                <w:szCs w:val="20"/>
              </w:rPr>
            </w:pPr>
            <w:r w:rsidRPr="003024CE">
              <w:rPr>
                <w:sz w:val="20"/>
                <w:szCs w:val="20"/>
                <w:vertAlign w:val="superscript"/>
              </w:rPr>
              <w:t>1</w:t>
            </w:r>
            <w:r w:rsidRPr="003024CE">
              <w:rPr>
                <w:sz w:val="20"/>
                <w:szCs w:val="20"/>
              </w:rPr>
              <w:t xml:space="preserve"> В составе препарата </w:t>
            </w:r>
            <w:r w:rsidRPr="002E3599">
              <w:rPr>
                <w:sz w:val="20"/>
                <w:szCs w:val="20"/>
                <w:lang w:val="en-US"/>
              </w:rPr>
              <w:t>DT</w:t>
            </w:r>
            <w:r w:rsidRPr="002E3599">
              <w:rPr>
                <w:sz w:val="20"/>
                <w:szCs w:val="20"/>
              </w:rPr>
              <w:t>-</w:t>
            </w:r>
            <w:r w:rsidRPr="002E3599">
              <w:rPr>
                <w:sz w:val="20"/>
                <w:szCs w:val="20"/>
                <w:lang w:val="en-US"/>
              </w:rPr>
              <w:t>EMP</w:t>
            </w:r>
            <w:r w:rsidRPr="002E3599">
              <w:rPr>
                <w:sz w:val="20"/>
                <w:szCs w:val="20"/>
              </w:rPr>
              <w:t xml:space="preserve"> </w:t>
            </w:r>
            <w:r w:rsidRPr="003024CE">
              <w:rPr>
                <w:sz w:val="20"/>
                <w:szCs w:val="20"/>
              </w:rPr>
              <w:t>используется целлюлоза микрокристаллическая тип 10</w:t>
            </w:r>
            <w:r>
              <w:rPr>
                <w:sz w:val="20"/>
                <w:szCs w:val="20"/>
              </w:rPr>
              <w:t>1</w:t>
            </w:r>
            <w:r w:rsidRPr="003024CE">
              <w:rPr>
                <w:sz w:val="20"/>
                <w:szCs w:val="20"/>
              </w:rPr>
              <w:t>.</w:t>
            </w:r>
          </w:p>
          <w:p w14:paraId="689E945F" w14:textId="125CF6B0" w:rsidR="00967D83" w:rsidRPr="003024CE" w:rsidRDefault="00967D83" w:rsidP="00F76A44">
            <w:pPr>
              <w:spacing w:after="0" w:line="240" w:lineRule="auto"/>
              <w:rPr>
                <w:sz w:val="20"/>
                <w:szCs w:val="20"/>
              </w:rPr>
            </w:pPr>
            <w:r>
              <w:rPr>
                <w:rFonts w:eastAsia="Times New Roman"/>
                <w:sz w:val="20"/>
                <w:szCs w:val="20"/>
                <w:lang w:eastAsia="ru-RU"/>
              </w:rPr>
              <w:t xml:space="preserve">* </w:t>
            </w:r>
            <w:r w:rsidRPr="003A036A">
              <w:rPr>
                <w:rFonts w:eastAsia="Times New Roman"/>
                <w:sz w:val="20"/>
                <w:szCs w:val="20"/>
                <w:lang w:eastAsia="ru-RU"/>
              </w:rPr>
              <w:t>макрогол с молекулярной массой 3350</w:t>
            </w:r>
          </w:p>
        </w:tc>
      </w:tr>
      <w:bookmarkEnd w:id="49"/>
    </w:tbl>
    <w:p w14:paraId="1D601BD8" w14:textId="77777777" w:rsidR="003024CE" w:rsidRPr="003024CE" w:rsidRDefault="003024CE" w:rsidP="003024CE">
      <w:pPr>
        <w:spacing w:after="0" w:line="240" w:lineRule="auto"/>
        <w:ind w:firstLine="709"/>
        <w:rPr>
          <w:color w:val="000000" w:themeColor="text1"/>
        </w:rPr>
      </w:pPr>
    </w:p>
    <w:p w14:paraId="63516228" w14:textId="1A75DF9D" w:rsidR="003024CE" w:rsidRDefault="008C41CC" w:rsidP="003024CE">
      <w:pPr>
        <w:spacing w:after="0" w:line="240" w:lineRule="auto"/>
        <w:ind w:firstLine="709"/>
        <w:rPr>
          <w:color w:val="000000" w:themeColor="text1"/>
        </w:rPr>
      </w:pPr>
      <w:r>
        <w:rPr>
          <w:color w:val="000000" w:themeColor="text1"/>
        </w:rPr>
        <w:t>Эмпаглифлозин</w:t>
      </w:r>
      <w:r w:rsidR="003024CE" w:rsidRPr="003024CE">
        <w:rPr>
          <w:color w:val="000000" w:themeColor="text1"/>
        </w:rPr>
        <w:t xml:space="preserve"> относится к </w:t>
      </w:r>
      <w:r w:rsidR="003024CE" w:rsidRPr="003024CE">
        <w:rPr>
          <w:color w:val="000000" w:themeColor="text1"/>
          <w:lang w:val="en-US"/>
        </w:rPr>
        <w:t>III</w:t>
      </w:r>
      <w:r w:rsidR="003024CE" w:rsidRPr="003024CE">
        <w:rPr>
          <w:color w:val="000000" w:themeColor="text1"/>
        </w:rPr>
        <w:t xml:space="preserve"> классу по БКС.</w:t>
      </w:r>
    </w:p>
    <w:p w14:paraId="371038F1" w14:textId="147B40AA" w:rsidR="00AA4E66" w:rsidRPr="003024CE" w:rsidRDefault="00AA4E66" w:rsidP="003024CE">
      <w:pPr>
        <w:spacing w:after="0" w:line="240" w:lineRule="auto"/>
        <w:ind w:firstLine="709"/>
        <w:rPr>
          <w:color w:val="000000" w:themeColor="text1"/>
        </w:rPr>
      </w:pPr>
      <w:r w:rsidRPr="00AA4E66">
        <w:rPr>
          <w:color w:val="000000" w:themeColor="text1"/>
        </w:rPr>
        <w:t xml:space="preserve">Промышленное производство препарата DT-CBZ планируется на производственной площадке </w:t>
      </w:r>
      <w:r>
        <w:t>ООО «Р-Фарм Новоселки», Россия</w:t>
      </w:r>
      <w:r w:rsidRPr="00AA4E66">
        <w:rPr>
          <w:color w:val="000000" w:themeColor="text1"/>
        </w:rPr>
        <w:t>. На указанной площадке были выпущены также серии препарата для клинических исследований.</w:t>
      </w:r>
    </w:p>
    <w:p w14:paraId="3C6D81D4" w14:textId="72B1BF63" w:rsidR="003024CE" w:rsidRPr="00F76A44" w:rsidRDefault="003024CE" w:rsidP="003024CE">
      <w:pPr>
        <w:spacing w:after="0" w:line="240" w:lineRule="auto"/>
        <w:ind w:firstLine="709"/>
        <w:rPr>
          <w:rFonts w:eastAsia="Times New Roman"/>
          <w:color w:val="000000" w:themeColor="text1"/>
          <w:lang w:eastAsia="en-US"/>
        </w:rPr>
      </w:pPr>
      <w:r w:rsidRPr="00D6050D">
        <w:rPr>
          <w:color w:val="000000" w:themeColor="text1"/>
        </w:rPr>
        <w:t xml:space="preserve">Для доказательства </w:t>
      </w:r>
      <w:r w:rsidRPr="00F76A44">
        <w:rPr>
          <w:color w:val="000000" w:themeColor="text1"/>
        </w:rPr>
        <w:t xml:space="preserve">эквивалентности препарата </w:t>
      </w:r>
      <w:r w:rsidR="00F76A44" w:rsidRPr="00F76A44">
        <w:rPr>
          <w:color w:val="000000" w:themeColor="text1"/>
        </w:rPr>
        <w:t xml:space="preserve">DT-EMP </w:t>
      </w:r>
      <w:r w:rsidRPr="00F76A44">
        <w:rPr>
          <w:color w:val="000000" w:themeColor="text1"/>
        </w:rPr>
        <w:t xml:space="preserve">были проведены исследования сравнительной кинетики растворения в сравнении с референтным препаратом </w:t>
      </w:r>
      <w:r w:rsidR="00F76A44" w:rsidRPr="00F76A44">
        <w:rPr>
          <w:lang w:eastAsia="ru-RU"/>
        </w:rPr>
        <w:t>Джардинс</w:t>
      </w:r>
      <w:r w:rsidRPr="00F76A44">
        <w:rPr>
          <w:vertAlign w:val="superscript"/>
          <w:lang w:eastAsia="ru-RU"/>
        </w:rPr>
        <w:t>®</w:t>
      </w:r>
      <w:r w:rsidRPr="00F76A44">
        <w:rPr>
          <w:lang w:eastAsia="ru-RU"/>
        </w:rPr>
        <w:t xml:space="preserve">, </w:t>
      </w:r>
      <w:r w:rsidRPr="00F76A44">
        <w:rPr>
          <w:bCs/>
          <w:lang w:eastAsia="ru-RU"/>
        </w:rPr>
        <w:t xml:space="preserve">таблетки, </w:t>
      </w:r>
      <w:r w:rsidR="00F76A44" w:rsidRPr="00F76A44">
        <w:rPr>
          <w:bCs/>
          <w:lang w:eastAsia="ru-RU"/>
        </w:rPr>
        <w:t>1</w:t>
      </w:r>
      <w:r w:rsidRPr="00F76A44">
        <w:rPr>
          <w:bCs/>
          <w:lang w:eastAsia="ru-RU"/>
        </w:rPr>
        <w:t xml:space="preserve">0 </w:t>
      </w:r>
      <w:r w:rsidR="00F76A44" w:rsidRPr="00F76A44">
        <w:rPr>
          <w:bCs/>
          <w:lang w:eastAsia="ru-RU"/>
        </w:rPr>
        <w:t xml:space="preserve">и 25 </w:t>
      </w:r>
      <w:r w:rsidRPr="00F76A44">
        <w:rPr>
          <w:bCs/>
          <w:lang w:eastAsia="ru-RU"/>
        </w:rPr>
        <w:t>мг</w:t>
      </w:r>
      <w:r w:rsidRPr="00F76A44">
        <w:rPr>
          <w:rFonts w:eastAsia="Times New Roman"/>
        </w:rPr>
        <w:t xml:space="preserve"> </w:t>
      </w:r>
      <w:r w:rsidRPr="00F76A44">
        <w:rPr>
          <w:color w:val="000000"/>
        </w:rPr>
        <w:t>(</w:t>
      </w:r>
      <w:r w:rsidR="00F76A44" w:rsidRPr="00F76A44">
        <w:rPr>
          <w:lang w:eastAsia="ru-RU"/>
        </w:rPr>
        <w:t>«Берингер Ингельхайм Фарма ГмбХ и Ко.КГ», Германия</w:t>
      </w:r>
      <w:r w:rsidRPr="00F76A44">
        <w:rPr>
          <w:color w:val="000000" w:themeColor="text1"/>
        </w:rPr>
        <w:t>)</w:t>
      </w:r>
      <w:r w:rsidRPr="00F76A44">
        <w:rPr>
          <w:rFonts w:eastAsia="Times New Roman"/>
          <w:color w:val="000000" w:themeColor="text1"/>
          <w:lang w:eastAsia="en-US"/>
        </w:rPr>
        <w:t xml:space="preserve"> в дозировк</w:t>
      </w:r>
      <w:r w:rsidR="00F76A44" w:rsidRPr="00F76A44">
        <w:rPr>
          <w:rFonts w:eastAsia="Times New Roman"/>
          <w:color w:val="000000" w:themeColor="text1"/>
          <w:lang w:eastAsia="en-US"/>
        </w:rPr>
        <w:t>ах</w:t>
      </w:r>
      <w:r w:rsidRPr="00F76A44">
        <w:rPr>
          <w:rFonts w:eastAsia="Times New Roman"/>
          <w:color w:val="000000" w:themeColor="text1"/>
          <w:lang w:eastAsia="en-US"/>
        </w:rPr>
        <w:t xml:space="preserve"> </w:t>
      </w:r>
      <w:r w:rsidR="00F76A44" w:rsidRPr="00F76A44">
        <w:rPr>
          <w:rFonts w:eastAsia="Times New Roman"/>
          <w:color w:val="000000" w:themeColor="text1"/>
          <w:lang w:eastAsia="en-US"/>
        </w:rPr>
        <w:t>1</w:t>
      </w:r>
      <w:r w:rsidRPr="00F76A44">
        <w:rPr>
          <w:rFonts w:eastAsia="Times New Roman"/>
          <w:color w:val="000000" w:themeColor="text1"/>
          <w:lang w:eastAsia="en-US"/>
        </w:rPr>
        <w:t xml:space="preserve">0 </w:t>
      </w:r>
      <w:r w:rsidR="00F76A44" w:rsidRPr="00F76A44">
        <w:rPr>
          <w:rFonts w:eastAsia="Times New Roman"/>
          <w:color w:val="000000" w:themeColor="text1"/>
          <w:lang w:eastAsia="en-US"/>
        </w:rPr>
        <w:t xml:space="preserve">и 25 </w:t>
      </w:r>
      <w:r w:rsidRPr="00F76A44">
        <w:rPr>
          <w:rFonts w:eastAsia="Times New Roman"/>
          <w:color w:val="000000" w:themeColor="text1"/>
          <w:lang w:eastAsia="en-US"/>
        </w:rPr>
        <w:t xml:space="preserve">мг. </w:t>
      </w:r>
      <w:r w:rsidRPr="00F76A44">
        <w:rPr>
          <w:rFonts w:eastAsia="Times New Roman"/>
          <w:lang w:eastAsia="en-US"/>
        </w:rPr>
        <w:t>Исследовани</w:t>
      </w:r>
      <w:r w:rsidR="008C41CC">
        <w:rPr>
          <w:rFonts w:eastAsia="Times New Roman"/>
          <w:lang w:eastAsia="en-US"/>
        </w:rPr>
        <w:t>я</w:t>
      </w:r>
      <w:r w:rsidRPr="00F76A44">
        <w:rPr>
          <w:rFonts w:eastAsia="Times New Roman"/>
          <w:lang w:eastAsia="en-US"/>
        </w:rPr>
        <w:t xml:space="preserve"> проводили с использованием прибора типа «Лопастная мешалка» в условиях скорости вращения </w:t>
      </w:r>
      <w:r w:rsidR="00F76A44" w:rsidRPr="00F76A44">
        <w:rPr>
          <w:rFonts w:eastAsia="Times New Roman"/>
          <w:lang w:eastAsia="en-US"/>
        </w:rPr>
        <w:t>75</w:t>
      </w:r>
      <w:r w:rsidRPr="00F76A44">
        <w:rPr>
          <w:rFonts w:eastAsia="Times New Roman"/>
          <w:lang w:eastAsia="en-US"/>
        </w:rPr>
        <w:t xml:space="preserve"> об/мин, температуре 37 ± 0,5 </w:t>
      </w:r>
      <w:r w:rsidRPr="00F76A44">
        <w:rPr>
          <w:rFonts w:eastAsia="Times New Roman"/>
          <w:vertAlign w:val="superscript"/>
          <w:lang w:eastAsia="en-US"/>
        </w:rPr>
        <w:t>о</w:t>
      </w:r>
      <w:r w:rsidRPr="00F76A44">
        <w:rPr>
          <w:rFonts w:eastAsia="Times New Roman"/>
          <w:lang w:eastAsia="en-US"/>
        </w:rPr>
        <w:t>С и объеме среды – 900 мл.</w:t>
      </w:r>
    </w:p>
    <w:p w14:paraId="501A6E84" w14:textId="62871167" w:rsidR="003024CE" w:rsidRPr="00F76A44" w:rsidRDefault="003024CE" w:rsidP="003024CE">
      <w:pPr>
        <w:spacing w:after="0" w:line="240" w:lineRule="auto"/>
        <w:ind w:firstLine="709"/>
      </w:pPr>
      <w:r w:rsidRPr="00F76A44">
        <w:rPr>
          <w:rFonts w:eastAsia="Times New Roman"/>
          <w:lang w:eastAsia="en-US"/>
        </w:rPr>
        <w:t xml:space="preserve">Для испытания использовали </w:t>
      </w:r>
      <w:r w:rsidR="00F76A44" w:rsidRPr="00F76A44">
        <w:rPr>
          <w:rFonts w:eastAsia="Times New Roman"/>
          <w:lang w:eastAsia="en-US"/>
        </w:rPr>
        <w:t>четыре</w:t>
      </w:r>
      <w:r w:rsidRPr="00F76A44">
        <w:rPr>
          <w:rFonts w:eastAsia="Times New Roman"/>
          <w:lang w:eastAsia="en-US"/>
        </w:rPr>
        <w:t xml:space="preserve"> среды растворения:</w:t>
      </w:r>
      <w:r w:rsidRPr="00F76A44">
        <w:rPr>
          <w:spacing w:val="-4"/>
        </w:rPr>
        <w:t xml:space="preserve"> </w:t>
      </w:r>
      <w:r w:rsidR="00F76A44" w:rsidRPr="00F76A44">
        <w:rPr>
          <w:spacing w:val="-4"/>
        </w:rPr>
        <w:t>0,05 М фосфатный буферный раствор рН 6,8 (среда по НД), буферный раствор рН 1,2, ацетатный буферный раствор рН 4,5 и фосфатный буферный раствор рН 6,8</w:t>
      </w:r>
      <w:r w:rsidRPr="00F76A44">
        <w:t xml:space="preserve">. </w:t>
      </w:r>
      <w:r w:rsidRPr="00F76A44">
        <w:rPr>
          <w:rFonts w:eastAsia="Times New Roman"/>
          <w:lang w:eastAsia="en-US"/>
        </w:rPr>
        <w:t xml:space="preserve">Анализ проб в точках </w:t>
      </w:r>
      <w:r w:rsidR="00F76A44" w:rsidRPr="00F76A44">
        <w:rPr>
          <w:rFonts w:eastAsia="Times New Roman"/>
          <w:lang w:eastAsia="en-US"/>
        </w:rPr>
        <w:t xml:space="preserve">5 мин, 10 мин, 15 мин, 20 мин, 30 мин и 45 мин </w:t>
      </w:r>
      <w:r w:rsidRPr="00F76A44">
        <w:rPr>
          <w:rFonts w:eastAsia="Times New Roman"/>
          <w:lang w:eastAsia="en-US"/>
        </w:rPr>
        <w:t xml:space="preserve">выполняли методом </w:t>
      </w:r>
      <w:r w:rsidR="00F76A44" w:rsidRPr="00F76A44">
        <w:rPr>
          <w:rFonts w:eastAsia="Times New Roman"/>
          <w:lang w:eastAsia="en-US"/>
        </w:rPr>
        <w:t>УФ-спектрометрии</w:t>
      </w:r>
      <w:r w:rsidRPr="00F76A44">
        <w:rPr>
          <w:rFonts w:eastAsia="Times New Roman"/>
          <w:lang w:eastAsia="en-US"/>
        </w:rPr>
        <w:t>.</w:t>
      </w:r>
    </w:p>
    <w:p w14:paraId="29666D89" w14:textId="3E965599" w:rsidR="00E33BB5" w:rsidRDefault="00E33BB5" w:rsidP="00E33BB5">
      <w:pPr>
        <w:spacing w:after="0" w:line="240" w:lineRule="auto"/>
        <w:rPr>
          <w:rFonts w:eastAsia="Calibri"/>
          <w:lang w:eastAsia="en-US"/>
        </w:rPr>
      </w:pPr>
    </w:p>
    <w:p w14:paraId="285EA92C" w14:textId="4C70727D" w:rsidR="00E33BB5" w:rsidRPr="00DA71B3" w:rsidRDefault="00E33BB5" w:rsidP="00E33BB5">
      <w:pPr>
        <w:spacing w:after="0" w:line="240" w:lineRule="auto"/>
        <w:rPr>
          <w:rFonts w:eastAsia="Calibri"/>
          <w:b/>
          <w:lang w:eastAsia="en-US"/>
        </w:rPr>
      </w:pPr>
      <w:r w:rsidRPr="00DA71B3">
        <w:rPr>
          <w:rFonts w:eastAsia="Calibri"/>
          <w:b/>
          <w:lang w:eastAsia="en-US"/>
        </w:rPr>
        <w:t xml:space="preserve">Результаты ТСКР </w:t>
      </w:r>
      <w:r w:rsidR="00DA71B3" w:rsidRPr="00DA71B3">
        <w:rPr>
          <w:rFonts w:eastAsia="Calibri"/>
          <w:b/>
          <w:lang w:eastAsia="en-US"/>
        </w:rPr>
        <w:t>для дозировки 10 мг</w:t>
      </w:r>
    </w:p>
    <w:p w14:paraId="3722A687" w14:textId="2CEC497D" w:rsidR="00DA71B3" w:rsidRDefault="00DA71B3" w:rsidP="00E33BB5">
      <w:pPr>
        <w:spacing w:after="0" w:line="240" w:lineRule="auto"/>
        <w:rPr>
          <w:rFonts w:eastAsia="Calibri"/>
          <w:lang w:eastAsia="en-US"/>
        </w:rPr>
      </w:pPr>
    </w:p>
    <w:p w14:paraId="2968A6DC" w14:textId="720A6A17" w:rsidR="00C035FA" w:rsidRPr="00F76A44" w:rsidRDefault="008D5756">
      <w:pPr>
        <w:spacing w:after="0" w:line="240" w:lineRule="auto"/>
        <w:ind w:firstLine="708"/>
        <w:rPr>
          <w:rFonts w:eastAsia="Calibri"/>
          <w:lang w:eastAsia="en-US"/>
        </w:rPr>
      </w:pPr>
      <w:r w:rsidRPr="00F76A44">
        <w:rPr>
          <w:rFonts w:eastAsia="Calibri"/>
          <w:lang w:eastAsia="en-US"/>
        </w:rPr>
        <w:t xml:space="preserve">В результате исследований как исследуемого, так и референтного препарата, во всех средах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w:t>
      </w:r>
    </w:p>
    <w:p w14:paraId="6554271E" w14:textId="31B340E8" w:rsidR="00C035FA" w:rsidRPr="00F76A44" w:rsidRDefault="008D5756" w:rsidP="003024CE">
      <w:pPr>
        <w:spacing w:after="0" w:line="240" w:lineRule="auto"/>
        <w:ind w:firstLine="708"/>
        <w:rPr>
          <w:rFonts w:eastAsia="Calibri"/>
          <w:lang w:eastAsia="en-US"/>
        </w:rPr>
      </w:pPr>
      <w:r w:rsidRPr="00F76A44">
        <w:rPr>
          <w:rFonts w:eastAsia="Calibri"/>
          <w:lang w:eastAsia="en-US"/>
        </w:rPr>
        <w:t xml:space="preserve">Кинетика растворения лекарственных средств </w:t>
      </w:r>
      <w:r w:rsidRPr="00F76A44">
        <w:rPr>
          <w:lang w:val="en-US" w:eastAsia="ru-RU"/>
        </w:rPr>
        <w:t>DT</w:t>
      </w:r>
      <w:r w:rsidRPr="00F76A44">
        <w:rPr>
          <w:lang w:eastAsia="ru-RU"/>
        </w:rPr>
        <w:t>-</w:t>
      </w:r>
      <w:r w:rsidRPr="00F76A44">
        <w:rPr>
          <w:lang w:val="en-US" w:eastAsia="ru-RU"/>
        </w:rPr>
        <w:t>EMP</w:t>
      </w:r>
      <w:r w:rsidRPr="00F76A44">
        <w:rPr>
          <w:rFonts w:eastAsia="Calibri"/>
          <w:lang w:eastAsia="en-US"/>
        </w:rPr>
        <w:t xml:space="preserve">, таблетки, покрытые пленочной оболочкой, </w:t>
      </w:r>
      <w:r w:rsidRPr="00F76A44">
        <w:t xml:space="preserve">10 мг </w:t>
      </w:r>
      <w:r w:rsidRPr="00F76A44">
        <w:rPr>
          <w:rFonts w:eastAsia="Calibri"/>
          <w:lang w:eastAsia="en-US"/>
        </w:rPr>
        <w:t xml:space="preserve">(АО «Р-Фарм, Россия») и </w:t>
      </w:r>
      <w:r w:rsidRPr="00F76A44">
        <w:t>Джардинс</w:t>
      </w:r>
      <w:r w:rsidRPr="00F76A44">
        <w:rPr>
          <w:vertAlign w:val="superscript"/>
        </w:rPr>
        <w:t>®</w:t>
      </w:r>
      <w:r w:rsidRPr="00F76A44">
        <w:t xml:space="preserve">, таблетки, покрытые пленочной оболочкой, 10 мг </w:t>
      </w:r>
      <w:r w:rsidR="00795CA2">
        <w:t>(</w:t>
      </w:r>
      <w:r w:rsidR="00795CA2">
        <w:rPr>
          <w:rFonts w:eastAsia="Calibri"/>
          <w:bCs/>
        </w:rPr>
        <w:t xml:space="preserve">Берингер Ингельхайм </w:t>
      </w:r>
      <w:r w:rsidR="00795CA2" w:rsidRPr="00E323B2">
        <w:rPr>
          <w:rFonts w:eastAsia="Calibri"/>
          <w:bCs/>
        </w:rPr>
        <w:t>Интернешнл ГмбХ, Германия</w:t>
      </w:r>
      <w:r w:rsidRPr="00F76A44">
        <w:t>)</w:t>
      </w:r>
      <w:r w:rsidRPr="00F76A44">
        <w:rPr>
          <w:rFonts w:eastAsia="Calibri"/>
          <w:lang w:eastAsia="en-US"/>
        </w:rPr>
        <w:t>, признана эквивалентной во всех исследованных средах растворения.</w:t>
      </w:r>
      <w:r w:rsidR="00A056C2" w:rsidRPr="00A056C2">
        <w:rPr>
          <w:color w:val="000000" w:themeColor="text1"/>
        </w:rPr>
        <w:t xml:space="preserve"> </w:t>
      </w:r>
      <w:r w:rsidR="00A056C2" w:rsidRPr="007223E7">
        <w:rPr>
          <w:color w:val="000000" w:themeColor="text1"/>
        </w:rPr>
        <w:t>Результаты теста сравнительной кинетики растворения (ТСКР) приведены в таблице 2-3 и на рисунках 2-2 – 2-</w:t>
      </w:r>
      <w:r w:rsidR="00A056C2">
        <w:rPr>
          <w:color w:val="000000" w:themeColor="text1"/>
        </w:rPr>
        <w:t>5</w:t>
      </w:r>
      <w:r w:rsidR="00A056C2" w:rsidRPr="007223E7">
        <w:rPr>
          <w:color w:val="000000" w:themeColor="text1"/>
        </w:rPr>
        <w:t>.</w:t>
      </w:r>
    </w:p>
    <w:p w14:paraId="4B6668D6" w14:textId="6D4F6C40" w:rsidR="003024CE" w:rsidRDefault="003024CE" w:rsidP="007051EE">
      <w:pPr>
        <w:spacing w:after="0" w:line="240" w:lineRule="auto"/>
        <w:rPr>
          <w:rFonts w:eastAsia="Calibri"/>
          <w:highlight w:val="yellow"/>
          <w:lang w:eastAsia="en-US"/>
        </w:rPr>
      </w:pPr>
    </w:p>
    <w:p w14:paraId="69504D17" w14:textId="77777777" w:rsidR="00AA4E66" w:rsidRDefault="00AA4E66" w:rsidP="007051EE">
      <w:pPr>
        <w:spacing w:after="0" w:line="240" w:lineRule="auto"/>
        <w:rPr>
          <w:b/>
        </w:rPr>
        <w:sectPr w:rsidR="00AA4E66">
          <w:pgSz w:w="11906" w:h="16838"/>
          <w:pgMar w:top="1134" w:right="851" w:bottom="1134" w:left="1701" w:header="709" w:footer="709" w:gutter="0"/>
          <w:cols w:space="708"/>
          <w:docGrid w:linePitch="360"/>
        </w:sectPr>
      </w:pPr>
    </w:p>
    <w:p w14:paraId="1AF8C6F1" w14:textId="12873D88" w:rsidR="007051EE" w:rsidRPr="007051EE" w:rsidRDefault="007051EE" w:rsidP="007051EE">
      <w:pPr>
        <w:spacing w:after="0" w:line="240" w:lineRule="auto"/>
        <w:rPr>
          <w:rFonts w:eastAsia="Calibri"/>
        </w:rPr>
      </w:pPr>
      <w:r w:rsidRPr="00D6050D">
        <w:rPr>
          <w:b/>
        </w:rPr>
        <w:lastRenderedPageBreak/>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Pr>
          <w:rFonts w:eastAsiaTheme="minorHAnsi"/>
          <w:color w:val="000000" w:themeColor="text1"/>
          <w:lang w:eastAsia="en-US"/>
        </w:rPr>
        <w:t>DT-</w:t>
      </w:r>
      <w:r w:rsidRPr="00941908">
        <w:rPr>
          <w:lang w:eastAsia="ru-RU"/>
        </w:rPr>
        <w:t xml:space="preserve"> </w:t>
      </w:r>
      <w:r>
        <w:rPr>
          <w:lang w:val="en-US" w:eastAsia="ru-RU"/>
        </w:rPr>
        <w:t>EMP</w:t>
      </w:r>
      <w:r>
        <w:rPr>
          <w:color w:val="000000" w:themeColor="text1"/>
        </w:rPr>
        <w:t xml:space="preserve">, таблетки, покрытые плёночной оболочкой, </w:t>
      </w:r>
      <w:r w:rsidRPr="007051EE">
        <w:rPr>
          <w:color w:val="000000" w:themeColor="text1"/>
        </w:rPr>
        <w:t>10</w:t>
      </w:r>
      <w:r>
        <w:rPr>
          <w:color w:val="000000" w:themeColor="text1"/>
        </w:rPr>
        <w:t xml:space="preserve"> мг</w:t>
      </w:r>
      <w:r w:rsidRPr="00D6050D">
        <w:rPr>
          <w:color w:val="000000" w:themeColor="text1"/>
        </w:rPr>
        <w:t xml:space="preserve"> в сравнении с препаратом </w:t>
      </w:r>
      <w:r w:rsidRPr="00F76A44">
        <w:t>Джардинс</w:t>
      </w:r>
      <w:r w:rsidRPr="007051EE">
        <w:rPr>
          <w:vertAlign w:val="superscript"/>
          <w:lang w:eastAsia="ru-RU"/>
        </w:rPr>
        <w:t>®</w:t>
      </w:r>
      <w:r w:rsidRPr="009A45DD">
        <w:rPr>
          <w:lang w:eastAsia="ru-RU"/>
        </w:rPr>
        <w:t xml:space="preserve">, </w:t>
      </w:r>
      <w:r w:rsidRPr="009A45DD">
        <w:rPr>
          <w:bCs/>
          <w:lang w:eastAsia="ru-RU"/>
        </w:rPr>
        <w:t xml:space="preserve">таблетки, </w:t>
      </w:r>
      <w:r>
        <w:rPr>
          <w:color w:val="000000" w:themeColor="text1"/>
        </w:rPr>
        <w:t xml:space="preserve">покрытые плёночной оболочкой, </w:t>
      </w:r>
      <w:r w:rsidRPr="007051EE">
        <w:rPr>
          <w:color w:val="000000" w:themeColor="text1"/>
        </w:rPr>
        <w:t>10</w:t>
      </w:r>
      <w:r>
        <w:rPr>
          <w:color w:val="000000" w:themeColor="text1"/>
        </w:rPr>
        <w:t xml:space="preserve"> мг</w:t>
      </w:r>
      <w:r>
        <w:rPr>
          <w:rFonts w:eastAsia="Calibri"/>
        </w:rPr>
        <w:t>.</w:t>
      </w:r>
    </w:p>
    <w:tbl>
      <w:tblPr>
        <w:tblW w:w="9356" w:type="dxa"/>
        <w:tblInd w:w="-10" w:type="dxa"/>
        <w:tblLook w:val="04A0" w:firstRow="1" w:lastRow="0" w:firstColumn="1" w:lastColumn="0" w:noHBand="0" w:noVBand="1"/>
      </w:tblPr>
      <w:tblGrid>
        <w:gridCol w:w="2398"/>
        <w:gridCol w:w="857"/>
        <w:gridCol w:w="2972"/>
        <w:gridCol w:w="3129"/>
      </w:tblGrid>
      <w:tr w:rsidR="00A056C2" w:rsidRPr="00AA4E66" w14:paraId="4D6A749C" w14:textId="77777777" w:rsidTr="00AA6B27">
        <w:trPr>
          <w:trHeight w:val="315"/>
          <w:tblHeader/>
        </w:trPr>
        <w:tc>
          <w:tcPr>
            <w:tcW w:w="2398" w:type="dxa"/>
            <w:vMerge w:val="restart"/>
            <w:tcBorders>
              <w:top w:val="single" w:sz="8" w:space="0" w:color="000000"/>
              <w:left w:val="single" w:sz="8" w:space="0" w:color="000000"/>
              <w:right w:val="single" w:sz="8" w:space="0" w:color="auto"/>
            </w:tcBorders>
            <w:shd w:val="clear" w:color="auto" w:fill="D9D9D9" w:themeFill="background1" w:themeFillShade="D9"/>
            <w:vAlign w:val="center"/>
            <w:hideMark/>
          </w:tcPr>
          <w:p w14:paraId="18FDEE4A" w14:textId="77777777" w:rsidR="00A056C2" w:rsidRPr="00AA4E66" w:rsidRDefault="00A056C2"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Среда</w:t>
            </w:r>
          </w:p>
          <w:p w14:paraId="60AB490C" w14:textId="77777777" w:rsidR="00A056C2" w:rsidRPr="00AA4E66" w:rsidRDefault="00A056C2"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растворения</w:t>
            </w:r>
          </w:p>
        </w:tc>
        <w:tc>
          <w:tcPr>
            <w:tcW w:w="857" w:type="dxa"/>
            <w:vMerge w:val="restart"/>
            <w:tcBorders>
              <w:top w:val="single" w:sz="8" w:space="0" w:color="000000"/>
              <w:left w:val="single" w:sz="8" w:space="0" w:color="auto"/>
              <w:right w:val="single" w:sz="8" w:space="0" w:color="auto"/>
            </w:tcBorders>
            <w:shd w:val="clear" w:color="auto" w:fill="D9D9D9" w:themeFill="background1" w:themeFillShade="D9"/>
            <w:vAlign w:val="center"/>
            <w:hideMark/>
          </w:tcPr>
          <w:p w14:paraId="261E4C18" w14:textId="77777777" w:rsidR="00A056C2" w:rsidRPr="00AA4E66" w:rsidRDefault="00A056C2" w:rsidP="00AA4E66">
            <w:pPr>
              <w:spacing w:after="0" w:line="240" w:lineRule="auto"/>
              <w:ind w:left="-113" w:right="-113"/>
              <w:jc w:val="center"/>
              <w:rPr>
                <w:rFonts w:eastAsia="Times New Roman"/>
                <w:b/>
                <w:bCs/>
                <w:color w:val="000000"/>
                <w:lang w:eastAsia="ru-RU"/>
              </w:rPr>
            </w:pPr>
            <w:r w:rsidRPr="00AA4E66">
              <w:rPr>
                <w:rFonts w:eastAsia="Times New Roman"/>
                <w:b/>
                <w:bCs/>
                <w:color w:val="000000"/>
                <w:lang w:eastAsia="ru-RU"/>
              </w:rPr>
              <w:t>Время, мин</w:t>
            </w:r>
          </w:p>
        </w:tc>
        <w:tc>
          <w:tcPr>
            <w:tcW w:w="6101"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7359FC6C" w14:textId="77777777" w:rsidR="00A056C2" w:rsidRPr="00AA4E66" w:rsidRDefault="00A056C2"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Количество высвободившегося</w:t>
            </w:r>
          </w:p>
          <w:p w14:paraId="5E35B4EB" w14:textId="21D6F598" w:rsidR="00A056C2" w:rsidRPr="00AA4E66" w:rsidRDefault="004661B9" w:rsidP="00AA4E66">
            <w:pPr>
              <w:spacing w:after="0" w:line="240" w:lineRule="auto"/>
              <w:jc w:val="center"/>
              <w:rPr>
                <w:rFonts w:eastAsia="Times New Roman"/>
                <w:b/>
                <w:lang w:eastAsia="ru-RU"/>
              </w:rPr>
            </w:pPr>
            <w:r w:rsidRPr="00AA4E66">
              <w:rPr>
                <w:rFonts w:eastAsia="Times New Roman"/>
                <w:b/>
                <w:lang w:eastAsia="ru-RU"/>
              </w:rPr>
              <w:t>действующего вещества</w:t>
            </w:r>
            <w:r w:rsidR="00A056C2" w:rsidRPr="00AA4E66">
              <w:rPr>
                <w:rFonts w:eastAsia="Times New Roman"/>
                <w:b/>
                <w:bCs/>
                <w:color w:val="000000"/>
                <w:lang w:eastAsia="ru-RU"/>
              </w:rPr>
              <w:t>, %</w:t>
            </w:r>
          </w:p>
        </w:tc>
      </w:tr>
      <w:tr w:rsidR="00A056C2" w:rsidRPr="00AA4E66" w14:paraId="2307B7E2" w14:textId="77777777" w:rsidTr="00AA4E66">
        <w:trPr>
          <w:trHeight w:val="234"/>
          <w:tblHeader/>
        </w:trPr>
        <w:tc>
          <w:tcPr>
            <w:tcW w:w="2398" w:type="dxa"/>
            <w:vMerge/>
            <w:tcBorders>
              <w:left w:val="single" w:sz="8" w:space="0" w:color="000000"/>
              <w:bottom w:val="single" w:sz="8" w:space="0" w:color="000000"/>
              <w:right w:val="single" w:sz="8" w:space="0" w:color="auto"/>
            </w:tcBorders>
            <w:shd w:val="clear" w:color="auto" w:fill="D9D9D9" w:themeFill="background1" w:themeFillShade="D9"/>
            <w:vAlign w:val="center"/>
            <w:hideMark/>
          </w:tcPr>
          <w:p w14:paraId="08086B54" w14:textId="77777777" w:rsidR="00A056C2" w:rsidRPr="00AA4E66" w:rsidRDefault="00A056C2" w:rsidP="00AA4E66">
            <w:pPr>
              <w:spacing w:after="0" w:line="240" w:lineRule="auto"/>
              <w:ind w:firstLine="567"/>
              <w:jc w:val="left"/>
              <w:rPr>
                <w:rFonts w:eastAsia="Times New Roman"/>
                <w:b/>
                <w:bCs/>
                <w:color w:val="000000"/>
                <w:lang w:eastAsia="ru-RU"/>
              </w:rPr>
            </w:pPr>
          </w:p>
        </w:tc>
        <w:tc>
          <w:tcPr>
            <w:tcW w:w="857"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460A2326" w14:textId="77777777" w:rsidR="00A056C2" w:rsidRPr="00AA4E66" w:rsidRDefault="00A056C2" w:rsidP="00AA4E66">
            <w:pPr>
              <w:spacing w:after="0" w:line="240" w:lineRule="auto"/>
              <w:ind w:firstLine="567"/>
              <w:jc w:val="left"/>
              <w:rPr>
                <w:rFonts w:eastAsia="Times New Roman"/>
                <w:b/>
                <w:bCs/>
                <w:color w:val="000000"/>
                <w:lang w:eastAsia="ru-RU"/>
              </w:rPr>
            </w:pPr>
          </w:p>
        </w:tc>
        <w:tc>
          <w:tcPr>
            <w:tcW w:w="2972" w:type="dxa"/>
            <w:tcBorders>
              <w:top w:val="single" w:sz="4" w:space="0" w:color="auto"/>
              <w:left w:val="single" w:sz="8" w:space="0" w:color="auto"/>
              <w:bottom w:val="single" w:sz="4" w:space="0" w:color="auto"/>
              <w:right w:val="single" w:sz="8" w:space="0" w:color="auto"/>
            </w:tcBorders>
            <w:shd w:val="clear" w:color="auto" w:fill="D9D9D9" w:themeFill="background1" w:themeFillShade="D9"/>
            <w:vAlign w:val="center"/>
            <w:hideMark/>
          </w:tcPr>
          <w:p w14:paraId="0DF33409" w14:textId="213E44E0" w:rsidR="00A056C2" w:rsidRPr="00677CFF" w:rsidRDefault="00B208D6" w:rsidP="00AA4E66">
            <w:pPr>
              <w:spacing w:after="0" w:line="240" w:lineRule="auto"/>
              <w:ind w:left="-113" w:right="-113"/>
              <w:jc w:val="center"/>
              <w:rPr>
                <w:rFonts w:eastAsia="Times New Roman"/>
                <w:b/>
                <w:bCs/>
                <w:color w:val="000000"/>
                <w:lang w:val="en-US" w:eastAsia="ru-RU"/>
              </w:rPr>
            </w:pPr>
            <w:r w:rsidRPr="00AA4E66">
              <w:rPr>
                <w:rFonts w:eastAsia="Times New Roman"/>
                <w:b/>
                <w:bCs/>
                <w:color w:val="000000"/>
                <w:lang w:val="en-US" w:eastAsia="ru-RU"/>
              </w:rPr>
              <w:t>DT</w:t>
            </w:r>
            <w:r w:rsidRPr="00677CFF">
              <w:rPr>
                <w:rFonts w:eastAsia="Times New Roman"/>
                <w:b/>
                <w:bCs/>
                <w:color w:val="000000"/>
                <w:lang w:val="en-US" w:eastAsia="ru-RU"/>
              </w:rPr>
              <w:t>-</w:t>
            </w:r>
            <w:r w:rsidRPr="00AA4E66">
              <w:rPr>
                <w:rFonts w:eastAsia="Times New Roman"/>
                <w:b/>
                <w:bCs/>
                <w:color w:val="000000"/>
                <w:lang w:val="en-US" w:eastAsia="ru-RU"/>
              </w:rPr>
              <w:t>EMP</w:t>
            </w:r>
            <w:r w:rsidRPr="00677CFF">
              <w:rPr>
                <w:rFonts w:eastAsia="Times New Roman"/>
                <w:b/>
                <w:bCs/>
                <w:color w:val="000000"/>
                <w:lang w:val="en-US" w:eastAsia="ru-RU"/>
              </w:rPr>
              <w:t>,</w:t>
            </w:r>
          </w:p>
          <w:p w14:paraId="548008BF" w14:textId="2BA00A7A" w:rsidR="00A056C2" w:rsidRPr="00677CFF" w:rsidRDefault="00AA4E66" w:rsidP="00AA4E66">
            <w:pPr>
              <w:spacing w:after="0" w:line="240" w:lineRule="auto"/>
              <w:ind w:left="-113" w:right="-113"/>
              <w:jc w:val="center"/>
              <w:rPr>
                <w:rFonts w:eastAsia="Times New Roman"/>
                <w:b/>
                <w:bCs/>
                <w:color w:val="000000"/>
                <w:lang w:val="en-US" w:eastAsia="ru-RU"/>
              </w:rPr>
            </w:pPr>
            <w:r w:rsidRPr="00AA4E66">
              <w:rPr>
                <w:rFonts w:eastAsia="Times New Roman"/>
                <w:b/>
                <w:bCs/>
                <w:color w:val="000000"/>
                <w:lang w:eastAsia="ru-RU"/>
              </w:rPr>
              <w:t>ТППО</w:t>
            </w:r>
            <w:r w:rsidR="00A056C2" w:rsidRPr="00677CFF">
              <w:rPr>
                <w:rFonts w:eastAsia="Times New Roman"/>
                <w:b/>
                <w:bCs/>
                <w:color w:val="000000"/>
                <w:lang w:val="en-US" w:eastAsia="ru-RU"/>
              </w:rPr>
              <w:t>,</w:t>
            </w:r>
            <w:r w:rsidRPr="00677CFF">
              <w:rPr>
                <w:rFonts w:eastAsia="Times New Roman"/>
                <w:b/>
                <w:bCs/>
                <w:color w:val="000000"/>
                <w:lang w:val="en-US" w:eastAsia="ru-RU"/>
              </w:rPr>
              <w:t xml:space="preserve"> </w:t>
            </w:r>
            <w:r w:rsidR="006A4355" w:rsidRPr="00677CFF">
              <w:rPr>
                <w:rFonts w:eastAsia="Times New Roman"/>
                <w:b/>
                <w:bCs/>
                <w:color w:val="000000"/>
                <w:lang w:val="en-US" w:eastAsia="ru-RU"/>
              </w:rPr>
              <w:t xml:space="preserve">10 </w:t>
            </w:r>
            <w:r w:rsidR="006A4355" w:rsidRPr="00AA4E66">
              <w:rPr>
                <w:rFonts w:eastAsia="Times New Roman"/>
                <w:b/>
                <w:bCs/>
                <w:color w:val="000000"/>
                <w:lang w:eastAsia="ru-RU"/>
              </w:rPr>
              <w:t>мг</w:t>
            </w:r>
            <w:r w:rsidR="006A4355" w:rsidRPr="00677CFF">
              <w:rPr>
                <w:rFonts w:eastAsia="Times New Roman"/>
                <w:b/>
                <w:bCs/>
                <w:color w:val="000000"/>
                <w:lang w:val="en-US" w:eastAsia="ru-RU"/>
              </w:rPr>
              <w:t xml:space="preserve">, </w:t>
            </w:r>
            <w:r w:rsidR="00A056C2" w:rsidRPr="00AA4E66">
              <w:rPr>
                <w:rFonts w:eastAsia="Times New Roman"/>
                <w:b/>
                <w:bCs/>
                <w:color w:val="000000"/>
                <w:lang w:eastAsia="ru-RU"/>
              </w:rPr>
              <w:t>с</w:t>
            </w:r>
            <w:r w:rsidR="00A056C2" w:rsidRPr="00677CFF">
              <w:rPr>
                <w:rFonts w:eastAsia="Times New Roman"/>
                <w:b/>
                <w:bCs/>
                <w:color w:val="000000"/>
                <w:lang w:val="en-US" w:eastAsia="ru-RU"/>
              </w:rPr>
              <w:t>. 10423</w:t>
            </w:r>
          </w:p>
        </w:tc>
        <w:tc>
          <w:tcPr>
            <w:tcW w:w="3129" w:type="dxa"/>
            <w:tcBorders>
              <w:top w:val="single" w:sz="4" w:space="0" w:color="auto"/>
              <w:left w:val="single" w:sz="8" w:space="0" w:color="auto"/>
              <w:bottom w:val="single" w:sz="8" w:space="0" w:color="000000"/>
              <w:right w:val="single" w:sz="4" w:space="0" w:color="auto"/>
            </w:tcBorders>
            <w:shd w:val="clear" w:color="auto" w:fill="D9D9D9" w:themeFill="background1" w:themeFillShade="D9"/>
            <w:vAlign w:val="center"/>
            <w:hideMark/>
          </w:tcPr>
          <w:p w14:paraId="4E416898" w14:textId="77777777" w:rsidR="006A4355" w:rsidRPr="00AA4E66" w:rsidRDefault="00A056C2" w:rsidP="00AA4E66">
            <w:pPr>
              <w:spacing w:after="0" w:line="240" w:lineRule="auto"/>
              <w:jc w:val="center"/>
              <w:rPr>
                <w:rFonts w:eastAsia="Times New Roman"/>
                <w:b/>
                <w:lang w:eastAsia="ru-RU"/>
              </w:rPr>
            </w:pPr>
            <w:r w:rsidRPr="00AA4E66">
              <w:rPr>
                <w:rFonts w:eastAsia="Times New Roman"/>
                <w:b/>
                <w:lang w:eastAsia="ru-RU"/>
              </w:rPr>
              <w:t>Джардинс</w:t>
            </w:r>
            <w:r w:rsidRPr="00AA4E66">
              <w:rPr>
                <w:rFonts w:eastAsia="Times New Roman"/>
                <w:b/>
                <w:vertAlign w:val="superscript"/>
                <w:lang w:eastAsia="ru-RU"/>
              </w:rPr>
              <w:t>®</w:t>
            </w:r>
            <w:r w:rsidR="00B208D6" w:rsidRPr="00AA4E66">
              <w:rPr>
                <w:rFonts w:eastAsia="Times New Roman"/>
                <w:b/>
                <w:lang w:eastAsia="ru-RU"/>
              </w:rPr>
              <w:t>,</w:t>
            </w:r>
            <w:r w:rsidRPr="00AA4E66">
              <w:rPr>
                <w:rFonts w:eastAsia="Times New Roman"/>
                <w:b/>
                <w:lang w:eastAsia="ru-RU"/>
              </w:rPr>
              <w:t xml:space="preserve"> </w:t>
            </w:r>
          </w:p>
          <w:p w14:paraId="09A53C51" w14:textId="475D7F52" w:rsidR="00A056C2" w:rsidRPr="00AA4E66" w:rsidRDefault="00AA4E66" w:rsidP="00AA4E66">
            <w:pPr>
              <w:spacing w:after="0" w:line="240" w:lineRule="auto"/>
              <w:jc w:val="center"/>
              <w:rPr>
                <w:rFonts w:eastAsia="Times New Roman"/>
                <w:b/>
                <w:lang w:eastAsia="ru-RU"/>
              </w:rPr>
            </w:pPr>
            <w:r w:rsidRPr="00AA4E66">
              <w:rPr>
                <w:rFonts w:eastAsia="Times New Roman"/>
                <w:b/>
                <w:lang w:eastAsia="ru-RU"/>
              </w:rPr>
              <w:t>ТППО</w:t>
            </w:r>
            <w:r w:rsidR="006A4355" w:rsidRPr="00AA4E66">
              <w:rPr>
                <w:rFonts w:eastAsia="Times New Roman"/>
                <w:b/>
                <w:lang w:eastAsia="ru-RU"/>
              </w:rPr>
              <w:t>,</w:t>
            </w:r>
            <w:r w:rsidRPr="00AA4E66">
              <w:rPr>
                <w:rFonts w:eastAsia="Times New Roman"/>
                <w:b/>
                <w:lang w:eastAsia="ru-RU"/>
              </w:rPr>
              <w:t xml:space="preserve"> </w:t>
            </w:r>
            <w:r w:rsidR="006A4355" w:rsidRPr="00AA4E66">
              <w:rPr>
                <w:rFonts w:eastAsia="Times New Roman"/>
                <w:b/>
                <w:lang w:eastAsia="ru-RU"/>
              </w:rPr>
              <w:t xml:space="preserve">10 мг, </w:t>
            </w:r>
            <w:r w:rsidR="00A056C2" w:rsidRPr="00AA4E66">
              <w:rPr>
                <w:rFonts w:eastAsia="Times New Roman"/>
                <w:b/>
                <w:lang w:val="en-US" w:eastAsia="ru-RU"/>
              </w:rPr>
              <w:t>c</w:t>
            </w:r>
            <w:r w:rsidR="00A056C2" w:rsidRPr="00AA4E66">
              <w:rPr>
                <w:rFonts w:eastAsia="Times New Roman"/>
                <w:b/>
                <w:lang w:eastAsia="ru-RU"/>
              </w:rPr>
              <w:t>. 105792А</w:t>
            </w:r>
          </w:p>
        </w:tc>
      </w:tr>
      <w:tr w:rsidR="00A056C2" w:rsidRPr="00AA4E66" w14:paraId="1750D163" w14:textId="77777777" w:rsidTr="00AA6B27">
        <w:trPr>
          <w:trHeight w:val="487"/>
        </w:trPr>
        <w:tc>
          <w:tcPr>
            <w:tcW w:w="2398" w:type="dxa"/>
            <w:tcBorders>
              <w:left w:val="single" w:sz="8" w:space="0" w:color="000000"/>
              <w:bottom w:val="single" w:sz="8" w:space="0" w:color="000000"/>
              <w:right w:val="single" w:sz="8" w:space="0" w:color="auto"/>
            </w:tcBorders>
            <w:vAlign w:val="center"/>
          </w:tcPr>
          <w:p w14:paraId="7A262560" w14:textId="77777777" w:rsidR="00A056C2" w:rsidRPr="00AA4E66" w:rsidRDefault="00A056C2" w:rsidP="00AA4E66">
            <w:pPr>
              <w:spacing w:after="0" w:line="240" w:lineRule="auto"/>
              <w:jc w:val="left"/>
              <w:rPr>
                <w:rFonts w:eastAsia="Times New Roman"/>
                <w:color w:val="000000"/>
                <w:lang w:eastAsia="ru-RU"/>
              </w:rPr>
            </w:pPr>
            <w:r w:rsidRPr="00AA4E66">
              <w:rPr>
                <w:rFonts w:eastAsia="Times New Roman"/>
                <w:color w:val="000000"/>
                <w:lang w:eastAsia="ru-RU"/>
              </w:rPr>
              <w:t xml:space="preserve">0,05 М фосфатный </w:t>
            </w:r>
          </w:p>
          <w:p w14:paraId="2474D0A2" w14:textId="77777777" w:rsidR="00A056C2" w:rsidRPr="00AA4E66" w:rsidRDefault="00A056C2" w:rsidP="00AA4E66">
            <w:pPr>
              <w:spacing w:after="0" w:line="240" w:lineRule="auto"/>
              <w:jc w:val="left"/>
              <w:rPr>
                <w:rFonts w:eastAsia="Times New Roman"/>
                <w:color w:val="000000"/>
                <w:lang w:eastAsia="ru-RU"/>
              </w:rPr>
            </w:pPr>
            <w:r w:rsidRPr="00AA4E66">
              <w:rPr>
                <w:rFonts w:eastAsia="Times New Roman"/>
                <w:color w:val="000000"/>
                <w:lang w:eastAsia="ru-RU"/>
              </w:rPr>
              <w:t>буферный раствор рН 6,8</w:t>
            </w:r>
          </w:p>
        </w:tc>
        <w:tc>
          <w:tcPr>
            <w:tcW w:w="857" w:type="dxa"/>
            <w:tcBorders>
              <w:left w:val="single" w:sz="8" w:space="0" w:color="auto"/>
              <w:bottom w:val="single" w:sz="8" w:space="0" w:color="000000"/>
              <w:right w:val="single" w:sz="8" w:space="0" w:color="auto"/>
            </w:tcBorders>
            <w:vAlign w:val="center"/>
          </w:tcPr>
          <w:p w14:paraId="30749AF6"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0469AD7B"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6531008D"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23EF1C42"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271BCD32"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709BB9FF"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45</w:t>
            </w:r>
          </w:p>
        </w:tc>
        <w:tc>
          <w:tcPr>
            <w:tcW w:w="2972" w:type="dxa"/>
            <w:tcBorders>
              <w:top w:val="single" w:sz="4" w:space="0" w:color="auto"/>
              <w:left w:val="single" w:sz="8" w:space="0" w:color="auto"/>
              <w:bottom w:val="single" w:sz="4" w:space="0" w:color="auto"/>
              <w:right w:val="single" w:sz="8" w:space="0" w:color="auto"/>
            </w:tcBorders>
            <w:vAlign w:val="center"/>
          </w:tcPr>
          <w:p w14:paraId="213B6CBE"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93,7</w:t>
            </w:r>
          </w:p>
          <w:p w14:paraId="7FC7674C"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96,4</w:t>
            </w:r>
          </w:p>
          <w:p w14:paraId="1FD2CA3E"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98,1</w:t>
            </w:r>
          </w:p>
          <w:p w14:paraId="74A57B45"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99,2</w:t>
            </w:r>
          </w:p>
          <w:p w14:paraId="0B77029A"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99,7</w:t>
            </w:r>
          </w:p>
          <w:p w14:paraId="6FAB7D39"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99,7</w:t>
            </w:r>
          </w:p>
        </w:tc>
        <w:tc>
          <w:tcPr>
            <w:tcW w:w="3129" w:type="dxa"/>
            <w:tcBorders>
              <w:top w:val="single" w:sz="4" w:space="0" w:color="auto"/>
              <w:left w:val="single" w:sz="8" w:space="0" w:color="auto"/>
              <w:bottom w:val="single" w:sz="8" w:space="0" w:color="000000"/>
              <w:right w:val="single" w:sz="4" w:space="0" w:color="auto"/>
            </w:tcBorders>
            <w:vAlign w:val="center"/>
          </w:tcPr>
          <w:p w14:paraId="20EFE527"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94,0</w:t>
            </w:r>
          </w:p>
          <w:p w14:paraId="2E36BCF2"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97,7</w:t>
            </w:r>
          </w:p>
          <w:p w14:paraId="04FB571A"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100,2</w:t>
            </w:r>
          </w:p>
          <w:p w14:paraId="394922FD"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101,3</w:t>
            </w:r>
          </w:p>
          <w:p w14:paraId="45D013A2"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101,0</w:t>
            </w:r>
          </w:p>
          <w:p w14:paraId="5A8E11E1"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100,8</w:t>
            </w:r>
          </w:p>
        </w:tc>
      </w:tr>
      <w:tr w:rsidR="00A056C2" w:rsidRPr="00AA4E66" w14:paraId="22209B39" w14:textId="77777777" w:rsidTr="00AA6B27">
        <w:trPr>
          <w:trHeight w:val="454"/>
        </w:trPr>
        <w:tc>
          <w:tcPr>
            <w:tcW w:w="3255" w:type="dxa"/>
            <w:gridSpan w:val="2"/>
            <w:tcBorders>
              <w:left w:val="single" w:sz="8" w:space="0" w:color="000000"/>
              <w:bottom w:val="single" w:sz="8" w:space="0" w:color="000000"/>
              <w:right w:val="single" w:sz="8" w:space="0" w:color="auto"/>
            </w:tcBorders>
            <w:vAlign w:val="center"/>
          </w:tcPr>
          <w:p w14:paraId="127D84FB" w14:textId="77777777" w:rsidR="00A056C2" w:rsidRPr="00AA4E66" w:rsidRDefault="00A056C2" w:rsidP="00AA4E66">
            <w:pPr>
              <w:spacing w:after="0" w:line="240" w:lineRule="auto"/>
              <w:ind w:firstLine="29"/>
              <w:jc w:val="left"/>
              <w:rPr>
                <w:rFonts w:eastAsia="Times New Roman"/>
                <w:b/>
                <w:bCs/>
                <w:color w:val="000000"/>
                <w:lang w:eastAsia="ru-RU"/>
              </w:rPr>
            </w:pPr>
            <w:r w:rsidRPr="00AA4E66">
              <w:rPr>
                <w:rFonts w:eastAsia="Times New Roman"/>
                <w:b/>
                <w:i/>
                <w:color w:val="000000"/>
                <w:lang w:eastAsia="ru-RU"/>
              </w:rPr>
              <w:t>фактор подобия f2 </w:t>
            </w:r>
          </w:p>
        </w:tc>
        <w:tc>
          <w:tcPr>
            <w:tcW w:w="2972" w:type="dxa"/>
            <w:tcBorders>
              <w:top w:val="single" w:sz="4" w:space="0" w:color="auto"/>
              <w:left w:val="single" w:sz="8" w:space="0" w:color="auto"/>
              <w:bottom w:val="single" w:sz="4" w:space="0" w:color="auto"/>
              <w:right w:val="single" w:sz="8" w:space="0" w:color="auto"/>
            </w:tcBorders>
            <w:vAlign w:val="center"/>
          </w:tcPr>
          <w:p w14:paraId="746345A1" w14:textId="77777777" w:rsidR="00A056C2" w:rsidRPr="00AA4E66" w:rsidRDefault="00A056C2" w:rsidP="00AA4E66">
            <w:pPr>
              <w:spacing w:after="0" w:line="240" w:lineRule="auto"/>
              <w:jc w:val="center"/>
              <w:rPr>
                <w:rFonts w:eastAsia="Times New Roman"/>
                <w:bCs/>
                <w:i/>
                <w:color w:val="000000"/>
                <w:lang w:eastAsia="ru-RU"/>
              </w:rPr>
            </w:pPr>
            <w:r w:rsidRPr="00AA4E66">
              <w:rPr>
                <w:rFonts w:eastAsia="Times New Roman"/>
                <w:bCs/>
                <w:i/>
                <w:color w:val="000000"/>
                <w:lang w:eastAsia="ru-RU"/>
              </w:rPr>
              <w:t>Подобно без математической обработки</w:t>
            </w:r>
          </w:p>
        </w:tc>
        <w:tc>
          <w:tcPr>
            <w:tcW w:w="3129" w:type="dxa"/>
            <w:tcBorders>
              <w:top w:val="single" w:sz="4" w:space="0" w:color="auto"/>
              <w:left w:val="single" w:sz="8" w:space="0" w:color="auto"/>
              <w:bottom w:val="single" w:sz="8" w:space="0" w:color="000000"/>
              <w:right w:val="single" w:sz="4" w:space="0" w:color="auto"/>
            </w:tcBorders>
            <w:vAlign w:val="center"/>
          </w:tcPr>
          <w:p w14:paraId="1F733763"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w:t>
            </w:r>
          </w:p>
        </w:tc>
      </w:tr>
      <w:tr w:rsidR="00A056C2" w:rsidRPr="00AA4E66" w14:paraId="679BC817" w14:textId="77777777" w:rsidTr="00AA6B27">
        <w:trPr>
          <w:trHeight w:val="1070"/>
        </w:trPr>
        <w:tc>
          <w:tcPr>
            <w:tcW w:w="2398" w:type="dxa"/>
            <w:tcBorders>
              <w:left w:val="single" w:sz="8" w:space="0" w:color="000000"/>
              <w:bottom w:val="single" w:sz="8" w:space="0" w:color="000000"/>
              <w:right w:val="single" w:sz="8" w:space="0" w:color="auto"/>
            </w:tcBorders>
            <w:vAlign w:val="center"/>
          </w:tcPr>
          <w:p w14:paraId="57EF8D68" w14:textId="77777777" w:rsidR="00A056C2" w:rsidRPr="00AA4E66" w:rsidRDefault="00A056C2" w:rsidP="00AA4E66">
            <w:pPr>
              <w:spacing w:after="0" w:line="240" w:lineRule="auto"/>
              <w:jc w:val="left"/>
              <w:rPr>
                <w:rFonts w:eastAsia="Times New Roman"/>
                <w:color w:val="000000"/>
                <w:lang w:eastAsia="ru-RU"/>
              </w:rPr>
            </w:pPr>
            <w:r w:rsidRPr="00AA4E66">
              <w:rPr>
                <w:rFonts w:eastAsia="Times New Roman"/>
                <w:color w:val="000000"/>
                <w:lang w:eastAsia="ru-RU"/>
              </w:rPr>
              <w:t>Буферный раствор</w:t>
            </w:r>
          </w:p>
          <w:p w14:paraId="1C10B55C" w14:textId="77777777" w:rsidR="00A056C2" w:rsidRPr="00AA4E66" w:rsidRDefault="00A056C2" w:rsidP="00AA4E66">
            <w:pPr>
              <w:spacing w:after="0" w:line="240" w:lineRule="auto"/>
              <w:jc w:val="left"/>
              <w:rPr>
                <w:rFonts w:eastAsia="Times New Roman"/>
                <w:b/>
                <w:bCs/>
                <w:color w:val="000000"/>
                <w:lang w:eastAsia="ru-RU"/>
              </w:rPr>
            </w:pPr>
            <w:r w:rsidRPr="00AA4E66">
              <w:rPr>
                <w:rFonts w:eastAsia="Times New Roman"/>
                <w:color w:val="000000"/>
                <w:lang w:eastAsia="ru-RU"/>
              </w:rPr>
              <w:t>рН 1,2</w:t>
            </w:r>
          </w:p>
        </w:tc>
        <w:tc>
          <w:tcPr>
            <w:tcW w:w="857" w:type="dxa"/>
            <w:tcBorders>
              <w:left w:val="single" w:sz="8" w:space="0" w:color="auto"/>
              <w:bottom w:val="single" w:sz="8" w:space="0" w:color="000000"/>
              <w:right w:val="single" w:sz="8" w:space="0" w:color="auto"/>
            </w:tcBorders>
            <w:vAlign w:val="center"/>
          </w:tcPr>
          <w:p w14:paraId="480A5773"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4FC9A620"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05F7012E"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6FF4F63C"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2397424D"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7CD74A07"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45</w:t>
            </w:r>
          </w:p>
        </w:tc>
        <w:tc>
          <w:tcPr>
            <w:tcW w:w="2972" w:type="dxa"/>
            <w:tcBorders>
              <w:top w:val="single" w:sz="4" w:space="0" w:color="auto"/>
              <w:left w:val="single" w:sz="8" w:space="0" w:color="auto"/>
              <w:bottom w:val="single" w:sz="4" w:space="0" w:color="auto"/>
              <w:right w:val="single" w:sz="8" w:space="0" w:color="auto"/>
            </w:tcBorders>
            <w:vAlign w:val="center"/>
          </w:tcPr>
          <w:p w14:paraId="6A3FE860"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94,5</w:t>
            </w:r>
          </w:p>
          <w:p w14:paraId="30C29234"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96,5</w:t>
            </w:r>
          </w:p>
          <w:p w14:paraId="336F9AE0"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98,0</w:t>
            </w:r>
          </w:p>
          <w:p w14:paraId="5B954FE0"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98,6</w:t>
            </w:r>
          </w:p>
          <w:p w14:paraId="0A262FAD"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99,5</w:t>
            </w:r>
          </w:p>
          <w:p w14:paraId="75FFB784"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99,3</w:t>
            </w:r>
          </w:p>
        </w:tc>
        <w:tc>
          <w:tcPr>
            <w:tcW w:w="3129" w:type="dxa"/>
            <w:tcBorders>
              <w:top w:val="single" w:sz="4" w:space="0" w:color="auto"/>
              <w:left w:val="single" w:sz="8" w:space="0" w:color="auto"/>
              <w:bottom w:val="single" w:sz="8" w:space="0" w:color="000000"/>
              <w:right w:val="single" w:sz="4" w:space="0" w:color="auto"/>
            </w:tcBorders>
            <w:vAlign w:val="center"/>
          </w:tcPr>
          <w:p w14:paraId="6E304194"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94,6</w:t>
            </w:r>
          </w:p>
          <w:p w14:paraId="4C50CA12"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99,3</w:t>
            </w:r>
          </w:p>
          <w:p w14:paraId="5264DF64"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101,0</w:t>
            </w:r>
          </w:p>
          <w:p w14:paraId="02DAEAC8"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101,4</w:t>
            </w:r>
          </w:p>
          <w:p w14:paraId="236D99E7"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100,9</w:t>
            </w:r>
          </w:p>
          <w:p w14:paraId="3EB602F2"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100,5</w:t>
            </w:r>
          </w:p>
        </w:tc>
      </w:tr>
      <w:tr w:rsidR="00A056C2" w:rsidRPr="00AA4E66" w14:paraId="71AE4637" w14:textId="77777777" w:rsidTr="00AA6B27">
        <w:trPr>
          <w:trHeight w:val="454"/>
        </w:trPr>
        <w:tc>
          <w:tcPr>
            <w:tcW w:w="3255" w:type="dxa"/>
            <w:gridSpan w:val="2"/>
            <w:tcBorders>
              <w:left w:val="single" w:sz="8" w:space="0" w:color="000000"/>
              <w:bottom w:val="single" w:sz="8" w:space="0" w:color="000000"/>
              <w:right w:val="single" w:sz="8" w:space="0" w:color="auto"/>
            </w:tcBorders>
            <w:vAlign w:val="center"/>
          </w:tcPr>
          <w:p w14:paraId="5E5813D0" w14:textId="77777777" w:rsidR="00A056C2" w:rsidRPr="00AA4E66" w:rsidRDefault="00A056C2" w:rsidP="00AA4E66">
            <w:pPr>
              <w:spacing w:after="0" w:line="240" w:lineRule="auto"/>
              <w:jc w:val="left"/>
              <w:rPr>
                <w:rFonts w:eastAsia="Times New Roman"/>
                <w:b/>
                <w:bCs/>
                <w:color w:val="000000"/>
                <w:lang w:eastAsia="ru-RU"/>
              </w:rPr>
            </w:pPr>
            <w:r w:rsidRPr="00AA4E66">
              <w:rPr>
                <w:rFonts w:eastAsia="Times New Roman"/>
                <w:b/>
                <w:i/>
                <w:color w:val="000000"/>
                <w:lang w:eastAsia="ru-RU"/>
              </w:rPr>
              <w:t>фактор подобия f2 </w:t>
            </w:r>
          </w:p>
        </w:tc>
        <w:tc>
          <w:tcPr>
            <w:tcW w:w="2972" w:type="dxa"/>
            <w:tcBorders>
              <w:top w:val="single" w:sz="4" w:space="0" w:color="auto"/>
              <w:left w:val="single" w:sz="8" w:space="0" w:color="auto"/>
              <w:bottom w:val="single" w:sz="4" w:space="0" w:color="auto"/>
              <w:right w:val="single" w:sz="8" w:space="0" w:color="auto"/>
            </w:tcBorders>
            <w:vAlign w:val="center"/>
          </w:tcPr>
          <w:p w14:paraId="73FCFD42" w14:textId="77777777" w:rsidR="00A056C2" w:rsidRPr="00AA4E66" w:rsidRDefault="00A056C2" w:rsidP="00AA4E66">
            <w:pPr>
              <w:spacing w:after="0" w:line="240" w:lineRule="auto"/>
              <w:jc w:val="center"/>
              <w:rPr>
                <w:rFonts w:eastAsia="Times New Roman"/>
                <w:b/>
                <w:bCs/>
                <w:i/>
                <w:color w:val="000000"/>
                <w:lang w:eastAsia="ru-RU"/>
              </w:rPr>
            </w:pPr>
            <w:r w:rsidRPr="00AA4E66">
              <w:rPr>
                <w:rFonts w:eastAsia="Times New Roman"/>
                <w:bCs/>
                <w:i/>
                <w:color w:val="000000"/>
                <w:lang w:eastAsia="ru-RU"/>
              </w:rPr>
              <w:t>Подобно без математической обработки</w:t>
            </w:r>
          </w:p>
        </w:tc>
        <w:tc>
          <w:tcPr>
            <w:tcW w:w="3129" w:type="dxa"/>
            <w:tcBorders>
              <w:top w:val="single" w:sz="4" w:space="0" w:color="auto"/>
              <w:left w:val="single" w:sz="8" w:space="0" w:color="auto"/>
              <w:bottom w:val="single" w:sz="8" w:space="0" w:color="000000"/>
              <w:right w:val="single" w:sz="4" w:space="0" w:color="auto"/>
            </w:tcBorders>
            <w:vAlign w:val="center"/>
          </w:tcPr>
          <w:p w14:paraId="4B8CBFFE"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w:t>
            </w:r>
          </w:p>
        </w:tc>
      </w:tr>
      <w:tr w:rsidR="00A056C2" w:rsidRPr="00AA4E66" w14:paraId="6DFC4C47" w14:textId="77777777" w:rsidTr="00AA6B27">
        <w:trPr>
          <w:trHeight w:val="1166"/>
        </w:trPr>
        <w:tc>
          <w:tcPr>
            <w:tcW w:w="2398" w:type="dxa"/>
            <w:tcBorders>
              <w:top w:val="single" w:sz="4" w:space="0" w:color="auto"/>
              <w:left w:val="single" w:sz="8" w:space="0" w:color="000000"/>
              <w:bottom w:val="single" w:sz="8" w:space="0" w:color="auto"/>
              <w:right w:val="single" w:sz="8" w:space="0" w:color="auto"/>
            </w:tcBorders>
            <w:vAlign w:val="center"/>
          </w:tcPr>
          <w:p w14:paraId="45C8AF1B" w14:textId="77777777" w:rsidR="00A056C2" w:rsidRPr="00AA4E66" w:rsidRDefault="00A056C2" w:rsidP="00AA4E66">
            <w:pPr>
              <w:spacing w:after="0" w:line="240" w:lineRule="auto"/>
              <w:jc w:val="left"/>
              <w:rPr>
                <w:rFonts w:eastAsia="Times New Roman"/>
                <w:color w:val="000000"/>
                <w:lang w:eastAsia="ru-RU"/>
              </w:rPr>
            </w:pPr>
            <w:r w:rsidRPr="00AA4E66">
              <w:rPr>
                <w:rFonts w:eastAsia="Times New Roman"/>
                <w:color w:val="000000"/>
                <w:lang w:eastAsia="ru-RU"/>
              </w:rPr>
              <w:t>Ацетатный буферный раствор рН 4,5</w:t>
            </w:r>
          </w:p>
        </w:tc>
        <w:tc>
          <w:tcPr>
            <w:tcW w:w="857" w:type="dxa"/>
            <w:tcBorders>
              <w:top w:val="single" w:sz="4" w:space="0" w:color="auto"/>
              <w:left w:val="nil"/>
              <w:bottom w:val="single" w:sz="8" w:space="0" w:color="auto"/>
              <w:right w:val="single" w:sz="8" w:space="0" w:color="auto"/>
            </w:tcBorders>
            <w:vAlign w:val="center"/>
          </w:tcPr>
          <w:p w14:paraId="3EF273DA"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76535240"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75875C34"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64E939F0"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6260A08D"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2FFC1E6F" w14:textId="77777777" w:rsidR="00A056C2" w:rsidRPr="00AA4E66" w:rsidRDefault="00A056C2" w:rsidP="00AA4E66">
            <w:pPr>
              <w:spacing w:after="0" w:line="240" w:lineRule="auto"/>
              <w:jc w:val="center"/>
              <w:rPr>
                <w:rFonts w:eastAsia="Times New Roman"/>
                <w:color w:val="000000"/>
                <w:lang w:eastAsia="ru-RU"/>
              </w:rPr>
            </w:pPr>
            <w:r w:rsidRPr="00AA4E66">
              <w:rPr>
                <w:rFonts w:eastAsia="Times New Roman"/>
                <w:bCs/>
                <w:color w:val="000000"/>
                <w:lang w:eastAsia="ru-RU"/>
              </w:rPr>
              <w:t>45</w:t>
            </w:r>
          </w:p>
        </w:tc>
        <w:tc>
          <w:tcPr>
            <w:tcW w:w="2972" w:type="dxa"/>
            <w:tcBorders>
              <w:top w:val="single" w:sz="4" w:space="0" w:color="auto"/>
              <w:left w:val="nil"/>
              <w:bottom w:val="single" w:sz="8" w:space="0" w:color="auto"/>
              <w:right w:val="single" w:sz="8" w:space="0" w:color="auto"/>
            </w:tcBorders>
            <w:vAlign w:val="center"/>
          </w:tcPr>
          <w:p w14:paraId="762860A9"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95,0</w:t>
            </w:r>
          </w:p>
          <w:p w14:paraId="06113985"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96,0</w:t>
            </w:r>
          </w:p>
          <w:p w14:paraId="5DD85C2F"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97,0</w:t>
            </w:r>
          </w:p>
          <w:p w14:paraId="5055721B"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98,3</w:t>
            </w:r>
          </w:p>
          <w:p w14:paraId="79075963"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99,4</w:t>
            </w:r>
          </w:p>
          <w:p w14:paraId="29FD142A"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99,1</w:t>
            </w:r>
          </w:p>
        </w:tc>
        <w:tc>
          <w:tcPr>
            <w:tcW w:w="3129" w:type="dxa"/>
            <w:tcBorders>
              <w:top w:val="single" w:sz="4" w:space="0" w:color="auto"/>
              <w:left w:val="nil"/>
              <w:bottom w:val="single" w:sz="8" w:space="0" w:color="auto"/>
              <w:right w:val="single" w:sz="4" w:space="0" w:color="auto"/>
            </w:tcBorders>
            <w:vAlign w:val="center"/>
          </w:tcPr>
          <w:p w14:paraId="6CFB69FE"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95,9</w:t>
            </w:r>
          </w:p>
          <w:p w14:paraId="041E3435"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98,8</w:t>
            </w:r>
          </w:p>
          <w:p w14:paraId="15C57D58"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100,6</w:t>
            </w:r>
          </w:p>
          <w:p w14:paraId="54665343"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101,4</w:t>
            </w:r>
          </w:p>
          <w:p w14:paraId="74951750"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101,1</w:t>
            </w:r>
          </w:p>
          <w:p w14:paraId="16AC606F"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100,5</w:t>
            </w:r>
          </w:p>
        </w:tc>
      </w:tr>
      <w:tr w:rsidR="00A056C2" w:rsidRPr="00AA4E66" w14:paraId="5E0B038B" w14:textId="77777777" w:rsidTr="00AA6B27">
        <w:trPr>
          <w:trHeight w:val="454"/>
        </w:trPr>
        <w:tc>
          <w:tcPr>
            <w:tcW w:w="3255" w:type="dxa"/>
            <w:gridSpan w:val="2"/>
            <w:tcBorders>
              <w:top w:val="nil"/>
              <w:left w:val="single" w:sz="8" w:space="0" w:color="000000"/>
              <w:bottom w:val="single" w:sz="8" w:space="0" w:color="auto"/>
              <w:right w:val="single" w:sz="8" w:space="0" w:color="auto"/>
            </w:tcBorders>
            <w:vAlign w:val="center"/>
          </w:tcPr>
          <w:p w14:paraId="0307245A" w14:textId="77777777" w:rsidR="00A056C2" w:rsidRPr="00AA4E66" w:rsidRDefault="00A056C2" w:rsidP="00AA4E66">
            <w:pPr>
              <w:spacing w:after="0" w:line="240" w:lineRule="auto"/>
              <w:jc w:val="left"/>
              <w:rPr>
                <w:rFonts w:eastAsia="Times New Roman"/>
                <w:color w:val="000000"/>
                <w:lang w:eastAsia="ru-RU"/>
              </w:rPr>
            </w:pPr>
            <w:r w:rsidRPr="00AA4E66">
              <w:rPr>
                <w:rFonts w:eastAsia="Times New Roman"/>
                <w:b/>
                <w:i/>
                <w:color w:val="000000"/>
                <w:lang w:eastAsia="ru-RU"/>
              </w:rPr>
              <w:t>фактор подобия f2</w:t>
            </w:r>
          </w:p>
        </w:tc>
        <w:tc>
          <w:tcPr>
            <w:tcW w:w="2972" w:type="dxa"/>
            <w:tcBorders>
              <w:top w:val="nil"/>
              <w:left w:val="nil"/>
              <w:bottom w:val="single" w:sz="8" w:space="0" w:color="auto"/>
              <w:right w:val="single" w:sz="8" w:space="0" w:color="auto"/>
            </w:tcBorders>
            <w:vAlign w:val="center"/>
          </w:tcPr>
          <w:p w14:paraId="440A3B2E" w14:textId="77777777" w:rsidR="00A056C2" w:rsidRPr="00AA4E66" w:rsidRDefault="00A056C2" w:rsidP="00AA4E66">
            <w:pPr>
              <w:spacing w:after="0" w:line="240" w:lineRule="auto"/>
              <w:jc w:val="center"/>
              <w:rPr>
                <w:rFonts w:eastAsia="Times New Roman"/>
                <w:b/>
                <w:i/>
                <w:lang w:eastAsia="ru-RU"/>
              </w:rPr>
            </w:pPr>
            <w:r w:rsidRPr="00AA4E66">
              <w:rPr>
                <w:rFonts w:eastAsia="Times New Roman"/>
                <w:bCs/>
                <w:i/>
                <w:color w:val="000000"/>
                <w:lang w:eastAsia="ru-RU"/>
              </w:rPr>
              <w:t>Подобно без математической обработки</w:t>
            </w:r>
          </w:p>
        </w:tc>
        <w:tc>
          <w:tcPr>
            <w:tcW w:w="3129" w:type="dxa"/>
            <w:tcBorders>
              <w:top w:val="nil"/>
              <w:left w:val="nil"/>
              <w:bottom w:val="single" w:sz="8" w:space="0" w:color="auto"/>
              <w:right w:val="single" w:sz="4" w:space="0" w:color="auto"/>
            </w:tcBorders>
            <w:vAlign w:val="center"/>
          </w:tcPr>
          <w:p w14:paraId="578D2D2D" w14:textId="77777777" w:rsidR="00A056C2" w:rsidRPr="00AA4E66" w:rsidRDefault="00A056C2" w:rsidP="00AA4E66">
            <w:pPr>
              <w:spacing w:after="0" w:line="240" w:lineRule="auto"/>
              <w:jc w:val="center"/>
              <w:rPr>
                <w:rFonts w:eastAsia="Times New Roman"/>
                <w:color w:val="000000"/>
                <w:lang w:eastAsia="ru-RU"/>
              </w:rPr>
            </w:pPr>
            <w:r w:rsidRPr="00AA4E66">
              <w:rPr>
                <w:rFonts w:eastAsia="Times New Roman"/>
                <w:color w:val="000000"/>
                <w:lang w:eastAsia="ru-RU"/>
              </w:rPr>
              <w:t>-</w:t>
            </w:r>
          </w:p>
        </w:tc>
      </w:tr>
      <w:tr w:rsidR="00A056C2" w:rsidRPr="00AA4E66" w14:paraId="3F32CCDE" w14:textId="77777777" w:rsidTr="00AA6B27">
        <w:trPr>
          <w:trHeight w:val="1234"/>
        </w:trPr>
        <w:tc>
          <w:tcPr>
            <w:tcW w:w="2398" w:type="dxa"/>
            <w:tcBorders>
              <w:top w:val="nil"/>
              <w:left w:val="single" w:sz="8" w:space="0" w:color="000000"/>
              <w:bottom w:val="single" w:sz="8" w:space="0" w:color="auto"/>
              <w:right w:val="single" w:sz="8" w:space="0" w:color="auto"/>
            </w:tcBorders>
            <w:vAlign w:val="center"/>
            <w:hideMark/>
          </w:tcPr>
          <w:p w14:paraId="6793D06C" w14:textId="77777777" w:rsidR="00A056C2" w:rsidRPr="00AA4E66" w:rsidRDefault="00A056C2" w:rsidP="00AA4E66">
            <w:pPr>
              <w:spacing w:after="0" w:line="240" w:lineRule="auto"/>
              <w:rPr>
                <w:rFonts w:eastAsia="Times New Roman"/>
                <w:color w:val="000000"/>
                <w:lang w:eastAsia="ru-RU"/>
              </w:rPr>
            </w:pPr>
            <w:r w:rsidRPr="00AA4E66">
              <w:rPr>
                <w:rFonts w:eastAsia="Times New Roman"/>
                <w:color w:val="000000"/>
                <w:lang w:eastAsia="ru-RU"/>
              </w:rPr>
              <w:t>Фосфатный буферный раствор рН 6,8</w:t>
            </w:r>
          </w:p>
        </w:tc>
        <w:tc>
          <w:tcPr>
            <w:tcW w:w="857" w:type="dxa"/>
            <w:tcBorders>
              <w:top w:val="nil"/>
              <w:left w:val="nil"/>
              <w:bottom w:val="single" w:sz="8" w:space="0" w:color="auto"/>
              <w:right w:val="single" w:sz="8" w:space="0" w:color="auto"/>
            </w:tcBorders>
            <w:vAlign w:val="center"/>
          </w:tcPr>
          <w:p w14:paraId="2CAFB2C6"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6B6A3337"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643BA44A"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5F1A8685"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17A77BC7"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0F444482" w14:textId="77777777" w:rsidR="00A056C2" w:rsidRPr="00AA4E66" w:rsidRDefault="00A056C2" w:rsidP="00AA4E66">
            <w:pPr>
              <w:spacing w:after="0" w:line="240" w:lineRule="auto"/>
              <w:jc w:val="center"/>
              <w:rPr>
                <w:rFonts w:eastAsia="Times New Roman"/>
                <w:color w:val="000000"/>
                <w:lang w:eastAsia="ru-RU"/>
              </w:rPr>
            </w:pPr>
            <w:r w:rsidRPr="00AA4E66">
              <w:rPr>
                <w:rFonts w:eastAsia="Times New Roman"/>
                <w:bCs/>
                <w:color w:val="000000"/>
                <w:lang w:eastAsia="ru-RU"/>
              </w:rPr>
              <w:t>45</w:t>
            </w:r>
          </w:p>
        </w:tc>
        <w:tc>
          <w:tcPr>
            <w:tcW w:w="2972" w:type="dxa"/>
            <w:tcBorders>
              <w:top w:val="nil"/>
              <w:left w:val="nil"/>
              <w:bottom w:val="single" w:sz="8" w:space="0" w:color="auto"/>
              <w:right w:val="single" w:sz="8" w:space="0" w:color="auto"/>
            </w:tcBorders>
            <w:vAlign w:val="center"/>
          </w:tcPr>
          <w:p w14:paraId="4904E014"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89,5</w:t>
            </w:r>
          </w:p>
          <w:p w14:paraId="5B154996"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92,7</w:t>
            </w:r>
          </w:p>
          <w:p w14:paraId="5AB4F607"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95,1</w:t>
            </w:r>
          </w:p>
          <w:p w14:paraId="6B4F5204"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98,5</w:t>
            </w:r>
          </w:p>
          <w:p w14:paraId="5D0A5DBC"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99,7</w:t>
            </w:r>
          </w:p>
          <w:p w14:paraId="71BADFEB" w14:textId="77777777" w:rsidR="00A056C2" w:rsidRPr="00AA4E66" w:rsidRDefault="00A056C2" w:rsidP="00AA4E66">
            <w:pPr>
              <w:spacing w:after="0" w:line="240" w:lineRule="auto"/>
              <w:jc w:val="center"/>
              <w:rPr>
                <w:rFonts w:eastAsia="Times New Roman"/>
                <w:lang w:eastAsia="ru-RU"/>
              </w:rPr>
            </w:pPr>
            <w:r w:rsidRPr="00AA4E66">
              <w:rPr>
                <w:rFonts w:eastAsia="Times New Roman"/>
                <w:lang w:eastAsia="ru-RU"/>
              </w:rPr>
              <w:t>99,7</w:t>
            </w:r>
          </w:p>
        </w:tc>
        <w:tc>
          <w:tcPr>
            <w:tcW w:w="3129" w:type="dxa"/>
            <w:tcBorders>
              <w:top w:val="nil"/>
              <w:left w:val="nil"/>
              <w:bottom w:val="single" w:sz="8" w:space="0" w:color="auto"/>
              <w:right w:val="single" w:sz="4" w:space="0" w:color="auto"/>
            </w:tcBorders>
            <w:vAlign w:val="center"/>
          </w:tcPr>
          <w:p w14:paraId="292D266B"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94,1</w:t>
            </w:r>
          </w:p>
          <w:p w14:paraId="4427AE03"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97,9</w:t>
            </w:r>
          </w:p>
          <w:p w14:paraId="414B8C72"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100,1</w:t>
            </w:r>
          </w:p>
          <w:p w14:paraId="0A57C5B6"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101,5</w:t>
            </w:r>
          </w:p>
          <w:p w14:paraId="644897DA"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101,2</w:t>
            </w:r>
          </w:p>
          <w:p w14:paraId="4FF68400" w14:textId="77777777" w:rsidR="00A056C2" w:rsidRPr="00AA4E66" w:rsidRDefault="00A056C2" w:rsidP="00AA4E66">
            <w:pPr>
              <w:spacing w:after="0" w:line="240" w:lineRule="auto"/>
              <w:jc w:val="center"/>
              <w:rPr>
                <w:rFonts w:eastAsia="Times New Roman"/>
                <w:bCs/>
                <w:color w:val="000000"/>
                <w:lang w:eastAsia="ru-RU"/>
              </w:rPr>
            </w:pPr>
            <w:r w:rsidRPr="00AA4E66">
              <w:rPr>
                <w:rFonts w:eastAsia="Times New Roman"/>
                <w:bCs/>
                <w:color w:val="000000"/>
                <w:lang w:eastAsia="ru-RU"/>
              </w:rPr>
              <w:t>100,8</w:t>
            </w:r>
          </w:p>
        </w:tc>
      </w:tr>
      <w:tr w:rsidR="00A056C2" w:rsidRPr="00AA4E66" w14:paraId="21D4EC6E" w14:textId="77777777" w:rsidTr="00AA6B27">
        <w:trPr>
          <w:trHeight w:val="454"/>
        </w:trPr>
        <w:tc>
          <w:tcPr>
            <w:tcW w:w="3255" w:type="dxa"/>
            <w:gridSpan w:val="2"/>
            <w:tcBorders>
              <w:top w:val="nil"/>
              <w:left w:val="single" w:sz="8" w:space="0" w:color="000000"/>
              <w:bottom w:val="single" w:sz="8" w:space="0" w:color="auto"/>
              <w:right w:val="single" w:sz="8" w:space="0" w:color="auto"/>
            </w:tcBorders>
            <w:vAlign w:val="center"/>
            <w:hideMark/>
          </w:tcPr>
          <w:p w14:paraId="1AEA2476" w14:textId="77777777" w:rsidR="00A056C2" w:rsidRPr="00AA4E66" w:rsidRDefault="00A056C2" w:rsidP="00AA4E66">
            <w:pPr>
              <w:spacing w:after="0" w:line="240" w:lineRule="auto"/>
              <w:jc w:val="left"/>
              <w:rPr>
                <w:rFonts w:eastAsia="Times New Roman"/>
                <w:b/>
                <w:i/>
                <w:color w:val="000000"/>
                <w:lang w:eastAsia="ru-RU"/>
              </w:rPr>
            </w:pPr>
            <w:r w:rsidRPr="00AA4E66">
              <w:rPr>
                <w:rFonts w:eastAsia="Times New Roman"/>
                <w:b/>
                <w:i/>
                <w:color w:val="000000"/>
                <w:lang w:eastAsia="ru-RU"/>
              </w:rPr>
              <w:t>фактор подобия f2 </w:t>
            </w:r>
          </w:p>
        </w:tc>
        <w:tc>
          <w:tcPr>
            <w:tcW w:w="2972" w:type="dxa"/>
            <w:tcBorders>
              <w:top w:val="nil"/>
              <w:left w:val="nil"/>
              <w:bottom w:val="single" w:sz="8" w:space="0" w:color="auto"/>
              <w:right w:val="single" w:sz="8" w:space="0" w:color="auto"/>
            </w:tcBorders>
            <w:vAlign w:val="center"/>
          </w:tcPr>
          <w:p w14:paraId="2385851B" w14:textId="77777777" w:rsidR="00A056C2" w:rsidRPr="00AA4E66" w:rsidRDefault="00A056C2" w:rsidP="00AA4E66">
            <w:pPr>
              <w:spacing w:after="0" w:line="240" w:lineRule="auto"/>
              <w:jc w:val="center"/>
              <w:rPr>
                <w:rFonts w:eastAsia="Times New Roman"/>
                <w:b/>
                <w:i/>
                <w:lang w:eastAsia="ru-RU"/>
              </w:rPr>
            </w:pPr>
            <w:r w:rsidRPr="00AA4E66">
              <w:rPr>
                <w:rFonts w:eastAsia="Times New Roman"/>
                <w:bCs/>
                <w:i/>
                <w:color w:val="000000"/>
                <w:lang w:eastAsia="ru-RU"/>
              </w:rPr>
              <w:t>Подобно без математической обработки</w:t>
            </w:r>
          </w:p>
        </w:tc>
        <w:tc>
          <w:tcPr>
            <w:tcW w:w="3129" w:type="dxa"/>
            <w:tcBorders>
              <w:top w:val="nil"/>
              <w:left w:val="nil"/>
              <w:bottom w:val="single" w:sz="8" w:space="0" w:color="auto"/>
              <w:right w:val="single" w:sz="4" w:space="0" w:color="auto"/>
            </w:tcBorders>
            <w:vAlign w:val="center"/>
          </w:tcPr>
          <w:p w14:paraId="5450262A" w14:textId="77777777" w:rsidR="00A056C2" w:rsidRPr="00AA4E66" w:rsidRDefault="00A056C2" w:rsidP="00AA4E66">
            <w:pPr>
              <w:spacing w:after="0" w:line="240" w:lineRule="auto"/>
              <w:jc w:val="center"/>
              <w:rPr>
                <w:rFonts w:eastAsia="Times New Roman"/>
                <w:b/>
                <w:i/>
                <w:lang w:eastAsia="ru-RU"/>
              </w:rPr>
            </w:pPr>
            <w:r w:rsidRPr="00AA4E66">
              <w:rPr>
                <w:rFonts w:eastAsia="Times New Roman"/>
                <w:b/>
                <w:i/>
                <w:lang w:eastAsia="ru-RU"/>
              </w:rPr>
              <w:t>-</w:t>
            </w:r>
          </w:p>
        </w:tc>
      </w:tr>
    </w:tbl>
    <w:p w14:paraId="3245F236" w14:textId="4A150889" w:rsidR="00DA71B3" w:rsidRDefault="00DA71B3" w:rsidP="003024CE">
      <w:pPr>
        <w:spacing w:after="0" w:line="240" w:lineRule="auto"/>
        <w:ind w:firstLine="708"/>
        <w:rPr>
          <w:rFonts w:eastAsia="Calibri"/>
          <w:highlight w:val="yellow"/>
          <w:lang w:eastAsia="en-US"/>
        </w:rPr>
      </w:pPr>
    </w:p>
    <w:p w14:paraId="23F55CF1" w14:textId="77777777" w:rsidR="00D94AD2" w:rsidRDefault="00D94AD2" w:rsidP="003024CE">
      <w:pPr>
        <w:spacing w:after="0" w:line="240" w:lineRule="auto"/>
        <w:ind w:firstLine="708"/>
        <w:rPr>
          <w:rFonts w:eastAsia="Calibri"/>
          <w:highlight w:val="yellow"/>
          <w:lang w:eastAsia="en-US"/>
        </w:rPr>
      </w:pPr>
    </w:p>
    <w:p w14:paraId="5D3869E2" w14:textId="77777777" w:rsidR="00AA4E66" w:rsidRDefault="00AA4E66" w:rsidP="00D94AD2">
      <w:pPr>
        <w:spacing w:after="0" w:line="240" w:lineRule="auto"/>
        <w:rPr>
          <w:b/>
        </w:rPr>
        <w:sectPr w:rsidR="00AA4E66">
          <w:pgSz w:w="11906" w:h="16838"/>
          <w:pgMar w:top="1134" w:right="851" w:bottom="1134" w:left="1701" w:header="709" w:footer="709" w:gutter="0"/>
          <w:cols w:space="708"/>
          <w:docGrid w:linePitch="360"/>
        </w:sectPr>
      </w:pPr>
    </w:p>
    <w:p w14:paraId="16B9B4CD" w14:textId="62792975" w:rsidR="00D94AD2" w:rsidRPr="00AE43CC" w:rsidRDefault="00D94AD2" w:rsidP="00D94AD2">
      <w:pPr>
        <w:spacing w:after="0" w:line="240" w:lineRule="auto"/>
      </w:pPr>
      <w:r w:rsidRPr="00AE43CC">
        <w:rPr>
          <w:b/>
        </w:rPr>
        <w:lastRenderedPageBreak/>
        <w:t>Рисунок 2-2.</w:t>
      </w:r>
      <w:r w:rsidRPr="00AE43CC">
        <w:t xml:space="preserve"> Усредненные профили высвобождения действующего вещества из препаратов </w:t>
      </w:r>
      <w:r w:rsidRPr="00AE43CC">
        <w:rPr>
          <w:lang w:val="en-US" w:eastAsia="ru-RU"/>
        </w:rPr>
        <w:t>DT</w:t>
      </w:r>
      <w:r w:rsidRPr="00AE43CC">
        <w:rPr>
          <w:lang w:eastAsia="ru-RU"/>
        </w:rPr>
        <w:t>-</w:t>
      </w:r>
      <w:r w:rsidRPr="00AE43CC">
        <w:rPr>
          <w:lang w:val="en-US" w:eastAsia="ru-RU"/>
        </w:rPr>
        <w:t>EMP</w:t>
      </w:r>
      <w:r w:rsidRPr="00AE43CC">
        <w:rPr>
          <w:color w:val="000000" w:themeColor="text1"/>
        </w:rPr>
        <w:t xml:space="preserve"> и </w:t>
      </w:r>
      <w:r w:rsidRPr="00AE43CC">
        <w:rPr>
          <w:lang w:eastAsia="ru-RU"/>
        </w:rPr>
        <w:t>Джардинс</w:t>
      </w:r>
      <w:r w:rsidRPr="00AE43CC">
        <w:rPr>
          <w:vertAlign w:val="superscript"/>
          <w:lang w:eastAsia="ru-RU"/>
        </w:rPr>
        <w:t>®</w:t>
      </w:r>
      <w:r w:rsidRPr="00AE43CC">
        <w:rPr>
          <w:lang w:eastAsia="ru-RU"/>
        </w:rPr>
        <w:t xml:space="preserve">, </w:t>
      </w:r>
      <w:r w:rsidRPr="00AE43CC">
        <w:rPr>
          <w:color w:val="000000" w:themeColor="text1"/>
        </w:rPr>
        <w:t xml:space="preserve">в дозировке </w:t>
      </w:r>
      <w:r w:rsidR="00DC7EAD" w:rsidRPr="00DC7EAD">
        <w:rPr>
          <w:color w:val="000000" w:themeColor="text1"/>
        </w:rPr>
        <w:t>10</w:t>
      </w:r>
      <w:r w:rsidRPr="00AE43CC">
        <w:rPr>
          <w:color w:val="000000" w:themeColor="text1"/>
        </w:rPr>
        <w:t xml:space="preserve"> мг </w:t>
      </w:r>
      <w:r w:rsidRPr="00AE43CC">
        <w:t>в 0,05 М фосфатном буферном растворе рН 6,8.</w:t>
      </w:r>
    </w:p>
    <w:p w14:paraId="6D59E154" w14:textId="5353D839" w:rsidR="00D94AD2" w:rsidRPr="00AE43CC" w:rsidRDefault="00DC7EAD" w:rsidP="00D94AD2">
      <w:pPr>
        <w:autoSpaceDE w:val="0"/>
        <w:autoSpaceDN w:val="0"/>
        <w:adjustRightInd w:val="0"/>
        <w:spacing w:after="0" w:line="240" w:lineRule="auto"/>
        <w:rPr>
          <w:color w:val="000000"/>
          <w:lang w:eastAsia="ru-RU"/>
        </w:rPr>
      </w:pPr>
      <w:r>
        <w:rPr>
          <w:noProof/>
          <w:lang w:eastAsia="ru-RU"/>
        </w:rPr>
        <w:drawing>
          <wp:inline distT="0" distB="0" distL="0" distR="0" wp14:anchorId="529AD67A" wp14:editId="126A5607">
            <wp:extent cx="5818505" cy="2171700"/>
            <wp:effectExtent l="0" t="0" r="1079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650F2" w14:textId="77777777" w:rsidR="00D94AD2" w:rsidRPr="00AE43CC" w:rsidRDefault="00D94AD2" w:rsidP="00D94AD2">
      <w:pPr>
        <w:autoSpaceDE w:val="0"/>
        <w:autoSpaceDN w:val="0"/>
        <w:adjustRightInd w:val="0"/>
        <w:spacing w:after="0" w:line="240" w:lineRule="auto"/>
        <w:rPr>
          <w:b/>
          <w:color w:val="000000"/>
          <w:lang w:eastAsia="ru-RU"/>
        </w:rPr>
      </w:pPr>
    </w:p>
    <w:p w14:paraId="54FC3073" w14:textId="3968110C" w:rsidR="00D94AD2" w:rsidRPr="00AE43CC" w:rsidRDefault="00D94AD2" w:rsidP="00D94AD2">
      <w:pPr>
        <w:autoSpaceDE w:val="0"/>
        <w:autoSpaceDN w:val="0"/>
        <w:adjustRightInd w:val="0"/>
        <w:spacing w:after="0" w:line="240" w:lineRule="auto"/>
        <w:rPr>
          <w:color w:val="000000"/>
          <w:lang w:eastAsia="ru-RU"/>
        </w:rPr>
      </w:pPr>
      <w:r w:rsidRPr="00AE43CC">
        <w:rPr>
          <w:b/>
          <w:color w:val="000000"/>
          <w:lang w:eastAsia="ru-RU"/>
        </w:rPr>
        <w:t>Рисунок 2-3.</w:t>
      </w:r>
      <w:r w:rsidRPr="00AE43CC">
        <w:rPr>
          <w:color w:val="000000"/>
          <w:lang w:eastAsia="ru-RU"/>
        </w:rPr>
        <w:t xml:space="preserve"> </w:t>
      </w:r>
      <w:r w:rsidRPr="00AE43CC">
        <w:t xml:space="preserve">Усредненные профили высвобождения действующего вещества из препаратов </w:t>
      </w:r>
      <w:r w:rsidRPr="00AE43CC">
        <w:rPr>
          <w:lang w:val="en-US" w:eastAsia="ru-RU"/>
        </w:rPr>
        <w:t>DT</w:t>
      </w:r>
      <w:r w:rsidRPr="00AE43CC">
        <w:rPr>
          <w:lang w:eastAsia="ru-RU"/>
        </w:rPr>
        <w:t>-</w:t>
      </w:r>
      <w:r w:rsidRPr="00AE43CC">
        <w:rPr>
          <w:lang w:val="en-US" w:eastAsia="ru-RU"/>
        </w:rPr>
        <w:t>EMP</w:t>
      </w:r>
      <w:r w:rsidRPr="00AE43CC">
        <w:rPr>
          <w:color w:val="000000" w:themeColor="text1"/>
        </w:rPr>
        <w:t xml:space="preserve"> и </w:t>
      </w:r>
      <w:r w:rsidRPr="00AE43CC">
        <w:rPr>
          <w:lang w:eastAsia="ru-RU"/>
        </w:rPr>
        <w:t>Джардинс</w:t>
      </w:r>
      <w:r w:rsidRPr="00AE43CC">
        <w:rPr>
          <w:vertAlign w:val="superscript"/>
          <w:lang w:eastAsia="ru-RU"/>
        </w:rPr>
        <w:t>®</w:t>
      </w:r>
      <w:r w:rsidRPr="00AE43CC">
        <w:rPr>
          <w:lang w:eastAsia="ru-RU"/>
        </w:rPr>
        <w:t xml:space="preserve">, </w:t>
      </w:r>
      <w:r w:rsidRPr="00AE43CC">
        <w:rPr>
          <w:color w:val="000000" w:themeColor="text1"/>
        </w:rPr>
        <w:t xml:space="preserve">в дозировке </w:t>
      </w:r>
      <w:r w:rsidR="00DC7EAD" w:rsidRPr="00DC7EAD">
        <w:rPr>
          <w:color w:val="000000" w:themeColor="text1"/>
        </w:rPr>
        <w:t>10</w:t>
      </w:r>
      <w:r w:rsidRPr="00AE43CC">
        <w:rPr>
          <w:color w:val="000000" w:themeColor="text1"/>
        </w:rPr>
        <w:t xml:space="preserve"> мг </w:t>
      </w:r>
      <w:r w:rsidRPr="00AE43CC">
        <w:t xml:space="preserve">в </w:t>
      </w:r>
      <w:r w:rsidRPr="00AE43CC">
        <w:rPr>
          <w:color w:val="000000"/>
          <w:lang w:eastAsia="ru-RU"/>
        </w:rPr>
        <w:t>буферном растворе рН 1,2.</w:t>
      </w:r>
    </w:p>
    <w:p w14:paraId="69DB9221" w14:textId="6116E137" w:rsidR="00D94AD2" w:rsidRPr="00AE43CC" w:rsidRDefault="00DC7EAD" w:rsidP="00D94AD2">
      <w:pPr>
        <w:autoSpaceDE w:val="0"/>
        <w:autoSpaceDN w:val="0"/>
        <w:adjustRightInd w:val="0"/>
        <w:spacing w:after="0" w:line="240" w:lineRule="auto"/>
        <w:rPr>
          <w:color w:val="000000"/>
          <w:lang w:eastAsia="ru-RU"/>
        </w:rPr>
      </w:pPr>
      <w:r>
        <w:rPr>
          <w:noProof/>
          <w:lang w:eastAsia="ru-RU"/>
        </w:rPr>
        <w:drawing>
          <wp:inline distT="0" distB="0" distL="0" distR="0" wp14:anchorId="45CAF6D6" wp14:editId="3D3D1DF0">
            <wp:extent cx="5806440" cy="2276475"/>
            <wp:effectExtent l="0" t="0" r="3810" b="952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DD78E2" w14:textId="77777777" w:rsidR="00FF43CD" w:rsidRDefault="00D94AD2" w:rsidP="00FF43CD">
      <w:pPr>
        <w:tabs>
          <w:tab w:val="left" w:pos="2696"/>
        </w:tabs>
        <w:spacing w:after="0" w:line="240" w:lineRule="auto"/>
        <w:rPr>
          <w:lang w:eastAsia="ru-RU"/>
        </w:rPr>
      </w:pPr>
      <w:r w:rsidRPr="00AE43CC">
        <w:rPr>
          <w:lang w:eastAsia="ru-RU"/>
        </w:rPr>
        <w:tab/>
      </w:r>
    </w:p>
    <w:p w14:paraId="17DC998D" w14:textId="0594A729" w:rsidR="00D94AD2" w:rsidRPr="00FF43CD" w:rsidRDefault="00D94AD2" w:rsidP="00FF43CD">
      <w:pPr>
        <w:tabs>
          <w:tab w:val="left" w:pos="2696"/>
        </w:tabs>
        <w:spacing w:after="0" w:line="240" w:lineRule="auto"/>
        <w:rPr>
          <w:lang w:eastAsia="ru-RU"/>
        </w:rPr>
      </w:pPr>
      <w:r w:rsidRPr="00AE43CC">
        <w:rPr>
          <w:b/>
          <w:color w:val="000000"/>
          <w:lang w:eastAsia="ru-RU"/>
        </w:rPr>
        <w:t>Рисунок 2-4.</w:t>
      </w:r>
      <w:r w:rsidRPr="00AE43CC">
        <w:rPr>
          <w:color w:val="000000"/>
          <w:lang w:eastAsia="ru-RU"/>
        </w:rPr>
        <w:t xml:space="preserve"> </w:t>
      </w:r>
      <w:r w:rsidRPr="00AE43CC">
        <w:t xml:space="preserve">Усредненные профили высвобождения действующего вещества из препаратов </w:t>
      </w:r>
      <w:r w:rsidRPr="00AE43CC">
        <w:rPr>
          <w:lang w:val="en-US" w:eastAsia="ru-RU"/>
        </w:rPr>
        <w:t>DT</w:t>
      </w:r>
      <w:r w:rsidRPr="00AE43CC">
        <w:rPr>
          <w:lang w:eastAsia="ru-RU"/>
        </w:rPr>
        <w:t>-</w:t>
      </w:r>
      <w:r w:rsidRPr="00AE43CC">
        <w:rPr>
          <w:lang w:val="en-US" w:eastAsia="ru-RU"/>
        </w:rPr>
        <w:t>EMP</w:t>
      </w:r>
      <w:r w:rsidRPr="00AE43CC">
        <w:rPr>
          <w:color w:val="000000" w:themeColor="text1"/>
        </w:rPr>
        <w:t xml:space="preserve"> и </w:t>
      </w:r>
      <w:r w:rsidRPr="00AE43CC">
        <w:rPr>
          <w:lang w:eastAsia="ru-RU"/>
        </w:rPr>
        <w:t>Джардинс</w:t>
      </w:r>
      <w:r w:rsidRPr="00AE43CC">
        <w:rPr>
          <w:vertAlign w:val="superscript"/>
          <w:lang w:eastAsia="ru-RU"/>
        </w:rPr>
        <w:t>®</w:t>
      </w:r>
      <w:r w:rsidRPr="00AE43CC">
        <w:rPr>
          <w:lang w:eastAsia="ru-RU"/>
        </w:rPr>
        <w:t xml:space="preserve">, </w:t>
      </w:r>
      <w:r w:rsidRPr="00AE43CC">
        <w:rPr>
          <w:color w:val="000000" w:themeColor="text1"/>
        </w:rPr>
        <w:t xml:space="preserve">в дозировке </w:t>
      </w:r>
      <w:r w:rsidR="00DC7EAD" w:rsidRPr="00DC7EAD">
        <w:rPr>
          <w:color w:val="000000" w:themeColor="text1"/>
        </w:rPr>
        <w:t>10</w:t>
      </w:r>
      <w:r w:rsidRPr="00AE43CC">
        <w:rPr>
          <w:color w:val="000000" w:themeColor="text1"/>
        </w:rPr>
        <w:t xml:space="preserve"> мг </w:t>
      </w:r>
      <w:r w:rsidRPr="00AE43CC">
        <w:t xml:space="preserve">в </w:t>
      </w:r>
      <w:r w:rsidRPr="00AE43CC">
        <w:rPr>
          <w:color w:val="000000"/>
          <w:lang w:eastAsia="ru-RU"/>
        </w:rPr>
        <w:t>ацетатном буферном растворе рН 4,5.</w:t>
      </w:r>
    </w:p>
    <w:p w14:paraId="04FB7551" w14:textId="6BEA506E" w:rsidR="00D94AD2" w:rsidRPr="00AE43CC" w:rsidRDefault="006E07E5" w:rsidP="00D94AD2">
      <w:pPr>
        <w:autoSpaceDE w:val="0"/>
        <w:autoSpaceDN w:val="0"/>
        <w:adjustRightInd w:val="0"/>
        <w:spacing w:after="0" w:line="240" w:lineRule="auto"/>
        <w:rPr>
          <w:color w:val="000000"/>
          <w:lang w:eastAsia="ru-RU"/>
        </w:rPr>
      </w:pPr>
      <w:r>
        <w:rPr>
          <w:noProof/>
          <w:lang w:eastAsia="ru-RU"/>
        </w:rPr>
        <w:drawing>
          <wp:inline distT="0" distB="0" distL="0" distR="0" wp14:anchorId="171C6E32" wp14:editId="4B7B379B">
            <wp:extent cx="5889625" cy="2114550"/>
            <wp:effectExtent l="0" t="0" r="15875"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72CE77" w14:textId="32681EF2" w:rsidR="00D94AD2" w:rsidRPr="00AE43CC" w:rsidRDefault="00D94AD2" w:rsidP="00D94AD2">
      <w:pPr>
        <w:autoSpaceDE w:val="0"/>
        <w:autoSpaceDN w:val="0"/>
        <w:adjustRightInd w:val="0"/>
        <w:spacing w:after="0" w:line="240" w:lineRule="auto"/>
        <w:rPr>
          <w:color w:val="000000"/>
          <w:spacing w:val="-4"/>
          <w:lang w:eastAsia="ru-RU"/>
        </w:rPr>
      </w:pPr>
      <w:r w:rsidRPr="00AE43CC">
        <w:rPr>
          <w:b/>
          <w:color w:val="000000"/>
          <w:lang w:eastAsia="ru-RU"/>
        </w:rPr>
        <w:lastRenderedPageBreak/>
        <w:t>Рисунок 2-5.</w:t>
      </w:r>
      <w:r w:rsidRPr="00AE43CC">
        <w:rPr>
          <w:color w:val="000000"/>
          <w:lang w:eastAsia="ru-RU"/>
        </w:rPr>
        <w:t xml:space="preserve"> </w:t>
      </w:r>
      <w:r w:rsidRPr="00AE43CC">
        <w:t xml:space="preserve">Усредненные профили высвобождения действующего вещества из препаратов </w:t>
      </w:r>
      <w:r w:rsidRPr="00AE43CC">
        <w:rPr>
          <w:lang w:val="en-US" w:eastAsia="ru-RU"/>
        </w:rPr>
        <w:t>DT</w:t>
      </w:r>
      <w:r w:rsidRPr="00AE43CC">
        <w:rPr>
          <w:lang w:eastAsia="ru-RU"/>
        </w:rPr>
        <w:t>-</w:t>
      </w:r>
      <w:r w:rsidRPr="00AE43CC">
        <w:rPr>
          <w:lang w:val="en-US" w:eastAsia="ru-RU"/>
        </w:rPr>
        <w:t>EMP</w:t>
      </w:r>
      <w:r w:rsidRPr="00AE43CC">
        <w:rPr>
          <w:color w:val="000000" w:themeColor="text1"/>
        </w:rPr>
        <w:t xml:space="preserve"> и </w:t>
      </w:r>
      <w:r w:rsidRPr="00AE43CC">
        <w:rPr>
          <w:lang w:eastAsia="ru-RU"/>
        </w:rPr>
        <w:t>Джардинс</w:t>
      </w:r>
      <w:r w:rsidRPr="00AE43CC">
        <w:rPr>
          <w:vertAlign w:val="superscript"/>
          <w:lang w:eastAsia="ru-RU"/>
        </w:rPr>
        <w:t>®</w:t>
      </w:r>
      <w:r w:rsidRPr="00AE43CC">
        <w:rPr>
          <w:lang w:eastAsia="ru-RU"/>
        </w:rPr>
        <w:t xml:space="preserve">, </w:t>
      </w:r>
      <w:r w:rsidRPr="00AE43CC">
        <w:rPr>
          <w:color w:val="000000" w:themeColor="text1"/>
        </w:rPr>
        <w:t xml:space="preserve">в дозировке </w:t>
      </w:r>
      <w:r w:rsidR="006E07E5" w:rsidRPr="006E07E5">
        <w:rPr>
          <w:color w:val="000000" w:themeColor="text1"/>
        </w:rPr>
        <w:t>10</w:t>
      </w:r>
      <w:r w:rsidRPr="00AE43CC">
        <w:rPr>
          <w:color w:val="000000" w:themeColor="text1"/>
        </w:rPr>
        <w:t xml:space="preserve"> мг </w:t>
      </w:r>
      <w:r w:rsidRPr="00AE43CC">
        <w:rPr>
          <w:color w:val="000000"/>
          <w:spacing w:val="-4"/>
          <w:lang w:eastAsia="ru-RU"/>
        </w:rPr>
        <w:t>в фосфатном буферном растворе рН 6,8.</w:t>
      </w:r>
    </w:p>
    <w:p w14:paraId="5B67B386" w14:textId="7D44002E" w:rsidR="00D94AD2" w:rsidRPr="00AE43CC" w:rsidRDefault="006E07E5" w:rsidP="00D94AD2">
      <w:pPr>
        <w:autoSpaceDE w:val="0"/>
        <w:autoSpaceDN w:val="0"/>
        <w:adjustRightInd w:val="0"/>
        <w:spacing w:after="0" w:line="240" w:lineRule="auto"/>
        <w:rPr>
          <w:color w:val="000000"/>
          <w:lang w:eastAsia="ru-RU"/>
        </w:rPr>
      </w:pPr>
      <w:r>
        <w:rPr>
          <w:noProof/>
          <w:lang w:eastAsia="ru-RU"/>
        </w:rPr>
        <w:drawing>
          <wp:inline distT="0" distB="0" distL="0" distR="0" wp14:anchorId="34C7EA4F" wp14:editId="4F344818">
            <wp:extent cx="5901690" cy="2305050"/>
            <wp:effectExtent l="0" t="0" r="381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5F051B" w14:textId="77777777" w:rsidR="00D94AD2" w:rsidRPr="00AE43CC" w:rsidRDefault="00D94AD2" w:rsidP="00D94AD2">
      <w:pPr>
        <w:spacing w:after="0" w:line="240" w:lineRule="auto"/>
        <w:ind w:firstLine="708"/>
        <w:rPr>
          <w:rFonts w:eastAsia="Calibri"/>
          <w:lang w:eastAsia="en-US"/>
        </w:rPr>
      </w:pPr>
    </w:p>
    <w:p w14:paraId="424AD8ED" w14:textId="29CDFE0E" w:rsidR="008F05AD" w:rsidRPr="00DA71B3" w:rsidRDefault="008F05AD" w:rsidP="008F05AD">
      <w:pPr>
        <w:spacing w:after="0" w:line="240" w:lineRule="auto"/>
        <w:rPr>
          <w:rFonts w:eastAsia="Calibri"/>
          <w:b/>
          <w:lang w:eastAsia="en-US"/>
        </w:rPr>
      </w:pPr>
      <w:r w:rsidRPr="00DA71B3">
        <w:rPr>
          <w:rFonts w:eastAsia="Calibri"/>
          <w:b/>
          <w:lang w:eastAsia="en-US"/>
        </w:rPr>
        <w:t xml:space="preserve">Результаты ТСКР для дозировки </w:t>
      </w:r>
      <w:r w:rsidRPr="0051188B">
        <w:rPr>
          <w:rFonts w:eastAsia="Calibri"/>
          <w:b/>
          <w:lang w:eastAsia="en-US"/>
        </w:rPr>
        <w:t>25</w:t>
      </w:r>
      <w:r w:rsidRPr="00DA71B3">
        <w:rPr>
          <w:rFonts w:eastAsia="Calibri"/>
          <w:b/>
          <w:lang w:eastAsia="en-US"/>
        </w:rPr>
        <w:t xml:space="preserve"> мг</w:t>
      </w:r>
    </w:p>
    <w:p w14:paraId="4C70D02B" w14:textId="77777777" w:rsidR="008F05AD" w:rsidRDefault="008F05AD" w:rsidP="008F05AD">
      <w:pPr>
        <w:spacing w:after="0" w:line="240" w:lineRule="auto"/>
        <w:rPr>
          <w:rFonts w:eastAsia="Calibri"/>
          <w:lang w:eastAsia="en-US"/>
        </w:rPr>
      </w:pPr>
    </w:p>
    <w:p w14:paraId="1EEED3D2" w14:textId="77777777" w:rsidR="008F05AD" w:rsidRPr="00F76A44" w:rsidRDefault="008F05AD" w:rsidP="008F05AD">
      <w:pPr>
        <w:spacing w:after="0" w:line="240" w:lineRule="auto"/>
        <w:ind w:firstLine="708"/>
        <w:rPr>
          <w:rFonts w:eastAsia="Calibri"/>
          <w:lang w:eastAsia="en-US"/>
        </w:rPr>
      </w:pPr>
      <w:r w:rsidRPr="00F76A44">
        <w:rPr>
          <w:rFonts w:eastAsia="Calibri"/>
          <w:lang w:eastAsia="en-US"/>
        </w:rPr>
        <w:t xml:space="preserve">В результате исследований как исследуемого, так и референтного препарата, во всех средах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w:t>
      </w:r>
    </w:p>
    <w:p w14:paraId="4B40DCBB" w14:textId="20D4AA4A" w:rsidR="008F05AD" w:rsidRPr="00F76A44" w:rsidRDefault="008F05AD" w:rsidP="008F05AD">
      <w:pPr>
        <w:spacing w:after="0" w:line="240" w:lineRule="auto"/>
        <w:ind w:firstLine="708"/>
        <w:rPr>
          <w:rFonts w:eastAsia="Calibri"/>
          <w:lang w:eastAsia="en-US"/>
        </w:rPr>
      </w:pPr>
      <w:r w:rsidRPr="00F76A44">
        <w:rPr>
          <w:rFonts w:eastAsia="Calibri"/>
          <w:lang w:eastAsia="en-US"/>
        </w:rPr>
        <w:t xml:space="preserve">Кинетика растворения лекарственных средств </w:t>
      </w:r>
      <w:r w:rsidRPr="00F76A44">
        <w:rPr>
          <w:lang w:val="en-US" w:eastAsia="ru-RU"/>
        </w:rPr>
        <w:t>DT</w:t>
      </w:r>
      <w:r w:rsidRPr="00F76A44">
        <w:rPr>
          <w:lang w:eastAsia="ru-RU"/>
        </w:rPr>
        <w:t>-</w:t>
      </w:r>
      <w:r w:rsidRPr="00F76A44">
        <w:rPr>
          <w:lang w:val="en-US" w:eastAsia="ru-RU"/>
        </w:rPr>
        <w:t>EMP</w:t>
      </w:r>
      <w:r w:rsidRPr="00F76A44">
        <w:rPr>
          <w:rFonts w:eastAsia="Calibri"/>
          <w:lang w:eastAsia="en-US"/>
        </w:rPr>
        <w:t xml:space="preserve">, таблетки, покрытые пленочной оболочкой, </w:t>
      </w:r>
      <w:r w:rsidR="00AA6B27" w:rsidRPr="00AA6B27">
        <w:t>25</w:t>
      </w:r>
      <w:r w:rsidRPr="00F76A44">
        <w:t xml:space="preserve"> мг </w:t>
      </w:r>
      <w:r w:rsidRPr="00F76A44">
        <w:rPr>
          <w:rFonts w:eastAsia="Calibri"/>
          <w:lang w:eastAsia="en-US"/>
        </w:rPr>
        <w:t xml:space="preserve">(АО «Р-Фарм, Россия») и </w:t>
      </w:r>
      <w:r w:rsidRPr="00F76A44">
        <w:t>Джардинс</w:t>
      </w:r>
      <w:r w:rsidRPr="00F76A44">
        <w:rPr>
          <w:vertAlign w:val="superscript"/>
        </w:rPr>
        <w:t>®</w:t>
      </w:r>
      <w:r w:rsidRPr="00F76A44">
        <w:t xml:space="preserve">, таблетки, покрытые пленочной оболочкой, </w:t>
      </w:r>
      <w:r w:rsidR="00AA6B27" w:rsidRPr="00AA6B27">
        <w:t>25</w:t>
      </w:r>
      <w:r w:rsidRPr="00F76A44">
        <w:t xml:space="preserve"> мг </w:t>
      </w:r>
      <w:r>
        <w:t>(</w:t>
      </w:r>
      <w:r>
        <w:rPr>
          <w:rFonts w:eastAsia="Calibri"/>
          <w:bCs/>
        </w:rPr>
        <w:t xml:space="preserve">Берингер Ингельхайм </w:t>
      </w:r>
      <w:r w:rsidRPr="00E323B2">
        <w:rPr>
          <w:rFonts w:eastAsia="Calibri"/>
          <w:bCs/>
        </w:rPr>
        <w:t>Интернешнл ГмбХ, Германия</w:t>
      </w:r>
      <w:r w:rsidRPr="00F76A44">
        <w:t>)</w:t>
      </w:r>
      <w:r w:rsidRPr="00F76A44">
        <w:rPr>
          <w:rFonts w:eastAsia="Calibri"/>
          <w:lang w:eastAsia="en-US"/>
        </w:rPr>
        <w:t>, признана эквивалентной во всех исследованных средах растворения.</w:t>
      </w:r>
      <w:r w:rsidRPr="00A056C2">
        <w:rPr>
          <w:color w:val="000000" w:themeColor="text1"/>
        </w:rPr>
        <w:t xml:space="preserve"> </w:t>
      </w:r>
      <w:r w:rsidRPr="007223E7">
        <w:rPr>
          <w:color w:val="000000" w:themeColor="text1"/>
        </w:rPr>
        <w:t>Результаты теста сравнительной кинетики растворения (ТСКР) приведены в таблице 2-</w:t>
      </w:r>
      <w:r w:rsidR="00AA6B27" w:rsidRPr="00AA6B27">
        <w:rPr>
          <w:color w:val="000000" w:themeColor="text1"/>
        </w:rPr>
        <w:t>4</w:t>
      </w:r>
      <w:r w:rsidRPr="007223E7">
        <w:rPr>
          <w:color w:val="000000" w:themeColor="text1"/>
        </w:rPr>
        <w:t xml:space="preserve"> и на рисунках 2-</w:t>
      </w:r>
      <w:r w:rsidR="00AA6B27" w:rsidRPr="00AA6B27">
        <w:rPr>
          <w:color w:val="000000" w:themeColor="text1"/>
        </w:rPr>
        <w:t>6</w:t>
      </w:r>
      <w:r w:rsidRPr="007223E7">
        <w:rPr>
          <w:color w:val="000000" w:themeColor="text1"/>
        </w:rPr>
        <w:t xml:space="preserve"> – 2-</w:t>
      </w:r>
      <w:r w:rsidR="00AA6B27" w:rsidRPr="00AA6B27">
        <w:rPr>
          <w:color w:val="000000" w:themeColor="text1"/>
        </w:rPr>
        <w:t>9</w:t>
      </w:r>
      <w:r w:rsidRPr="007223E7">
        <w:rPr>
          <w:color w:val="000000" w:themeColor="text1"/>
        </w:rPr>
        <w:t>.</w:t>
      </w:r>
    </w:p>
    <w:p w14:paraId="7EFE0927" w14:textId="77777777" w:rsidR="00AA6B27" w:rsidRDefault="00AA6B27" w:rsidP="00AA6B27">
      <w:pPr>
        <w:spacing w:after="0" w:line="240" w:lineRule="auto"/>
        <w:rPr>
          <w:b/>
        </w:rPr>
      </w:pPr>
    </w:p>
    <w:p w14:paraId="07D6C861" w14:textId="334DB2E5" w:rsidR="00AA6B27" w:rsidRDefault="00AA6B27" w:rsidP="00AA6B27">
      <w:pPr>
        <w:spacing w:after="0" w:line="240" w:lineRule="auto"/>
        <w:rPr>
          <w:rFonts w:eastAsia="Calibri"/>
        </w:rPr>
      </w:pPr>
      <w:r w:rsidRPr="00D6050D">
        <w:rPr>
          <w:b/>
        </w:rPr>
        <w:t>Таблица 2-</w:t>
      </w:r>
      <w:r w:rsidRPr="003530BC">
        <w:rPr>
          <w:b/>
        </w:rPr>
        <w:t>4</w:t>
      </w:r>
      <w:r w:rsidRPr="00D6050D">
        <w:rPr>
          <w:b/>
        </w:rPr>
        <w:t>.</w:t>
      </w:r>
      <w:r w:rsidRPr="00D6050D">
        <w:t xml:space="preserve"> </w:t>
      </w:r>
      <w:r w:rsidRPr="00D6050D">
        <w:rPr>
          <w:color w:val="000000" w:themeColor="text1"/>
        </w:rPr>
        <w:t xml:space="preserve">Результаты теста сравнительной кинетики растворения препарата </w:t>
      </w:r>
      <w:r>
        <w:rPr>
          <w:rFonts w:eastAsiaTheme="minorHAnsi"/>
          <w:color w:val="000000" w:themeColor="text1"/>
          <w:lang w:eastAsia="en-US"/>
        </w:rPr>
        <w:t>DT-</w:t>
      </w:r>
      <w:r w:rsidRPr="00941908">
        <w:rPr>
          <w:lang w:eastAsia="ru-RU"/>
        </w:rPr>
        <w:t xml:space="preserve"> </w:t>
      </w:r>
      <w:r>
        <w:rPr>
          <w:lang w:val="en-US" w:eastAsia="ru-RU"/>
        </w:rPr>
        <w:t>EMP</w:t>
      </w:r>
      <w:r>
        <w:rPr>
          <w:color w:val="000000" w:themeColor="text1"/>
        </w:rPr>
        <w:t xml:space="preserve">, таблетки, покрытые плёночной оболочкой, </w:t>
      </w:r>
      <w:r w:rsidRPr="007051EE">
        <w:rPr>
          <w:color w:val="000000" w:themeColor="text1"/>
        </w:rPr>
        <w:t>10</w:t>
      </w:r>
      <w:r>
        <w:rPr>
          <w:color w:val="000000" w:themeColor="text1"/>
        </w:rPr>
        <w:t xml:space="preserve"> мг</w:t>
      </w:r>
      <w:r w:rsidRPr="00D6050D">
        <w:rPr>
          <w:color w:val="000000" w:themeColor="text1"/>
        </w:rPr>
        <w:t xml:space="preserve"> в сравнении с препаратом </w:t>
      </w:r>
      <w:r w:rsidRPr="00F76A44">
        <w:t>Джардинс</w:t>
      </w:r>
      <w:r w:rsidRPr="007051EE">
        <w:rPr>
          <w:vertAlign w:val="superscript"/>
          <w:lang w:eastAsia="ru-RU"/>
        </w:rPr>
        <w:t>®</w:t>
      </w:r>
      <w:r w:rsidRPr="009A45DD">
        <w:rPr>
          <w:lang w:eastAsia="ru-RU"/>
        </w:rPr>
        <w:t xml:space="preserve">, </w:t>
      </w:r>
      <w:r w:rsidRPr="009A45DD">
        <w:rPr>
          <w:bCs/>
          <w:lang w:eastAsia="ru-RU"/>
        </w:rPr>
        <w:t xml:space="preserve">таблетки, </w:t>
      </w:r>
      <w:r>
        <w:rPr>
          <w:color w:val="000000" w:themeColor="text1"/>
        </w:rPr>
        <w:t xml:space="preserve">покрытые плёночной оболочкой, </w:t>
      </w:r>
      <w:r w:rsidRPr="007051EE">
        <w:rPr>
          <w:color w:val="000000" w:themeColor="text1"/>
        </w:rPr>
        <w:t>10</w:t>
      </w:r>
      <w:r>
        <w:rPr>
          <w:color w:val="000000" w:themeColor="text1"/>
        </w:rPr>
        <w:t xml:space="preserve"> мг</w:t>
      </w:r>
      <w:r>
        <w:rPr>
          <w:rFonts w:eastAsia="Calibri"/>
        </w:rPr>
        <w:t>.</w:t>
      </w:r>
    </w:p>
    <w:tbl>
      <w:tblPr>
        <w:tblW w:w="9346" w:type="dxa"/>
        <w:tblLook w:val="04A0" w:firstRow="1" w:lastRow="0" w:firstColumn="1" w:lastColumn="0" w:noHBand="0" w:noVBand="1"/>
      </w:tblPr>
      <w:tblGrid>
        <w:gridCol w:w="2398"/>
        <w:gridCol w:w="857"/>
        <w:gridCol w:w="2974"/>
        <w:gridCol w:w="3117"/>
      </w:tblGrid>
      <w:tr w:rsidR="00AA6B27" w:rsidRPr="00AA4E66" w14:paraId="79CBE175" w14:textId="77777777" w:rsidTr="00AA6B27">
        <w:trPr>
          <w:trHeight w:val="315"/>
          <w:tblHeader/>
        </w:trPr>
        <w:tc>
          <w:tcPr>
            <w:tcW w:w="2398" w:type="dxa"/>
            <w:vMerge w:val="restart"/>
            <w:tcBorders>
              <w:top w:val="single" w:sz="8" w:space="0" w:color="000000"/>
              <w:left w:val="single" w:sz="8" w:space="0" w:color="000000"/>
              <w:right w:val="single" w:sz="8" w:space="0" w:color="auto"/>
            </w:tcBorders>
            <w:shd w:val="clear" w:color="auto" w:fill="D9D9D9" w:themeFill="background1" w:themeFillShade="D9"/>
            <w:vAlign w:val="center"/>
            <w:hideMark/>
          </w:tcPr>
          <w:p w14:paraId="15D7167C" w14:textId="77777777" w:rsidR="00AA6B27" w:rsidRPr="00AA4E66" w:rsidRDefault="00AA6B27"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Среда</w:t>
            </w:r>
          </w:p>
          <w:p w14:paraId="77864A1E" w14:textId="77777777" w:rsidR="00AA6B27" w:rsidRPr="00AA4E66" w:rsidRDefault="00AA6B27"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растворения</w:t>
            </w:r>
          </w:p>
        </w:tc>
        <w:tc>
          <w:tcPr>
            <w:tcW w:w="857" w:type="dxa"/>
            <w:vMerge w:val="restart"/>
            <w:tcBorders>
              <w:top w:val="single" w:sz="8" w:space="0" w:color="000000"/>
              <w:left w:val="single" w:sz="8" w:space="0" w:color="auto"/>
              <w:right w:val="single" w:sz="8" w:space="0" w:color="auto"/>
            </w:tcBorders>
            <w:shd w:val="clear" w:color="auto" w:fill="D9D9D9" w:themeFill="background1" w:themeFillShade="D9"/>
            <w:vAlign w:val="center"/>
            <w:hideMark/>
          </w:tcPr>
          <w:p w14:paraId="75D64E24" w14:textId="77777777" w:rsidR="00AA6B27" w:rsidRPr="00AA4E66" w:rsidRDefault="00AA6B27" w:rsidP="00AA4E66">
            <w:pPr>
              <w:spacing w:after="0" w:line="240" w:lineRule="auto"/>
              <w:ind w:left="-113" w:right="-113"/>
              <w:jc w:val="center"/>
              <w:rPr>
                <w:rFonts w:eastAsia="Times New Roman"/>
                <w:b/>
                <w:bCs/>
                <w:color w:val="000000"/>
                <w:lang w:eastAsia="ru-RU"/>
              </w:rPr>
            </w:pPr>
            <w:r w:rsidRPr="00AA4E66">
              <w:rPr>
                <w:rFonts w:eastAsia="Times New Roman"/>
                <w:b/>
                <w:bCs/>
                <w:color w:val="000000"/>
                <w:lang w:eastAsia="ru-RU"/>
              </w:rPr>
              <w:t>Время, мин</w:t>
            </w:r>
          </w:p>
        </w:tc>
        <w:tc>
          <w:tcPr>
            <w:tcW w:w="6091" w:type="dxa"/>
            <w:gridSpan w:val="2"/>
            <w:tcBorders>
              <w:top w:val="single" w:sz="4" w:space="0" w:color="auto"/>
              <w:bottom w:val="single" w:sz="4" w:space="0" w:color="auto"/>
              <w:right w:val="single" w:sz="4" w:space="0" w:color="auto"/>
            </w:tcBorders>
            <w:shd w:val="clear" w:color="auto" w:fill="D9D9D9" w:themeFill="background1" w:themeFillShade="D9"/>
            <w:vAlign w:val="center"/>
          </w:tcPr>
          <w:p w14:paraId="3980B4FD" w14:textId="77777777" w:rsidR="00AA6B27" w:rsidRPr="00AA4E66" w:rsidRDefault="00AA6B27" w:rsidP="00AA4E66">
            <w:pPr>
              <w:spacing w:after="0" w:line="240" w:lineRule="auto"/>
              <w:jc w:val="center"/>
              <w:rPr>
                <w:rFonts w:eastAsia="Times New Roman"/>
                <w:b/>
                <w:bCs/>
                <w:color w:val="000000"/>
                <w:lang w:eastAsia="ru-RU"/>
              </w:rPr>
            </w:pPr>
            <w:r w:rsidRPr="00AA4E66">
              <w:rPr>
                <w:rFonts w:eastAsia="Times New Roman"/>
                <w:b/>
                <w:bCs/>
                <w:color w:val="000000"/>
                <w:lang w:eastAsia="ru-RU"/>
              </w:rPr>
              <w:t>Количество высвободившегося</w:t>
            </w:r>
          </w:p>
          <w:p w14:paraId="19AC15C5" w14:textId="3188CF65" w:rsidR="00AA6B27" w:rsidRPr="00AA4E66" w:rsidRDefault="004661B9" w:rsidP="00AA4E66">
            <w:pPr>
              <w:spacing w:after="0" w:line="240" w:lineRule="auto"/>
              <w:jc w:val="center"/>
              <w:rPr>
                <w:rFonts w:eastAsia="Times New Roman"/>
                <w:b/>
                <w:lang w:eastAsia="ru-RU"/>
              </w:rPr>
            </w:pPr>
            <w:r w:rsidRPr="00AA4E66">
              <w:rPr>
                <w:rFonts w:eastAsia="Times New Roman"/>
                <w:b/>
                <w:lang w:eastAsia="ru-RU"/>
              </w:rPr>
              <w:t>действующего вещества</w:t>
            </w:r>
            <w:r w:rsidR="00AA6B27" w:rsidRPr="00AA4E66">
              <w:rPr>
                <w:rFonts w:eastAsia="Times New Roman"/>
                <w:b/>
                <w:bCs/>
                <w:color w:val="000000"/>
                <w:lang w:eastAsia="ru-RU"/>
              </w:rPr>
              <w:t>, %</w:t>
            </w:r>
          </w:p>
        </w:tc>
      </w:tr>
      <w:tr w:rsidR="00AA6B27" w:rsidRPr="00AA4E66" w14:paraId="3BE2FE41" w14:textId="77777777" w:rsidTr="00AA4E66">
        <w:trPr>
          <w:trHeight w:val="289"/>
          <w:tblHeader/>
        </w:trPr>
        <w:tc>
          <w:tcPr>
            <w:tcW w:w="2398" w:type="dxa"/>
            <w:vMerge/>
            <w:tcBorders>
              <w:left w:val="single" w:sz="8" w:space="0" w:color="000000"/>
              <w:bottom w:val="single" w:sz="8" w:space="0" w:color="000000"/>
              <w:right w:val="single" w:sz="8" w:space="0" w:color="auto"/>
            </w:tcBorders>
            <w:shd w:val="clear" w:color="auto" w:fill="D9D9D9" w:themeFill="background1" w:themeFillShade="D9"/>
            <w:vAlign w:val="center"/>
            <w:hideMark/>
          </w:tcPr>
          <w:p w14:paraId="1D953CDE" w14:textId="77777777" w:rsidR="00AA6B27" w:rsidRPr="00AA4E66" w:rsidRDefault="00AA6B27" w:rsidP="00AA4E66">
            <w:pPr>
              <w:spacing w:after="0" w:line="240" w:lineRule="auto"/>
              <w:ind w:firstLine="567"/>
              <w:jc w:val="left"/>
              <w:rPr>
                <w:rFonts w:eastAsia="Times New Roman"/>
                <w:b/>
                <w:bCs/>
                <w:color w:val="000000"/>
                <w:lang w:eastAsia="ru-RU"/>
              </w:rPr>
            </w:pPr>
          </w:p>
        </w:tc>
        <w:tc>
          <w:tcPr>
            <w:tcW w:w="857"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14CD1C4" w14:textId="77777777" w:rsidR="00AA6B27" w:rsidRPr="00AA4E66" w:rsidRDefault="00AA6B27" w:rsidP="00AA4E66">
            <w:pPr>
              <w:spacing w:after="0" w:line="240" w:lineRule="auto"/>
              <w:ind w:firstLine="567"/>
              <w:jc w:val="left"/>
              <w:rPr>
                <w:rFonts w:eastAsia="Times New Roman"/>
                <w:b/>
                <w:bCs/>
                <w:color w:val="000000"/>
                <w:lang w:eastAsia="ru-RU"/>
              </w:rPr>
            </w:pPr>
          </w:p>
        </w:tc>
        <w:tc>
          <w:tcPr>
            <w:tcW w:w="2974" w:type="dxa"/>
            <w:tcBorders>
              <w:top w:val="single" w:sz="4" w:space="0" w:color="auto"/>
              <w:left w:val="single" w:sz="8" w:space="0" w:color="auto"/>
              <w:bottom w:val="single" w:sz="4" w:space="0" w:color="auto"/>
              <w:right w:val="single" w:sz="8" w:space="0" w:color="auto"/>
            </w:tcBorders>
            <w:shd w:val="clear" w:color="auto" w:fill="D9D9D9" w:themeFill="background1" w:themeFillShade="D9"/>
            <w:vAlign w:val="center"/>
            <w:hideMark/>
          </w:tcPr>
          <w:p w14:paraId="7B17F9C2" w14:textId="36E537AC" w:rsidR="00AA6B27" w:rsidRPr="00677CFF" w:rsidRDefault="00AA6B27" w:rsidP="00AA4E66">
            <w:pPr>
              <w:spacing w:after="0" w:line="240" w:lineRule="auto"/>
              <w:jc w:val="center"/>
              <w:rPr>
                <w:rFonts w:eastAsia="Times New Roman"/>
                <w:b/>
                <w:bCs/>
                <w:color w:val="000000"/>
                <w:lang w:val="en-US" w:eastAsia="ru-RU"/>
              </w:rPr>
            </w:pPr>
            <w:r w:rsidRPr="00AA4E66">
              <w:rPr>
                <w:rFonts w:eastAsia="Times New Roman"/>
                <w:b/>
                <w:bCs/>
                <w:color w:val="000000"/>
                <w:lang w:val="en-US" w:eastAsia="ru-RU"/>
              </w:rPr>
              <w:t>DT</w:t>
            </w:r>
            <w:r w:rsidRPr="00677CFF">
              <w:rPr>
                <w:rFonts w:eastAsia="Times New Roman"/>
                <w:b/>
                <w:bCs/>
                <w:color w:val="000000"/>
                <w:lang w:val="en-US" w:eastAsia="ru-RU"/>
              </w:rPr>
              <w:t>-</w:t>
            </w:r>
            <w:r w:rsidRPr="00AA4E66">
              <w:rPr>
                <w:rFonts w:eastAsia="Times New Roman"/>
                <w:b/>
                <w:bCs/>
                <w:color w:val="000000"/>
                <w:lang w:val="en-US" w:eastAsia="ru-RU"/>
              </w:rPr>
              <w:t>EMP</w:t>
            </w:r>
            <w:r w:rsidRPr="00677CFF">
              <w:rPr>
                <w:rFonts w:eastAsia="Times New Roman"/>
                <w:b/>
                <w:bCs/>
                <w:color w:val="000000"/>
                <w:lang w:val="en-US" w:eastAsia="ru-RU"/>
              </w:rPr>
              <w:t>,</w:t>
            </w:r>
          </w:p>
          <w:p w14:paraId="548720BE" w14:textId="3AFA2DD8" w:rsidR="00AA6B27" w:rsidRPr="00677CFF" w:rsidRDefault="00AA4E66" w:rsidP="00AA4E66">
            <w:pPr>
              <w:spacing w:after="0" w:line="240" w:lineRule="auto"/>
              <w:jc w:val="center"/>
              <w:rPr>
                <w:rFonts w:eastAsia="Times New Roman"/>
                <w:b/>
                <w:bCs/>
                <w:color w:val="000000"/>
                <w:lang w:val="en-US" w:eastAsia="ru-RU"/>
              </w:rPr>
            </w:pPr>
            <w:r w:rsidRPr="00AA4E66">
              <w:rPr>
                <w:rFonts w:eastAsia="Times New Roman"/>
                <w:b/>
                <w:bCs/>
                <w:color w:val="000000"/>
                <w:lang w:eastAsia="ru-RU"/>
              </w:rPr>
              <w:t>ТППО</w:t>
            </w:r>
            <w:r w:rsidR="00AA6B27" w:rsidRPr="00677CFF">
              <w:rPr>
                <w:rFonts w:eastAsia="Times New Roman"/>
                <w:b/>
                <w:bCs/>
                <w:color w:val="000000"/>
                <w:lang w:val="en-US" w:eastAsia="ru-RU"/>
              </w:rPr>
              <w:t>,</w:t>
            </w:r>
            <w:r w:rsidRPr="00677CFF">
              <w:rPr>
                <w:rFonts w:eastAsia="Times New Roman"/>
                <w:b/>
                <w:bCs/>
                <w:color w:val="000000"/>
                <w:lang w:val="en-US" w:eastAsia="ru-RU"/>
              </w:rPr>
              <w:t xml:space="preserve"> </w:t>
            </w:r>
            <w:r w:rsidR="00AA6B27" w:rsidRPr="00677CFF">
              <w:rPr>
                <w:rFonts w:eastAsia="Times New Roman"/>
                <w:b/>
                <w:bCs/>
                <w:color w:val="000000"/>
                <w:lang w:val="en-US" w:eastAsia="ru-RU"/>
              </w:rPr>
              <w:t xml:space="preserve">25 </w:t>
            </w:r>
            <w:r w:rsidR="00AA6B27" w:rsidRPr="00AA4E66">
              <w:rPr>
                <w:rFonts w:eastAsia="Times New Roman"/>
                <w:b/>
                <w:bCs/>
                <w:color w:val="000000"/>
                <w:lang w:eastAsia="ru-RU"/>
              </w:rPr>
              <w:t>мг</w:t>
            </w:r>
            <w:r w:rsidR="00AA6B27" w:rsidRPr="00677CFF">
              <w:rPr>
                <w:rFonts w:eastAsia="Times New Roman"/>
                <w:b/>
                <w:bCs/>
                <w:color w:val="000000"/>
                <w:lang w:val="en-US" w:eastAsia="ru-RU"/>
              </w:rPr>
              <w:t xml:space="preserve">, </w:t>
            </w:r>
            <w:r w:rsidR="00AA6B27" w:rsidRPr="00AA4E66">
              <w:rPr>
                <w:rFonts w:eastAsia="Times New Roman"/>
                <w:b/>
                <w:bCs/>
                <w:color w:val="000000"/>
                <w:lang w:eastAsia="ru-RU"/>
              </w:rPr>
              <w:t>с</w:t>
            </w:r>
            <w:r w:rsidR="00AA6B27" w:rsidRPr="00677CFF">
              <w:rPr>
                <w:rFonts w:eastAsia="Times New Roman"/>
                <w:b/>
                <w:bCs/>
                <w:color w:val="000000"/>
                <w:lang w:val="en-US" w:eastAsia="ru-RU"/>
              </w:rPr>
              <w:t>. 20423</w:t>
            </w:r>
          </w:p>
        </w:tc>
        <w:tc>
          <w:tcPr>
            <w:tcW w:w="3117" w:type="dxa"/>
            <w:tcBorders>
              <w:top w:val="single" w:sz="4" w:space="0" w:color="auto"/>
              <w:left w:val="single" w:sz="8" w:space="0" w:color="auto"/>
              <w:bottom w:val="single" w:sz="8" w:space="0" w:color="000000"/>
              <w:right w:val="single" w:sz="4" w:space="0" w:color="auto"/>
            </w:tcBorders>
            <w:shd w:val="clear" w:color="auto" w:fill="D9D9D9" w:themeFill="background1" w:themeFillShade="D9"/>
            <w:vAlign w:val="center"/>
            <w:hideMark/>
          </w:tcPr>
          <w:p w14:paraId="1814C128" w14:textId="77777777" w:rsidR="00AA6B27" w:rsidRPr="00AA4E66" w:rsidRDefault="00AA6B27" w:rsidP="00AA4E66">
            <w:pPr>
              <w:spacing w:after="0" w:line="240" w:lineRule="auto"/>
              <w:jc w:val="center"/>
              <w:rPr>
                <w:rFonts w:eastAsia="Times New Roman"/>
                <w:b/>
                <w:lang w:eastAsia="ru-RU"/>
              </w:rPr>
            </w:pPr>
            <w:r w:rsidRPr="00AA4E66">
              <w:rPr>
                <w:rFonts w:eastAsia="Times New Roman"/>
                <w:b/>
                <w:lang w:eastAsia="ru-RU"/>
              </w:rPr>
              <w:t>Джардинс</w:t>
            </w:r>
            <w:r w:rsidRPr="00AA4E66">
              <w:rPr>
                <w:rFonts w:eastAsia="Times New Roman"/>
                <w:b/>
                <w:vertAlign w:val="superscript"/>
                <w:lang w:eastAsia="ru-RU"/>
              </w:rPr>
              <w:t>®</w:t>
            </w:r>
            <w:r w:rsidRPr="00AA4E66">
              <w:rPr>
                <w:rFonts w:eastAsia="Times New Roman"/>
                <w:b/>
                <w:lang w:eastAsia="ru-RU"/>
              </w:rPr>
              <w:t xml:space="preserve">, </w:t>
            </w:r>
          </w:p>
          <w:p w14:paraId="36497A3B" w14:textId="6324A8D0" w:rsidR="00AA6B27" w:rsidRPr="00AA4E66" w:rsidRDefault="00AA4E66" w:rsidP="00AA4E66">
            <w:pPr>
              <w:spacing w:after="0" w:line="240" w:lineRule="auto"/>
              <w:jc w:val="center"/>
              <w:rPr>
                <w:rFonts w:eastAsia="Times New Roman"/>
                <w:b/>
                <w:lang w:eastAsia="ru-RU"/>
              </w:rPr>
            </w:pPr>
            <w:r w:rsidRPr="00AA4E66">
              <w:rPr>
                <w:rFonts w:eastAsia="Times New Roman"/>
                <w:b/>
                <w:lang w:eastAsia="ru-RU"/>
              </w:rPr>
              <w:t>ТППО</w:t>
            </w:r>
            <w:r w:rsidR="00AA6B27" w:rsidRPr="00AA4E66">
              <w:rPr>
                <w:rFonts w:eastAsia="Times New Roman"/>
                <w:b/>
                <w:lang w:eastAsia="ru-RU"/>
              </w:rPr>
              <w:t>,</w:t>
            </w:r>
            <w:r w:rsidRPr="00AA4E66">
              <w:rPr>
                <w:rFonts w:eastAsia="Times New Roman"/>
                <w:b/>
                <w:lang w:eastAsia="ru-RU"/>
              </w:rPr>
              <w:t xml:space="preserve">  </w:t>
            </w:r>
            <w:r w:rsidR="00AA6B27" w:rsidRPr="00AA4E66">
              <w:rPr>
                <w:rFonts w:eastAsia="Times New Roman"/>
                <w:b/>
                <w:lang w:eastAsia="ru-RU"/>
              </w:rPr>
              <w:t xml:space="preserve">25 мг, </w:t>
            </w:r>
            <w:r w:rsidR="00AA6B27" w:rsidRPr="00AA4E66">
              <w:rPr>
                <w:rFonts w:eastAsia="Times New Roman"/>
                <w:b/>
                <w:lang w:val="en-US" w:eastAsia="ru-RU"/>
              </w:rPr>
              <w:t>c</w:t>
            </w:r>
            <w:r w:rsidR="00AA6B27" w:rsidRPr="00AA4E66">
              <w:rPr>
                <w:rFonts w:eastAsia="Times New Roman"/>
                <w:b/>
                <w:lang w:eastAsia="ru-RU"/>
              </w:rPr>
              <w:t>. 007693</w:t>
            </w:r>
          </w:p>
        </w:tc>
      </w:tr>
      <w:tr w:rsidR="00AA6B27" w:rsidRPr="00AA4E66" w14:paraId="5536576D" w14:textId="77777777" w:rsidTr="00AA6B27">
        <w:trPr>
          <w:trHeight w:val="205"/>
        </w:trPr>
        <w:tc>
          <w:tcPr>
            <w:tcW w:w="2398" w:type="dxa"/>
            <w:tcBorders>
              <w:left w:val="single" w:sz="8" w:space="0" w:color="000000"/>
              <w:bottom w:val="single" w:sz="8" w:space="0" w:color="000000"/>
              <w:right w:val="single" w:sz="8" w:space="0" w:color="auto"/>
            </w:tcBorders>
            <w:vAlign w:val="center"/>
          </w:tcPr>
          <w:p w14:paraId="0E40CEC5" w14:textId="77777777" w:rsidR="00AA6B27" w:rsidRPr="00AA4E66" w:rsidRDefault="00AA6B27" w:rsidP="00AA4E66">
            <w:pPr>
              <w:spacing w:after="0" w:line="240" w:lineRule="auto"/>
              <w:jc w:val="left"/>
              <w:rPr>
                <w:rFonts w:eastAsia="Times New Roman"/>
                <w:color w:val="000000"/>
                <w:lang w:eastAsia="ru-RU"/>
              </w:rPr>
            </w:pPr>
            <w:r w:rsidRPr="00AA4E66">
              <w:rPr>
                <w:rFonts w:eastAsia="Times New Roman"/>
                <w:color w:val="000000"/>
                <w:lang w:eastAsia="ru-RU"/>
              </w:rPr>
              <w:t>0,05 М фосфатный</w:t>
            </w:r>
          </w:p>
          <w:p w14:paraId="67491629" w14:textId="77777777" w:rsidR="00AA6B27" w:rsidRPr="00AA4E66" w:rsidRDefault="00AA6B27" w:rsidP="00AA4E66">
            <w:pPr>
              <w:spacing w:after="0" w:line="240" w:lineRule="auto"/>
              <w:jc w:val="left"/>
              <w:rPr>
                <w:rFonts w:eastAsia="Times New Roman"/>
                <w:color w:val="000000"/>
                <w:lang w:eastAsia="ru-RU"/>
              </w:rPr>
            </w:pPr>
            <w:r w:rsidRPr="00AA4E66">
              <w:rPr>
                <w:rFonts w:eastAsia="Times New Roman"/>
                <w:color w:val="000000"/>
                <w:lang w:eastAsia="ru-RU"/>
              </w:rPr>
              <w:t>буферный раствор рН 6,8</w:t>
            </w:r>
          </w:p>
        </w:tc>
        <w:tc>
          <w:tcPr>
            <w:tcW w:w="857" w:type="dxa"/>
            <w:tcBorders>
              <w:left w:val="single" w:sz="8" w:space="0" w:color="auto"/>
              <w:bottom w:val="single" w:sz="8" w:space="0" w:color="000000"/>
              <w:right w:val="single" w:sz="8" w:space="0" w:color="auto"/>
            </w:tcBorders>
            <w:vAlign w:val="center"/>
          </w:tcPr>
          <w:p w14:paraId="79E3FE61"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3AA2C720"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11BDE215"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3C96EFBC"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0577CA4E"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5F98BEFE"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45</w:t>
            </w:r>
          </w:p>
        </w:tc>
        <w:tc>
          <w:tcPr>
            <w:tcW w:w="2974" w:type="dxa"/>
            <w:tcBorders>
              <w:top w:val="single" w:sz="4" w:space="0" w:color="auto"/>
              <w:left w:val="single" w:sz="8" w:space="0" w:color="auto"/>
              <w:bottom w:val="single" w:sz="4" w:space="0" w:color="auto"/>
              <w:right w:val="single" w:sz="8" w:space="0" w:color="auto"/>
            </w:tcBorders>
            <w:vAlign w:val="center"/>
          </w:tcPr>
          <w:p w14:paraId="01E3FA02"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91,1</w:t>
            </w:r>
          </w:p>
          <w:p w14:paraId="21FAC923"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95,4</w:t>
            </w:r>
          </w:p>
          <w:p w14:paraId="2D031637"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97,4</w:t>
            </w:r>
          </w:p>
          <w:p w14:paraId="6A7805EF"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98,5</w:t>
            </w:r>
          </w:p>
          <w:p w14:paraId="19888661"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98,8</w:t>
            </w:r>
          </w:p>
          <w:p w14:paraId="259807F0"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98,9</w:t>
            </w:r>
          </w:p>
        </w:tc>
        <w:tc>
          <w:tcPr>
            <w:tcW w:w="3117" w:type="dxa"/>
            <w:tcBorders>
              <w:top w:val="single" w:sz="4" w:space="0" w:color="auto"/>
              <w:left w:val="single" w:sz="8" w:space="0" w:color="auto"/>
              <w:bottom w:val="single" w:sz="8" w:space="0" w:color="000000"/>
              <w:right w:val="single" w:sz="4" w:space="0" w:color="auto"/>
            </w:tcBorders>
            <w:vAlign w:val="center"/>
          </w:tcPr>
          <w:p w14:paraId="54754DB7"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88,6</w:t>
            </w:r>
          </w:p>
          <w:p w14:paraId="333342EB"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99,7</w:t>
            </w:r>
          </w:p>
          <w:p w14:paraId="509AF841"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101,1</w:t>
            </w:r>
          </w:p>
          <w:p w14:paraId="6432A902"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101,2</w:t>
            </w:r>
          </w:p>
          <w:p w14:paraId="068A91F0"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101,9</w:t>
            </w:r>
          </w:p>
          <w:p w14:paraId="0D0D605C"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101,3</w:t>
            </w:r>
          </w:p>
        </w:tc>
      </w:tr>
      <w:tr w:rsidR="00AA6B27" w:rsidRPr="00AA4E66" w14:paraId="4CF94689" w14:textId="77777777" w:rsidTr="00AA6B27">
        <w:trPr>
          <w:trHeight w:val="454"/>
        </w:trPr>
        <w:tc>
          <w:tcPr>
            <w:tcW w:w="3255" w:type="dxa"/>
            <w:gridSpan w:val="2"/>
            <w:tcBorders>
              <w:left w:val="single" w:sz="8" w:space="0" w:color="000000"/>
              <w:bottom w:val="single" w:sz="8" w:space="0" w:color="000000"/>
              <w:right w:val="single" w:sz="8" w:space="0" w:color="auto"/>
            </w:tcBorders>
            <w:vAlign w:val="center"/>
          </w:tcPr>
          <w:p w14:paraId="20C4DEAB" w14:textId="77777777" w:rsidR="00AA6B27" w:rsidRPr="00AA4E66" w:rsidRDefault="00AA6B27" w:rsidP="00AA4E66">
            <w:pPr>
              <w:spacing w:after="0" w:line="240" w:lineRule="auto"/>
              <w:ind w:firstLine="29"/>
              <w:jc w:val="left"/>
              <w:rPr>
                <w:rFonts w:eastAsia="Times New Roman"/>
                <w:b/>
                <w:bCs/>
                <w:color w:val="000000"/>
                <w:lang w:eastAsia="ru-RU"/>
              </w:rPr>
            </w:pPr>
            <w:r w:rsidRPr="00AA4E66">
              <w:rPr>
                <w:rFonts w:eastAsia="Times New Roman"/>
                <w:b/>
                <w:i/>
                <w:color w:val="000000"/>
                <w:lang w:eastAsia="ru-RU"/>
              </w:rPr>
              <w:lastRenderedPageBreak/>
              <w:t>фактор подобия f2 </w:t>
            </w:r>
          </w:p>
        </w:tc>
        <w:tc>
          <w:tcPr>
            <w:tcW w:w="2974" w:type="dxa"/>
            <w:tcBorders>
              <w:top w:val="single" w:sz="4" w:space="0" w:color="auto"/>
              <w:left w:val="single" w:sz="8" w:space="0" w:color="auto"/>
              <w:bottom w:val="single" w:sz="4" w:space="0" w:color="auto"/>
              <w:right w:val="single" w:sz="8" w:space="0" w:color="auto"/>
            </w:tcBorders>
            <w:vAlign w:val="center"/>
          </w:tcPr>
          <w:p w14:paraId="3B9F1971" w14:textId="77777777" w:rsidR="00AA6B27" w:rsidRPr="00AA4E66" w:rsidRDefault="00AA6B27" w:rsidP="00AA4E66">
            <w:pPr>
              <w:spacing w:after="0" w:line="240" w:lineRule="auto"/>
              <w:jc w:val="center"/>
              <w:rPr>
                <w:rFonts w:eastAsia="Times New Roman"/>
                <w:b/>
                <w:bCs/>
                <w:i/>
                <w:color w:val="000000"/>
                <w:lang w:eastAsia="ru-RU"/>
              </w:rPr>
            </w:pPr>
            <w:r w:rsidRPr="00AA4E66">
              <w:rPr>
                <w:rFonts w:eastAsia="Times New Roman"/>
                <w:bCs/>
                <w:i/>
                <w:color w:val="000000"/>
                <w:lang w:eastAsia="ru-RU"/>
              </w:rPr>
              <w:t>Подобно без математической обработки</w:t>
            </w:r>
          </w:p>
        </w:tc>
        <w:tc>
          <w:tcPr>
            <w:tcW w:w="3117" w:type="dxa"/>
            <w:tcBorders>
              <w:top w:val="single" w:sz="4" w:space="0" w:color="auto"/>
              <w:left w:val="single" w:sz="8" w:space="0" w:color="auto"/>
              <w:bottom w:val="single" w:sz="8" w:space="0" w:color="000000"/>
              <w:right w:val="single" w:sz="4" w:space="0" w:color="auto"/>
            </w:tcBorders>
            <w:vAlign w:val="center"/>
          </w:tcPr>
          <w:p w14:paraId="619FDD4A"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w:t>
            </w:r>
          </w:p>
        </w:tc>
      </w:tr>
      <w:tr w:rsidR="00AA6B27" w:rsidRPr="00AA4E66" w14:paraId="01A18CBF" w14:textId="77777777" w:rsidTr="00AA6B27">
        <w:trPr>
          <w:trHeight w:val="1070"/>
        </w:trPr>
        <w:tc>
          <w:tcPr>
            <w:tcW w:w="2398" w:type="dxa"/>
            <w:tcBorders>
              <w:left w:val="single" w:sz="8" w:space="0" w:color="000000"/>
              <w:bottom w:val="single" w:sz="8" w:space="0" w:color="000000"/>
              <w:right w:val="single" w:sz="8" w:space="0" w:color="auto"/>
            </w:tcBorders>
            <w:vAlign w:val="center"/>
          </w:tcPr>
          <w:p w14:paraId="1213C9C4" w14:textId="77777777" w:rsidR="00AA6B27" w:rsidRPr="00AA4E66" w:rsidRDefault="00AA6B27" w:rsidP="00AA4E66">
            <w:pPr>
              <w:spacing w:after="0" w:line="240" w:lineRule="auto"/>
              <w:jc w:val="left"/>
              <w:rPr>
                <w:rFonts w:eastAsia="Times New Roman"/>
                <w:color w:val="000000"/>
                <w:lang w:eastAsia="ru-RU"/>
              </w:rPr>
            </w:pPr>
            <w:r w:rsidRPr="00AA4E66">
              <w:rPr>
                <w:rFonts w:eastAsia="Times New Roman"/>
                <w:color w:val="000000"/>
                <w:lang w:eastAsia="ru-RU"/>
              </w:rPr>
              <w:t xml:space="preserve">Буферный раствор </w:t>
            </w:r>
          </w:p>
          <w:p w14:paraId="1C302F6F" w14:textId="77777777" w:rsidR="00AA6B27" w:rsidRPr="00AA4E66" w:rsidRDefault="00AA6B27" w:rsidP="00AA4E66">
            <w:pPr>
              <w:spacing w:after="0" w:line="240" w:lineRule="auto"/>
              <w:jc w:val="left"/>
              <w:rPr>
                <w:rFonts w:eastAsia="Times New Roman"/>
                <w:b/>
                <w:bCs/>
                <w:color w:val="000000"/>
                <w:lang w:eastAsia="ru-RU"/>
              </w:rPr>
            </w:pPr>
            <w:r w:rsidRPr="00AA4E66">
              <w:rPr>
                <w:rFonts w:eastAsia="Times New Roman"/>
                <w:color w:val="000000"/>
                <w:lang w:eastAsia="ru-RU"/>
              </w:rPr>
              <w:t>рН 1,2</w:t>
            </w:r>
          </w:p>
        </w:tc>
        <w:tc>
          <w:tcPr>
            <w:tcW w:w="857" w:type="dxa"/>
            <w:tcBorders>
              <w:left w:val="single" w:sz="8" w:space="0" w:color="auto"/>
              <w:bottom w:val="single" w:sz="8" w:space="0" w:color="000000"/>
              <w:right w:val="single" w:sz="8" w:space="0" w:color="auto"/>
            </w:tcBorders>
            <w:vAlign w:val="center"/>
          </w:tcPr>
          <w:p w14:paraId="7F9876E2"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1715B9D6"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3786F26D"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4F0F1577"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10B75638"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6473499B"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45</w:t>
            </w:r>
          </w:p>
        </w:tc>
        <w:tc>
          <w:tcPr>
            <w:tcW w:w="2974" w:type="dxa"/>
            <w:tcBorders>
              <w:top w:val="single" w:sz="4" w:space="0" w:color="auto"/>
              <w:left w:val="single" w:sz="8" w:space="0" w:color="auto"/>
              <w:bottom w:val="single" w:sz="4" w:space="0" w:color="auto"/>
              <w:right w:val="single" w:sz="8" w:space="0" w:color="auto"/>
            </w:tcBorders>
            <w:vAlign w:val="center"/>
          </w:tcPr>
          <w:p w14:paraId="35DBA00B"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93,4</w:t>
            </w:r>
          </w:p>
          <w:p w14:paraId="45978C94"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96,7</w:t>
            </w:r>
          </w:p>
          <w:p w14:paraId="61F8E7A6"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98,1</w:t>
            </w:r>
          </w:p>
          <w:p w14:paraId="24DBBC00"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99,5</w:t>
            </w:r>
          </w:p>
          <w:p w14:paraId="1CC806AC"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99,0</w:t>
            </w:r>
          </w:p>
          <w:p w14:paraId="40B4B094"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98,7</w:t>
            </w:r>
          </w:p>
        </w:tc>
        <w:tc>
          <w:tcPr>
            <w:tcW w:w="3117" w:type="dxa"/>
            <w:tcBorders>
              <w:top w:val="single" w:sz="4" w:space="0" w:color="auto"/>
              <w:left w:val="single" w:sz="8" w:space="0" w:color="auto"/>
              <w:bottom w:val="single" w:sz="8" w:space="0" w:color="000000"/>
              <w:right w:val="single" w:sz="4" w:space="0" w:color="auto"/>
            </w:tcBorders>
            <w:vAlign w:val="center"/>
          </w:tcPr>
          <w:p w14:paraId="6EE6EB2A"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87,5</w:t>
            </w:r>
          </w:p>
          <w:p w14:paraId="2BD89C73"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96,0</w:t>
            </w:r>
          </w:p>
          <w:p w14:paraId="2FF6BAB9"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98,5</w:t>
            </w:r>
          </w:p>
          <w:p w14:paraId="276627F8"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99,8</w:t>
            </w:r>
          </w:p>
          <w:p w14:paraId="151829FE"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99,0</w:t>
            </w:r>
          </w:p>
          <w:p w14:paraId="5B0FA108"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98,6</w:t>
            </w:r>
          </w:p>
        </w:tc>
      </w:tr>
      <w:tr w:rsidR="00AA6B27" w:rsidRPr="00AA4E66" w14:paraId="7DDC7F89" w14:textId="77777777" w:rsidTr="00AA6B27">
        <w:trPr>
          <w:trHeight w:val="454"/>
        </w:trPr>
        <w:tc>
          <w:tcPr>
            <w:tcW w:w="3255" w:type="dxa"/>
            <w:gridSpan w:val="2"/>
            <w:tcBorders>
              <w:left w:val="single" w:sz="8" w:space="0" w:color="000000"/>
              <w:bottom w:val="single" w:sz="8" w:space="0" w:color="000000"/>
              <w:right w:val="single" w:sz="8" w:space="0" w:color="auto"/>
            </w:tcBorders>
            <w:vAlign w:val="center"/>
          </w:tcPr>
          <w:p w14:paraId="2DA130E3" w14:textId="77777777" w:rsidR="00AA6B27" w:rsidRPr="00AA4E66" w:rsidRDefault="00AA6B27" w:rsidP="00AA4E66">
            <w:pPr>
              <w:spacing w:after="0" w:line="240" w:lineRule="auto"/>
              <w:jc w:val="left"/>
              <w:rPr>
                <w:rFonts w:eastAsia="Times New Roman"/>
                <w:b/>
                <w:bCs/>
                <w:color w:val="000000"/>
                <w:lang w:eastAsia="ru-RU"/>
              </w:rPr>
            </w:pPr>
            <w:r w:rsidRPr="00AA4E66">
              <w:rPr>
                <w:rFonts w:eastAsia="Times New Roman"/>
                <w:b/>
                <w:i/>
                <w:color w:val="000000"/>
                <w:lang w:eastAsia="ru-RU"/>
              </w:rPr>
              <w:t>фактор подобия f2 </w:t>
            </w:r>
          </w:p>
        </w:tc>
        <w:tc>
          <w:tcPr>
            <w:tcW w:w="2974" w:type="dxa"/>
            <w:tcBorders>
              <w:top w:val="single" w:sz="4" w:space="0" w:color="auto"/>
              <w:left w:val="single" w:sz="8" w:space="0" w:color="auto"/>
              <w:bottom w:val="single" w:sz="4" w:space="0" w:color="auto"/>
              <w:right w:val="single" w:sz="8" w:space="0" w:color="auto"/>
            </w:tcBorders>
            <w:vAlign w:val="center"/>
          </w:tcPr>
          <w:p w14:paraId="1BDD4278" w14:textId="77777777" w:rsidR="00AA6B27" w:rsidRPr="00AA4E66" w:rsidRDefault="00AA6B27" w:rsidP="00AA4E66">
            <w:pPr>
              <w:spacing w:after="0" w:line="240" w:lineRule="auto"/>
              <w:jc w:val="center"/>
              <w:rPr>
                <w:rFonts w:eastAsia="Times New Roman"/>
                <w:b/>
                <w:bCs/>
                <w:i/>
                <w:color w:val="000000"/>
                <w:lang w:eastAsia="ru-RU"/>
              </w:rPr>
            </w:pPr>
            <w:r w:rsidRPr="00AA4E66">
              <w:rPr>
                <w:rFonts w:eastAsia="Times New Roman"/>
                <w:bCs/>
                <w:i/>
                <w:color w:val="000000"/>
                <w:lang w:eastAsia="ru-RU"/>
              </w:rPr>
              <w:t>Подобно без математической обработки</w:t>
            </w:r>
          </w:p>
        </w:tc>
        <w:tc>
          <w:tcPr>
            <w:tcW w:w="3117" w:type="dxa"/>
            <w:tcBorders>
              <w:top w:val="single" w:sz="4" w:space="0" w:color="auto"/>
              <w:left w:val="single" w:sz="8" w:space="0" w:color="auto"/>
              <w:bottom w:val="single" w:sz="8" w:space="0" w:color="000000"/>
              <w:right w:val="single" w:sz="4" w:space="0" w:color="auto"/>
            </w:tcBorders>
            <w:vAlign w:val="center"/>
          </w:tcPr>
          <w:p w14:paraId="124BB7F2" w14:textId="77777777" w:rsidR="00AA6B27" w:rsidRPr="00AA4E66" w:rsidRDefault="00AA6B27" w:rsidP="00AA4E66">
            <w:pPr>
              <w:spacing w:after="0" w:line="240" w:lineRule="auto"/>
              <w:jc w:val="center"/>
              <w:rPr>
                <w:rFonts w:eastAsia="Times New Roman"/>
                <w:lang w:eastAsia="ru-RU"/>
              </w:rPr>
            </w:pPr>
            <w:r w:rsidRPr="00AA4E66">
              <w:rPr>
                <w:rFonts w:eastAsia="Times New Roman"/>
                <w:lang w:eastAsia="ru-RU"/>
              </w:rPr>
              <w:t>-</w:t>
            </w:r>
          </w:p>
        </w:tc>
      </w:tr>
      <w:tr w:rsidR="00AA6B27" w:rsidRPr="00AA4E66" w14:paraId="2D556BD6" w14:textId="77777777" w:rsidTr="00AA6B27">
        <w:trPr>
          <w:trHeight w:val="1166"/>
        </w:trPr>
        <w:tc>
          <w:tcPr>
            <w:tcW w:w="2398" w:type="dxa"/>
            <w:tcBorders>
              <w:top w:val="single" w:sz="4" w:space="0" w:color="auto"/>
              <w:left w:val="single" w:sz="8" w:space="0" w:color="000000"/>
              <w:bottom w:val="single" w:sz="8" w:space="0" w:color="auto"/>
              <w:right w:val="single" w:sz="8" w:space="0" w:color="auto"/>
            </w:tcBorders>
            <w:vAlign w:val="center"/>
          </w:tcPr>
          <w:p w14:paraId="0F15B14E" w14:textId="77777777" w:rsidR="00AA6B27" w:rsidRPr="00AA4E66" w:rsidRDefault="00AA6B27" w:rsidP="00AA4E66">
            <w:pPr>
              <w:spacing w:after="0" w:line="240" w:lineRule="auto"/>
              <w:jc w:val="left"/>
              <w:rPr>
                <w:rFonts w:eastAsia="Times New Roman"/>
                <w:color w:val="000000"/>
                <w:lang w:eastAsia="ru-RU"/>
              </w:rPr>
            </w:pPr>
            <w:r w:rsidRPr="00AA4E66">
              <w:rPr>
                <w:rFonts w:eastAsia="Times New Roman"/>
                <w:color w:val="000000"/>
                <w:lang w:eastAsia="ru-RU"/>
              </w:rPr>
              <w:t>Ацетатный буферный раствор рН 4,5</w:t>
            </w:r>
          </w:p>
        </w:tc>
        <w:tc>
          <w:tcPr>
            <w:tcW w:w="857" w:type="dxa"/>
            <w:tcBorders>
              <w:top w:val="single" w:sz="4" w:space="0" w:color="auto"/>
              <w:left w:val="nil"/>
              <w:bottom w:val="single" w:sz="8" w:space="0" w:color="auto"/>
              <w:right w:val="single" w:sz="8" w:space="0" w:color="auto"/>
            </w:tcBorders>
            <w:vAlign w:val="center"/>
          </w:tcPr>
          <w:p w14:paraId="4E3FC93D"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00180314"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343AC88B"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4E2C51C4"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1549A871"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45CFC188"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bCs/>
                <w:color w:val="000000"/>
                <w:lang w:eastAsia="ru-RU"/>
              </w:rPr>
              <w:t>45</w:t>
            </w:r>
          </w:p>
        </w:tc>
        <w:tc>
          <w:tcPr>
            <w:tcW w:w="2974" w:type="dxa"/>
            <w:tcBorders>
              <w:top w:val="single" w:sz="4" w:space="0" w:color="auto"/>
              <w:left w:val="nil"/>
              <w:bottom w:val="single" w:sz="8" w:space="0" w:color="auto"/>
              <w:right w:val="single" w:sz="8" w:space="0" w:color="auto"/>
            </w:tcBorders>
            <w:vAlign w:val="center"/>
          </w:tcPr>
          <w:p w14:paraId="4E404703"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85,1</w:t>
            </w:r>
          </w:p>
          <w:p w14:paraId="12F1184E"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92,3</w:t>
            </w:r>
          </w:p>
          <w:p w14:paraId="463E367C"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96,0</w:t>
            </w:r>
          </w:p>
          <w:p w14:paraId="5BBD1E31"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97,4</w:t>
            </w:r>
          </w:p>
          <w:p w14:paraId="013C3444"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98,1</w:t>
            </w:r>
          </w:p>
          <w:p w14:paraId="7DADCED8"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97,9</w:t>
            </w:r>
          </w:p>
        </w:tc>
        <w:tc>
          <w:tcPr>
            <w:tcW w:w="3117" w:type="dxa"/>
            <w:tcBorders>
              <w:top w:val="single" w:sz="4" w:space="0" w:color="auto"/>
              <w:left w:val="nil"/>
              <w:bottom w:val="single" w:sz="8" w:space="0" w:color="auto"/>
              <w:right w:val="single" w:sz="4" w:space="0" w:color="auto"/>
            </w:tcBorders>
            <w:vAlign w:val="center"/>
          </w:tcPr>
          <w:p w14:paraId="0FE532E1"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88,4</w:t>
            </w:r>
          </w:p>
          <w:p w14:paraId="66DD8ADF"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95,1</w:t>
            </w:r>
          </w:p>
          <w:p w14:paraId="5C25827F"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98,8</w:t>
            </w:r>
          </w:p>
          <w:p w14:paraId="260C3B26"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99,2</w:t>
            </w:r>
          </w:p>
          <w:p w14:paraId="3E45E1B1"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99,5</w:t>
            </w:r>
          </w:p>
          <w:p w14:paraId="19F028AE"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99,4</w:t>
            </w:r>
          </w:p>
        </w:tc>
      </w:tr>
      <w:tr w:rsidR="00AA6B27" w:rsidRPr="00AA4E66" w14:paraId="36099EED" w14:textId="77777777" w:rsidTr="00AA6B27">
        <w:trPr>
          <w:trHeight w:val="454"/>
        </w:trPr>
        <w:tc>
          <w:tcPr>
            <w:tcW w:w="3255" w:type="dxa"/>
            <w:gridSpan w:val="2"/>
            <w:tcBorders>
              <w:top w:val="nil"/>
              <w:left w:val="single" w:sz="8" w:space="0" w:color="000000"/>
              <w:bottom w:val="single" w:sz="8" w:space="0" w:color="auto"/>
              <w:right w:val="single" w:sz="8" w:space="0" w:color="auto"/>
            </w:tcBorders>
            <w:vAlign w:val="center"/>
          </w:tcPr>
          <w:p w14:paraId="4116B54D" w14:textId="77777777" w:rsidR="00AA6B27" w:rsidRPr="00AA4E66" w:rsidRDefault="00AA6B27" w:rsidP="00AA4E66">
            <w:pPr>
              <w:spacing w:after="0" w:line="240" w:lineRule="auto"/>
              <w:jc w:val="left"/>
              <w:rPr>
                <w:rFonts w:eastAsia="Times New Roman"/>
                <w:color w:val="000000"/>
                <w:lang w:eastAsia="ru-RU"/>
              </w:rPr>
            </w:pPr>
            <w:r w:rsidRPr="00AA4E66">
              <w:rPr>
                <w:rFonts w:eastAsia="Times New Roman"/>
                <w:b/>
                <w:i/>
                <w:color w:val="000000"/>
                <w:lang w:eastAsia="ru-RU"/>
              </w:rPr>
              <w:t>фактор подобия f2</w:t>
            </w:r>
          </w:p>
        </w:tc>
        <w:tc>
          <w:tcPr>
            <w:tcW w:w="2974" w:type="dxa"/>
            <w:tcBorders>
              <w:top w:val="nil"/>
              <w:left w:val="nil"/>
              <w:bottom w:val="single" w:sz="8" w:space="0" w:color="auto"/>
              <w:right w:val="single" w:sz="8" w:space="0" w:color="auto"/>
            </w:tcBorders>
            <w:vAlign w:val="center"/>
          </w:tcPr>
          <w:p w14:paraId="1F362C88" w14:textId="77777777" w:rsidR="00AA6B27" w:rsidRPr="00AA4E66" w:rsidRDefault="00AA6B27" w:rsidP="00AA4E66">
            <w:pPr>
              <w:spacing w:after="0" w:line="240" w:lineRule="auto"/>
              <w:jc w:val="center"/>
              <w:rPr>
                <w:rFonts w:eastAsia="Times New Roman"/>
                <w:b/>
                <w:i/>
                <w:lang w:eastAsia="ru-RU"/>
              </w:rPr>
            </w:pPr>
            <w:r w:rsidRPr="00AA4E66">
              <w:rPr>
                <w:rFonts w:eastAsia="Times New Roman"/>
                <w:bCs/>
                <w:i/>
                <w:color w:val="000000"/>
                <w:lang w:eastAsia="ru-RU"/>
              </w:rPr>
              <w:t>Подобно без математической обработки</w:t>
            </w:r>
          </w:p>
        </w:tc>
        <w:tc>
          <w:tcPr>
            <w:tcW w:w="3117" w:type="dxa"/>
            <w:tcBorders>
              <w:top w:val="nil"/>
              <w:left w:val="nil"/>
              <w:bottom w:val="single" w:sz="8" w:space="0" w:color="auto"/>
              <w:right w:val="single" w:sz="4" w:space="0" w:color="auto"/>
            </w:tcBorders>
            <w:vAlign w:val="center"/>
          </w:tcPr>
          <w:p w14:paraId="7C5723E9"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w:t>
            </w:r>
          </w:p>
        </w:tc>
      </w:tr>
      <w:tr w:rsidR="00AA6B27" w:rsidRPr="00AA4E66" w14:paraId="1FF387E3" w14:textId="77777777" w:rsidTr="00AA6B27">
        <w:trPr>
          <w:trHeight w:val="1234"/>
        </w:trPr>
        <w:tc>
          <w:tcPr>
            <w:tcW w:w="2398" w:type="dxa"/>
            <w:tcBorders>
              <w:top w:val="nil"/>
              <w:left w:val="single" w:sz="8" w:space="0" w:color="000000"/>
              <w:bottom w:val="single" w:sz="8" w:space="0" w:color="auto"/>
              <w:right w:val="single" w:sz="8" w:space="0" w:color="auto"/>
            </w:tcBorders>
            <w:vAlign w:val="center"/>
            <w:hideMark/>
          </w:tcPr>
          <w:p w14:paraId="2A22B88D" w14:textId="77777777" w:rsidR="00AA6B27" w:rsidRPr="00AA4E66" w:rsidRDefault="00AA6B27" w:rsidP="00AA4E66">
            <w:pPr>
              <w:spacing w:after="0" w:line="240" w:lineRule="auto"/>
              <w:rPr>
                <w:rFonts w:eastAsia="Times New Roman"/>
                <w:color w:val="000000"/>
                <w:lang w:eastAsia="ru-RU"/>
              </w:rPr>
            </w:pPr>
            <w:r w:rsidRPr="00AA4E66">
              <w:rPr>
                <w:rFonts w:eastAsia="Times New Roman"/>
                <w:color w:val="000000"/>
                <w:lang w:eastAsia="ru-RU"/>
              </w:rPr>
              <w:t>Фосфатный буферный раствор рН 6,8</w:t>
            </w:r>
          </w:p>
        </w:tc>
        <w:tc>
          <w:tcPr>
            <w:tcW w:w="857" w:type="dxa"/>
            <w:tcBorders>
              <w:top w:val="nil"/>
              <w:left w:val="nil"/>
              <w:bottom w:val="single" w:sz="8" w:space="0" w:color="auto"/>
              <w:right w:val="single" w:sz="8" w:space="0" w:color="auto"/>
            </w:tcBorders>
            <w:vAlign w:val="center"/>
          </w:tcPr>
          <w:p w14:paraId="110EB385"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5</w:t>
            </w:r>
          </w:p>
          <w:p w14:paraId="7C09B4ED"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10</w:t>
            </w:r>
          </w:p>
          <w:p w14:paraId="1B6EF078"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15</w:t>
            </w:r>
          </w:p>
          <w:p w14:paraId="0A0BF58D"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20</w:t>
            </w:r>
          </w:p>
          <w:p w14:paraId="07D7E06B" w14:textId="77777777" w:rsidR="00AA6B27" w:rsidRPr="00AA4E66" w:rsidRDefault="00AA6B27" w:rsidP="00AA4E66">
            <w:pPr>
              <w:spacing w:after="0" w:line="240" w:lineRule="auto"/>
              <w:jc w:val="center"/>
              <w:rPr>
                <w:rFonts w:eastAsia="Times New Roman"/>
                <w:bCs/>
                <w:color w:val="000000"/>
                <w:lang w:eastAsia="ru-RU"/>
              </w:rPr>
            </w:pPr>
            <w:r w:rsidRPr="00AA4E66">
              <w:rPr>
                <w:rFonts w:eastAsia="Times New Roman"/>
                <w:bCs/>
                <w:color w:val="000000"/>
                <w:lang w:eastAsia="ru-RU"/>
              </w:rPr>
              <w:t>30</w:t>
            </w:r>
          </w:p>
          <w:p w14:paraId="7FC91334"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bCs/>
                <w:color w:val="000000"/>
                <w:lang w:eastAsia="ru-RU"/>
              </w:rPr>
              <w:t>45</w:t>
            </w:r>
          </w:p>
        </w:tc>
        <w:tc>
          <w:tcPr>
            <w:tcW w:w="2974" w:type="dxa"/>
            <w:tcBorders>
              <w:top w:val="nil"/>
              <w:left w:val="nil"/>
              <w:bottom w:val="single" w:sz="8" w:space="0" w:color="auto"/>
              <w:right w:val="single" w:sz="8" w:space="0" w:color="auto"/>
            </w:tcBorders>
            <w:vAlign w:val="center"/>
          </w:tcPr>
          <w:p w14:paraId="5FF2A3C8"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87,8</w:t>
            </w:r>
          </w:p>
          <w:p w14:paraId="7A820D17"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90,4</w:t>
            </w:r>
          </w:p>
          <w:p w14:paraId="6A3D1899"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93,3</w:t>
            </w:r>
          </w:p>
          <w:p w14:paraId="44E59F7E"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97,8</w:t>
            </w:r>
          </w:p>
          <w:p w14:paraId="38246C8E"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99,5</w:t>
            </w:r>
          </w:p>
          <w:p w14:paraId="68655DDF"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99,5</w:t>
            </w:r>
          </w:p>
        </w:tc>
        <w:tc>
          <w:tcPr>
            <w:tcW w:w="3117" w:type="dxa"/>
            <w:tcBorders>
              <w:top w:val="nil"/>
              <w:left w:val="nil"/>
              <w:bottom w:val="single" w:sz="8" w:space="0" w:color="auto"/>
              <w:right w:val="single" w:sz="4" w:space="0" w:color="auto"/>
            </w:tcBorders>
            <w:vAlign w:val="center"/>
          </w:tcPr>
          <w:p w14:paraId="13CF2F7F"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84,9</w:t>
            </w:r>
          </w:p>
          <w:p w14:paraId="0E5DDBCE"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95,8</w:t>
            </w:r>
          </w:p>
          <w:p w14:paraId="41C617F2"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99,6</w:t>
            </w:r>
          </w:p>
          <w:p w14:paraId="67917BE6"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101,3</w:t>
            </w:r>
          </w:p>
          <w:p w14:paraId="534B105A"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100,9</w:t>
            </w:r>
          </w:p>
          <w:p w14:paraId="01BF38D2" w14:textId="77777777" w:rsidR="00AA6B27" w:rsidRPr="00AA4E66" w:rsidRDefault="00AA6B27" w:rsidP="00AA4E66">
            <w:pPr>
              <w:spacing w:after="0" w:line="240" w:lineRule="auto"/>
              <w:jc w:val="center"/>
              <w:rPr>
                <w:rFonts w:eastAsia="Times New Roman"/>
                <w:color w:val="000000"/>
                <w:lang w:eastAsia="ru-RU"/>
              </w:rPr>
            </w:pPr>
            <w:r w:rsidRPr="00AA4E66">
              <w:rPr>
                <w:rFonts w:eastAsia="Times New Roman"/>
                <w:color w:val="000000"/>
                <w:lang w:eastAsia="ru-RU"/>
              </w:rPr>
              <w:t>100,5</w:t>
            </w:r>
          </w:p>
        </w:tc>
      </w:tr>
      <w:tr w:rsidR="00AA6B27" w:rsidRPr="00AA4E66" w14:paraId="15A5FF72" w14:textId="77777777" w:rsidTr="00AA6B27">
        <w:trPr>
          <w:trHeight w:val="454"/>
        </w:trPr>
        <w:tc>
          <w:tcPr>
            <w:tcW w:w="3255" w:type="dxa"/>
            <w:gridSpan w:val="2"/>
            <w:tcBorders>
              <w:top w:val="nil"/>
              <w:left w:val="single" w:sz="8" w:space="0" w:color="000000"/>
              <w:bottom w:val="single" w:sz="8" w:space="0" w:color="auto"/>
              <w:right w:val="single" w:sz="8" w:space="0" w:color="auto"/>
            </w:tcBorders>
            <w:vAlign w:val="center"/>
            <w:hideMark/>
          </w:tcPr>
          <w:p w14:paraId="5CB0E0C3" w14:textId="77777777" w:rsidR="00AA6B27" w:rsidRPr="00AA4E66" w:rsidRDefault="00AA6B27" w:rsidP="00AA4E66">
            <w:pPr>
              <w:spacing w:after="0" w:line="240" w:lineRule="auto"/>
              <w:jc w:val="left"/>
              <w:rPr>
                <w:rFonts w:eastAsia="Times New Roman"/>
                <w:b/>
                <w:i/>
                <w:color w:val="000000"/>
                <w:lang w:eastAsia="ru-RU"/>
              </w:rPr>
            </w:pPr>
            <w:r w:rsidRPr="00AA4E66">
              <w:rPr>
                <w:rFonts w:eastAsia="Times New Roman"/>
                <w:b/>
                <w:i/>
                <w:color w:val="000000"/>
                <w:lang w:eastAsia="ru-RU"/>
              </w:rPr>
              <w:t>фактор подобия f2 </w:t>
            </w:r>
          </w:p>
        </w:tc>
        <w:tc>
          <w:tcPr>
            <w:tcW w:w="2974" w:type="dxa"/>
            <w:tcBorders>
              <w:top w:val="nil"/>
              <w:left w:val="nil"/>
              <w:bottom w:val="single" w:sz="8" w:space="0" w:color="auto"/>
              <w:right w:val="single" w:sz="8" w:space="0" w:color="auto"/>
            </w:tcBorders>
            <w:vAlign w:val="center"/>
          </w:tcPr>
          <w:p w14:paraId="08AB8CC2" w14:textId="77777777" w:rsidR="00AA6B27" w:rsidRPr="00AA4E66" w:rsidRDefault="00AA6B27" w:rsidP="00AA4E66">
            <w:pPr>
              <w:spacing w:after="0" w:line="240" w:lineRule="auto"/>
              <w:jc w:val="center"/>
              <w:rPr>
                <w:rFonts w:eastAsia="Times New Roman"/>
                <w:b/>
                <w:i/>
                <w:lang w:eastAsia="ru-RU"/>
              </w:rPr>
            </w:pPr>
            <w:r w:rsidRPr="00AA4E66">
              <w:rPr>
                <w:rFonts w:eastAsia="Times New Roman"/>
                <w:bCs/>
                <w:i/>
                <w:color w:val="000000"/>
                <w:lang w:eastAsia="ru-RU"/>
              </w:rPr>
              <w:t>Подобно без математической обработки</w:t>
            </w:r>
          </w:p>
        </w:tc>
        <w:tc>
          <w:tcPr>
            <w:tcW w:w="3117" w:type="dxa"/>
            <w:tcBorders>
              <w:top w:val="nil"/>
              <w:left w:val="nil"/>
              <w:bottom w:val="single" w:sz="8" w:space="0" w:color="auto"/>
              <w:right w:val="single" w:sz="4" w:space="0" w:color="auto"/>
            </w:tcBorders>
            <w:vAlign w:val="center"/>
          </w:tcPr>
          <w:p w14:paraId="3843A1E1" w14:textId="77777777" w:rsidR="00AA6B27" w:rsidRPr="00AA4E66" w:rsidRDefault="00AA6B27" w:rsidP="00AA4E66">
            <w:pPr>
              <w:spacing w:after="0" w:line="240" w:lineRule="auto"/>
              <w:jc w:val="center"/>
              <w:rPr>
                <w:rFonts w:eastAsia="Times New Roman"/>
                <w:b/>
                <w:i/>
                <w:lang w:eastAsia="ru-RU"/>
              </w:rPr>
            </w:pPr>
            <w:r w:rsidRPr="00AA4E66">
              <w:rPr>
                <w:rFonts w:eastAsia="Times New Roman"/>
                <w:b/>
                <w:i/>
                <w:lang w:eastAsia="ru-RU"/>
              </w:rPr>
              <w:t>-</w:t>
            </w:r>
          </w:p>
        </w:tc>
      </w:tr>
    </w:tbl>
    <w:p w14:paraId="7B1E5996" w14:textId="36B24343" w:rsidR="00DA71B3" w:rsidRDefault="00DA71B3" w:rsidP="004661B9">
      <w:pPr>
        <w:spacing w:after="0" w:line="240" w:lineRule="auto"/>
        <w:rPr>
          <w:rFonts w:eastAsia="Calibri"/>
          <w:highlight w:val="yellow"/>
          <w:lang w:eastAsia="en-US"/>
        </w:rPr>
      </w:pPr>
    </w:p>
    <w:p w14:paraId="1C5EFC52" w14:textId="77777777" w:rsidR="00AA4E66" w:rsidRDefault="00AA4E66" w:rsidP="003024CE">
      <w:pPr>
        <w:spacing w:after="0" w:line="240" w:lineRule="auto"/>
        <w:rPr>
          <w:b/>
        </w:rPr>
        <w:sectPr w:rsidR="00AA4E66">
          <w:pgSz w:w="11906" w:h="16838"/>
          <w:pgMar w:top="1134" w:right="851" w:bottom="1134" w:left="1701" w:header="709" w:footer="709" w:gutter="0"/>
          <w:cols w:space="708"/>
          <w:docGrid w:linePitch="360"/>
        </w:sectPr>
      </w:pPr>
    </w:p>
    <w:p w14:paraId="1E56CFEB" w14:textId="17225D38" w:rsidR="003024CE" w:rsidRDefault="003024CE" w:rsidP="003024CE">
      <w:pPr>
        <w:spacing w:after="0" w:line="240" w:lineRule="auto"/>
      </w:pPr>
      <w:r w:rsidRPr="00AE43CC">
        <w:rPr>
          <w:b/>
        </w:rPr>
        <w:lastRenderedPageBreak/>
        <w:t>Рисунок 2-</w:t>
      </w:r>
      <w:r w:rsidR="005F1FE1">
        <w:rPr>
          <w:b/>
        </w:rPr>
        <w:t>6</w:t>
      </w:r>
      <w:r w:rsidRPr="00AE43CC">
        <w:rPr>
          <w:b/>
        </w:rPr>
        <w:t>.</w:t>
      </w:r>
      <w:r w:rsidRPr="00AE43CC">
        <w:t xml:space="preserve"> Усредненные профили высвобождения действующего вещества из препаратов </w:t>
      </w:r>
      <w:r w:rsidR="0079047B" w:rsidRPr="00AE43CC">
        <w:rPr>
          <w:lang w:val="en-US" w:eastAsia="ru-RU"/>
        </w:rPr>
        <w:t>DT</w:t>
      </w:r>
      <w:r w:rsidR="0079047B" w:rsidRPr="00AE43CC">
        <w:rPr>
          <w:lang w:eastAsia="ru-RU"/>
        </w:rPr>
        <w:t>-</w:t>
      </w:r>
      <w:r w:rsidR="0079047B" w:rsidRPr="00AE43CC">
        <w:rPr>
          <w:lang w:val="en-US" w:eastAsia="ru-RU"/>
        </w:rPr>
        <w:t>EMP</w:t>
      </w:r>
      <w:r w:rsidR="0079047B" w:rsidRPr="00AE43CC">
        <w:rPr>
          <w:color w:val="000000" w:themeColor="text1"/>
        </w:rPr>
        <w:t xml:space="preserve"> </w:t>
      </w:r>
      <w:r w:rsidRPr="00AE43CC">
        <w:rPr>
          <w:color w:val="000000" w:themeColor="text1"/>
        </w:rPr>
        <w:t xml:space="preserve">и </w:t>
      </w:r>
      <w:r w:rsidR="0079047B" w:rsidRPr="00AE43CC">
        <w:rPr>
          <w:lang w:eastAsia="ru-RU"/>
        </w:rPr>
        <w:t>Джардинс</w:t>
      </w:r>
      <w:r w:rsidRPr="00AE43CC">
        <w:rPr>
          <w:vertAlign w:val="superscript"/>
          <w:lang w:eastAsia="ru-RU"/>
        </w:rPr>
        <w:t>®</w:t>
      </w:r>
      <w:r w:rsidRPr="00AE43CC">
        <w:rPr>
          <w:lang w:eastAsia="ru-RU"/>
        </w:rPr>
        <w:t xml:space="preserve">, </w:t>
      </w:r>
      <w:r w:rsidRPr="00AE43CC">
        <w:rPr>
          <w:color w:val="000000" w:themeColor="text1"/>
        </w:rPr>
        <w:t xml:space="preserve">в дозировке </w:t>
      </w:r>
      <w:r w:rsidR="0079047B" w:rsidRPr="00AE43CC">
        <w:rPr>
          <w:color w:val="000000" w:themeColor="text1"/>
        </w:rPr>
        <w:t>2</w:t>
      </w:r>
      <w:r w:rsidRPr="00AE43CC">
        <w:rPr>
          <w:color w:val="000000" w:themeColor="text1"/>
        </w:rPr>
        <w:t xml:space="preserve">5 мг </w:t>
      </w:r>
      <w:r w:rsidR="0079047B" w:rsidRPr="00AE43CC">
        <w:t>в 0,05 М фосфатном буферном растворе рН 6,8</w:t>
      </w:r>
      <w:r w:rsidRPr="00AE43CC">
        <w:t>.</w:t>
      </w:r>
    </w:p>
    <w:p w14:paraId="7FA7BE4D" w14:textId="78BD923B" w:rsidR="00AA6B27" w:rsidRPr="00AE43CC" w:rsidRDefault="00912296" w:rsidP="003024CE">
      <w:pPr>
        <w:spacing w:after="0" w:line="240" w:lineRule="auto"/>
      </w:pPr>
      <w:r>
        <w:rPr>
          <w:noProof/>
          <w:lang w:eastAsia="ru-RU"/>
        </w:rPr>
        <w:drawing>
          <wp:inline distT="0" distB="0" distL="0" distR="0" wp14:anchorId="1B9FCB16" wp14:editId="68869A7C">
            <wp:extent cx="5924550" cy="2200275"/>
            <wp:effectExtent l="0" t="0" r="0" b="952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9D5777" w14:textId="77777777" w:rsidR="00AA4E66" w:rsidRDefault="00AA4E66" w:rsidP="003024CE">
      <w:pPr>
        <w:autoSpaceDE w:val="0"/>
        <w:autoSpaceDN w:val="0"/>
        <w:adjustRightInd w:val="0"/>
        <w:spacing w:after="0" w:line="240" w:lineRule="auto"/>
        <w:rPr>
          <w:b/>
          <w:color w:val="000000"/>
          <w:lang w:eastAsia="ru-RU"/>
        </w:rPr>
      </w:pPr>
    </w:p>
    <w:p w14:paraId="15AFA6BF" w14:textId="177C7C4C" w:rsidR="003024CE" w:rsidRPr="00AE43CC" w:rsidRDefault="003024CE" w:rsidP="003024CE">
      <w:pPr>
        <w:autoSpaceDE w:val="0"/>
        <w:autoSpaceDN w:val="0"/>
        <w:adjustRightInd w:val="0"/>
        <w:spacing w:after="0" w:line="240" w:lineRule="auto"/>
        <w:rPr>
          <w:color w:val="000000"/>
          <w:lang w:eastAsia="ru-RU"/>
        </w:rPr>
      </w:pPr>
      <w:r w:rsidRPr="00AE43CC">
        <w:rPr>
          <w:b/>
          <w:color w:val="000000"/>
          <w:lang w:eastAsia="ru-RU"/>
        </w:rPr>
        <w:t>Рисунок 2-</w:t>
      </w:r>
      <w:r w:rsidR="005F1FE1">
        <w:rPr>
          <w:b/>
          <w:color w:val="000000"/>
          <w:lang w:eastAsia="ru-RU"/>
        </w:rPr>
        <w:t>7</w:t>
      </w:r>
      <w:r w:rsidRPr="00AE43CC">
        <w:rPr>
          <w:b/>
          <w:color w:val="000000"/>
          <w:lang w:eastAsia="ru-RU"/>
        </w:rPr>
        <w:t>.</w:t>
      </w:r>
      <w:r w:rsidRPr="00AE43CC">
        <w:rPr>
          <w:color w:val="000000"/>
          <w:lang w:eastAsia="ru-RU"/>
        </w:rPr>
        <w:t xml:space="preserve"> </w:t>
      </w:r>
      <w:r w:rsidR="0079047B" w:rsidRPr="00AE43CC">
        <w:t xml:space="preserve">Усредненные профили высвобождения действующего вещества из препаратов </w:t>
      </w:r>
      <w:r w:rsidR="0079047B" w:rsidRPr="00AE43CC">
        <w:rPr>
          <w:lang w:val="en-US" w:eastAsia="ru-RU"/>
        </w:rPr>
        <w:t>DT</w:t>
      </w:r>
      <w:r w:rsidR="0079047B" w:rsidRPr="00AE43CC">
        <w:rPr>
          <w:lang w:eastAsia="ru-RU"/>
        </w:rPr>
        <w:t>-</w:t>
      </w:r>
      <w:r w:rsidR="0079047B" w:rsidRPr="00AE43CC">
        <w:rPr>
          <w:lang w:val="en-US" w:eastAsia="ru-RU"/>
        </w:rPr>
        <w:t>EMP</w:t>
      </w:r>
      <w:r w:rsidR="0079047B" w:rsidRPr="00AE43CC">
        <w:rPr>
          <w:color w:val="000000" w:themeColor="text1"/>
        </w:rPr>
        <w:t xml:space="preserve"> и </w:t>
      </w:r>
      <w:r w:rsidR="0079047B" w:rsidRPr="00AE43CC">
        <w:rPr>
          <w:lang w:eastAsia="ru-RU"/>
        </w:rPr>
        <w:t>Джардинс</w:t>
      </w:r>
      <w:r w:rsidR="0079047B" w:rsidRPr="00AE43CC">
        <w:rPr>
          <w:vertAlign w:val="superscript"/>
          <w:lang w:eastAsia="ru-RU"/>
        </w:rPr>
        <w:t>®</w:t>
      </w:r>
      <w:r w:rsidR="0079047B" w:rsidRPr="00AE43CC">
        <w:rPr>
          <w:lang w:eastAsia="ru-RU"/>
        </w:rPr>
        <w:t xml:space="preserve">, </w:t>
      </w:r>
      <w:r w:rsidR="0079047B" w:rsidRPr="00AE43CC">
        <w:rPr>
          <w:color w:val="000000" w:themeColor="text1"/>
        </w:rPr>
        <w:t xml:space="preserve">в дозировке 25 мг </w:t>
      </w:r>
      <w:r w:rsidR="0079047B" w:rsidRPr="00AE43CC">
        <w:t xml:space="preserve">в </w:t>
      </w:r>
      <w:r w:rsidRPr="00AE43CC">
        <w:rPr>
          <w:color w:val="000000"/>
          <w:lang w:eastAsia="ru-RU"/>
        </w:rPr>
        <w:t xml:space="preserve">буферном растворе рН </w:t>
      </w:r>
      <w:r w:rsidR="0079047B" w:rsidRPr="00AE43CC">
        <w:rPr>
          <w:color w:val="000000"/>
          <w:lang w:eastAsia="ru-RU"/>
        </w:rPr>
        <w:t>1,2</w:t>
      </w:r>
      <w:r w:rsidRPr="00AE43CC">
        <w:rPr>
          <w:color w:val="000000"/>
          <w:lang w:eastAsia="ru-RU"/>
        </w:rPr>
        <w:t>.</w:t>
      </w:r>
    </w:p>
    <w:p w14:paraId="0E9CA776" w14:textId="4A3327D1" w:rsidR="003024CE" w:rsidRPr="00AE43CC" w:rsidRDefault="00912296" w:rsidP="003024CE">
      <w:pPr>
        <w:autoSpaceDE w:val="0"/>
        <w:autoSpaceDN w:val="0"/>
        <w:adjustRightInd w:val="0"/>
        <w:spacing w:after="0" w:line="240" w:lineRule="auto"/>
        <w:rPr>
          <w:color w:val="000000"/>
          <w:lang w:eastAsia="ru-RU"/>
        </w:rPr>
      </w:pPr>
      <w:r>
        <w:rPr>
          <w:noProof/>
          <w:lang w:eastAsia="ru-RU"/>
        </w:rPr>
        <w:drawing>
          <wp:inline distT="0" distB="0" distL="0" distR="0" wp14:anchorId="278B5604" wp14:editId="41BDB4D3">
            <wp:extent cx="5934075" cy="2238375"/>
            <wp:effectExtent l="0" t="0" r="9525" b="952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F2BB2F" w14:textId="13EFF215" w:rsidR="00277F6C" w:rsidRPr="00AE43CC" w:rsidRDefault="00277F6C" w:rsidP="0084533C">
      <w:pPr>
        <w:tabs>
          <w:tab w:val="left" w:pos="2696"/>
        </w:tabs>
        <w:spacing w:after="0" w:line="240" w:lineRule="auto"/>
        <w:rPr>
          <w:lang w:eastAsia="ru-RU"/>
        </w:rPr>
      </w:pPr>
      <w:r w:rsidRPr="00AE43CC">
        <w:rPr>
          <w:lang w:eastAsia="ru-RU"/>
        </w:rPr>
        <w:tab/>
      </w:r>
    </w:p>
    <w:p w14:paraId="2FA969C6" w14:textId="79241B0B" w:rsidR="003024CE" w:rsidRPr="00AE43CC" w:rsidRDefault="003024CE" w:rsidP="0084533C">
      <w:pPr>
        <w:autoSpaceDE w:val="0"/>
        <w:autoSpaceDN w:val="0"/>
        <w:adjustRightInd w:val="0"/>
        <w:spacing w:after="0" w:line="240" w:lineRule="auto"/>
        <w:rPr>
          <w:color w:val="000000"/>
          <w:lang w:eastAsia="ru-RU"/>
        </w:rPr>
      </w:pPr>
      <w:r w:rsidRPr="00AE43CC">
        <w:rPr>
          <w:b/>
          <w:color w:val="000000"/>
          <w:lang w:eastAsia="ru-RU"/>
        </w:rPr>
        <w:t>Рисунок 2-</w:t>
      </w:r>
      <w:r w:rsidR="005F1FE1">
        <w:rPr>
          <w:b/>
          <w:color w:val="000000"/>
          <w:lang w:eastAsia="ru-RU"/>
        </w:rPr>
        <w:t>8</w:t>
      </w:r>
      <w:r w:rsidRPr="00AE43CC">
        <w:rPr>
          <w:b/>
          <w:color w:val="000000"/>
          <w:lang w:eastAsia="ru-RU"/>
        </w:rPr>
        <w:t>.</w:t>
      </w:r>
      <w:r w:rsidRPr="00AE43CC">
        <w:rPr>
          <w:color w:val="000000"/>
          <w:lang w:eastAsia="ru-RU"/>
        </w:rPr>
        <w:t xml:space="preserve"> </w:t>
      </w:r>
      <w:r w:rsidR="0079047B" w:rsidRPr="00AE43CC">
        <w:t xml:space="preserve">Усредненные профили высвобождения действующего вещества из препаратов </w:t>
      </w:r>
      <w:r w:rsidR="0079047B" w:rsidRPr="00AE43CC">
        <w:rPr>
          <w:lang w:val="en-US" w:eastAsia="ru-RU"/>
        </w:rPr>
        <w:t>DT</w:t>
      </w:r>
      <w:r w:rsidR="0079047B" w:rsidRPr="00AE43CC">
        <w:rPr>
          <w:lang w:eastAsia="ru-RU"/>
        </w:rPr>
        <w:t>-</w:t>
      </w:r>
      <w:r w:rsidR="0079047B" w:rsidRPr="00AE43CC">
        <w:rPr>
          <w:lang w:val="en-US" w:eastAsia="ru-RU"/>
        </w:rPr>
        <w:t>EMP</w:t>
      </w:r>
      <w:r w:rsidR="0079047B" w:rsidRPr="00AE43CC">
        <w:rPr>
          <w:color w:val="000000" w:themeColor="text1"/>
        </w:rPr>
        <w:t xml:space="preserve"> и </w:t>
      </w:r>
      <w:r w:rsidR="0079047B" w:rsidRPr="00AE43CC">
        <w:rPr>
          <w:lang w:eastAsia="ru-RU"/>
        </w:rPr>
        <w:t>Джардинс</w:t>
      </w:r>
      <w:r w:rsidR="0079047B" w:rsidRPr="00AE43CC">
        <w:rPr>
          <w:vertAlign w:val="superscript"/>
          <w:lang w:eastAsia="ru-RU"/>
        </w:rPr>
        <w:t>®</w:t>
      </w:r>
      <w:r w:rsidR="0079047B" w:rsidRPr="00AE43CC">
        <w:rPr>
          <w:lang w:eastAsia="ru-RU"/>
        </w:rPr>
        <w:t xml:space="preserve">, </w:t>
      </w:r>
      <w:r w:rsidR="0079047B" w:rsidRPr="00AE43CC">
        <w:rPr>
          <w:color w:val="000000" w:themeColor="text1"/>
        </w:rPr>
        <w:t xml:space="preserve">в дозировке 25 мг </w:t>
      </w:r>
      <w:r w:rsidR="0079047B" w:rsidRPr="00AE43CC">
        <w:t xml:space="preserve">в </w:t>
      </w:r>
      <w:r w:rsidR="0079047B" w:rsidRPr="00AE43CC">
        <w:rPr>
          <w:color w:val="000000"/>
          <w:lang w:eastAsia="ru-RU"/>
        </w:rPr>
        <w:t>ацетатном</w:t>
      </w:r>
      <w:r w:rsidRPr="00AE43CC">
        <w:rPr>
          <w:color w:val="000000"/>
          <w:lang w:eastAsia="ru-RU"/>
        </w:rPr>
        <w:t xml:space="preserve"> буферном растворе рН </w:t>
      </w:r>
      <w:r w:rsidR="0079047B" w:rsidRPr="00AE43CC">
        <w:rPr>
          <w:color w:val="000000"/>
          <w:lang w:eastAsia="ru-RU"/>
        </w:rPr>
        <w:t>4</w:t>
      </w:r>
      <w:r w:rsidRPr="00AE43CC">
        <w:rPr>
          <w:color w:val="000000"/>
          <w:lang w:eastAsia="ru-RU"/>
        </w:rPr>
        <w:t>,</w:t>
      </w:r>
      <w:r w:rsidR="0079047B" w:rsidRPr="00AE43CC">
        <w:rPr>
          <w:color w:val="000000"/>
          <w:lang w:eastAsia="ru-RU"/>
        </w:rPr>
        <w:t>5</w:t>
      </w:r>
      <w:r w:rsidRPr="00AE43CC">
        <w:rPr>
          <w:color w:val="000000"/>
          <w:lang w:eastAsia="ru-RU"/>
        </w:rPr>
        <w:t>.</w:t>
      </w:r>
    </w:p>
    <w:p w14:paraId="114B99C3" w14:textId="36CCEE5C" w:rsidR="003024CE" w:rsidRPr="00AE43CC" w:rsidRDefault="00912296" w:rsidP="003024CE">
      <w:pPr>
        <w:autoSpaceDE w:val="0"/>
        <w:autoSpaceDN w:val="0"/>
        <w:adjustRightInd w:val="0"/>
        <w:spacing w:after="0" w:line="240" w:lineRule="auto"/>
        <w:rPr>
          <w:color w:val="000000"/>
          <w:lang w:eastAsia="ru-RU"/>
        </w:rPr>
      </w:pPr>
      <w:r>
        <w:rPr>
          <w:noProof/>
          <w:lang w:eastAsia="ru-RU"/>
        </w:rPr>
        <w:drawing>
          <wp:inline distT="0" distB="0" distL="0" distR="0" wp14:anchorId="6EE0FF68" wp14:editId="30B758C1">
            <wp:extent cx="5905500" cy="2190750"/>
            <wp:effectExtent l="0" t="0" r="0" b="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0DC2D5F" w14:textId="2E2B67F7" w:rsidR="003024CE" w:rsidRPr="00AE43CC" w:rsidRDefault="003024CE" w:rsidP="003024CE">
      <w:pPr>
        <w:autoSpaceDE w:val="0"/>
        <w:autoSpaceDN w:val="0"/>
        <w:adjustRightInd w:val="0"/>
        <w:spacing w:after="0" w:line="240" w:lineRule="auto"/>
        <w:rPr>
          <w:color w:val="000000"/>
          <w:spacing w:val="-4"/>
          <w:lang w:eastAsia="ru-RU"/>
        </w:rPr>
      </w:pPr>
      <w:r w:rsidRPr="00AE43CC">
        <w:rPr>
          <w:b/>
          <w:color w:val="000000"/>
          <w:lang w:eastAsia="ru-RU"/>
        </w:rPr>
        <w:lastRenderedPageBreak/>
        <w:t>Рисунок 2-</w:t>
      </w:r>
      <w:r w:rsidR="005F1FE1">
        <w:rPr>
          <w:b/>
          <w:color w:val="000000"/>
          <w:lang w:eastAsia="ru-RU"/>
        </w:rPr>
        <w:t>9</w:t>
      </w:r>
      <w:r w:rsidRPr="00AE43CC">
        <w:rPr>
          <w:b/>
          <w:color w:val="000000"/>
          <w:lang w:eastAsia="ru-RU"/>
        </w:rPr>
        <w:t>.</w:t>
      </w:r>
      <w:r w:rsidRPr="00AE43CC">
        <w:rPr>
          <w:color w:val="000000"/>
          <w:lang w:eastAsia="ru-RU"/>
        </w:rPr>
        <w:t xml:space="preserve"> </w:t>
      </w:r>
      <w:r w:rsidR="0079047B" w:rsidRPr="00AE43CC">
        <w:t xml:space="preserve">Усредненные профили высвобождения действующего вещества из препаратов </w:t>
      </w:r>
      <w:r w:rsidR="0079047B" w:rsidRPr="00AE43CC">
        <w:rPr>
          <w:lang w:val="en-US" w:eastAsia="ru-RU"/>
        </w:rPr>
        <w:t>DT</w:t>
      </w:r>
      <w:r w:rsidR="0079047B" w:rsidRPr="00AE43CC">
        <w:rPr>
          <w:lang w:eastAsia="ru-RU"/>
        </w:rPr>
        <w:t>-</w:t>
      </w:r>
      <w:r w:rsidR="0079047B" w:rsidRPr="00AE43CC">
        <w:rPr>
          <w:lang w:val="en-US" w:eastAsia="ru-RU"/>
        </w:rPr>
        <w:t>EMP</w:t>
      </w:r>
      <w:r w:rsidR="0079047B" w:rsidRPr="00AE43CC">
        <w:rPr>
          <w:color w:val="000000" w:themeColor="text1"/>
        </w:rPr>
        <w:t xml:space="preserve"> и </w:t>
      </w:r>
      <w:r w:rsidR="0079047B" w:rsidRPr="00AE43CC">
        <w:rPr>
          <w:lang w:eastAsia="ru-RU"/>
        </w:rPr>
        <w:t>Джардинс</w:t>
      </w:r>
      <w:r w:rsidR="0079047B" w:rsidRPr="00AE43CC">
        <w:rPr>
          <w:vertAlign w:val="superscript"/>
          <w:lang w:eastAsia="ru-RU"/>
        </w:rPr>
        <w:t>®</w:t>
      </w:r>
      <w:r w:rsidR="0079047B" w:rsidRPr="00AE43CC">
        <w:rPr>
          <w:lang w:eastAsia="ru-RU"/>
        </w:rPr>
        <w:t xml:space="preserve">, </w:t>
      </w:r>
      <w:r w:rsidR="0079047B" w:rsidRPr="00AE43CC">
        <w:rPr>
          <w:color w:val="000000" w:themeColor="text1"/>
        </w:rPr>
        <w:t xml:space="preserve">в дозировке 25 мг </w:t>
      </w:r>
      <w:r w:rsidR="0079047B" w:rsidRPr="00AE43CC">
        <w:t xml:space="preserve">в </w:t>
      </w:r>
      <w:r w:rsidR="0079047B" w:rsidRPr="00AE43CC">
        <w:rPr>
          <w:color w:val="000000"/>
          <w:spacing w:val="-4"/>
          <w:lang w:eastAsia="ru-RU"/>
        </w:rPr>
        <w:t>фосфатном буферном растворе рН 6,8</w:t>
      </w:r>
      <w:r w:rsidRPr="00AE43CC">
        <w:rPr>
          <w:color w:val="000000"/>
          <w:spacing w:val="-4"/>
          <w:lang w:eastAsia="ru-RU"/>
        </w:rPr>
        <w:t>.</w:t>
      </w:r>
    </w:p>
    <w:p w14:paraId="035103C6" w14:textId="4ADB2DC4" w:rsidR="003024CE" w:rsidRPr="00AE43CC" w:rsidRDefault="00912296" w:rsidP="003024CE">
      <w:pPr>
        <w:autoSpaceDE w:val="0"/>
        <w:autoSpaceDN w:val="0"/>
        <w:adjustRightInd w:val="0"/>
        <w:spacing w:after="0" w:line="240" w:lineRule="auto"/>
        <w:rPr>
          <w:color w:val="000000"/>
          <w:lang w:eastAsia="ru-RU"/>
        </w:rPr>
      </w:pPr>
      <w:r>
        <w:rPr>
          <w:noProof/>
          <w:lang w:eastAsia="ru-RU"/>
        </w:rPr>
        <w:drawing>
          <wp:inline distT="0" distB="0" distL="0" distR="0" wp14:anchorId="557782E8" wp14:editId="6709E8C1">
            <wp:extent cx="5981700" cy="2181225"/>
            <wp:effectExtent l="0" t="0" r="0" b="9525"/>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6D8DA0" w14:textId="77777777" w:rsidR="00C035FA" w:rsidRPr="00FF7A78" w:rsidRDefault="008D5756">
      <w:pPr>
        <w:pStyle w:val="Heading3"/>
        <w:spacing w:after="240" w:line="240" w:lineRule="auto"/>
        <w:rPr>
          <w:rFonts w:ascii="Times New Roman" w:hAnsi="Times New Roman"/>
          <w:color w:val="000000" w:themeColor="text1"/>
          <w:szCs w:val="24"/>
        </w:rPr>
      </w:pPr>
      <w:bookmarkStart w:id="50" w:name="_Toc139366835"/>
      <w:r w:rsidRPr="00FF7A78">
        <w:rPr>
          <w:rFonts w:ascii="Times New Roman" w:hAnsi="Times New Roman"/>
          <w:color w:val="000000" w:themeColor="text1"/>
          <w:szCs w:val="24"/>
        </w:rPr>
        <w:t>2.2.4 Форма выпуска</w:t>
      </w:r>
      <w:bookmarkEnd w:id="50"/>
    </w:p>
    <w:p w14:paraId="637680B0" w14:textId="173171D7" w:rsidR="003024CE" w:rsidRPr="00FF7A78" w:rsidRDefault="003024CE" w:rsidP="00E44A35">
      <w:pPr>
        <w:spacing w:after="0" w:line="240" w:lineRule="auto"/>
        <w:ind w:firstLine="709"/>
        <w:contextualSpacing/>
        <w:rPr>
          <w:rFonts w:eastAsia="Times New Roman"/>
          <w:lang w:eastAsia="ru-RU"/>
        </w:rPr>
      </w:pPr>
      <w:bookmarkStart w:id="51" w:name="_Hlk55572740"/>
      <w:r w:rsidRPr="00FF7A78">
        <w:t xml:space="preserve">Таблетки, </w:t>
      </w:r>
      <w:r w:rsidR="00F76A44" w:rsidRPr="00FF7A78">
        <w:t>1</w:t>
      </w:r>
      <w:r w:rsidRPr="00FF7A78">
        <w:t>0 мг</w:t>
      </w:r>
      <w:r w:rsidR="00FF7A78" w:rsidRPr="00FF7A78">
        <w:t xml:space="preserve"> и 25 мг</w:t>
      </w:r>
      <w:r w:rsidRPr="00FF7A78">
        <w:rPr>
          <w:rFonts w:eastAsia="Times New Roman"/>
          <w:lang w:eastAsia="ru-RU"/>
        </w:rPr>
        <w:t>.</w:t>
      </w:r>
    </w:p>
    <w:bookmarkEnd w:id="51"/>
    <w:p w14:paraId="656FAF4C" w14:textId="77777777" w:rsidR="00E44A35" w:rsidRPr="00E44A35" w:rsidRDefault="00E44A35" w:rsidP="00E44A35">
      <w:pPr>
        <w:spacing w:after="0" w:line="240" w:lineRule="auto"/>
        <w:ind w:firstLine="709"/>
        <w:rPr>
          <w:color w:val="000000"/>
          <w:spacing w:val="-4"/>
        </w:rPr>
      </w:pPr>
      <w:r w:rsidRPr="00E44A35">
        <w:rPr>
          <w:color w:val="000000"/>
          <w:spacing w:val="-4"/>
        </w:rPr>
        <w:t>По 10 таблеток в контурную ячейковую упаковку из пленки комбинированной (поливинилхлорид/поливинилиденхлорид) и фольги алюминиевой печатной лакированной.</w:t>
      </w:r>
    </w:p>
    <w:p w14:paraId="7AB32D8E" w14:textId="2A325251" w:rsidR="00E44A35" w:rsidRPr="00E44A35" w:rsidRDefault="00E44A35" w:rsidP="00E44A35">
      <w:pPr>
        <w:spacing w:after="0" w:line="240" w:lineRule="auto"/>
        <w:ind w:firstLine="709"/>
      </w:pPr>
      <w:r w:rsidRPr="00E44A35">
        <w:rPr>
          <w:color w:val="000000"/>
          <w:spacing w:val="-4"/>
        </w:rPr>
        <w:t xml:space="preserve">1 или 3 контурных ячейковых упаковок вместе с листком-вкладышем </w:t>
      </w:r>
      <w:r w:rsidRPr="00E44A35">
        <w:t>помешают в пачку из картона коробочного.</w:t>
      </w:r>
    </w:p>
    <w:p w14:paraId="05651ED7" w14:textId="6124ED61" w:rsidR="00C035FA" w:rsidRDefault="008D5756">
      <w:pPr>
        <w:pStyle w:val="Heading2"/>
        <w:spacing w:line="240" w:lineRule="auto"/>
        <w:rPr>
          <w:color w:val="000000" w:themeColor="text1"/>
          <w:szCs w:val="24"/>
        </w:rPr>
      </w:pPr>
      <w:bookmarkStart w:id="52" w:name="_Toc139366836"/>
      <w:r>
        <w:rPr>
          <w:color w:val="000000" w:themeColor="text1"/>
          <w:szCs w:val="24"/>
        </w:rPr>
        <w:t>2.3</w:t>
      </w:r>
      <w:r w:rsidR="00AA4E66">
        <w:rPr>
          <w:color w:val="000000" w:themeColor="text1"/>
          <w:szCs w:val="24"/>
        </w:rPr>
        <w:t>.</w:t>
      </w:r>
      <w:r>
        <w:rPr>
          <w:color w:val="000000" w:themeColor="text1"/>
          <w:szCs w:val="24"/>
        </w:rPr>
        <w:t xml:space="preserve"> Правила хранения и обращения</w:t>
      </w:r>
      <w:bookmarkEnd w:id="52"/>
    </w:p>
    <w:p w14:paraId="135CD10F" w14:textId="77777777" w:rsidR="00C035FA" w:rsidRPr="00FF7A78" w:rsidRDefault="008D5756">
      <w:pPr>
        <w:pStyle w:val="Heading3"/>
        <w:spacing w:after="240" w:line="240" w:lineRule="auto"/>
        <w:rPr>
          <w:rFonts w:ascii="Times New Roman" w:hAnsi="Times New Roman"/>
          <w:color w:val="000000" w:themeColor="text1"/>
          <w:szCs w:val="24"/>
        </w:rPr>
      </w:pPr>
      <w:bookmarkStart w:id="53" w:name="_Toc139366837"/>
      <w:r>
        <w:rPr>
          <w:rFonts w:ascii="Times New Roman" w:hAnsi="Times New Roman"/>
          <w:color w:val="000000" w:themeColor="text1"/>
          <w:szCs w:val="24"/>
        </w:rPr>
        <w:t>2.</w:t>
      </w:r>
      <w:r w:rsidRPr="00FF7A78">
        <w:rPr>
          <w:rFonts w:ascii="Times New Roman" w:hAnsi="Times New Roman"/>
          <w:color w:val="000000" w:themeColor="text1"/>
          <w:szCs w:val="24"/>
        </w:rPr>
        <w:t>3.1 Условия хранения и транспортировки</w:t>
      </w:r>
      <w:bookmarkEnd w:id="53"/>
    </w:p>
    <w:p w14:paraId="6ACCF3B4" w14:textId="77777777" w:rsidR="00C035FA" w:rsidRPr="00FF7A78" w:rsidRDefault="008D5756">
      <w:pPr>
        <w:spacing w:after="0" w:line="240" w:lineRule="auto"/>
        <w:ind w:firstLine="709"/>
        <w:rPr>
          <w:rFonts w:eastAsia="Calibri"/>
          <w:lang w:eastAsia="en-US"/>
        </w:rPr>
      </w:pPr>
      <w:r w:rsidRPr="00FF7A78">
        <w:t>Хранить при температуре не выше 25ºС</w:t>
      </w:r>
      <w:r w:rsidRPr="00FF7A78">
        <w:rPr>
          <w:iCs/>
          <w:lang w:eastAsia="en-US"/>
        </w:rPr>
        <w:t>.</w:t>
      </w:r>
    </w:p>
    <w:p w14:paraId="53AE36A0" w14:textId="77777777" w:rsidR="00C035FA" w:rsidRPr="00FF7A78" w:rsidRDefault="008D5756">
      <w:pPr>
        <w:pStyle w:val="Heading3"/>
        <w:spacing w:after="240" w:line="240" w:lineRule="auto"/>
        <w:rPr>
          <w:rFonts w:ascii="Times New Roman" w:hAnsi="Times New Roman"/>
          <w:color w:val="000000" w:themeColor="text1"/>
          <w:szCs w:val="24"/>
        </w:rPr>
      </w:pPr>
      <w:bookmarkStart w:id="54" w:name="_Toc139366838"/>
      <w:r w:rsidRPr="00FF7A78">
        <w:rPr>
          <w:rFonts w:ascii="Times New Roman" w:hAnsi="Times New Roman"/>
          <w:color w:val="000000" w:themeColor="text1"/>
          <w:szCs w:val="24"/>
        </w:rPr>
        <w:t>2.3.2. Срок годности</w:t>
      </w:r>
      <w:bookmarkEnd w:id="54"/>
    </w:p>
    <w:p w14:paraId="5D728A3D" w14:textId="4DB3DDB7" w:rsidR="00C035FA" w:rsidRDefault="00FF7A78">
      <w:pPr>
        <w:spacing w:after="0" w:line="240" w:lineRule="auto"/>
        <w:ind w:firstLine="709"/>
        <w:rPr>
          <w:rFonts w:eastAsia="Calibri"/>
        </w:rPr>
      </w:pPr>
      <w:r w:rsidRPr="00FF7A78">
        <w:rPr>
          <w:iCs/>
          <w:lang w:eastAsia="en-US"/>
        </w:rPr>
        <w:t>2</w:t>
      </w:r>
      <w:r w:rsidR="008D5756" w:rsidRPr="00FF7A78">
        <w:rPr>
          <w:iCs/>
          <w:lang w:eastAsia="en-US"/>
        </w:rPr>
        <w:t xml:space="preserve"> года.</w:t>
      </w:r>
    </w:p>
    <w:p w14:paraId="0E2E3881" w14:textId="77777777" w:rsidR="00C035FA" w:rsidRDefault="008D5756">
      <w:pPr>
        <w:pStyle w:val="Heading3"/>
        <w:spacing w:after="240" w:line="240" w:lineRule="auto"/>
        <w:rPr>
          <w:rFonts w:ascii="Times New Roman" w:hAnsi="Times New Roman"/>
          <w:color w:val="000000" w:themeColor="text1"/>
          <w:szCs w:val="24"/>
        </w:rPr>
      </w:pPr>
      <w:bookmarkStart w:id="55" w:name="_Toc139366839"/>
      <w:r>
        <w:rPr>
          <w:rFonts w:ascii="Times New Roman" w:hAnsi="Times New Roman"/>
          <w:color w:val="000000" w:themeColor="text1"/>
          <w:szCs w:val="24"/>
        </w:rPr>
        <w:t>2.3.3. Правила по обращению с препаратом</w:t>
      </w:r>
      <w:bookmarkEnd w:id="55"/>
    </w:p>
    <w:p w14:paraId="1E3A6762" w14:textId="3BBE2721" w:rsidR="00C035FA" w:rsidRDefault="008D5756">
      <w:pPr>
        <w:spacing w:after="0" w:line="240" w:lineRule="auto"/>
        <w:ind w:firstLine="709"/>
        <w:rPr>
          <w:rFonts w:eastAsia="Courier New"/>
          <w:lang w:bidi="ru-RU"/>
        </w:rPr>
      </w:pPr>
      <w:r>
        <w:rPr>
          <w:color w:val="000000" w:themeColor="text1"/>
        </w:rPr>
        <w:t>Не требует особых мер предосторожности при использовании</w:t>
      </w:r>
      <w:r>
        <w:rPr>
          <w:rFonts w:eastAsia="Courier New"/>
          <w:lang w:bidi="ru-RU"/>
        </w:rPr>
        <w:t>.</w:t>
      </w:r>
    </w:p>
    <w:p w14:paraId="08EFE812" w14:textId="52B4F5CC" w:rsidR="000C7F59" w:rsidRDefault="000C7F59">
      <w:pPr>
        <w:spacing w:after="0" w:line="240" w:lineRule="auto"/>
        <w:ind w:firstLine="709"/>
        <w:rPr>
          <w:rFonts w:eastAsia="Courier New"/>
          <w:lang w:bidi="ru-RU"/>
        </w:rPr>
      </w:pPr>
    </w:p>
    <w:p w14:paraId="0346622A" w14:textId="203BAD3D" w:rsidR="000C7F59" w:rsidRPr="00277F6C" w:rsidRDefault="000C7F59" w:rsidP="000C7F59">
      <w:pPr>
        <w:pStyle w:val="Heading2"/>
        <w:rPr>
          <w:lang w:bidi="ru-RU"/>
        </w:rPr>
      </w:pPr>
      <w:bookmarkStart w:id="56" w:name="_Toc139366840"/>
      <w:r w:rsidRPr="00277F6C">
        <w:rPr>
          <w:lang w:bidi="ru-RU"/>
        </w:rPr>
        <w:t>Список литературы</w:t>
      </w:r>
      <w:bookmarkEnd w:id="56"/>
      <w:r w:rsidRPr="00277F6C">
        <w:rPr>
          <w:lang w:bidi="ru-RU"/>
        </w:rPr>
        <w:t xml:space="preserve"> </w:t>
      </w:r>
    </w:p>
    <w:p w14:paraId="1F0ABBF1" w14:textId="77777777" w:rsidR="00277F6C" w:rsidRPr="00277F6C" w:rsidRDefault="003024CE" w:rsidP="00277F6C">
      <w:pPr>
        <w:pStyle w:val="ListParagraph"/>
        <w:numPr>
          <w:ilvl w:val="3"/>
          <w:numId w:val="11"/>
        </w:numPr>
        <w:spacing w:after="0" w:line="240" w:lineRule="auto"/>
        <w:ind w:left="709"/>
        <w:rPr>
          <w:color w:val="000000" w:themeColor="text1"/>
        </w:rPr>
      </w:pPr>
      <w:r w:rsidRPr="00277F6C">
        <w:rPr>
          <w:color w:val="000000" w:themeColor="text1"/>
        </w:rPr>
        <w:t>Отчет о проведении теста сравнительной кинетики растворения лекарственного препарата «</w:t>
      </w:r>
      <w:r w:rsidR="00277F6C" w:rsidRPr="00277F6C">
        <w:rPr>
          <w:color w:val="000000" w:themeColor="text1"/>
        </w:rPr>
        <w:t>Изучение сравнительной кинетики растворения лекарственных препаратов «ЭМПАГЛИФЛОЗИН таблетки, покрытые пленочной оболочкой, 25 мг» с препаратом «Джардинс</w:t>
      </w:r>
      <w:r w:rsidR="00277F6C" w:rsidRPr="00277F6C">
        <w:rPr>
          <w:color w:val="000000" w:themeColor="text1"/>
          <w:vertAlign w:val="superscript"/>
        </w:rPr>
        <w:t>®</w:t>
      </w:r>
      <w:r w:rsidR="00277F6C" w:rsidRPr="00277F6C">
        <w:rPr>
          <w:color w:val="000000" w:themeColor="text1"/>
        </w:rPr>
        <w:t xml:space="preserve"> таблетки, покрытые пленочной оболочкой, 25 мг» </w:t>
      </w:r>
      <w:r w:rsidRPr="00277F6C">
        <w:rPr>
          <w:color w:val="000000" w:themeColor="text1"/>
        </w:rPr>
        <w:t xml:space="preserve">от </w:t>
      </w:r>
      <w:r w:rsidR="00277F6C" w:rsidRPr="00277F6C">
        <w:rPr>
          <w:color w:val="000000" w:themeColor="text1"/>
        </w:rPr>
        <w:t>15</w:t>
      </w:r>
      <w:r w:rsidRPr="00277F6C">
        <w:rPr>
          <w:color w:val="000000" w:themeColor="text1"/>
        </w:rPr>
        <w:t xml:space="preserve"> </w:t>
      </w:r>
      <w:r w:rsidR="00277F6C" w:rsidRPr="00277F6C">
        <w:rPr>
          <w:color w:val="000000" w:themeColor="text1"/>
        </w:rPr>
        <w:t>мая</w:t>
      </w:r>
      <w:r w:rsidRPr="00277F6C">
        <w:rPr>
          <w:color w:val="000000" w:themeColor="text1"/>
        </w:rPr>
        <w:t xml:space="preserve"> 202</w:t>
      </w:r>
      <w:r w:rsidR="00277F6C" w:rsidRPr="00277F6C">
        <w:rPr>
          <w:color w:val="000000" w:themeColor="text1"/>
        </w:rPr>
        <w:t>3</w:t>
      </w:r>
      <w:r w:rsidRPr="00277F6C">
        <w:rPr>
          <w:color w:val="000000" w:themeColor="text1"/>
        </w:rPr>
        <w:t xml:space="preserve"> г.</w:t>
      </w:r>
    </w:p>
    <w:p w14:paraId="79CEBE2A" w14:textId="71C340C3" w:rsidR="00277F6C" w:rsidRPr="00277F6C" w:rsidRDefault="00277F6C" w:rsidP="00277F6C">
      <w:pPr>
        <w:pStyle w:val="ListParagraph"/>
        <w:numPr>
          <w:ilvl w:val="3"/>
          <w:numId w:val="11"/>
        </w:numPr>
        <w:spacing w:after="0" w:line="240" w:lineRule="auto"/>
        <w:ind w:left="709"/>
        <w:rPr>
          <w:color w:val="000000" w:themeColor="text1"/>
        </w:rPr>
      </w:pPr>
      <w:r w:rsidRPr="00277F6C">
        <w:rPr>
          <w:color w:val="000000" w:themeColor="text1"/>
        </w:rPr>
        <w:t xml:space="preserve">Отчет о проведении теста сравнительной кинетики растворения лекарственного препарата «Изучение сравнительной кинетики растворения лекарственных </w:t>
      </w:r>
      <w:r w:rsidRPr="00277F6C">
        <w:rPr>
          <w:color w:val="000000" w:themeColor="text1"/>
        </w:rPr>
        <w:lastRenderedPageBreak/>
        <w:t>препаратов «ЭМПАГЛИФЛОЗИН таблетки, покрытые пленочной оболочкой, 10 мг» с препаратом «Джардинс</w:t>
      </w:r>
      <w:r w:rsidRPr="00277F6C">
        <w:rPr>
          <w:color w:val="000000" w:themeColor="text1"/>
          <w:vertAlign w:val="superscript"/>
        </w:rPr>
        <w:t>®</w:t>
      </w:r>
      <w:r w:rsidRPr="00277F6C">
        <w:rPr>
          <w:color w:val="000000" w:themeColor="text1"/>
        </w:rPr>
        <w:t xml:space="preserve"> таблетки, покрытые пленочной оболочкой, 10 мг» от 15 мая 2023 г.</w:t>
      </w:r>
    </w:p>
    <w:p w14:paraId="3C8E4DE8" w14:textId="77777777" w:rsidR="00C035FA" w:rsidRDefault="008D5756">
      <w:pPr>
        <w:pStyle w:val="Heading1"/>
        <w:tabs>
          <w:tab w:val="left" w:pos="142"/>
          <w:tab w:val="left" w:pos="284"/>
        </w:tabs>
        <w:spacing w:line="240" w:lineRule="auto"/>
        <w:rPr>
          <w:rFonts w:cs="Times New Roman"/>
          <w:color w:val="000000" w:themeColor="text1"/>
          <w:szCs w:val="24"/>
        </w:rPr>
      </w:pPr>
      <w:bookmarkStart w:id="57" w:name="_Toc139366841"/>
      <w:r>
        <w:rPr>
          <w:rFonts w:cs="Times New Roman"/>
          <w:color w:val="000000" w:themeColor="text1"/>
          <w:szCs w:val="24"/>
        </w:rPr>
        <w:t>3. РЕЗУЛЬТАТЫ ДОКЛИНИЧЕСКИХ ИССЛЕДОВАНИЙ</w:t>
      </w:r>
      <w:bookmarkEnd w:id="57"/>
    </w:p>
    <w:p w14:paraId="3A4F885C" w14:textId="77777777" w:rsidR="00C035FA" w:rsidRDefault="008D5756">
      <w:pPr>
        <w:pStyle w:val="Heading2"/>
        <w:spacing w:line="240" w:lineRule="auto"/>
        <w:rPr>
          <w:color w:val="000000" w:themeColor="text1"/>
          <w:szCs w:val="24"/>
        </w:rPr>
      </w:pPr>
      <w:bookmarkStart w:id="58" w:name="_Toc139366842"/>
      <w:r>
        <w:rPr>
          <w:color w:val="000000" w:themeColor="text1"/>
          <w:szCs w:val="24"/>
        </w:rPr>
        <w:t>Введение и резюме</w:t>
      </w:r>
      <w:bookmarkEnd w:id="58"/>
    </w:p>
    <w:p w14:paraId="47F79BB1" w14:textId="2049882D" w:rsidR="005574F0" w:rsidRDefault="005574F0" w:rsidP="005574F0">
      <w:pPr>
        <w:spacing w:after="0" w:line="240" w:lineRule="auto"/>
        <w:ind w:firstLine="709"/>
      </w:pPr>
      <w:bookmarkStart w:id="59" w:name="_Hlk54871378"/>
      <w:bookmarkStart w:id="60" w:name="_Toc92645858"/>
      <w:bookmarkStart w:id="61" w:name="_Toc484199231"/>
      <w:r w:rsidRPr="00FF7A78">
        <w:rPr>
          <w:rFonts w:eastAsia="Times New Roman"/>
          <w:color w:val="000000" w:themeColor="text1"/>
        </w:rPr>
        <w:t xml:space="preserve">Так как препарат </w:t>
      </w:r>
      <w:r w:rsidR="00FF7A78" w:rsidRPr="00FF7A78">
        <w:rPr>
          <w:lang w:val="en-US" w:eastAsia="ru-RU"/>
        </w:rPr>
        <w:t>DT</w:t>
      </w:r>
      <w:r w:rsidR="00FF7A78" w:rsidRPr="00FF7A78">
        <w:rPr>
          <w:lang w:eastAsia="ru-RU"/>
        </w:rPr>
        <w:t>-</w:t>
      </w:r>
      <w:r w:rsidR="00FF7A78" w:rsidRPr="00FF7A78">
        <w:rPr>
          <w:lang w:val="en-US" w:eastAsia="ru-RU"/>
        </w:rPr>
        <w:t>EMP</w:t>
      </w:r>
      <w:r w:rsidR="00FF7A78" w:rsidRPr="00FF7A78">
        <w:rPr>
          <w:lang w:eastAsia="ru-RU"/>
        </w:rPr>
        <w:t xml:space="preserve"> </w:t>
      </w:r>
      <w:r w:rsidRPr="00FF7A78">
        <w:rPr>
          <w:rFonts w:eastAsia="Times New Roman"/>
        </w:rPr>
        <w:t xml:space="preserve">(АО «Р-Фарм», Россия) представляет собой воспроизведенный препарат </w:t>
      </w:r>
      <w:r w:rsidR="00FF7A78" w:rsidRPr="00FF7A78">
        <w:t>эмпаглифлозина</w:t>
      </w:r>
      <w:r w:rsidRPr="00FF7A78">
        <w:rPr>
          <w:rFonts w:eastAsia="Times New Roman"/>
        </w:rPr>
        <w:t xml:space="preserve">, который </w:t>
      </w:r>
      <w:r w:rsidRPr="00FF7A78">
        <w:rPr>
          <w:color w:val="000000"/>
        </w:rPr>
        <w:t xml:space="preserve">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00FF7A78" w:rsidRPr="00FF7A78">
        <w:rPr>
          <w:color w:val="000000"/>
        </w:rPr>
        <w:t>эмпаглифлозина</w:t>
      </w:r>
      <w:r w:rsidRPr="00FF7A78">
        <w:rPr>
          <w:color w:val="000000"/>
        </w:rPr>
        <w:t xml:space="preserve"> </w:t>
      </w:r>
      <w:r w:rsidR="00FF7A78" w:rsidRPr="00FF7A78">
        <w:rPr>
          <w:color w:val="000000" w:themeColor="text1"/>
        </w:rPr>
        <w:t>Джардинс</w:t>
      </w:r>
      <w:r w:rsidRPr="00FF7A78">
        <w:rPr>
          <w:color w:val="000000" w:themeColor="text1"/>
          <w:vertAlign w:val="superscript"/>
        </w:rPr>
        <w:t>®</w:t>
      </w:r>
      <w:r w:rsidRPr="00FF7A78">
        <w:rPr>
          <w:color w:val="000000" w:themeColor="text1"/>
        </w:rPr>
        <w:t xml:space="preserve">, таблетки, </w:t>
      </w:r>
      <w:r w:rsidR="00FF7A78" w:rsidRPr="00FF7A78">
        <w:rPr>
          <w:color w:val="000000" w:themeColor="text1"/>
        </w:rPr>
        <w:t>10 и 2</w:t>
      </w:r>
      <w:r w:rsidRPr="00FF7A78">
        <w:rPr>
          <w:color w:val="000000" w:themeColor="text1"/>
        </w:rPr>
        <w:t>5 мг (</w:t>
      </w:r>
      <w:r w:rsidR="00FF7A78" w:rsidRPr="00FF7A78">
        <w:rPr>
          <w:lang w:eastAsia="ru-RU"/>
        </w:rPr>
        <w:t>Берингер Ингельхайм Интернешнл ГмбХ, Германия</w:t>
      </w:r>
      <w:r w:rsidRPr="00FF7A78">
        <w:rPr>
          <w:color w:val="000000" w:themeColor="text1"/>
        </w:rPr>
        <w:t>)</w:t>
      </w:r>
      <w:r w:rsidRPr="00FF7A78">
        <w:t>, ожидается, что его свойства</w:t>
      </w:r>
      <w:r w:rsidRPr="00FF7A78">
        <w:rPr>
          <w:rFonts w:eastAsia="Times New Roman"/>
        </w:rPr>
        <w:t xml:space="preserve"> будут идентичны свойствам оригинального препарата. </w:t>
      </w:r>
      <w:bookmarkEnd w:id="59"/>
      <w:r w:rsidRPr="00FF7A78">
        <w:t xml:space="preserve">Для прогнозирования токсического действия, планируемого к регистрации и коммерческому выпуску препарата </w:t>
      </w:r>
      <w:r w:rsidR="00FF7A78" w:rsidRPr="00FF7A78">
        <w:rPr>
          <w:lang w:val="en-US" w:eastAsia="ru-RU"/>
        </w:rPr>
        <w:t>DT</w:t>
      </w:r>
      <w:r w:rsidR="00FF7A78" w:rsidRPr="00FF7A78">
        <w:rPr>
          <w:lang w:eastAsia="ru-RU"/>
        </w:rPr>
        <w:t>-</w:t>
      </w:r>
      <w:r w:rsidR="00FF7A78" w:rsidRPr="00FF7A78">
        <w:rPr>
          <w:lang w:val="en-US" w:eastAsia="ru-RU"/>
        </w:rPr>
        <w:t>EMP</w:t>
      </w:r>
      <w:r w:rsidR="00FF7A78" w:rsidRPr="00FF7A78">
        <w:rPr>
          <w:lang w:eastAsia="ru-RU"/>
        </w:rPr>
        <w:t xml:space="preserve"> </w:t>
      </w:r>
      <w:r w:rsidRPr="00FF7A78">
        <w:t xml:space="preserve">были проанализированы данные исследований по изучению фармакологии и токсикологии оригинального препарата </w:t>
      </w:r>
      <w:r w:rsidR="0095254F">
        <w:t>эмпаглифлозина</w:t>
      </w:r>
      <w:r w:rsidRPr="00FF7A78">
        <w:t xml:space="preserve">. Поскольку лекарственный препарат </w:t>
      </w:r>
      <w:r w:rsidR="00FF7A78" w:rsidRPr="00FF7A78">
        <w:rPr>
          <w:lang w:val="en-US" w:eastAsia="ru-RU"/>
        </w:rPr>
        <w:t>DT</w:t>
      </w:r>
      <w:r w:rsidR="00FF7A78" w:rsidRPr="00FF7A78">
        <w:rPr>
          <w:lang w:eastAsia="ru-RU"/>
        </w:rPr>
        <w:t>-</w:t>
      </w:r>
      <w:r w:rsidR="00FF7A78" w:rsidRPr="00FF7A78">
        <w:rPr>
          <w:lang w:val="en-US" w:eastAsia="ru-RU"/>
        </w:rPr>
        <w:t>EMP</w:t>
      </w:r>
      <w:r w:rsidR="00FF7A78" w:rsidRPr="00FF7A78">
        <w:rPr>
          <w:lang w:eastAsia="ru-RU"/>
        </w:rPr>
        <w:t xml:space="preserve"> </w:t>
      </w:r>
      <w:r w:rsidRPr="00FF7A78">
        <w:t>является воспроизведенным препаратом, собственные доклинические исследования не проводились.</w:t>
      </w:r>
    </w:p>
    <w:p w14:paraId="5FD59AC0" w14:textId="77777777" w:rsidR="00C035FA" w:rsidRDefault="008D5756">
      <w:pPr>
        <w:autoSpaceDE w:val="0"/>
        <w:autoSpaceDN w:val="0"/>
        <w:adjustRightInd w:val="0"/>
        <w:spacing w:after="0" w:line="240" w:lineRule="auto"/>
        <w:ind w:firstLine="708"/>
        <w:rPr>
          <w:bCs/>
          <w:color w:val="000000" w:themeColor="text1"/>
          <w:lang w:bidi="ru-RU"/>
        </w:rPr>
      </w:pPr>
      <w:r>
        <w:rPr>
          <w:bCs/>
          <w:color w:val="000000" w:themeColor="text1"/>
          <w:lang w:bidi="ru-RU"/>
        </w:rPr>
        <w:t xml:space="preserve">Программа фармакологических исследований </w:t>
      </w:r>
      <w:r>
        <w:t>эмпаглифлозина</w:t>
      </w:r>
      <w:r>
        <w:rPr>
          <w:bCs/>
          <w:color w:val="000000" w:themeColor="text1"/>
          <w:lang w:bidi="ru-RU"/>
        </w:rPr>
        <w:t xml:space="preserve"> включала исследования первичной фармакодинамики, вторичной фармакодинамики.</w:t>
      </w:r>
    </w:p>
    <w:bookmarkEnd w:id="60"/>
    <w:bookmarkEnd w:id="61"/>
    <w:p w14:paraId="209EAF43" w14:textId="77777777" w:rsidR="00C035FA" w:rsidRDefault="008D5756">
      <w:pPr>
        <w:autoSpaceDE w:val="0"/>
        <w:autoSpaceDN w:val="0"/>
        <w:adjustRightInd w:val="0"/>
        <w:spacing w:after="0" w:line="240" w:lineRule="auto"/>
        <w:ind w:firstLine="708"/>
      </w:pPr>
      <w:r>
        <w:t xml:space="preserve">Эмпаглифлозин является обратимым, высокоактивным, селективным и конкурентным ингибитором SGLT2. Механизм действия данного препарата основан на ингибировании белка SGLT2, ответственного за реабсорбцию глюкозы в проксимальных канальцах почек, где происходит 90% реабсорбции глюкозы. </w:t>
      </w:r>
      <w:bookmarkStart w:id="62" w:name="_Hlk130999604"/>
      <w:r>
        <w:t xml:space="preserve">При ингибировании этого белка возникает искусственная глюкозурия, что и обеспечивает гипогликемический эффект. </w:t>
      </w:r>
      <w:bookmarkStart w:id="63" w:name="_Hlk130999628"/>
      <w:bookmarkEnd w:id="62"/>
      <w:r>
        <w:t>С учетом инсулиннезависимого сахароснижающего действия эмпаглифлозин не вызывает гипогликемии, а, кроме того, обладает умеренным положительным влиянием на артериальное давление, вес, демонстрирует урикозурический эффект и повышает осмотический диурез.</w:t>
      </w:r>
      <w:bookmarkEnd w:id="63"/>
    </w:p>
    <w:p w14:paraId="02B66C51" w14:textId="77777777" w:rsidR="00C035FA" w:rsidRDefault="008D5756">
      <w:pPr>
        <w:spacing w:after="0" w:line="240" w:lineRule="auto"/>
        <w:ind w:firstLine="720"/>
        <w:rPr>
          <w:szCs w:val="28"/>
          <w:lang w:eastAsia="zh-CN"/>
        </w:rPr>
      </w:pPr>
      <w:r>
        <w:rPr>
          <w:szCs w:val="28"/>
          <w:lang w:eastAsia="zh-CN"/>
        </w:rPr>
        <w:t xml:space="preserve">Эмпаглифлозин является селективным ингибитором натрийзависимого переносчика глюкозы 2-го типа (SGLT2), который непосредственно участвует в реабсорбции глюкозы в почках. Клетки эмбриональной почки человека (HEK293) стабильно трансфицировали кДНК человека (h) SGLT1 или hSGTL2 соответственно, используя для измерения поглощения глюкозы аналог </w:t>
      </w:r>
      <w:r>
        <w:rPr>
          <w:szCs w:val="28"/>
          <w:vertAlign w:val="superscript"/>
          <w:lang w:eastAsia="zh-CN"/>
        </w:rPr>
        <w:t>14</w:t>
      </w:r>
      <w:r>
        <w:rPr>
          <w:szCs w:val="28"/>
          <w:lang w:eastAsia="zh-CN"/>
        </w:rPr>
        <w:t>C-альфа-метил-глюкопиранозида (</w:t>
      </w:r>
      <w:r>
        <w:rPr>
          <w:szCs w:val="28"/>
          <w:vertAlign w:val="superscript"/>
          <w:lang w:eastAsia="zh-CN"/>
        </w:rPr>
        <w:t>14</w:t>
      </w:r>
      <w:r>
        <w:rPr>
          <w:szCs w:val="28"/>
          <w:lang w:eastAsia="zh-CN"/>
        </w:rPr>
        <w:t xml:space="preserve">C-AMG). Было обнаружено, что эмпаглифлозин способен ингибировать hSGLT1 или hSGLT2-опосредованный транспорт </w:t>
      </w:r>
      <w:r>
        <w:rPr>
          <w:szCs w:val="28"/>
          <w:vertAlign w:val="superscript"/>
          <w:lang w:eastAsia="zh-CN"/>
        </w:rPr>
        <w:t>14</w:t>
      </w:r>
      <w:r>
        <w:rPr>
          <w:szCs w:val="28"/>
          <w:lang w:eastAsia="zh-CN"/>
        </w:rPr>
        <w:t>C-AMG с IC50 6278 или 1,3 нмоль/л соответственно, демонстрируя тем самым высокую активность и 4829-кратную селективность в отношении ингибирования hSGLT2.</w:t>
      </w:r>
    </w:p>
    <w:p w14:paraId="2B662423" w14:textId="77777777" w:rsidR="00C035FA" w:rsidRDefault="008D5756">
      <w:pPr>
        <w:spacing w:after="0" w:line="240" w:lineRule="auto"/>
        <w:ind w:firstLine="708"/>
        <w:rPr>
          <w:rFonts w:eastAsia="Times New Roman"/>
          <w:shd w:val="clear" w:color="auto" w:fill="FFFFFF"/>
        </w:rPr>
      </w:pPr>
      <w:r>
        <w:rPr>
          <w:lang w:eastAsia="ru-RU"/>
        </w:rPr>
        <w:t>Эмпаглифлозин продемонстрировал низкую токсичность. LD</w:t>
      </w:r>
      <w:r>
        <w:rPr>
          <w:vertAlign w:val="subscript"/>
          <w:lang w:eastAsia="ru-RU"/>
        </w:rPr>
        <w:t>50</w:t>
      </w:r>
      <w:r>
        <w:rPr>
          <w:lang w:eastAsia="ru-RU"/>
        </w:rPr>
        <w:t xml:space="preserve"> эмпаглифлозина у мышей и крыс превышала 2000 мг/кг</w:t>
      </w:r>
      <w:r>
        <w:rPr>
          <w:shd w:val="clear" w:color="auto" w:fill="FFFFFF"/>
        </w:rPr>
        <w:t xml:space="preserve">. </w:t>
      </w:r>
      <w:r>
        <w:t xml:space="preserve">В долгосрочных исследованиях токсичности у грызунов и собак признаки токсичности наблюдались при более высоких дозах, что соответствует 10-кратному увеличению клинической дозы эмпаглифлозина 25 мг для человека на основе AUC. Большая часть токсичности соответствовала вторичной фармакологии, связанной с потерей глюкозы с мочой и дисбалансом электролитов, включая снижение массы тела и жировых отложений, повышенное потребление пищи, диарея, обезвоживание, снижение уровня глюкозы в сыворотке крови и увеличение других параметров сыворотки, отражающих повышенный белковый обмен и глюконеогенез, </w:t>
      </w:r>
      <w:r>
        <w:lastRenderedPageBreak/>
        <w:t xml:space="preserve">изменения мочи, такие как полиурия и глюкозурия, и микроскопические изменения, включая минерализацию в почках. Микроскопические признаки воздействия на почки, наблюдаемые у некоторых видов, включали дилатацию канальцев и тубулярную и тазовую минерализацию, что примерно в 4 раза выше клинической экспозиции эмпаглифлозина в дозе 25 мг. Эмпаглифлозин не генотоксичен. </w:t>
      </w:r>
      <w:r>
        <w:rPr>
          <w:rFonts w:eastAsia="Times New Roman"/>
          <w:shd w:val="clear" w:color="auto" w:fill="FFFFFF"/>
        </w:rPr>
        <w:t xml:space="preserve">Не отмечено генотоксического, канцерогенного и тератогенного потенциала. Не выявлено влияния на фертильность. </w:t>
      </w:r>
    </w:p>
    <w:p w14:paraId="08851BDA" w14:textId="77777777" w:rsidR="00C035FA" w:rsidRDefault="00C035FA">
      <w:pPr>
        <w:tabs>
          <w:tab w:val="left" w:pos="1290"/>
        </w:tabs>
        <w:spacing w:after="0" w:line="240" w:lineRule="auto"/>
        <w:ind w:firstLine="709"/>
        <w:rPr>
          <w:rFonts w:eastAsia="Times New Roman"/>
          <w:szCs w:val="28"/>
          <w:highlight w:val="yellow"/>
          <w:shd w:val="clear" w:color="auto" w:fill="FFFFFF"/>
        </w:rPr>
      </w:pPr>
    </w:p>
    <w:p w14:paraId="758A2919" w14:textId="77777777" w:rsidR="00C035FA" w:rsidRDefault="008D5756">
      <w:pPr>
        <w:pStyle w:val="Heading2"/>
        <w:tabs>
          <w:tab w:val="left" w:pos="284"/>
          <w:tab w:val="left" w:pos="567"/>
        </w:tabs>
        <w:spacing w:before="0" w:line="240" w:lineRule="auto"/>
        <w:rPr>
          <w:color w:val="000000" w:themeColor="text1"/>
        </w:rPr>
      </w:pPr>
      <w:bookmarkStart w:id="64" w:name="_Toc139366843"/>
      <w:r>
        <w:rPr>
          <w:color w:val="000000" w:themeColor="text1"/>
        </w:rPr>
        <w:t>3.1 Доклиническая фармакология</w:t>
      </w:r>
      <w:bookmarkEnd w:id="64"/>
    </w:p>
    <w:p w14:paraId="5057990B" w14:textId="77777777" w:rsidR="00C035FA" w:rsidRDefault="008D5756">
      <w:pPr>
        <w:pStyle w:val="Heading3"/>
        <w:spacing w:after="240" w:line="240" w:lineRule="auto"/>
        <w:rPr>
          <w:rFonts w:ascii="Times New Roman" w:hAnsi="Times New Roman"/>
          <w:color w:val="000000" w:themeColor="text1"/>
          <w:szCs w:val="24"/>
        </w:rPr>
      </w:pPr>
      <w:bookmarkStart w:id="65" w:name="_Toc139366844"/>
      <w:r>
        <w:rPr>
          <w:rFonts w:ascii="Times New Roman" w:hAnsi="Times New Roman"/>
          <w:color w:val="000000" w:themeColor="text1"/>
          <w:szCs w:val="24"/>
        </w:rPr>
        <w:t>3.1.1. Механизм действия</w:t>
      </w:r>
      <w:bookmarkEnd w:id="65"/>
    </w:p>
    <w:p w14:paraId="4B9729AA" w14:textId="77777777" w:rsidR="00C035FA" w:rsidRDefault="008D5756">
      <w:pPr>
        <w:spacing w:after="0" w:line="240" w:lineRule="auto"/>
        <w:ind w:firstLine="709"/>
        <w:rPr>
          <w:rFonts w:eastAsia="Times New Roman"/>
          <w:shd w:val="clear" w:color="auto" w:fill="FFFFFF"/>
        </w:rPr>
      </w:pPr>
      <w:bookmarkStart w:id="66" w:name="_Toc499821138"/>
      <w:bookmarkStart w:id="67" w:name="_Toc505020000"/>
      <w:r>
        <w:rPr>
          <w:rFonts w:eastAsia="Times New Roman"/>
          <w:shd w:val="clear" w:color="auto" w:fill="FFFFFF"/>
        </w:rPr>
        <w:t>Эмпаглифлозин относится к новому классу сахароснижающих препаратов под названием «глифлозины».</w:t>
      </w:r>
    </w:p>
    <w:p w14:paraId="01264377" w14:textId="5D71DA3F" w:rsidR="00C035FA" w:rsidRDefault="008D5756">
      <w:pPr>
        <w:spacing w:after="0" w:line="240" w:lineRule="auto"/>
        <w:ind w:firstLine="709"/>
      </w:pPr>
      <w:r>
        <w:t>Глифлозины ингибируют SGLT2 транспортеры и вызывают уменьшение реабсорбции натрия и глюкозы из просвета проксимального почечного канальца, глюкозурию и последующее снижение гликемии. Общие эффекты препаратов этой группы обусловлены развитием постоянной глюкозурии и умеренного осмотического диуреза. С мочой выводится около 60-90 г глюкозы в сутки, что создает энергодефицит около 300 ккал. Сопутствующая потеря воды по данным клинических исследований составляет около 375 мл (соответствует приблизительно 1,5 дополнительным мочеиспусканиям в сутки) [</w:t>
      </w:r>
      <w:r w:rsidR="001369A9">
        <w:t>1</w:t>
      </w:r>
      <w:r>
        <w:t>]. Глюкозурический эффект наступает сразу, а глюкоза при приеме этих препаратов постоянно определяется в моче. При применении глифлозинов ингибируется не более 30-50% реабсорбции глюкозы, что приводит к средней потере с мочой 60-80 г глюкозы в сутки, тогда как при генетической мутации SGLT2 выведение глюкозы с мочой может значительно превышать 100 г/сут. В качестве возможных причин ускользания эффекта рассматриваются компенсаторное повышение активности SGLT1 транспортеров, насыщение механизмов ренальной секреции глифлозинов, возможность существования некоего количества SGLT2, проксимальнее места секреции глифлозинов в канальце, и др. [</w:t>
      </w:r>
      <w:r w:rsidR="001369A9">
        <w:t>2</w:t>
      </w:r>
      <w:r>
        <w:t>].</w:t>
      </w:r>
    </w:p>
    <w:p w14:paraId="33F6E481" w14:textId="24ECFE57" w:rsidR="00C035FA" w:rsidRDefault="008D5756">
      <w:pPr>
        <w:spacing w:after="0" w:line="240" w:lineRule="auto"/>
        <w:ind w:firstLine="709"/>
        <w:rPr>
          <w:highlight w:val="yellow"/>
        </w:rPr>
      </w:pPr>
      <w:r>
        <w:rPr>
          <w:color w:val="000000"/>
        </w:rPr>
        <w:t>Эмпаглифлозин снижает уровень глюкозы в крови, предотвращая реабсорбцию глюкозы в почках, тем самым увеличивая количество глюкозы, выводимой с мочой [</w:t>
      </w:r>
      <w:r w:rsidR="001369A9">
        <w:rPr>
          <w:color w:val="000000"/>
        </w:rPr>
        <w:t>3,4</w:t>
      </w:r>
      <w:r>
        <w:rPr>
          <w:color w:val="000000"/>
        </w:rPr>
        <w:t>].</w:t>
      </w:r>
    </w:p>
    <w:p w14:paraId="21A8EC27" w14:textId="5DC7D1BE" w:rsidR="00C035FA" w:rsidRDefault="008D5756">
      <w:pPr>
        <w:spacing w:after="0" w:line="240" w:lineRule="auto"/>
        <w:ind w:firstLine="709"/>
      </w:pPr>
      <w:r>
        <w:t>В ряде работ изучены эффекты эмпаглифлозина на структурные и функциональные изменения в почках в моделях СД1. В модели аутоиммунного СД1, у мышей линии Akita Ins2+/C96Y, эмпаглифлозин увеличивал экскрецию глюкозы, снижал уровень гликемии, инсулина плазмы, систолического АД и гематокрита. Применение эмпаглифлозина предотвращало развитие клубочковой гиперфильтрации и уменьшало соотношение АКМ. У животных, получавших эмпаглифлозин, в сравнении с группой плацебо наблюдалась менее выраженная почечная и гломерулярная гипертрофия, в почках снижалось содержание провоспалительных медиаторов, таких как NFκΒ, MCP-1, IL-6 и др. [</w:t>
      </w:r>
      <w:r w:rsidR="001369A9">
        <w:t>5</w:t>
      </w:r>
      <w:r>
        <w:t>].</w:t>
      </w:r>
    </w:p>
    <w:p w14:paraId="6878577D" w14:textId="6A1EAF3C" w:rsidR="00C035FA" w:rsidRDefault="008D5756">
      <w:pPr>
        <w:spacing w:after="0" w:line="240" w:lineRule="auto"/>
        <w:ind w:firstLine="709"/>
      </w:pPr>
      <w:r>
        <w:t>На фоне применения эмпаглифлозина у крыс линии CRHD (модель СД2 и гипертонической болезни) наблюдалось уменьшение выраженности снижения экспрессии нефрина в клубочках и уменьшение протеинурии при снижении уровня гликемии и АД [</w:t>
      </w:r>
      <w:r w:rsidR="001369A9">
        <w:t>6</w:t>
      </w:r>
      <w:r>
        <w:t xml:space="preserve">]. </w:t>
      </w:r>
    </w:p>
    <w:p w14:paraId="6BC14B42" w14:textId="6A4F20FD" w:rsidR="00C035FA" w:rsidRDefault="008D5756">
      <w:pPr>
        <w:spacing w:after="0" w:line="240" w:lineRule="auto"/>
        <w:ind w:firstLine="709"/>
        <w:rPr>
          <w:b/>
          <w:i/>
        </w:rPr>
      </w:pPr>
      <w:r>
        <w:t>Воздействие эмпаглифлозина на углеводный обмен, по-видимому, не ограничивается влиянием на реабсорбцию глюкозы. С помощью эугликемического-гипергликемического клэмпа у мышей линии db/db (модель СД2) продемонстрировано увеличение захвата глюкозы почками, а также уменьшение продукции глюкозы в печени и почках под влиянием эмпаглифлозина [</w:t>
      </w:r>
      <w:r w:rsidR="001369A9">
        <w:t>7</w:t>
      </w:r>
      <w:r>
        <w:t xml:space="preserve">]. В почках мышей линии Akita Ins2+/C96Y </w:t>
      </w:r>
      <w:r>
        <w:lastRenderedPageBreak/>
        <w:t>выявлено уменьшение экспрессии фермента глюконеогенеза фосфоенолпируваткарбоксилазы при введении эмпаглифлозина [</w:t>
      </w:r>
      <w:r w:rsidR="001369A9">
        <w:t>5</w:t>
      </w:r>
      <w:r>
        <w:t xml:space="preserve">, </w:t>
      </w:r>
      <w:r w:rsidR="001369A9">
        <w:t>8</w:t>
      </w:r>
      <w:r>
        <w:t>].</w:t>
      </w:r>
    </w:p>
    <w:p w14:paraId="71711A42" w14:textId="7091CF6A" w:rsidR="00C035FA" w:rsidRDefault="008D5756">
      <w:pPr>
        <w:spacing w:after="0" w:line="240" w:lineRule="auto"/>
        <w:ind w:firstLine="709"/>
      </w:pPr>
      <w:r>
        <w:t>Первоначальные опасения по поводу возможности усугубления диабетической нефропатии (ДН) на фоне применения ингибиторов SGLT2 не получили доказательств в экспериментальных исследованиях. Нефротоксичность эмпаглифлозина в виде повреждения почечных канальцев у мышей наблюдалась только при длительном (в течение двух лет) применении препарата в сверхвысоких дозах (1000 мг/кг в сутки) [</w:t>
      </w:r>
      <w:r w:rsidR="001369A9">
        <w:t>9</w:t>
      </w:r>
      <w:r>
        <w:t>].</w:t>
      </w:r>
    </w:p>
    <w:p w14:paraId="1B095CC6" w14:textId="15984B84" w:rsidR="00C035FA" w:rsidRDefault="008D5756">
      <w:pPr>
        <w:spacing w:after="0" w:line="240" w:lineRule="auto"/>
        <w:ind w:firstLine="709"/>
      </w:pPr>
      <w:r>
        <w:t xml:space="preserve">Напротив, в ряде работ показано благоприятное влияние эмпаглифлозина на структурно-функциональные изменения в почках при СД. В условиях </w:t>
      </w:r>
      <w:r>
        <w:rPr>
          <w:i/>
          <w:iCs/>
        </w:rPr>
        <w:t>in vitro</w:t>
      </w:r>
      <w:r>
        <w:t xml:space="preserve"> показано, что эмпаглифлозин тормозит синтез профиброгенных и воспалительных факторов, имеющих ключевое значение в патогенезе ДН. При воздействии эмпаглифлозина на культуру иммортализованных клеток почек человека HK-2, инкубируемую в условиях глюкозотоксичности, наблюдалось снижение гиперэкспрессии TLR4 (толл-подобный рецептор 4), секреции IL-6, экспрессии коллагена IV типа, NF-κΒ связывающей и AP1-связывающей активности (NF-κΒ (ядерный фактор κΒ) и AP-1 (активирующий белок 1) – транскрипционные факторы, влияющие на экспрессию ряда провоспалительных и профибротических факторов) [</w:t>
      </w:r>
      <w:r w:rsidR="001369A9">
        <w:t>10</w:t>
      </w:r>
      <w:r>
        <w:t>].</w:t>
      </w:r>
    </w:p>
    <w:p w14:paraId="5138E914" w14:textId="01203914" w:rsidR="00C035FA" w:rsidRDefault="008D5756">
      <w:pPr>
        <w:spacing w:after="0" w:line="240" w:lineRule="auto"/>
        <w:ind w:firstLine="709"/>
      </w:pPr>
      <w:r>
        <w:t>Применение эмпаглифлозина у мышей ob/ob (модель ожирения и СД2) уменьшало клубочковую гипертрофию и экспансию мезангия и приводило к более низким значениям соотношения экскреции альбумин/креатинин в моче (АКМ) в сравнении с группой плацебо. У животных, получавших эмпаглифлозин, наблюдался более низкий уровень экспрессии генов провоспалительных факторов: моноцитарного хемоаттрактантного белка-1 (MCP-1), хемокина, экспрессируемого и секретируемого T-клетками при активации (RANTES), и IL-6. Кроме того, группа животных, получавших эмпаглифлозин, характеризовалась более низкими значениями систолического артериального давления (АД) и более низким уровнем гликемии. Гипотензивный, гипогликемический и антиальбуминурический эффект сохранялись на фоне длительной подкожной инфузии ангиотензина II [</w:t>
      </w:r>
      <w:r w:rsidR="001369A9">
        <w:t>11</w:t>
      </w:r>
      <w:r>
        <w:t>].</w:t>
      </w:r>
    </w:p>
    <w:p w14:paraId="0F52733E" w14:textId="1449491C" w:rsidR="00C035FA" w:rsidRDefault="008D5756">
      <w:pPr>
        <w:spacing w:after="0" w:line="240" w:lineRule="auto"/>
        <w:ind w:firstLine="709"/>
      </w:pPr>
      <w:r>
        <w:t>Согласно проведенному исследованию применение эмпаглифлозина ассоциировано со снижением уровня альбуминурии и экспрессии маркеров воспаления, уменьшением гипертрофии клубочков и экспансии мезангиального матрикса, однако при введении этим лабораторным животным ангиотензина II сохранялся только антиальбуминурический эффект [</w:t>
      </w:r>
      <w:r w:rsidR="001369A9">
        <w:t>11</w:t>
      </w:r>
      <w:r>
        <w:t>].</w:t>
      </w:r>
    </w:p>
    <w:p w14:paraId="691BD63B" w14:textId="4CADE1B1" w:rsidR="00C035FA" w:rsidRDefault="008D5756">
      <w:pPr>
        <w:spacing w:after="0" w:line="240" w:lineRule="auto"/>
        <w:ind w:firstLine="709"/>
      </w:pPr>
      <w:r>
        <w:t>Введение эмпаглифлозина в модели ожирения и СД2 у мышей db/db снижало уровень гликемии, АД, жесткость аорты, показатель резистентности почечной артерии и замедляло рост альбуминурии [</w:t>
      </w:r>
      <w:r w:rsidR="001369A9">
        <w:t>8</w:t>
      </w:r>
      <w:r>
        <w:t>].</w:t>
      </w:r>
    </w:p>
    <w:p w14:paraId="6BF684ED" w14:textId="33858C20" w:rsidR="00C035FA" w:rsidRDefault="008D5756">
      <w:pPr>
        <w:spacing w:after="0" w:line="240" w:lineRule="auto"/>
        <w:ind w:firstLine="709"/>
      </w:pPr>
      <w:r>
        <w:t>В модели СД2, индуцированного высокожировой и высокоуглеводной диетой у мышей линии C57BL/6, введение эмпаглифлозина приводило к уменьшению выраженности повреждения почечных канальцев и снижению уровня экспрессии компонента инфламмасом криопирина (NLRP3), увеличенного на фоне развития СД. В данном эксперименте наблюдалось также снижение уровня гликемии, уменьшение инсулинорезистентности, снижение массы тела [</w:t>
      </w:r>
      <w:r w:rsidR="001369A9">
        <w:t>12</w:t>
      </w:r>
      <w:r>
        <w:t>].</w:t>
      </w:r>
    </w:p>
    <w:p w14:paraId="6B565CB9" w14:textId="7A81383C" w:rsidR="00C035FA" w:rsidRDefault="008D5756">
      <w:pPr>
        <w:spacing w:after="0" w:line="240" w:lineRule="auto"/>
        <w:ind w:firstLine="709"/>
      </w:pPr>
      <w:r>
        <w:t>Имеются данные о снижении экспрессии генов фибронектина, TGFβ1 и фактора роста соединительной ткани (CTGF) под влиянием эмпаглифлозина в данной модели СД. На фоне комбинации эмпаглифлозина и метформина наблюдалось снижение содержания коллагена IV типа в почках. Однако достоверных различий между группами эмпаглифлозина и плацебо в уровне СКФ, альбуминурии, выраженности фиброза клубочков и интерстиция, а также в уровне экскреции маркеров тубулоинтерстициального повреждения не найдено [1</w:t>
      </w:r>
      <w:r w:rsidR="001369A9">
        <w:t>3</w:t>
      </w:r>
      <w:r>
        <w:t>].</w:t>
      </w:r>
    </w:p>
    <w:p w14:paraId="6B30234F" w14:textId="4EA2BF0B" w:rsidR="00C035FA" w:rsidRDefault="003A4A41">
      <w:pPr>
        <w:spacing w:after="0" w:line="240" w:lineRule="auto"/>
        <w:ind w:firstLine="709"/>
      </w:pPr>
      <w:r>
        <w:lastRenderedPageBreak/>
        <w:t>П</w:t>
      </w:r>
      <w:r w:rsidR="008D5756">
        <w:t>рименение эмпаглифлозина (в отличие от телмисартана) не оказывало нефропротективного действия на мышей с нокаутом гена эндотелиальной синтазы оксида азота (eNOS), индукция СД у которых осуществлялась с помощью введения низких доз стрептозотоцина [1</w:t>
      </w:r>
      <w:r w:rsidR="001369A9">
        <w:t>4</w:t>
      </w:r>
      <w:r w:rsidR="008D5756">
        <w:t>]. У мышей со стрептозотоциновым СД и нокаутированным геном эндотелиальной NO-синтазы (еNOS), эмпаглифлозин не оказывал протективного действия на почки (на основании величины АКМ, СКФ и выраженности гломерулосклероза), дополнительного по отношению к сахароснижающему эффекту [1</w:t>
      </w:r>
      <w:r w:rsidR="001369A9">
        <w:t>4</w:t>
      </w:r>
      <w:r w:rsidR="008D5756">
        <w:t>].</w:t>
      </w:r>
    </w:p>
    <w:p w14:paraId="30C78284" w14:textId="460A97FB" w:rsidR="00C035FA" w:rsidRDefault="003A4A41">
      <w:pPr>
        <w:spacing w:after="0" w:line="240" w:lineRule="auto"/>
        <w:ind w:firstLine="709"/>
      </w:pPr>
      <w:r>
        <w:t>П</w:t>
      </w:r>
      <w:r w:rsidR="008D5756">
        <w:t>рименение эмпаглифлозина у крыс со стрептозотоцин-индуцированным СД приводило к уменьшению экспрессии рецептора конечных продуктов гликирования, а также к снижению экскреции с мочой маркера оксидативного стресса 8-OH-дезоксигуанозина и маркера канальцевого повреждения L-FABP (печёночной формы белка, связывающего жирные кислоты). При этом в данном исследовании сравнительно небольшой продолжительности (4 недели), не наблюдалось антиальбуминурического эффекта ингибирования SGLT2 [1</w:t>
      </w:r>
      <w:r w:rsidR="001369A9">
        <w:t>5</w:t>
      </w:r>
      <w:r w:rsidR="008D5756">
        <w:t>].</w:t>
      </w:r>
    </w:p>
    <w:p w14:paraId="70E6BC52" w14:textId="2D4BB8E1" w:rsidR="00C035FA" w:rsidRDefault="008D5756">
      <w:pPr>
        <w:spacing w:after="0" w:line="240" w:lineRule="auto"/>
        <w:ind w:firstLine="709"/>
      </w:pPr>
      <w:r>
        <w:t>На фоне применения эмпаглифлозина у крыс линии Spraque-Dawley со стрептозотоциновым СД наблюдалось снижение уровня гликемии, уменьшение содержания поздних продуктов гликирования, уменьшалась экскреция с мочой маркеров окислительного стресса и канальцевого повреждения. В почках животных, получавших эмпаглифлозин, зафиксировано снижение экспрессии провоспалительных и фиброгенных факторов: MCP-1, молекул межклеточной адгезии 1 (ICAM-1), ингибитора активации плазминогена-1 (PAI-1), TGFβ1, CTGF, а также SGLT1 до контрольного уровня. Различий в уровне альбуминурии в конце эксперимента у животных, получавших эмпаглифлозин и плацебо, не зафиксировано [1</w:t>
      </w:r>
      <w:r w:rsidR="001369A9">
        <w:t>5</w:t>
      </w:r>
      <w:r>
        <w:t>].</w:t>
      </w:r>
    </w:p>
    <w:p w14:paraId="5ED382BC" w14:textId="2194BED2" w:rsidR="00C035FA" w:rsidRDefault="008D5756">
      <w:pPr>
        <w:spacing w:after="0" w:line="240" w:lineRule="auto"/>
        <w:ind w:firstLine="709"/>
        <w:rPr>
          <w:lang w:eastAsia="zh-CN"/>
        </w:rPr>
      </w:pPr>
      <w:r>
        <w:t>Таким образом, результаты экспериментальных исследований свидетельствуют о снижении гликемии и АД, уменьшении клубочковой гиперфильтрации и гиперэкспрессии провоспалительных и фиброгенных факторов в почках под влиянием эмпаглифлозина. Данные эффекты могут иметь значение для реализации нефропротективного действия данного препарата при СД [</w:t>
      </w:r>
      <w:r w:rsidR="001369A9">
        <w:t>8</w:t>
      </w:r>
      <w:r>
        <w:t>].</w:t>
      </w:r>
    </w:p>
    <w:p w14:paraId="734B4454" w14:textId="6E1B3BF2" w:rsidR="00C035FA" w:rsidRDefault="008D5756">
      <w:pPr>
        <w:spacing w:after="0" w:line="240" w:lineRule="auto"/>
        <w:ind w:firstLine="709"/>
      </w:pPr>
      <w:r>
        <w:t>Еще одним из описанных механизмов действия иНГЛТ2 является их способность влиять на активность мембранных Na</w:t>
      </w:r>
      <w:r>
        <w:rPr>
          <w:vertAlign w:val="superscript"/>
        </w:rPr>
        <w:t>+</w:t>
      </w:r>
      <w:r>
        <w:t>/H</w:t>
      </w:r>
      <w:r>
        <w:rPr>
          <w:vertAlign w:val="superscript"/>
        </w:rPr>
        <w:t>+</w:t>
      </w:r>
      <w:r>
        <w:t>-обменников (NHE) изоформ 1 и 3 [1</w:t>
      </w:r>
      <w:r w:rsidR="001369A9">
        <w:t>6</w:t>
      </w:r>
      <w:r>
        <w:t>]. Повышение активности NHE описано при ХСН и СД2 [1</w:t>
      </w:r>
      <w:r w:rsidR="001369A9">
        <w:t>7</w:t>
      </w:r>
      <w:r>
        <w:t>, 1</w:t>
      </w:r>
      <w:r w:rsidR="001369A9">
        <w:t>8</w:t>
      </w:r>
      <w:r>
        <w:t>].</w:t>
      </w:r>
    </w:p>
    <w:p w14:paraId="29894925" w14:textId="53485303" w:rsidR="00C035FA" w:rsidRDefault="008D5756">
      <w:pPr>
        <w:spacing w:after="0" w:line="240" w:lineRule="auto"/>
        <w:ind w:firstLine="709"/>
      </w:pPr>
      <w:r>
        <w:t>В эксперименте эмпаглифлозин подавлял активность NHE в кардиомиоцитах крыс и кроликов [1</w:t>
      </w:r>
      <w:r w:rsidR="001369A9">
        <w:t>9</w:t>
      </w:r>
      <w:r>
        <w:t xml:space="preserve">]. Подавление активности эмпаглифлозином изоформы 1 NHE на животных моделях сердечной недостаточности (СН) </w:t>
      </w:r>
      <w:r w:rsidR="003A4A41">
        <w:t>с сохраненной</w:t>
      </w:r>
      <w:r>
        <w:t xml:space="preserve"> ФВ, не зависимо от наличия сахарного диабета, снижало явления клеточного апоптоза [</w:t>
      </w:r>
      <w:r w:rsidR="001369A9">
        <w:t>20</w:t>
      </w:r>
      <w:r>
        <w:t>] и улучшало клеточный обмен Са</w:t>
      </w:r>
      <w:r>
        <w:rPr>
          <w:vertAlign w:val="superscript"/>
        </w:rPr>
        <w:t>2+</w:t>
      </w:r>
      <w:r>
        <w:t>, обусловленный повышением активности Са</w:t>
      </w:r>
      <w:r>
        <w:rPr>
          <w:vertAlign w:val="superscript"/>
        </w:rPr>
        <w:t>2+</w:t>
      </w:r>
      <w:r>
        <w:t>-АТФазы саркоплазматического ретикулума с  последующим улучшением диастолической функции ЛЖ [</w:t>
      </w:r>
      <w:r w:rsidR="001369A9">
        <w:t>21</w:t>
      </w:r>
      <w:r>
        <w:t>]. Благоприятное влияние эмпаглифлозина на систолическую функцию и ремоделирование миокарда реализуется через улучшение энергетического метаболизма, повышение выработки глюкагона и кетонового β-гидроксибутирата, увеличивая тем самым энергетические возможности миокарда [2</w:t>
      </w:r>
      <w:r w:rsidR="001369A9">
        <w:t>2</w:t>
      </w:r>
      <w:r>
        <w:t>-2</w:t>
      </w:r>
      <w:r w:rsidR="001369A9">
        <w:t>6</w:t>
      </w:r>
      <w:r>
        <w:t>].</w:t>
      </w:r>
    </w:p>
    <w:p w14:paraId="12C7E962" w14:textId="18A58684" w:rsidR="00C035FA" w:rsidRDefault="008D5756">
      <w:pPr>
        <w:spacing w:after="0" w:line="240" w:lineRule="auto"/>
        <w:ind w:firstLine="709"/>
        <w:rPr>
          <w:lang w:eastAsia="zh-CN"/>
        </w:rPr>
      </w:pPr>
      <w:r>
        <w:rPr>
          <w:lang w:eastAsia="zh-CN"/>
        </w:rPr>
        <w:t>Исследования также показали, что эмпаглифозин снижает массу тела и жировые отложения, связанные с повышенной экскрецией глюкозы на модели животных с ожирением, вызванного диетой [</w:t>
      </w:r>
      <w:r w:rsidR="001369A9">
        <w:rPr>
          <w:lang w:eastAsia="zh-CN"/>
        </w:rPr>
        <w:t>27</w:t>
      </w:r>
      <w:r>
        <w:rPr>
          <w:lang w:eastAsia="zh-CN"/>
        </w:rPr>
        <w:t>], уровень холестерина в плазме и триглицеридов у преддиабетических мышей ob/ob-/- [</w:t>
      </w:r>
      <w:r w:rsidR="001369A9">
        <w:rPr>
          <w:lang w:eastAsia="zh-CN"/>
        </w:rPr>
        <w:t>28</w:t>
      </w:r>
      <w:r>
        <w:rPr>
          <w:lang w:eastAsia="zh-CN"/>
        </w:rPr>
        <w:t>] и снижает артериальное давление примерно на 15 мм.рт.ст. у диабетических гипертензивных крыс Коэна-Розенталя [</w:t>
      </w:r>
      <w:r w:rsidR="001369A9">
        <w:rPr>
          <w:lang w:eastAsia="zh-CN"/>
        </w:rPr>
        <w:t>29</w:t>
      </w:r>
      <w:r>
        <w:rPr>
          <w:lang w:eastAsia="zh-CN"/>
        </w:rPr>
        <w:t>, 3</w:t>
      </w:r>
      <w:r w:rsidR="001369A9">
        <w:rPr>
          <w:lang w:eastAsia="zh-CN"/>
        </w:rPr>
        <w:t>0</w:t>
      </w:r>
      <w:r>
        <w:rPr>
          <w:lang w:eastAsia="zh-CN"/>
        </w:rPr>
        <w:t>].</w:t>
      </w:r>
    </w:p>
    <w:p w14:paraId="1A511F62" w14:textId="1B7BC46E" w:rsidR="00C035FA" w:rsidRDefault="008D5756">
      <w:pPr>
        <w:spacing w:after="0" w:line="240" w:lineRule="auto"/>
        <w:ind w:firstLine="709"/>
        <w:rPr>
          <w:lang w:eastAsia="zh-CN"/>
        </w:rPr>
      </w:pPr>
      <w:r>
        <w:rPr>
          <w:lang w:eastAsia="zh-CN"/>
        </w:rPr>
        <w:t xml:space="preserve">Благоприятное влияние эмпаглифозина на сердце также было отмечено в ранее проведенных исследованиях. Эмпаглифозин уменьшал вес левого желудочка, размеры </w:t>
      </w:r>
      <w:r>
        <w:rPr>
          <w:lang w:eastAsia="zh-CN"/>
        </w:rPr>
        <w:lastRenderedPageBreak/>
        <w:t>кардиомиоцитов, интерстициальный фиброз сердца и инфильтрацию макрофагами у генетически предиабетических крыс с метаболическим синдромом [3</w:t>
      </w:r>
      <w:r w:rsidR="001369A9">
        <w:rPr>
          <w:lang w:eastAsia="zh-CN"/>
        </w:rPr>
        <w:t>1</w:t>
      </w:r>
      <w:r>
        <w:rPr>
          <w:lang w:eastAsia="zh-CN"/>
        </w:rPr>
        <w:t>].</w:t>
      </w:r>
    </w:p>
    <w:p w14:paraId="352DB0B8" w14:textId="1CD54E83" w:rsidR="00C035FA" w:rsidRDefault="008D5756">
      <w:pPr>
        <w:spacing w:after="0" w:line="240" w:lineRule="auto"/>
        <w:ind w:firstLine="709"/>
        <w:rPr>
          <w:lang w:eastAsia="zh-CN"/>
        </w:rPr>
      </w:pPr>
      <w:r>
        <w:rPr>
          <w:lang w:eastAsia="zh-CN"/>
        </w:rPr>
        <w:t xml:space="preserve">Кроме того, </w:t>
      </w:r>
      <w:r w:rsidR="00C802AF">
        <w:t>в исследованиях на крысах</w:t>
      </w:r>
      <w:r>
        <w:rPr>
          <w:lang w:eastAsia="zh-CN"/>
        </w:rPr>
        <w:t xml:space="preserve"> эмпаглифозин сохранял вес легких, улучшал диастолическую дисфункцию и уменьшал гипертрофию миокарда [3</w:t>
      </w:r>
      <w:r w:rsidR="001369A9">
        <w:rPr>
          <w:lang w:eastAsia="zh-CN"/>
        </w:rPr>
        <w:t>2</w:t>
      </w:r>
      <w:r>
        <w:rPr>
          <w:lang w:eastAsia="zh-CN"/>
        </w:rPr>
        <w:t>].</w:t>
      </w:r>
    </w:p>
    <w:p w14:paraId="34E14C93" w14:textId="5239C093" w:rsidR="00C035FA" w:rsidRDefault="008D5756">
      <w:pPr>
        <w:spacing w:after="0" w:line="240" w:lineRule="auto"/>
        <w:ind w:firstLine="709"/>
        <w:rPr>
          <w:lang w:eastAsia="zh-CN"/>
        </w:rPr>
      </w:pPr>
      <w:r>
        <w:rPr>
          <w:lang w:eastAsia="zh-CN"/>
        </w:rPr>
        <w:t>Экспериментальные исследования также показали, что эмпаглифозин улучшает эндотелийзависимую релаксацию при диабете, индуцированном стрептозотоцином, у крыс и диабетических крыс Zucker с диабетом [3</w:t>
      </w:r>
      <w:r w:rsidR="001369A9">
        <w:rPr>
          <w:lang w:eastAsia="zh-CN"/>
        </w:rPr>
        <w:t>3</w:t>
      </w:r>
      <w:r>
        <w:rPr>
          <w:lang w:eastAsia="zh-CN"/>
        </w:rPr>
        <w:t>, 3</w:t>
      </w:r>
      <w:r w:rsidR="001369A9">
        <w:rPr>
          <w:lang w:eastAsia="zh-CN"/>
        </w:rPr>
        <w:t>4</w:t>
      </w:r>
      <w:r>
        <w:rPr>
          <w:lang w:eastAsia="zh-CN"/>
        </w:rPr>
        <w:t>].</w:t>
      </w:r>
    </w:p>
    <w:p w14:paraId="4243730D" w14:textId="17F76569" w:rsidR="00C035FA" w:rsidRDefault="008D5756">
      <w:pPr>
        <w:spacing w:after="0" w:line="240" w:lineRule="auto"/>
        <w:ind w:firstLine="709"/>
        <w:rPr>
          <w:lang w:eastAsia="zh-CN"/>
        </w:rPr>
      </w:pPr>
      <w:r>
        <w:rPr>
          <w:lang w:eastAsia="zh-CN"/>
        </w:rPr>
        <w:t>Дополнительные исследования были проведены с фармакологическим ингибированием SGLT2 на мышах с эугликемией, а также в контрольной группе на моделях мышей с диабетом, используемых в том же исследовании. У мышей линии C57Bl/6 однократное введение эмпаглифлозина значительно снижало колебания уровня глюкозы во время перорального теста на толерантность к глюкозе (ГТТ) в той же степени, что и линаглиптин, ингибитор дипептидилпептидазы 4, а комбинация двух препаратов оказывала более выраженный эффект, чем любой препарат в виде монотерапии [3</w:t>
      </w:r>
      <w:r w:rsidR="001369A9">
        <w:rPr>
          <w:lang w:eastAsia="zh-CN"/>
        </w:rPr>
        <w:t>5</w:t>
      </w:r>
      <w:r>
        <w:rPr>
          <w:lang w:eastAsia="zh-CN"/>
        </w:rPr>
        <w:t>].</w:t>
      </w:r>
    </w:p>
    <w:p w14:paraId="30A196C9" w14:textId="77777777" w:rsidR="00C035FA" w:rsidRDefault="008D5756">
      <w:pPr>
        <w:spacing w:after="0" w:line="240" w:lineRule="auto"/>
        <w:ind w:firstLine="709"/>
        <w:rPr>
          <w:lang w:eastAsia="zh-CN"/>
        </w:rPr>
      </w:pPr>
      <w:r>
        <w:rPr>
          <w:lang w:eastAsia="zh-CN"/>
        </w:rPr>
        <w:t>У мышей дикого типа однократное пероральное введение эмпаглифлозина дозозависимо повышало экскрецию глюкозы с мочой с LD</w:t>
      </w:r>
      <w:r>
        <w:rPr>
          <w:vertAlign w:val="subscript"/>
          <w:lang w:eastAsia="zh-CN"/>
        </w:rPr>
        <w:t>50</w:t>
      </w:r>
      <w:r>
        <w:rPr>
          <w:lang w:eastAsia="zh-CN"/>
        </w:rPr>
        <w:t xml:space="preserve"> 1,2 мг/кг.</w:t>
      </w:r>
    </w:p>
    <w:p w14:paraId="4222676C" w14:textId="01EFC0D7" w:rsidR="00C035FA" w:rsidRDefault="008D5756">
      <w:pPr>
        <w:spacing w:after="0" w:line="240" w:lineRule="auto"/>
        <w:ind w:firstLine="709"/>
        <w:rPr>
          <w:lang w:eastAsia="zh-CN"/>
        </w:rPr>
      </w:pPr>
      <w:r>
        <w:rPr>
          <w:lang w:eastAsia="zh-CN"/>
        </w:rPr>
        <w:t>У нормогликемических диабетических мутантных (db/m) мышей 7-дневное лечение эмпаглифлозином временно снижало уровень глюкозы в крови и вызывало постоянное увеличение 24-часовой экскреции глюкозы с мочой, объема мочи и экскреции натрия, что сопровождалось снижением прибавки массы тела и увеличением потребления воды [3</w:t>
      </w:r>
      <w:r w:rsidR="001369A9">
        <w:rPr>
          <w:lang w:eastAsia="zh-CN"/>
        </w:rPr>
        <w:t>6</w:t>
      </w:r>
      <w:r>
        <w:rPr>
          <w:lang w:eastAsia="zh-CN"/>
        </w:rPr>
        <w:t>]. В конце исследования, когда уровень глюкозы вернулся к исходному уровню, уровень инсулина не изменился.</w:t>
      </w:r>
    </w:p>
    <w:p w14:paraId="3CE6823C" w14:textId="3D975B2C" w:rsidR="00C035FA" w:rsidRDefault="008D5756">
      <w:pPr>
        <w:spacing w:after="0" w:line="240" w:lineRule="auto"/>
        <w:ind w:firstLine="709"/>
        <w:rPr>
          <w:lang w:eastAsia="zh-CN"/>
        </w:rPr>
      </w:pPr>
      <w:r>
        <w:rPr>
          <w:lang w:eastAsia="zh-CN"/>
        </w:rPr>
        <w:t>3-недельное введение эмпаглифлозина повышало концентрацию глюкозы в моче и соотношение глюкоза/креатинин у мышей дикого типа; максимальный эффект наблюдался через 2 дня лечения и сохранялся в течение всего оставшегося периода лечения [</w:t>
      </w:r>
      <w:r w:rsidR="001369A9">
        <w:rPr>
          <w:lang w:eastAsia="zh-CN"/>
        </w:rPr>
        <w:t>37</w:t>
      </w:r>
      <w:r>
        <w:rPr>
          <w:lang w:eastAsia="zh-CN"/>
        </w:rPr>
        <w:t>]. Это характеризовалось увеличением потребления пищи и воды, что приводило лишь к временному снижению уровня глюкозы в крови [</w:t>
      </w:r>
      <w:r w:rsidR="001369A9">
        <w:rPr>
          <w:lang w:eastAsia="zh-CN"/>
        </w:rPr>
        <w:t>38</w:t>
      </w:r>
      <w:r>
        <w:rPr>
          <w:lang w:eastAsia="zh-CN"/>
        </w:rPr>
        <w:t>].</w:t>
      </w:r>
    </w:p>
    <w:p w14:paraId="721F1621" w14:textId="1DFB1CA7" w:rsidR="00C035FA" w:rsidRDefault="008D5756">
      <w:pPr>
        <w:spacing w:after="0" w:line="240" w:lineRule="auto"/>
        <w:ind w:firstLine="709"/>
        <w:rPr>
          <w:lang w:eastAsia="zh-CN"/>
        </w:rPr>
      </w:pPr>
      <w:r>
        <w:rPr>
          <w:lang w:eastAsia="zh-CN"/>
        </w:rPr>
        <w:t>Последующие исследования почечного клиренса показали, что фракционная реабсорбция глюкозы у этих мышей, получавших хроническое лечение, составляла 64%. Данный показатель наблюдался при концентрации свободного эмпаглифлозина в плазме 1–2 нм</w:t>
      </w:r>
      <w:r w:rsidR="00814CEC">
        <w:rPr>
          <w:lang w:eastAsia="zh-CN"/>
        </w:rPr>
        <w:t>оль</w:t>
      </w:r>
      <w:r>
        <w:rPr>
          <w:lang w:eastAsia="zh-CN"/>
        </w:rPr>
        <w:t>, то есть в диапазоне IC</w:t>
      </w:r>
      <w:r>
        <w:rPr>
          <w:vertAlign w:val="subscript"/>
          <w:lang w:eastAsia="zh-CN"/>
        </w:rPr>
        <w:t>50</w:t>
      </w:r>
      <w:r>
        <w:rPr>
          <w:lang w:eastAsia="zh-CN"/>
        </w:rPr>
        <w:t xml:space="preserve"> препарата на его молекулярную мишень. Чтобы определить максимальные эффекты таким мышам сразу же вводили высокую дозу эмпаглифлозина, повышая концентрацию свободного эмпаглифлозина в плазме до 20–22 нм. В результате этого снизилась фракционная реабсорбция глюкозы до 44 %, что было сходно со значениями (36%), зарегистрированными у мышей с нокаутом SGLT2 теми же исследователями [</w:t>
      </w:r>
      <w:r w:rsidR="001369A9">
        <w:rPr>
          <w:lang w:eastAsia="zh-CN"/>
        </w:rPr>
        <w:t>39</w:t>
      </w:r>
      <w:r>
        <w:rPr>
          <w:lang w:eastAsia="zh-CN"/>
        </w:rPr>
        <w:t>, 4</w:t>
      </w:r>
      <w:r w:rsidR="001369A9">
        <w:rPr>
          <w:lang w:eastAsia="zh-CN"/>
        </w:rPr>
        <w:t>0</w:t>
      </w:r>
      <w:r>
        <w:rPr>
          <w:lang w:eastAsia="zh-CN"/>
        </w:rPr>
        <w:t>].</w:t>
      </w:r>
    </w:p>
    <w:p w14:paraId="2DA0E421" w14:textId="13F60D56" w:rsidR="00C035FA" w:rsidRDefault="008D5756">
      <w:pPr>
        <w:spacing w:after="0" w:line="240" w:lineRule="auto"/>
        <w:ind w:firstLine="709"/>
        <w:rPr>
          <w:lang w:eastAsia="zh-CN"/>
        </w:rPr>
      </w:pPr>
      <w:r>
        <w:rPr>
          <w:lang w:eastAsia="zh-CN"/>
        </w:rPr>
        <w:t>В 15-недельном исследовании лечения мышей без диабета эмпаглифлозин повышал экспрессию белка SGLT2 почечной мембраны на 47% и снижал экспрессию SGLT1. Влияние эмпаглифлозина на экспрессию SGLT1 в почках согласуется с данными, полученными у мышей с нокаутом SGLT2 [4</w:t>
      </w:r>
      <w:r w:rsidR="001369A9">
        <w:rPr>
          <w:lang w:eastAsia="zh-CN"/>
        </w:rPr>
        <w:t>1</w:t>
      </w:r>
      <w:r>
        <w:rPr>
          <w:lang w:eastAsia="zh-CN"/>
        </w:rPr>
        <w:t>].</w:t>
      </w:r>
    </w:p>
    <w:p w14:paraId="105C8E72" w14:textId="643EFDB1" w:rsidR="00C035FA" w:rsidRDefault="008D5756">
      <w:pPr>
        <w:spacing w:after="0" w:line="240" w:lineRule="auto"/>
        <w:ind w:firstLine="709"/>
        <w:rPr>
          <w:lang w:eastAsia="zh-CN"/>
        </w:rPr>
      </w:pPr>
      <w:r>
        <w:rPr>
          <w:lang w:eastAsia="zh-CN"/>
        </w:rPr>
        <w:t>Эмпаглифлозин индуцировал устойчивое повышение отношения глюкозы к креатинину в моче и незначительно снижал уровень глюкозы в крови, не влияя на концентрацию инсулина в плазме. Базальная экскреция глюкозы с мочой была умеренно повышена у мышей с нокаутом SGLT1, что составляет примерно 3% отфильтрованной глюкозы [4</w:t>
      </w:r>
      <w:r w:rsidR="007E4296">
        <w:rPr>
          <w:lang w:eastAsia="zh-CN"/>
        </w:rPr>
        <w:t>2</w:t>
      </w:r>
      <w:r>
        <w:rPr>
          <w:lang w:eastAsia="zh-CN"/>
        </w:rPr>
        <w:t>]. У таких мышей эмпаглифлозин дозозависимо повышал экскрецию глюкозы с большей эффективностью (LD</w:t>
      </w:r>
      <w:r>
        <w:rPr>
          <w:vertAlign w:val="subscript"/>
          <w:lang w:eastAsia="zh-CN"/>
        </w:rPr>
        <w:t>50</w:t>
      </w:r>
      <w:r>
        <w:rPr>
          <w:lang w:eastAsia="zh-CN"/>
        </w:rPr>
        <w:t xml:space="preserve"> 0,4 мг/кг) и в большей степени, чем у мышей дикого типа [</w:t>
      </w:r>
      <w:r w:rsidR="001369A9">
        <w:rPr>
          <w:lang w:eastAsia="zh-CN"/>
        </w:rPr>
        <w:t>37</w:t>
      </w:r>
      <w:r>
        <w:rPr>
          <w:lang w:eastAsia="zh-CN"/>
        </w:rPr>
        <w:t>].</w:t>
      </w:r>
    </w:p>
    <w:p w14:paraId="49D177B1" w14:textId="76C5D469" w:rsidR="00C035FA" w:rsidRDefault="008D5756">
      <w:pPr>
        <w:spacing w:after="0" w:line="240" w:lineRule="auto"/>
        <w:ind w:firstLine="709"/>
        <w:rPr>
          <w:lang w:eastAsia="zh-CN"/>
        </w:rPr>
      </w:pPr>
      <w:r>
        <w:rPr>
          <w:lang w:eastAsia="zh-CN"/>
        </w:rPr>
        <w:lastRenderedPageBreak/>
        <w:t>Все эффекты 3-недельного лечения эмпаглифлозином, описанные выше, были усилены у мышей с нокаутом SGLT1, что привело к временному снижению уровня глюкозы в крови и, несмотря на дальнейшее увеличение потребления пищи и жидкости, к потере веса примерно на 3%. Последующие исследования почечного клиренса показали, что увеличение опосредованного SGLT1 поглощения глюкозы объясняет, почему полное ингибирование SGLT2 эмпаглифлозином приводит к экскреции только 50–60% отфильтрованной глюкозы у эугликемических мышей. В отсутствие SGLT1 полное ингибирование SGLT2 (с использованием высоких доз эмпаглифлозина или нокаута SGLT2) полностью устраняло чистую реабсорбцию глюкозы в почках [</w:t>
      </w:r>
      <w:r w:rsidR="007E4296">
        <w:rPr>
          <w:lang w:eastAsia="zh-CN"/>
        </w:rPr>
        <w:t>37</w:t>
      </w:r>
      <w:r>
        <w:rPr>
          <w:lang w:eastAsia="zh-CN"/>
        </w:rPr>
        <w:t>].</w:t>
      </w:r>
    </w:p>
    <w:p w14:paraId="03E997B2" w14:textId="65691AEA" w:rsidR="00C035FA" w:rsidRDefault="008D5756">
      <w:pPr>
        <w:spacing w:after="0" w:line="240" w:lineRule="auto"/>
        <w:ind w:firstLine="709"/>
        <w:rPr>
          <w:lang w:eastAsia="zh-CN"/>
        </w:rPr>
      </w:pPr>
      <w:r>
        <w:rPr>
          <w:lang w:eastAsia="zh-CN"/>
        </w:rPr>
        <w:t>Исследования на эугликемических крысах были в основном ограничены теми, у которых ожирение было вызвано диетой. У таких животных 4-недельное лечение эмпаглифлозином (10 мг/кг/день) увеличивало экскрецию глюкозы с мочой и, в меньшей степени, объем мочи. Ежедневное потребление пищи не изменилось, и наблюдалось лишь незначительное увеличение потребления жидкости. Последующее исследование с аналогичным дизайном в той же группе подтвердило эти эффекты в ответ на эмпаглифлозин, а также продемонстрировало пониженный уровень инсулина в плазме на этой модели животных [</w:t>
      </w:r>
      <w:r w:rsidR="007E4296">
        <w:rPr>
          <w:lang w:eastAsia="zh-CN"/>
        </w:rPr>
        <w:t>38</w:t>
      </w:r>
      <w:r>
        <w:rPr>
          <w:lang w:eastAsia="zh-CN"/>
        </w:rPr>
        <w:t>].</w:t>
      </w:r>
    </w:p>
    <w:p w14:paraId="37E8CCE8" w14:textId="4164A74E" w:rsidR="007E4296" w:rsidRDefault="008D5756" w:rsidP="000C7F59">
      <w:pPr>
        <w:spacing w:after="0" w:line="240" w:lineRule="auto"/>
        <w:ind w:firstLine="709"/>
        <w:rPr>
          <w:lang w:eastAsia="zh-CN"/>
        </w:rPr>
      </w:pPr>
      <w:r>
        <w:rPr>
          <w:lang w:eastAsia="zh-CN"/>
        </w:rPr>
        <w:t>Таким образом, в соответствии с последствиями генетической потери функции SGLT2 у мышей, применение эмпаглифлозина вызывает экскрецию глюкозы с мочой у мышей, крыс и людей, не страдающих диабетом.</w:t>
      </w:r>
    </w:p>
    <w:p w14:paraId="61E6F9F9" w14:textId="6634B416" w:rsidR="00C035FA" w:rsidRDefault="008D5756" w:rsidP="000C7F59">
      <w:pPr>
        <w:pStyle w:val="Heading3"/>
        <w:rPr>
          <w:rFonts w:ascii="Times New Roman" w:hAnsi="Times New Roman"/>
        </w:rPr>
      </w:pPr>
      <w:bookmarkStart w:id="68" w:name="_Toc139366845"/>
      <w:r w:rsidRPr="000C7F59">
        <w:rPr>
          <w:rFonts w:ascii="Times New Roman" w:eastAsia="Times New Roman" w:hAnsi="Times New Roman"/>
          <w:lang w:eastAsia="en-US"/>
        </w:rPr>
        <w:t xml:space="preserve">3.1.2. </w:t>
      </w:r>
      <w:bookmarkEnd w:id="66"/>
      <w:bookmarkEnd w:id="67"/>
      <w:r w:rsidRPr="000C7F59">
        <w:rPr>
          <w:rFonts w:ascii="Times New Roman" w:hAnsi="Times New Roman"/>
        </w:rPr>
        <w:t>Первичная фармакодинамика</w:t>
      </w:r>
      <w:bookmarkEnd w:id="68"/>
    </w:p>
    <w:p w14:paraId="6962975A" w14:textId="77777777" w:rsidR="000C7F59" w:rsidRPr="000C7F59" w:rsidRDefault="000C7F59" w:rsidP="000C7F59">
      <w:pPr>
        <w:pStyle w:val="OT"/>
      </w:pPr>
    </w:p>
    <w:p w14:paraId="7510C01D" w14:textId="77777777" w:rsidR="00C035FA" w:rsidRDefault="008D5756">
      <w:pPr>
        <w:pStyle w:val="Heading4"/>
        <w:spacing w:before="0" w:after="0" w:line="240" w:lineRule="auto"/>
        <w:rPr>
          <w:i/>
          <w:iCs/>
          <w:sz w:val="24"/>
          <w:szCs w:val="24"/>
        </w:rPr>
      </w:pPr>
      <w:bookmarkStart w:id="69" w:name="_Toc139366846"/>
      <w:bookmarkStart w:id="70" w:name="_Hlk521883669"/>
      <w:r>
        <w:rPr>
          <w:rFonts w:ascii="Times New Roman" w:hAnsi="Times New Roman"/>
          <w:color w:val="000000" w:themeColor="text1"/>
          <w:sz w:val="24"/>
          <w:szCs w:val="24"/>
        </w:rPr>
        <w:t xml:space="preserve">3.1.2.1. Первичная фармакодинамика </w:t>
      </w:r>
      <w:r>
        <w:rPr>
          <w:rFonts w:ascii="Times New Roman" w:hAnsi="Times New Roman"/>
          <w:i/>
          <w:color w:val="000000" w:themeColor="text1"/>
          <w:sz w:val="24"/>
          <w:szCs w:val="24"/>
        </w:rPr>
        <w:t>in vitro</w:t>
      </w:r>
      <w:bookmarkEnd w:id="69"/>
    </w:p>
    <w:p w14:paraId="7835AEDB" w14:textId="77777777" w:rsidR="00C649F4" w:rsidRDefault="00C649F4">
      <w:pPr>
        <w:spacing w:after="0" w:line="240" w:lineRule="auto"/>
        <w:ind w:firstLine="720"/>
        <w:rPr>
          <w:lang w:eastAsia="zh-CN"/>
        </w:rPr>
      </w:pPr>
    </w:p>
    <w:p w14:paraId="1EA716A4" w14:textId="380D7B08" w:rsidR="00C035FA" w:rsidRDefault="008D5756">
      <w:pPr>
        <w:spacing w:after="0" w:line="240" w:lineRule="auto"/>
        <w:ind w:firstLine="720"/>
        <w:rPr>
          <w:lang w:eastAsia="zh-CN"/>
        </w:rPr>
      </w:pPr>
      <w:r>
        <w:rPr>
          <w:lang w:eastAsia="zh-CN"/>
        </w:rPr>
        <w:t xml:space="preserve">Эмпаглифлозин является селективным ингибитором натрийзависимого переносчика глюкозы 2-го типа (SGLT2), который непосредственно участвует в реабсорбции глюкозы в почках. Клетки эмбриональной почки человека (HEK293) стабильно трансфицировали кДНК человека (h) SGLT1 или hSGTL2 соответственно, используя для измерения поглощения глюкозы аналог </w:t>
      </w:r>
      <w:r>
        <w:rPr>
          <w:vertAlign w:val="superscript"/>
          <w:lang w:eastAsia="zh-CN"/>
        </w:rPr>
        <w:t>14</w:t>
      </w:r>
      <w:r>
        <w:rPr>
          <w:lang w:eastAsia="zh-CN"/>
        </w:rPr>
        <w:t>C-альфа-метил-глюкопиранозида (</w:t>
      </w:r>
      <w:r>
        <w:rPr>
          <w:vertAlign w:val="superscript"/>
          <w:lang w:eastAsia="zh-CN"/>
        </w:rPr>
        <w:t>14</w:t>
      </w:r>
      <w:r>
        <w:rPr>
          <w:lang w:eastAsia="zh-CN"/>
        </w:rPr>
        <w:t xml:space="preserve">C-AMG). Было обнаружено, что эмпаглифлозин способен ингибировать hSGLT1 или hSGLT2-опосредованный транспорт </w:t>
      </w:r>
      <w:r>
        <w:rPr>
          <w:vertAlign w:val="superscript"/>
          <w:lang w:eastAsia="zh-CN"/>
        </w:rPr>
        <w:t>14</w:t>
      </w:r>
      <w:r>
        <w:rPr>
          <w:lang w:eastAsia="zh-CN"/>
        </w:rPr>
        <w:t>C-AMG с IC</w:t>
      </w:r>
      <w:r>
        <w:rPr>
          <w:vertAlign w:val="subscript"/>
          <w:lang w:eastAsia="zh-CN"/>
        </w:rPr>
        <w:t>50</w:t>
      </w:r>
      <w:r>
        <w:rPr>
          <w:lang w:eastAsia="zh-CN"/>
        </w:rPr>
        <w:t xml:space="preserve"> 6278 или 1,3 нмоль/л соответственно, демонстрируя тем самым высокую активность и 4829-кратную селективность в отношении ингибирования hSGLT2.</w:t>
      </w:r>
    </w:p>
    <w:p w14:paraId="0B1C6008" w14:textId="56C4E05F" w:rsidR="00C035FA" w:rsidRDefault="008D5756">
      <w:pPr>
        <w:spacing w:after="0" w:line="240" w:lineRule="auto"/>
        <w:ind w:firstLine="720"/>
        <w:rPr>
          <w:lang w:eastAsia="zh-CN"/>
        </w:rPr>
      </w:pPr>
      <w:r>
        <w:rPr>
          <w:lang w:eastAsia="zh-CN"/>
        </w:rPr>
        <w:t>Эмпаглифлозин является мощным и селективным ингибитором SGLT-2, обладающим 50% ингибирующей концентрацией (IC</w:t>
      </w:r>
      <w:r>
        <w:rPr>
          <w:vertAlign w:val="subscript"/>
          <w:lang w:eastAsia="zh-CN"/>
        </w:rPr>
        <w:t>50</w:t>
      </w:r>
      <w:r>
        <w:rPr>
          <w:lang w:eastAsia="zh-CN"/>
        </w:rPr>
        <w:t>) 3,1 нмоль/л по отношению к SGLT-2 человека и высокой степенью селективности по сравнению с другими изоформами SGLT.3 Эмпаглифлозин более чем в 2500 раз селективнее в отношении человеческого SGLT-2 поверх SGLT-1. Подобно другим ингибиторам SGLT-2, эмпаглифлозин обладает пониженной селективностью (примерно в 60 раз ниже) в отношении крысиного SGLT-2 по сравнению с SGLT-1,3,4 [</w:t>
      </w:r>
      <w:r w:rsidR="007E4296">
        <w:rPr>
          <w:lang w:eastAsia="zh-CN"/>
        </w:rPr>
        <w:t>43</w:t>
      </w:r>
      <w:r>
        <w:rPr>
          <w:lang w:eastAsia="zh-CN"/>
        </w:rPr>
        <w:t>].</w:t>
      </w:r>
    </w:p>
    <w:p w14:paraId="5A9CCD33" w14:textId="0A043D85" w:rsidR="00C035FA" w:rsidRDefault="008D5756">
      <w:pPr>
        <w:spacing w:after="0" w:line="240" w:lineRule="auto"/>
        <w:ind w:firstLine="720"/>
        <w:rPr>
          <w:lang w:eastAsia="zh-CN"/>
        </w:rPr>
      </w:pPr>
      <w:r>
        <w:rPr>
          <w:lang w:eastAsia="zh-CN"/>
        </w:rPr>
        <w:t>Точно так же в клетках яичника китайского хомячка</w:t>
      </w:r>
      <w:r>
        <w:t xml:space="preserve"> </w:t>
      </w:r>
      <w:r>
        <w:rPr>
          <w:lang w:eastAsia="zh-CN"/>
        </w:rPr>
        <w:t xml:space="preserve">Chinese Hamster Ovary (CHO), стабильно трансфицированных кДНК крысы (r) было обнаружено, что эмпаглифлозин ингибирует опосредованный rSGLT2 транспорт </w:t>
      </w:r>
      <w:r>
        <w:rPr>
          <w:vertAlign w:val="superscript"/>
          <w:lang w:eastAsia="zh-CN"/>
        </w:rPr>
        <w:t>14</w:t>
      </w:r>
      <w:r>
        <w:rPr>
          <w:lang w:eastAsia="zh-CN"/>
        </w:rPr>
        <w:t>C-AMG с IC</w:t>
      </w:r>
      <w:r>
        <w:rPr>
          <w:vertAlign w:val="subscript"/>
          <w:lang w:eastAsia="zh-CN"/>
        </w:rPr>
        <w:t>50</w:t>
      </w:r>
      <w:r>
        <w:rPr>
          <w:lang w:eastAsia="zh-CN"/>
        </w:rPr>
        <w:t xml:space="preserve"> 1,7 нмоль/л. Напротив, эмпаглифлозин не ингибирует переносчик глюкозы GLUT1, который присутствует в клетках HEK293. Было обнаружено, что эмпаглифлозин обладает 99% контрольной (неингибируемой) активностью в отношении GLUT1-опосредованного транспорта </w:t>
      </w:r>
      <w:r>
        <w:rPr>
          <w:vertAlign w:val="superscript"/>
          <w:lang w:eastAsia="zh-CN"/>
        </w:rPr>
        <w:t>14</w:t>
      </w:r>
      <w:r>
        <w:rPr>
          <w:lang w:eastAsia="zh-CN"/>
        </w:rPr>
        <w:t>C-</w:t>
      </w:r>
      <w:r>
        <w:rPr>
          <w:lang w:eastAsia="zh-CN"/>
        </w:rPr>
        <w:lastRenderedPageBreak/>
        <w:t>дезоксиглюкозы (</w:t>
      </w:r>
      <w:r>
        <w:rPr>
          <w:vertAlign w:val="superscript"/>
          <w:lang w:eastAsia="zh-CN"/>
        </w:rPr>
        <w:t>14</w:t>
      </w:r>
      <w:r>
        <w:rPr>
          <w:lang w:eastAsia="zh-CN"/>
        </w:rPr>
        <w:t>C-DOG) в клетках HEK293. Желательна низкая активность в отношении транспортеров GLUT, поскольку эти транспортеры играют решающую роль в поглощении глюкозы в тканях, таких как скелетные мышцы и жировая ткань. Эмпаглифлозин не был ингибитором мышиного (m) SGLT1 с IC</w:t>
      </w:r>
      <w:r>
        <w:rPr>
          <w:vertAlign w:val="subscript"/>
          <w:lang w:eastAsia="zh-CN"/>
        </w:rPr>
        <w:t>50</w:t>
      </w:r>
      <w:r>
        <w:rPr>
          <w:lang w:eastAsia="zh-CN"/>
        </w:rPr>
        <w:t xml:space="preserve"> 28000 нмоль/л для транспорта </w:t>
      </w:r>
      <w:r>
        <w:rPr>
          <w:vertAlign w:val="superscript"/>
          <w:lang w:eastAsia="zh-CN"/>
        </w:rPr>
        <w:t>14</w:t>
      </w:r>
      <w:r>
        <w:rPr>
          <w:lang w:eastAsia="zh-CN"/>
        </w:rPr>
        <w:t xml:space="preserve">C-AMG в клетках HEK293. Напротив, эмпаглифлозин ингибировал опосредованный mSGLT2 транспорт </w:t>
      </w:r>
      <w:r>
        <w:rPr>
          <w:vertAlign w:val="superscript"/>
          <w:lang w:eastAsia="zh-CN"/>
        </w:rPr>
        <w:t>14</w:t>
      </w:r>
      <w:r>
        <w:rPr>
          <w:lang w:eastAsia="zh-CN"/>
        </w:rPr>
        <w:t>C-AMG в клетках HEK293 с IC</w:t>
      </w:r>
      <w:r>
        <w:rPr>
          <w:vertAlign w:val="subscript"/>
          <w:lang w:eastAsia="zh-CN"/>
        </w:rPr>
        <w:t>50</w:t>
      </w:r>
      <w:r>
        <w:rPr>
          <w:lang w:eastAsia="zh-CN"/>
        </w:rPr>
        <w:t xml:space="preserve"> 1,7 нмоль/л, таким образом демонстрируя 16000-кратную селективность в отношении mSGLT2.</w:t>
      </w:r>
    </w:p>
    <w:p w14:paraId="4C790381" w14:textId="77777777" w:rsidR="00C035FA" w:rsidRDefault="008D5756">
      <w:pPr>
        <w:spacing w:after="0" w:line="240" w:lineRule="auto"/>
        <w:ind w:firstLine="720"/>
        <w:rPr>
          <w:lang w:eastAsia="zh-CN"/>
        </w:rPr>
      </w:pPr>
      <w:r>
        <w:rPr>
          <w:lang w:eastAsia="zh-CN"/>
        </w:rPr>
        <w:t xml:space="preserve">В аналогичных исследованиях было обнаружено, что эмпаглифлозин обладает большей селективностью </w:t>
      </w:r>
      <w:r w:rsidRPr="00A56AC4">
        <w:rPr>
          <w:i/>
          <w:lang w:eastAsia="zh-CN"/>
        </w:rPr>
        <w:t>in vitro</w:t>
      </w:r>
      <w:r>
        <w:rPr>
          <w:lang w:eastAsia="zh-CN"/>
        </w:rPr>
        <w:t xml:space="preserve"> в отношении ингибирующей активности против hSGLT2 по сравнению с hSGLT1 и структурно родственными hSGLT4 (в 2500-3500 раз), hSGLT5 (для поглощения маннозы) (в 350 раз) и hSGLT6 (для поглощения миоинозитола) (в 645 раз).</w:t>
      </w:r>
    </w:p>
    <w:p w14:paraId="59884DDE" w14:textId="2C0AEEC6" w:rsidR="00C035FA" w:rsidRDefault="008D5756">
      <w:pPr>
        <w:spacing w:after="0" w:line="240" w:lineRule="auto"/>
        <w:ind w:firstLine="720"/>
        <w:rPr>
          <w:lang w:eastAsia="zh-CN"/>
        </w:rPr>
      </w:pPr>
      <w:r>
        <w:rPr>
          <w:lang w:eastAsia="zh-CN"/>
        </w:rPr>
        <w:t xml:space="preserve">В другом эксперименте </w:t>
      </w:r>
      <w:r>
        <w:rPr>
          <w:i/>
          <w:iCs/>
          <w:lang w:eastAsia="zh-CN"/>
        </w:rPr>
        <w:t>in vitro</w:t>
      </w:r>
      <w:r>
        <w:rPr>
          <w:lang w:eastAsia="zh-CN"/>
        </w:rPr>
        <w:t xml:space="preserve"> с использованием клеток HEK293 эмпаглифлозин дозозависимо ингибировал hSGLT2-опосредованный транспорт </w:t>
      </w:r>
      <w:r>
        <w:rPr>
          <w:vertAlign w:val="superscript"/>
          <w:lang w:eastAsia="zh-CN"/>
        </w:rPr>
        <w:t>14</w:t>
      </w:r>
      <w:r>
        <w:rPr>
          <w:lang w:eastAsia="zh-CN"/>
        </w:rPr>
        <w:t>C-AMG с IC</w:t>
      </w:r>
      <w:r>
        <w:rPr>
          <w:vertAlign w:val="subscript"/>
          <w:lang w:eastAsia="zh-CN"/>
        </w:rPr>
        <w:t xml:space="preserve">50 </w:t>
      </w:r>
      <w:r>
        <w:rPr>
          <w:lang w:eastAsia="zh-CN"/>
        </w:rPr>
        <w:t>3 нм</w:t>
      </w:r>
      <w:r w:rsidR="00814CEC">
        <w:rPr>
          <w:lang w:eastAsia="zh-CN"/>
        </w:rPr>
        <w:t>оль</w:t>
      </w:r>
      <w:r>
        <w:rPr>
          <w:lang w:eastAsia="zh-CN"/>
        </w:rPr>
        <w:t>, но глюкуронидные метаболиты эмпаглифлозина (BI 1026317, BI 1026319 или BI 1026318) оказались слабыми ингибиторами hSGLT2 с IC</w:t>
      </w:r>
      <w:r>
        <w:rPr>
          <w:vertAlign w:val="subscript"/>
          <w:lang w:eastAsia="zh-CN"/>
        </w:rPr>
        <w:t>50</w:t>
      </w:r>
      <w:r>
        <w:rPr>
          <w:lang w:eastAsia="zh-CN"/>
        </w:rPr>
        <w:t xml:space="preserve"> примерно 1–1,5 мкм</w:t>
      </w:r>
      <w:r w:rsidR="00814CEC">
        <w:rPr>
          <w:lang w:eastAsia="zh-CN"/>
        </w:rPr>
        <w:t>оль</w:t>
      </w:r>
      <w:r>
        <w:rPr>
          <w:lang w:eastAsia="zh-CN"/>
        </w:rPr>
        <w:t xml:space="preserve"> [</w:t>
      </w:r>
      <w:r w:rsidR="007E4296">
        <w:rPr>
          <w:lang w:eastAsia="zh-CN"/>
        </w:rPr>
        <w:t>44</w:t>
      </w:r>
      <w:r>
        <w:rPr>
          <w:lang w:eastAsia="zh-CN"/>
        </w:rPr>
        <w:t>].</w:t>
      </w:r>
    </w:p>
    <w:p w14:paraId="36904149" w14:textId="458F6284" w:rsidR="00C035FA" w:rsidRPr="00A56AC4" w:rsidRDefault="008D5756" w:rsidP="00A56AC4">
      <w:pPr>
        <w:spacing w:after="0" w:line="240" w:lineRule="auto"/>
        <w:ind w:firstLine="720"/>
      </w:pPr>
      <w:r>
        <w:t xml:space="preserve">В исследовании Grempler R. и соавт. проведено сравнение фармакологических свойств </w:t>
      </w:r>
      <w:r>
        <w:rPr>
          <w:i/>
          <w:iCs/>
        </w:rPr>
        <w:t>in vitro</w:t>
      </w:r>
      <w:r>
        <w:t xml:space="preserve"> и фармакокинетических свойств </w:t>
      </w:r>
      <w:r>
        <w:rPr>
          <w:i/>
          <w:iCs/>
        </w:rPr>
        <w:t>in vivo</w:t>
      </w:r>
      <w:r>
        <w:t xml:space="preserve"> эмпаглифлозина с дапаглифлозином, канаглифлозином, ипраглифлозином, ремоглифлозином, серглифлозином, Т-1095А и флоризином. Оценка фармакологических свойств проводилась по способности поглощения С</w:t>
      </w:r>
      <w:r>
        <w:rPr>
          <w:vertAlign w:val="subscript"/>
        </w:rPr>
        <w:t>14</w:t>
      </w:r>
      <w:r>
        <w:t>,α-метилглюкопиранозида (AMG) клеточными линиями, экспрессирующими SGLT1, -2 и -4, и по способности поглощения С</w:t>
      </w:r>
      <w:r>
        <w:rPr>
          <w:vertAlign w:val="subscript"/>
        </w:rPr>
        <w:t>14</w:t>
      </w:r>
      <w:r>
        <w:t>-маннозы и С</w:t>
      </w:r>
      <w:r>
        <w:rPr>
          <w:vertAlign w:val="subscript"/>
        </w:rPr>
        <w:t>14</w:t>
      </w:r>
      <w:r>
        <w:t>-миоинозитола клеточными линиями HEK-293 c экспрессией SGLT5 и SGLT6. Кинетика взаимодействия ингибитора с транспортером анализировалась с использованием меченной тритием молекулой эмпаглифлозина и клеточной линии HEK-293 c экспрессией SGLT2 [4</w:t>
      </w:r>
      <w:r w:rsidR="007E4296">
        <w:t>5</w:t>
      </w:r>
      <w:r>
        <w:t>]. На основании этих данных [4</w:t>
      </w:r>
      <w:r w:rsidR="007E4296">
        <w:t>5</w:t>
      </w:r>
      <w:r>
        <w:t>] был рассчитан показатель селективности – соотношение IC</w:t>
      </w:r>
      <w:r>
        <w:rPr>
          <w:vertAlign w:val="subscript"/>
        </w:rPr>
        <w:t>50</w:t>
      </w:r>
      <w:r>
        <w:t xml:space="preserve"> для SGLT1, -4, -5, -6 к IC</w:t>
      </w:r>
      <w:r>
        <w:rPr>
          <w:vertAlign w:val="subscript"/>
        </w:rPr>
        <w:t>50</w:t>
      </w:r>
      <w:r>
        <w:t xml:space="preserve"> для SGLT2. С учетом локализации SGLT1 на эпителии тонкой кишки и потенциального риска развития диспепсических побочных эффектов при ингибировании SGLT1, клинически значимо соотношение селективности IC</w:t>
      </w:r>
      <w:r>
        <w:rPr>
          <w:vertAlign w:val="subscript"/>
        </w:rPr>
        <w:t>50</w:t>
      </w:r>
      <w:r>
        <w:t xml:space="preserve"> SGLT1/IC50 SGLT2 [</w:t>
      </w:r>
      <w:r w:rsidR="007E4296">
        <w:t>46</w:t>
      </w:r>
      <w:r>
        <w:t>], максимальное из которых соответствует эмпаглифлозину.</w:t>
      </w:r>
    </w:p>
    <w:p w14:paraId="57255E37" w14:textId="77777777" w:rsidR="00C035FA" w:rsidRDefault="008D5756">
      <w:pPr>
        <w:pStyle w:val="Heading4"/>
        <w:spacing w:after="240" w:line="240" w:lineRule="auto"/>
        <w:rPr>
          <w:rFonts w:ascii="Times New Roman" w:hAnsi="Times New Roman"/>
          <w:color w:val="000000" w:themeColor="text1"/>
          <w:sz w:val="24"/>
          <w:szCs w:val="24"/>
        </w:rPr>
      </w:pPr>
      <w:bookmarkStart w:id="71" w:name="_Toc139366847"/>
      <w:bookmarkEnd w:id="70"/>
      <w:r>
        <w:rPr>
          <w:rFonts w:ascii="Times New Roman" w:hAnsi="Times New Roman"/>
          <w:color w:val="000000" w:themeColor="text1"/>
          <w:sz w:val="24"/>
          <w:szCs w:val="24"/>
        </w:rPr>
        <w:t xml:space="preserve">3.1.2.2. Первичная фармакодинамика </w:t>
      </w:r>
      <w:r>
        <w:rPr>
          <w:rFonts w:ascii="Times New Roman" w:hAnsi="Times New Roman"/>
          <w:i/>
          <w:color w:val="000000" w:themeColor="text1"/>
          <w:sz w:val="24"/>
          <w:szCs w:val="24"/>
        </w:rPr>
        <w:t>in vivo</w:t>
      </w:r>
      <w:bookmarkEnd w:id="71"/>
    </w:p>
    <w:p w14:paraId="4F9C55DF" w14:textId="77777777" w:rsidR="00C035FA" w:rsidRDefault="008D5756">
      <w:pPr>
        <w:spacing w:after="0" w:line="240" w:lineRule="auto"/>
        <w:rPr>
          <w:b/>
          <w:i/>
          <w:lang w:eastAsia="zh-CN"/>
        </w:rPr>
      </w:pPr>
      <w:r>
        <w:rPr>
          <w:b/>
          <w:i/>
          <w:lang w:eastAsia="zh-CN"/>
        </w:rPr>
        <w:t>Исследования гомеостаза глюкозы при сахарном диабете 2 типа</w:t>
      </w:r>
    </w:p>
    <w:p w14:paraId="3B972973" w14:textId="7DEDC0BC" w:rsidR="00C035FA" w:rsidRDefault="008D5756">
      <w:pPr>
        <w:spacing w:after="0" w:line="240" w:lineRule="auto"/>
        <w:ind w:firstLine="720"/>
        <w:rPr>
          <w:lang w:eastAsia="zh-CN"/>
        </w:rPr>
      </w:pPr>
      <w:r>
        <w:rPr>
          <w:lang w:eastAsia="zh-CN"/>
        </w:rPr>
        <w:t>Острые исследования гомеостаза глюкозы на моделях диабета 2 типа были протестированы на мышах db/db, несущих инактивирующую мутацию рецептора лептина, и на крысах Zucker с диабетом и ожирением. У мышей db/db однократная доза эмпаглифлозина повышала экскрецию глюкозы с мочой до 17,7 нмоль глюкозы/кг массы тела [</w:t>
      </w:r>
      <w:r w:rsidR="007E4296">
        <w:rPr>
          <w:lang w:eastAsia="zh-CN"/>
        </w:rPr>
        <w:t>38</w:t>
      </w:r>
      <w:r>
        <w:rPr>
          <w:lang w:eastAsia="zh-CN"/>
        </w:rPr>
        <w:t>]. Это сопровождалось снижением уровня глюкозы в крови не менее чем на 7 часов. Более того, при пероральном глюкозотолерантном тесте (ГТТ) эмпаглифлозин в дозе 1 мг/кг снижал площадь глюкозы под кривой (AUC) на 35%. Вызванное эмпаглифлозином снижение уровня глюкозы в крови наряду с увеличением 24-часовой экскреции глюкозы с мочой, объема мочи и экскреции натрия у мышей db/db было подтверждено другими исследователями [3</w:t>
      </w:r>
      <w:r w:rsidR="007E4296">
        <w:rPr>
          <w:lang w:eastAsia="zh-CN"/>
        </w:rPr>
        <w:t>6</w:t>
      </w:r>
      <w:r>
        <w:rPr>
          <w:lang w:eastAsia="zh-CN"/>
        </w:rPr>
        <w:t>].</w:t>
      </w:r>
    </w:p>
    <w:p w14:paraId="311DE7A9" w14:textId="735CBEE3" w:rsidR="00C035FA" w:rsidRDefault="008D5756">
      <w:pPr>
        <w:spacing w:after="0" w:line="240" w:lineRule="auto"/>
        <w:ind w:firstLine="720"/>
        <w:rPr>
          <w:lang w:eastAsia="zh-CN"/>
        </w:rPr>
      </w:pPr>
      <w:r>
        <w:rPr>
          <w:lang w:eastAsia="zh-CN"/>
        </w:rPr>
        <w:t xml:space="preserve">У крыс Zucker с диабетом и ожирением функция β-клеток поджелудочной железы со временем снижается, что приводит к снижению инсулина и повышению уровня глюкозы и HbA1c, то есть модель, имитирующая течение диабета 2 типа у пациентов. Острый пероральный прием эмпаглифлозина дозозависимо увеличивал экскрецию глюкозы с </w:t>
      </w:r>
      <w:r>
        <w:rPr>
          <w:lang w:eastAsia="zh-CN"/>
        </w:rPr>
        <w:lastRenderedPageBreak/>
        <w:t>мочой у 10-недельных крыс и снижал уровень глюкозы в крови у 13-недельных крыс Zucker [</w:t>
      </w:r>
      <w:r w:rsidR="007E4296">
        <w:rPr>
          <w:lang w:eastAsia="zh-CN"/>
        </w:rPr>
        <w:t>47</w:t>
      </w:r>
      <w:r>
        <w:rPr>
          <w:lang w:eastAsia="zh-CN"/>
        </w:rPr>
        <w:t>]. Пиковое снижение уровня глюкозы наблюдалось примерно через 3 часа после введения, и максимальный эффект на уровень глюкозы в крови составил -11,4 мм при дозе 3 мг/кг по сравнению с -2,5 мм в группе, получавшей носитель. LD</w:t>
      </w:r>
      <w:r>
        <w:rPr>
          <w:vertAlign w:val="subscript"/>
          <w:lang w:eastAsia="zh-CN"/>
        </w:rPr>
        <w:t xml:space="preserve">50 </w:t>
      </w:r>
      <w:r>
        <w:rPr>
          <w:lang w:eastAsia="zh-CN"/>
        </w:rPr>
        <w:t>эмпаглифлозина для снижения уровня глюкозы, оцененная в этих экспериментах, составила 0,6 мг/кг. Эффект снижения уровня глюкозы сохранялся, по крайней мере, еще в течение 4 ч (конец эксперимента). Это соответствовало данным фармакокинетики у крыс Zucker, показавших Т</w:t>
      </w:r>
      <w:r>
        <w:rPr>
          <w:vertAlign w:val="subscript"/>
          <w:lang w:eastAsia="zh-CN"/>
        </w:rPr>
        <w:t>max</w:t>
      </w:r>
      <w:r>
        <w:rPr>
          <w:lang w:eastAsia="zh-CN"/>
        </w:rPr>
        <w:t xml:space="preserve"> около 2 часов и t</w:t>
      </w:r>
      <w:r>
        <w:rPr>
          <w:vertAlign w:val="subscript"/>
          <w:lang w:eastAsia="zh-CN"/>
        </w:rPr>
        <w:t xml:space="preserve">1/2 </w:t>
      </w:r>
      <w:r>
        <w:rPr>
          <w:lang w:eastAsia="zh-CN"/>
        </w:rPr>
        <w:t>1,5 часа; следует отметить, что у собак наблюдался более ранний Т</w:t>
      </w:r>
      <w:r>
        <w:rPr>
          <w:vertAlign w:val="subscript"/>
          <w:lang w:eastAsia="zh-CN"/>
        </w:rPr>
        <w:t>max</w:t>
      </w:r>
      <w:r>
        <w:rPr>
          <w:lang w:eastAsia="zh-CN"/>
        </w:rPr>
        <w:t>, но гораздо более длительный Т</w:t>
      </w:r>
      <w:r>
        <w:rPr>
          <w:vertAlign w:val="subscript"/>
          <w:lang w:eastAsia="zh-CN"/>
        </w:rPr>
        <w:t xml:space="preserve">1/2 </w:t>
      </w:r>
      <w:r>
        <w:rPr>
          <w:lang w:eastAsia="zh-CN"/>
        </w:rPr>
        <w:t>(1 и 6,3 ч соответственно) [4</w:t>
      </w:r>
      <w:r w:rsidR="007E4296">
        <w:rPr>
          <w:lang w:eastAsia="zh-CN"/>
        </w:rPr>
        <w:t>5</w:t>
      </w:r>
      <w:r>
        <w:rPr>
          <w:lang w:eastAsia="zh-CN"/>
        </w:rPr>
        <w:t>]. Эмпаглифлозин также улучшал колебания уровня глюкозы во время ГТТ на этой модели животных.</w:t>
      </w:r>
    </w:p>
    <w:p w14:paraId="634D11CA" w14:textId="1EC6423E" w:rsidR="00C035FA" w:rsidRDefault="008D5756">
      <w:pPr>
        <w:spacing w:after="0" w:line="240" w:lineRule="auto"/>
        <w:ind w:firstLine="720"/>
        <w:rPr>
          <w:lang w:eastAsia="zh-CN"/>
        </w:rPr>
      </w:pPr>
      <w:r>
        <w:rPr>
          <w:lang w:eastAsia="zh-CN"/>
        </w:rPr>
        <w:t>Чтобы определить, как различные степени ухудшения функции β-клеток поджелудочной железы влияют на реакцию на антигипергликемические препараты, ГТТ проводили у крыс Zucker в возрасте 7–27 недель после однократного введения эмпаглифлозина (10 мг/кг перорально), бигуанида метформина (300 мг/кг перорально), лираглутида (150 мкг/кг подкожно), глипизида сульфонилмочевины (10 мг/кг перорально) или носителя [</w:t>
      </w:r>
      <w:r w:rsidR="007E4296">
        <w:rPr>
          <w:lang w:eastAsia="zh-CN"/>
        </w:rPr>
        <w:t>38</w:t>
      </w:r>
      <w:r>
        <w:rPr>
          <w:lang w:eastAsia="zh-CN"/>
        </w:rPr>
        <w:t>]. У 9-недельных крыс линии Zucker, то есть в самом начале диабета, лираглутид снижал AUC глюкозы на 43% по отношению к наполнителю по сравнению с 30–33% при применении трех других препаратов. У 15-недельных крыс глипизид перестал быть эффективным, эффект лираглутида уменьшился до 29%, а метформина и эмпаглифлозина усилился до 41 и 50% соответственно. У 27-недельных животных глипизид снова был неэффективен, эффект лираглутида еще больше ослабился до 18%, тогда как эффекты метформина и эмпаглифлозина оставались эффективными со снижением AUC глюкозы на 42 и 45% соответственно. Эти данные свидетельствуют о том, что при ухудшении течения диабета 2 типа препараты, которые зависят от функции β-клеток поджелудочной железы, такие как производные сульфонилмочевины и лираглутид, теряют эффективность, в то время как препараты, действующие независимо от функции β-клеток, такие как метформин или эмпаглифлозин, сохраняют свои эффекты на гомеостаз глюкозы.</w:t>
      </w:r>
    </w:p>
    <w:p w14:paraId="1EB05298" w14:textId="77777777" w:rsidR="00C035FA" w:rsidRDefault="008D5756">
      <w:pPr>
        <w:spacing w:after="0" w:line="240" w:lineRule="auto"/>
        <w:rPr>
          <w:lang w:eastAsia="zh-CN"/>
        </w:rPr>
      </w:pPr>
      <w:r>
        <w:rPr>
          <w:lang w:eastAsia="zh-CN"/>
        </w:rPr>
        <w:tab/>
      </w:r>
    </w:p>
    <w:p w14:paraId="6D5D4D62" w14:textId="77777777" w:rsidR="00C035FA" w:rsidRDefault="008D5756">
      <w:pPr>
        <w:spacing w:after="0" w:line="240" w:lineRule="auto"/>
        <w:rPr>
          <w:b/>
          <w:i/>
          <w:lang w:eastAsia="zh-CN"/>
        </w:rPr>
      </w:pPr>
      <w:r>
        <w:rPr>
          <w:b/>
          <w:i/>
          <w:lang w:eastAsia="zh-CN"/>
        </w:rPr>
        <w:t xml:space="preserve">Хронические исследования гомеостаза глюкозы на моделях животных диабета 2 типа. </w:t>
      </w:r>
    </w:p>
    <w:p w14:paraId="2F6EA356" w14:textId="7FF61D91" w:rsidR="00C035FA" w:rsidRDefault="008D5756">
      <w:pPr>
        <w:spacing w:after="0" w:line="240" w:lineRule="auto"/>
        <w:ind w:firstLine="720"/>
        <w:rPr>
          <w:lang w:eastAsia="zh-CN"/>
        </w:rPr>
      </w:pPr>
      <w:r>
        <w:rPr>
          <w:lang w:eastAsia="zh-CN"/>
        </w:rPr>
        <w:t>Во время 7-дневного лечения эмпаглифлозином у мышей db/db наблюдалось устойчивое снижение уровня глюкозы в крови; однако увеличение 24-часовой экскреции глюкозы с мочой, объема мочи и экскреции натрия, наблюдаемое в 1-й день, не наблюдалось со 2-го по 7-й день [3</w:t>
      </w:r>
      <w:r w:rsidR="007E4296">
        <w:rPr>
          <w:lang w:eastAsia="zh-CN"/>
        </w:rPr>
        <w:t>6</w:t>
      </w:r>
      <w:r>
        <w:rPr>
          <w:lang w:eastAsia="zh-CN"/>
        </w:rPr>
        <w:t>]. Во второй серии экспериментов в рамках этого исследования снижение уровня глюкозы в плазме сохранялось в течение 10 недель, а колебания уровня глюкозы во время ГТТ были снижены до уровней, сходных с таковыми у мышей db/m с эугликемией. В конце исследования уровни инсулина в сыворотке были близки к уровням эугликемических мышей у мышей db/db, получавших носитель, и заметно повышались у мышей db/db, получавших эмпаглифлозин.</w:t>
      </w:r>
    </w:p>
    <w:p w14:paraId="427CE219" w14:textId="69008008" w:rsidR="00C035FA" w:rsidRDefault="008D5756">
      <w:pPr>
        <w:spacing w:after="0" w:line="240" w:lineRule="auto"/>
        <w:ind w:firstLine="720"/>
        <w:rPr>
          <w:lang w:eastAsia="zh-CN"/>
        </w:rPr>
      </w:pPr>
      <w:r>
        <w:rPr>
          <w:lang w:eastAsia="zh-CN"/>
        </w:rPr>
        <w:t>У мышей db/db 8-недельное лечение эмпаглифлозином дозозависимо снижало HbA1c до 35% и улучшало уровень глюкозы во время ГТТ [</w:t>
      </w:r>
      <w:r w:rsidR="007E4296">
        <w:rPr>
          <w:lang w:eastAsia="zh-CN"/>
        </w:rPr>
        <w:t>38</w:t>
      </w:r>
      <w:r>
        <w:rPr>
          <w:lang w:eastAsia="zh-CN"/>
        </w:rPr>
        <w:t>].</w:t>
      </w:r>
    </w:p>
    <w:p w14:paraId="4BFABA57" w14:textId="27D4F9D7" w:rsidR="00C035FA" w:rsidRDefault="008D5756">
      <w:pPr>
        <w:spacing w:after="0" w:line="240" w:lineRule="auto"/>
        <w:ind w:firstLine="720"/>
        <w:rPr>
          <w:lang w:eastAsia="zh-CN"/>
        </w:rPr>
      </w:pPr>
      <w:r>
        <w:rPr>
          <w:lang w:eastAsia="zh-CN"/>
        </w:rPr>
        <w:t xml:space="preserve">В экспериментах с эугликемическим гиперинсулинемическим клэмпом у таких мышей эмпаглифлозин дозозависимо улучшал чувствительность к инсулину и снижал выработку глюкозы в печени. Кроме того, наблюдалось снижение содержания триглицеридов в печени, триглицеридов в сыворотке и циркулирующих свободных жирных кислот. В последующем исследовании эти исследователи сравнили эффекты 8-недельного лечения эмпаглифлозином (10 мг/кг/день), линаглиптином (3 мг/кг/день) или их комбинацией с эффектами носителя с использованием эугликемического гиперинсулинемического клэмпа в экспериментах на самках мышей db/db. По сравнению с </w:t>
      </w:r>
      <w:r>
        <w:rPr>
          <w:lang w:eastAsia="zh-CN"/>
        </w:rPr>
        <w:lastRenderedPageBreak/>
        <w:t>носителем, все три вида лечения подавляли опосредованную инсулином выработку глюкозы печенью, повышали поглощение глюкозы печенью, улучшали скорость утилизации глюкозы и снижали содержание триглицеридов в печени. Никакое лечение не влияло на поглощение глюкозы мышечной и жировой тканью [</w:t>
      </w:r>
      <w:r w:rsidR="007E4296">
        <w:rPr>
          <w:lang w:eastAsia="zh-CN"/>
        </w:rPr>
        <w:t>38</w:t>
      </w:r>
      <w:r>
        <w:rPr>
          <w:lang w:eastAsia="zh-CN"/>
        </w:rPr>
        <w:t>].</w:t>
      </w:r>
    </w:p>
    <w:p w14:paraId="6CCB6C9A" w14:textId="62EEF4D0" w:rsidR="00C035FA" w:rsidRDefault="008D5756">
      <w:pPr>
        <w:spacing w:after="0" w:line="240" w:lineRule="auto"/>
        <w:ind w:firstLine="720"/>
        <w:rPr>
          <w:lang w:eastAsia="zh-CN"/>
        </w:rPr>
      </w:pPr>
      <w:r>
        <w:rPr>
          <w:lang w:eastAsia="zh-CN"/>
        </w:rPr>
        <w:t>В другом исследовании с мышами db/db лечение эмпаглифлозином в течение 4, 8 и 12 недель снижало HbA1c, уровень глюкозы в крови и уровень инсулина в плазме [</w:t>
      </w:r>
      <w:r w:rsidR="007E4296">
        <w:rPr>
          <w:lang w:eastAsia="zh-CN"/>
        </w:rPr>
        <w:t>38</w:t>
      </w:r>
      <w:r>
        <w:rPr>
          <w:lang w:eastAsia="zh-CN"/>
        </w:rPr>
        <w:t xml:space="preserve">]. Уровни глюкозы во время ГТТ после 1 или 10 недель лечения также улучшились. </w:t>
      </w:r>
    </w:p>
    <w:p w14:paraId="53123758" w14:textId="32D626F2" w:rsidR="00C035FA" w:rsidRDefault="008D5756">
      <w:pPr>
        <w:spacing w:after="0" w:line="240" w:lineRule="auto"/>
        <w:ind w:firstLine="720"/>
        <w:rPr>
          <w:lang w:eastAsia="zh-CN"/>
        </w:rPr>
      </w:pPr>
      <w:r>
        <w:rPr>
          <w:lang w:eastAsia="zh-CN"/>
        </w:rPr>
        <w:t>В другой модели диабета (мыши с дефицитом лептина (ob/ob) BTBR) 21-дневное лечение эмпаглифлозином увеличивало глюкозурию и снижало уровень глюкозы в крови [</w:t>
      </w:r>
      <w:r w:rsidR="007E4296">
        <w:rPr>
          <w:lang w:eastAsia="zh-CN"/>
        </w:rPr>
        <w:t>11</w:t>
      </w:r>
      <w:r>
        <w:rPr>
          <w:lang w:eastAsia="zh-CN"/>
        </w:rPr>
        <w:t>].</w:t>
      </w:r>
    </w:p>
    <w:p w14:paraId="7CE21E48" w14:textId="77777777" w:rsidR="00C035FA" w:rsidRDefault="008D5756">
      <w:pPr>
        <w:spacing w:after="0" w:line="240" w:lineRule="auto"/>
        <w:ind w:firstLine="720"/>
        <w:rPr>
          <w:lang w:eastAsia="zh-CN"/>
        </w:rPr>
      </w:pPr>
      <w:r>
        <w:rPr>
          <w:lang w:eastAsia="zh-CN"/>
        </w:rPr>
        <w:t>У 12-недельных диабетических крыс Zucker с ожирением уровень глюкозы в крови и уровень HbA1c повышались от исходного уровня до конца исследования во время 5-недельного лечения носителем. Лечение эмпаглифлозином дозозависимо снижало уровень глюкозы в крови и уровень HbA1c, что приводило к значениям HbA1c даже ниже исходных уровней при более высоких дозах эмпаглифлозина. AUC глюкозы во время ГТТ не претерпела значительного влияния на 2-й день, но снизилась на 37-й день при приеме эмпаглифлозина, что указывает на повышенную толерантность к глюкозе с повышенной чувствительностью к инсулину. Через четыре дня после введения последней дозы животных подвергали клэмп-тесту с гиперинсулинемией и эугликемией. В этом тесте скорость инфузии глюкозы была значительно выше для эмпаглифлозина, чем для носителя (43,5 против 9,3 мкмоль/мин/кг), что свидетельствует об улучшенной чувствительности к инсулину. Устойчивое положительное влияние эмпаглифлозина на уровень глюкозы в крови, уровень HbA1c и ГТТ у крыс Zucker с диабетом и ожирением было подтверждено в других исследованиях при лечении в течение 4–8 недель [48].</w:t>
      </w:r>
    </w:p>
    <w:p w14:paraId="09B09EE7" w14:textId="5CA0D1FA" w:rsidR="00C035FA" w:rsidRDefault="008D5756">
      <w:pPr>
        <w:spacing w:after="0" w:line="240" w:lineRule="auto"/>
        <w:ind w:firstLine="720"/>
        <w:rPr>
          <w:lang w:eastAsia="zh-CN"/>
        </w:rPr>
      </w:pPr>
      <w:r>
        <w:rPr>
          <w:lang w:eastAsia="zh-CN"/>
        </w:rPr>
        <w:t>В последнем исследовании эффекты эмпаглифлозина один раз в день сравнивали с эффектами глибенкламида и аналога ГПП-1 длительного действия лираглутида [48]. В то время как эмпаглифлозин и лираглутид заметно улучшали уровни глюкозы, инсулина и HbA1c после приема пищи, глибенкламид был неэффективен в используемых дозах. Точно так же уровни глюкозы во время ГТТ в условиях полуголода через 4 и 8 недель лечения были улучшены эмпаглифлозином и лираглутидом, но не глибенкламидом. В то время как эффекты эмпаглифлозина были очень схожими в обе временные точки, эффекты лираглутида со временем имели тенденцию к ослаблению, как это наблюдалось в исследованиях на мышах.</w:t>
      </w:r>
    </w:p>
    <w:p w14:paraId="57CCC960" w14:textId="070E0755" w:rsidR="00C035FA" w:rsidRDefault="008D5756">
      <w:pPr>
        <w:spacing w:after="0" w:line="240" w:lineRule="auto"/>
        <w:ind w:firstLine="720"/>
        <w:rPr>
          <w:lang w:eastAsia="zh-CN"/>
        </w:rPr>
      </w:pPr>
      <w:r>
        <w:rPr>
          <w:lang w:eastAsia="zh-CN"/>
        </w:rPr>
        <w:t>В другом исследовании 7-недельных крыс Zucker с диабетом и ожирением лечили эмпаглифлозином (10 мг/кг/день) или растворителем в течение 6 или 14 недель [</w:t>
      </w:r>
      <w:r w:rsidR="007E4296">
        <w:rPr>
          <w:lang w:eastAsia="zh-CN"/>
        </w:rPr>
        <w:t>38</w:t>
      </w:r>
      <w:r>
        <w:rPr>
          <w:lang w:eastAsia="zh-CN"/>
        </w:rPr>
        <w:t>]. Эмпаглифлозин устранял повышение уровня глюкозы в плазме натощак (ГПН) и уровней HbA1c, наблюдаемое у крыс, получавших носитель, в течение 14-недельного периода исследования. Одновременно снижение уровня инсулина в плазме было ослаблено эмпаглифлозином. Во время гипергликемических клэмпов в конце исследования уровни инсулина в плазме, уровни С-пептида и максимальное высвобождение инсулина в ответ на аргинин были выше у крыс, получавших эмпаглифлозин, по сравнению с крысами, получавшими носитель, что указывает на то, что лечение эмпаглифлозином отсрочивало начало гипергликемии у стареющих крыс Zucker за счет сохранения секреторной способности инсулина.</w:t>
      </w:r>
    </w:p>
    <w:p w14:paraId="66565053" w14:textId="0E6E165A" w:rsidR="00C035FA" w:rsidRDefault="008D5756">
      <w:pPr>
        <w:spacing w:after="0" w:line="240" w:lineRule="auto"/>
        <w:ind w:firstLine="720"/>
        <w:rPr>
          <w:lang w:eastAsia="zh-CN"/>
        </w:rPr>
      </w:pPr>
      <w:r>
        <w:rPr>
          <w:lang w:eastAsia="zh-CN"/>
        </w:rPr>
        <w:t>Также сообщалось о снижении уровня глюкозы в крови натощак и после приема пищи при лечении эмпаглифлозином (10 мг/кг/день) в течение 18 недель у крыс с диабетом и гипертонией Коэн-Розенталя [</w:t>
      </w:r>
      <w:r w:rsidR="007E4296">
        <w:rPr>
          <w:lang w:eastAsia="zh-CN"/>
        </w:rPr>
        <w:t>38</w:t>
      </w:r>
      <w:r>
        <w:rPr>
          <w:lang w:eastAsia="zh-CN"/>
        </w:rPr>
        <w:t xml:space="preserve">]. В рамках этого исследования лечение эмпаглифлозином улучшило колебания уровня глюкозы в крови во время </w:t>
      </w:r>
      <w:r>
        <w:rPr>
          <w:lang w:eastAsia="zh-CN"/>
        </w:rPr>
        <w:lastRenderedPageBreak/>
        <w:t>внутрибрюшинных тестов на толерантность к глюкозе, проведенных через 80 и 120 дней лечения. Подобные эффекты наблюдались при применении эмпаглифлозина (20 мг/кг/день) в течение 8 или 12 недель на гипертензивных моделях крыс с диабетом 1 и 2 типа; они включали чувствительных к соли крыс Dahl, получавших диету с высоким содержанием соли и получавших инъекцию стрептозотоцина (STZ), и крыс Goto-Kakizaki, которым имплантировали гранулы ацетата дезоксикортикостерона длительного действия, получавшие 1% NaCl в питьевой воде, соответственно.</w:t>
      </w:r>
    </w:p>
    <w:p w14:paraId="185461F0" w14:textId="77777777" w:rsidR="00C035FA" w:rsidRDefault="008D5756">
      <w:pPr>
        <w:spacing w:after="0" w:line="240" w:lineRule="auto"/>
        <w:ind w:firstLine="720"/>
        <w:rPr>
          <w:lang w:eastAsia="zh-CN"/>
        </w:rPr>
      </w:pPr>
      <w:r>
        <w:rPr>
          <w:lang w:eastAsia="zh-CN"/>
        </w:rPr>
        <w:t xml:space="preserve">Вышеуказанные изменения метаболизма глюкозы, по-видимому, связаны не только с функциональным улучшением, но и с морфологическими изменениями поджелудочной железы. </w:t>
      </w:r>
    </w:p>
    <w:p w14:paraId="783DE93C" w14:textId="305C4660" w:rsidR="00C035FA" w:rsidRDefault="008D5756">
      <w:pPr>
        <w:spacing w:after="0" w:line="240" w:lineRule="auto"/>
        <w:ind w:firstLine="720"/>
        <w:rPr>
          <w:lang w:eastAsia="zh-CN"/>
        </w:rPr>
      </w:pPr>
      <w:r>
        <w:rPr>
          <w:lang w:eastAsia="zh-CN"/>
        </w:rPr>
        <w:t>Таким образом, масса β-клеток поджелудочной железы в конце исследования была увеличена под действием эмпаглифлозина по сравнению с носителем у мышей db/db, в то время как масса не-β-клеток поджелудочной железы не изменилась. По сравнению с исходными значениями у крыс Zucker, получавших носитель и глибенкламид, наблюдалось снижение массы β-клеток через 4 и 8 недель. Лираглутид предотвратил эту потерю β-клеток на 4-й, но не на 8-й неделе, тогда как эмпаглифлозин предотвратил ее в обе временные точки [48].</w:t>
      </w:r>
    </w:p>
    <w:p w14:paraId="7A2993B6" w14:textId="77777777" w:rsidR="00C035FA" w:rsidRDefault="008D5756">
      <w:pPr>
        <w:spacing w:after="0" w:line="240" w:lineRule="auto"/>
        <w:ind w:firstLine="720"/>
        <w:rPr>
          <w:lang w:eastAsia="zh-CN"/>
        </w:rPr>
      </w:pPr>
      <w:r>
        <w:rPr>
          <w:lang w:eastAsia="zh-CN"/>
        </w:rPr>
        <w:t xml:space="preserve">Приведенные выше данные демонстрируют, что длительное лечение эмпаглифлозином снижает уровень глюкозы в плазме и уровень HbA1c. Подобно исследованиям с экспериментальным ингибитором SGLT2 AVE2268 у мышей db/db и Tallyho/JngJ [50], а также с дапаглифлозином у мышей с резистентностью к инсулину и у пациентов с диабетом, однократная доза или 4-недельный курс лечения эмпаглифлозином увеличивали эндогенную выработку глюкозы, что сопровождалось повышением концентрации глюкагона в плазме у пациентов с сахарным диабетом 2 типа. Данные изменения могут происходить вторично по отношению к увеличению синтеза и высвобождения глюкагона, как показано в изолированных α-клетках поджелудочной железы человека и </w:t>
      </w:r>
      <w:r>
        <w:rPr>
          <w:i/>
          <w:iCs/>
          <w:lang w:eastAsia="zh-CN"/>
        </w:rPr>
        <w:t xml:space="preserve">in vivo </w:t>
      </w:r>
      <w:r>
        <w:rPr>
          <w:lang w:eastAsia="zh-CN"/>
        </w:rPr>
        <w:t>у резистентных к инсулину мышей [49].</w:t>
      </w:r>
    </w:p>
    <w:p w14:paraId="2814A322" w14:textId="77777777" w:rsidR="00C035FA" w:rsidRDefault="00C035FA">
      <w:pPr>
        <w:spacing w:after="0" w:line="240" w:lineRule="auto"/>
        <w:rPr>
          <w:lang w:eastAsia="zh-CN"/>
        </w:rPr>
      </w:pPr>
    </w:p>
    <w:p w14:paraId="3AC30620" w14:textId="77777777" w:rsidR="00C035FA" w:rsidRDefault="008D5756">
      <w:pPr>
        <w:spacing w:after="0" w:line="240" w:lineRule="auto"/>
        <w:rPr>
          <w:b/>
          <w:i/>
          <w:lang w:eastAsia="zh-CN"/>
        </w:rPr>
      </w:pPr>
      <w:r>
        <w:rPr>
          <w:b/>
          <w:i/>
          <w:lang w:eastAsia="zh-CN"/>
        </w:rPr>
        <w:t xml:space="preserve">Исследования комбинированного лечения сахарного диабета 2 типа. </w:t>
      </w:r>
    </w:p>
    <w:p w14:paraId="66CECAFF" w14:textId="0A9970CF" w:rsidR="00C035FA" w:rsidRDefault="008D5756">
      <w:pPr>
        <w:spacing w:after="0" w:line="240" w:lineRule="auto"/>
        <w:ind w:firstLine="720"/>
        <w:rPr>
          <w:lang w:eastAsia="zh-CN"/>
        </w:rPr>
      </w:pPr>
      <w:r>
        <w:rPr>
          <w:lang w:eastAsia="zh-CN"/>
        </w:rPr>
        <w:t>В некоторых исследованиях изучалось влияние комбинаций эмпаглифлозина с другими сахароснижающими средствами на мышах и крысах. У 8-недельных самок мышей db/db лечение эмпаглифлозином (10 мг/кг), линаглиптином (3 мг/кг) или их комбинацией в течение 8 недель улучшало утилизацию глюкозы, оцениваемую с помощью эугликемических-гиперинсулинемических зажимов, на 5,9, 3,4 и 7,8 мг/кг/мин соответственно по сравнению с 1,9 мг/кг/мин при обработке носителем; комбинированное лечение также превосходило обе монотерапии в снижении содержания липидов в печени [</w:t>
      </w:r>
      <w:r w:rsidR="007E4296">
        <w:rPr>
          <w:lang w:eastAsia="zh-CN"/>
        </w:rPr>
        <w:t>38</w:t>
      </w:r>
      <w:r>
        <w:rPr>
          <w:lang w:eastAsia="zh-CN"/>
        </w:rPr>
        <w:t>]. В то время как эмпаглифлозин увеличивал эндогенную продукцию глюкозы у пациентов с сахарным диабетом 2 типа, эмпаглифлозин отдельно или в комбинации с линаглиптином усиливал инсулин-опосредованное подавление продукции глюкозы в печени у мышей db/db. По сравнению с носителем эмпаглифлозин, линаглиптин и их комбинация повышали поглощение глюкозы в печени и почках, не отмечалось влияния на мышечную и жировую ткани. В конечном итоге это сопровождалось снижением содержания триглицеридов в печени как при монотерапии, так и при их комбинации.</w:t>
      </w:r>
    </w:p>
    <w:p w14:paraId="264E7C85" w14:textId="423EAB60" w:rsidR="00C035FA" w:rsidRDefault="008D5756">
      <w:pPr>
        <w:spacing w:after="0" w:line="240" w:lineRule="auto"/>
        <w:ind w:firstLine="720"/>
        <w:rPr>
          <w:lang w:eastAsia="zh-CN"/>
        </w:rPr>
      </w:pPr>
      <w:r>
        <w:rPr>
          <w:lang w:eastAsia="zh-CN"/>
        </w:rPr>
        <w:t xml:space="preserve">При остром ГТТ у молодых крыс Zucker с диабетом и ожирением комбинация линаглиптина и эмпаглифлозина (оба в дозе 1 мг/кг) аддитивно снижала отклонение уровня глюкозы (снижение AUC: линаглиптин </w:t>
      </w:r>
      <w:r w:rsidR="00C45206">
        <w:rPr>
          <w:lang w:eastAsia="zh-CN"/>
        </w:rPr>
        <w:t>–</w:t>
      </w:r>
      <w:r>
        <w:rPr>
          <w:lang w:eastAsia="zh-CN"/>
        </w:rPr>
        <w:t xml:space="preserve"> 40%, эмпаглифлозин </w:t>
      </w:r>
      <w:r w:rsidR="00C45206">
        <w:rPr>
          <w:lang w:eastAsia="zh-CN"/>
        </w:rPr>
        <w:t>–</w:t>
      </w:r>
      <w:r>
        <w:rPr>
          <w:lang w:eastAsia="zh-CN"/>
        </w:rPr>
        <w:t xml:space="preserve"> 25%, комбинация </w:t>
      </w:r>
      <w:r w:rsidR="00C45206">
        <w:rPr>
          <w:lang w:eastAsia="zh-CN"/>
        </w:rPr>
        <w:t>–</w:t>
      </w:r>
      <w:r>
        <w:rPr>
          <w:lang w:eastAsia="zh-CN"/>
        </w:rPr>
        <w:t xml:space="preserve"> 68%), аналогичные результаты были получены на мышах C57Bl/6 без диабета [3</w:t>
      </w:r>
      <w:r w:rsidR="007E4296">
        <w:rPr>
          <w:lang w:eastAsia="zh-CN"/>
        </w:rPr>
        <w:t>5</w:t>
      </w:r>
      <w:r>
        <w:rPr>
          <w:lang w:eastAsia="zh-CN"/>
        </w:rPr>
        <w:t xml:space="preserve">]. </w:t>
      </w:r>
    </w:p>
    <w:p w14:paraId="2C0BB2AA" w14:textId="2DC1FDB8" w:rsidR="00C035FA" w:rsidRDefault="008D5756">
      <w:pPr>
        <w:spacing w:after="0" w:line="240" w:lineRule="auto"/>
        <w:ind w:firstLine="720"/>
        <w:rPr>
          <w:lang w:eastAsia="zh-CN"/>
        </w:rPr>
      </w:pPr>
      <w:r>
        <w:rPr>
          <w:lang w:eastAsia="zh-CN"/>
        </w:rPr>
        <w:lastRenderedPageBreak/>
        <w:t>В другом исследовании эффекты 15-дневного лечения эмпаглифлозином (1 мг/кг), пиоглитазоном (10 мг/кг) или их комбинацией сравнивали с эффектами носителя у крыс Zucker с диабетом и ожирением. При повышении уровня глюкозы в крови на 18,6% в контрольной группе он снизился на 36,9 и 48,2% по сравнению с контролем при монотерапии эмпаглифлозином и пиоглитазоном, соответственно, и на 75,7% при комбинированной терапии. В конце исследования уровни глюкозы в крови после еды составляли 26,7, 16,9 и 13,8 мм в контрольной группе, получавшей эмпаглифлозин и пиоглитазон, соответственно, и 6,5 мм в группе, получавшей комбинацию. HbA1c увеличился с 3,19 до 5,79% между 0 и 15 днем в контрольной группе. Увеличение HbA1c было меньшим в группе эмпаглифлозина и пиоглитазона, чем в контрольной группе, в то время как в группе комбинированного лечения было самое низкое увеличение.</w:t>
      </w:r>
    </w:p>
    <w:p w14:paraId="57D1EE03" w14:textId="133A9575" w:rsidR="00C035FA" w:rsidRDefault="008D5756">
      <w:pPr>
        <w:spacing w:after="0" w:line="240" w:lineRule="auto"/>
        <w:ind w:firstLine="720"/>
        <w:rPr>
          <w:lang w:eastAsia="zh-CN"/>
        </w:rPr>
      </w:pPr>
      <w:r>
        <w:rPr>
          <w:lang w:eastAsia="zh-CN"/>
        </w:rPr>
        <w:t>В совокупности эти комбинированные исследования показали, что благоприятные метаболические эффекты эмпаглифлозина являются аддитивными в сочетании с другими типами антигипергликемических средств, включая линаглиптин и пиоглитазон [</w:t>
      </w:r>
      <w:r w:rsidR="007E4296">
        <w:rPr>
          <w:lang w:eastAsia="zh-CN"/>
        </w:rPr>
        <w:t>38</w:t>
      </w:r>
      <w:r>
        <w:rPr>
          <w:lang w:eastAsia="zh-CN"/>
        </w:rPr>
        <w:t>].</w:t>
      </w:r>
    </w:p>
    <w:p w14:paraId="2BA4C328" w14:textId="77777777" w:rsidR="00C035FA" w:rsidRDefault="00C035FA">
      <w:pPr>
        <w:spacing w:after="0" w:line="240" w:lineRule="auto"/>
        <w:rPr>
          <w:lang w:eastAsia="zh-CN"/>
        </w:rPr>
      </w:pPr>
    </w:p>
    <w:p w14:paraId="6ADF95BE" w14:textId="77777777" w:rsidR="00C035FA" w:rsidRDefault="008D5756">
      <w:pPr>
        <w:spacing w:after="0" w:line="240" w:lineRule="auto"/>
        <w:rPr>
          <w:b/>
          <w:i/>
          <w:lang w:eastAsia="zh-CN"/>
        </w:rPr>
      </w:pPr>
      <w:r>
        <w:rPr>
          <w:b/>
          <w:i/>
          <w:lang w:eastAsia="zh-CN"/>
        </w:rPr>
        <w:t>Исследования гомеостаза глюкозы при сахарном диабете 1 типа</w:t>
      </w:r>
    </w:p>
    <w:p w14:paraId="1E808D6A" w14:textId="77777777" w:rsidR="00C035FA" w:rsidRDefault="008D5756">
      <w:pPr>
        <w:spacing w:after="0" w:line="240" w:lineRule="auto"/>
        <w:ind w:firstLine="720"/>
        <w:rPr>
          <w:lang w:eastAsia="zh-CN"/>
        </w:rPr>
      </w:pPr>
      <w:r>
        <w:rPr>
          <w:lang w:eastAsia="zh-CN"/>
        </w:rPr>
        <w:t>Эмпаглифлозин также был протестирован на нескольких животных моделях диабета 1 типа. Большинство из них основаны на инъекциях однократной высокой дозы (50–60 мг/кг) стрептозотоцина (STZ), встречающегося в природе глюкозамина-нитрозомочевины, вызывающего АДФ-рибозилирование, поскольку он является субстратом переносчика глюкозы GLUT2, его токсичность преимущественно разрушает инсулин-продуцирующие β-клетки поджелудочной железы. Такие инъекции сначала вызывают фазу легкого диабета, за которой следует более серьезное повышение концентрации глюкозы в крови.</w:t>
      </w:r>
    </w:p>
    <w:p w14:paraId="44BDEADB" w14:textId="385D421A" w:rsidR="00C035FA" w:rsidRDefault="008D5756">
      <w:pPr>
        <w:spacing w:after="0" w:line="240" w:lineRule="auto"/>
        <w:ind w:firstLine="720"/>
        <w:rPr>
          <w:lang w:eastAsia="zh-CN"/>
        </w:rPr>
      </w:pPr>
      <w:r>
        <w:rPr>
          <w:lang w:eastAsia="zh-CN"/>
        </w:rPr>
        <w:t>В исследовании через 1 неделю после инъекции стрептозотоцина голодающие крысы получали две дозы инсулина гларгина с эмпаглифлозином или без него и находились под наблюдением в течение 6 часов [5</w:t>
      </w:r>
      <w:r w:rsidR="007E4296">
        <w:rPr>
          <w:lang w:eastAsia="zh-CN"/>
        </w:rPr>
        <w:t>0</w:t>
      </w:r>
      <w:r>
        <w:rPr>
          <w:lang w:eastAsia="zh-CN"/>
        </w:rPr>
        <w:t>]. Самые низкие уровни глюкозы наблюдались примерно через 1 ч после инъекции и составляли 15, 11 и 9 мм у крыс, получавших 1,5 МЕ инсулина, 6 МЕ инсулина и 1,5 МЕ инсулина плюс 10 мг/кг эмпаглифлозина соответственно. Соответственно, 6-часовая AUC для глюкозы крови снизилась на 21,7, 44,1 и 49,1% соответственно.</w:t>
      </w:r>
    </w:p>
    <w:p w14:paraId="44E7BB1C" w14:textId="6CBDB8FB" w:rsidR="00C035FA" w:rsidRDefault="008D5756">
      <w:pPr>
        <w:spacing w:after="0" w:line="240" w:lineRule="auto"/>
        <w:ind w:firstLine="720"/>
        <w:rPr>
          <w:lang w:eastAsia="zh-CN"/>
        </w:rPr>
      </w:pPr>
      <w:r>
        <w:rPr>
          <w:lang w:eastAsia="zh-CN"/>
        </w:rPr>
        <w:t>Во втором исследовании вводили физиологический раствор или низкие дозы инсулина сытым крысам, а затем через 2 часа вводили 10 мг/кг эмпаглифлозина или носителя и измеряли уровень глюкозы в крови еще в течение 6 часов [51]. У крыс, получавших только инсулин, глюкоза постепенно восстанавливалась от самого низкого значения через 1 час и приближалась к уровню крыс, которым вводили физиологический раствор. Однако уровень глюкозы оставался близким к часовому уровню в течение всего периода наблюдения у крыс, получавших инсулин с последующим введением эмпаглифлозина.</w:t>
      </w:r>
    </w:p>
    <w:p w14:paraId="0901FC10" w14:textId="456E77B5" w:rsidR="00C035FA" w:rsidRDefault="008D5756">
      <w:pPr>
        <w:spacing w:after="0" w:line="240" w:lineRule="auto"/>
        <w:ind w:firstLine="720"/>
        <w:rPr>
          <w:lang w:eastAsia="zh-CN"/>
        </w:rPr>
      </w:pPr>
      <w:r>
        <w:rPr>
          <w:lang w:eastAsia="zh-CN"/>
        </w:rPr>
        <w:t>В третьем исследовании аналогичные наблюдения были сделаны у крыс, получавших высокие дозы инсулина, а также эмпаглифлозина через 3 часа [51].</w:t>
      </w:r>
    </w:p>
    <w:p w14:paraId="2C2FB1F4" w14:textId="77777777" w:rsidR="00C035FA" w:rsidRDefault="008D5756">
      <w:pPr>
        <w:spacing w:after="0" w:line="240" w:lineRule="auto"/>
        <w:ind w:firstLine="720"/>
        <w:rPr>
          <w:lang w:eastAsia="zh-CN"/>
        </w:rPr>
      </w:pPr>
      <w:r>
        <w:rPr>
          <w:lang w:eastAsia="zh-CN"/>
        </w:rPr>
        <w:t>Наконец, эти исследователи провели субхроническое исследование, в котором крысам вводили один или два имплантата инсулина и через 2 дня крысы получали 10 мг/кг эмпаглифлозина два раза в день в течение 28 дней [51]. В конце исследования расчетный 12-часовой профиль глюкозы в крови был аналогичным образом снижен при применении одного имплантата инсулина или монотерапии эмпаглифлозином. Комбинация обоих препаратов приводила к снижению уровня глюкозы в крови, близкому к таковому при двух имплантатах инсулина. Уровни HbA1c имитировали эти результаты.</w:t>
      </w:r>
    </w:p>
    <w:p w14:paraId="3CCAA3B3" w14:textId="246E689A" w:rsidR="00C035FA" w:rsidRDefault="008D5756">
      <w:pPr>
        <w:spacing w:after="0" w:line="240" w:lineRule="auto"/>
        <w:ind w:firstLine="720"/>
        <w:rPr>
          <w:lang w:eastAsia="zh-CN"/>
        </w:rPr>
      </w:pPr>
      <w:r>
        <w:rPr>
          <w:lang w:eastAsia="zh-CN"/>
        </w:rPr>
        <w:lastRenderedPageBreak/>
        <w:t>Дозозависимое улучшение уровня глюкозы в крови при приеме 10 и 30 мг/кг эмпаглифлозина у крыс с STZ-моделью диабета 1 типа также было подтверждено в ходе 7-недельного исследования [3</w:t>
      </w:r>
      <w:r w:rsidR="007E4296">
        <w:rPr>
          <w:lang w:eastAsia="zh-CN"/>
        </w:rPr>
        <w:t>3</w:t>
      </w:r>
      <w:r>
        <w:rPr>
          <w:lang w:eastAsia="zh-CN"/>
        </w:rPr>
        <w:t>].</w:t>
      </w:r>
    </w:p>
    <w:p w14:paraId="44F6DD7F" w14:textId="77777777" w:rsidR="00C035FA" w:rsidRDefault="008D5756">
      <w:pPr>
        <w:spacing w:after="0" w:line="240" w:lineRule="auto"/>
        <w:ind w:firstLine="720"/>
        <w:rPr>
          <w:lang w:eastAsia="zh-CN"/>
        </w:rPr>
      </w:pPr>
      <w:r>
        <w:rPr>
          <w:lang w:eastAsia="zh-CN"/>
        </w:rPr>
        <w:t>Эмпаглифлозин также изучали на крысах, которых содержали на диете с высоким содержанием жиров и которые получали однократно более низкую дозу (35 мг/кг) STZ. Через неделю после инъекции STZ крысам назначали носитель, эмпаглифлозин (10 мг/кг перорально один раз в день) или агонист глюкагоноподобного пептида-1 эксенатид (30 мкг/кг/день). По сравнению с носителем, лечение эмпаглифлозином улучшило уровень глюкозы натощак (6,6 против 10,7 мм) и во время ГТТ по оценке на 23-й день (AUC 24,2 против 52,2 мм/ч), а также снизило уровень глюкозы в плазме (7,6 против 15,7 мм), HbA1c (7,6 против 9,0%), инсулина (0,7 против 1,6 нг/мл) и триацилглицерина (0,21 против 0,36 мм) по оценке на 29-й день. Напротив, эксенатид снижал триацилглицерин до 0,28 мм, но не влиял ни на один из других метаболических параметров в любой момент времени.</w:t>
      </w:r>
    </w:p>
    <w:p w14:paraId="4D9C3850" w14:textId="0BBBB985" w:rsidR="00C035FA" w:rsidRDefault="008D5756">
      <w:pPr>
        <w:spacing w:after="0" w:line="240" w:lineRule="auto"/>
        <w:ind w:firstLine="720"/>
        <w:rPr>
          <w:lang w:eastAsia="zh-CN"/>
        </w:rPr>
      </w:pPr>
      <w:r>
        <w:rPr>
          <w:lang w:eastAsia="zh-CN"/>
        </w:rPr>
        <w:t>Мыши Akita (Ins2+/C96Y) представляют собой инсулинозависимую модель спонтанного диабета 1 типа без ожирения. Эффекты эмпаглифлозина (300 мг/кг в течение 15 недель, что соответствует 60–80 мг/кг/день) исследовали на этих мышах, используя однопометных мышей Ins2+/+ в качестве контроля [</w:t>
      </w:r>
      <w:r w:rsidR="007E4296">
        <w:rPr>
          <w:lang w:eastAsia="zh-CN"/>
        </w:rPr>
        <w:t>5</w:t>
      </w:r>
      <w:r>
        <w:rPr>
          <w:lang w:eastAsia="zh-CN"/>
        </w:rPr>
        <w:t>].</w:t>
      </w:r>
    </w:p>
    <w:p w14:paraId="7D293378" w14:textId="77777777" w:rsidR="00C035FA" w:rsidRDefault="008D5756">
      <w:pPr>
        <w:spacing w:after="0" w:line="240" w:lineRule="auto"/>
        <w:ind w:firstLine="720"/>
        <w:rPr>
          <w:lang w:eastAsia="zh-CN"/>
        </w:rPr>
      </w:pPr>
      <w:r>
        <w:rPr>
          <w:lang w:eastAsia="zh-CN"/>
        </w:rPr>
        <w:t>В отличие от животных, получавших STZ [44], мыши Akita, контрольная группа, получавшая эмпаглифлозин, демонстрировали повышенную экспрессию SGLT2 в почечной мембране, что сопровождалось сниженной экспрессией SGLT1. Благодаря этим изменениям в экспрессии SGLT эмпаглифлозин сильно снижал уровень глюкозы в крови у мышей Akita (уровни глюкозы: контроль 100–140, мыши Akita 517–535, мыши Akita, получавшие эмпаглифлозин, 187–237 мг/дл).</w:t>
      </w:r>
    </w:p>
    <w:p w14:paraId="30A87DB4" w14:textId="0EB95B60" w:rsidR="00C035FA" w:rsidRDefault="008D5756">
      <w:pPr>
        <w:spacing w:after="0" w:line="240" w:lineRule="auto"/>
        <w:ind w:firstLine="720"/>
        <w:rPr>
          <w:lang w:eastAsia="zh-CN"/>
        </w:rPr>
      </w:pPr>
      <w:r>
        <w:rPr>
          <w:lang w:eastAsia="zh-CN"/>
        </w:rPr>
        <w:t>Интересным дополнением к данным по эмпаглифлозину в моделях диабета 1 типа являются мышиные модели, которые были генетически сконструированы так, чтобы отсутствовал SGLT2 [4</w:t>
      </w:r>
      <w:r w:rsidR="007E4296">
        <w:rPr>
          <w:lang w:eastAsia="zh-CN"/>
        </w:rPr>
        <w:t>1</w:t>
      </w:r>
      <w:r>
        <w:rPr>
          <w:lang w:eastAsia="zh-CN"/>
        </w:rPr>
        <w:t>], или были отобраны для нормогликемического фенотипа глюкозурии при воздействии мутагена, который был вызван мутацией гена Slc5a2, кодирующего SGLT2, у мышей Sweet Pee [</w:t>
      </w:r>
      <w:r w:rsidR="007E4296">
        <w:rPr>
          <w:lang w:eastAsia="zh-CN"/>
        </w:rPr>
        <w:t>52</w:t>
      </w:r>
      <w:r>
        <w:rPr>
          <w:lang w:eastAsia="zh-CN"/>
        </w:rPr>
        <w:t>]. Диабет индуцировали у обоих штаммов инъекцией STZ. Нокаутные мыши демонстрировали нормальную почечную экспрессию мРНК транспортеров глюкозы SGLT1, NaGLT1, GLUT1 или GLUT2 в ответ на STZ, но меньшее повышение уровня глюкозы в крови (примерно до 300 против 470 мг/дл) [4</w:t>
      </w:r>
      <w:r w:rsidR="007E4296">
        <w:rPr>
          <w:lang w:eastAsia="zh-CN"/>
        </w:rPr>
        <w:t>1</w:t>
      </w:r>
      <w:r>
        <w:rPr>
          <w:lang w:eastAsia="zh-CN"/>
        </w:rPr>
        <w:t>].</w:t>
      </w:r>
    </w:p>
    <w:p w14:paraId="4AEB26A6" w14:textId="7C932505" w:rsidR="00C035FA" w:rsidRDefault="008D5756">
      <w:pPr>
        <w:spacing w:after="0" w:line="240" w:lineRule="auto"/>
        <w:ind w:firstLine="720"/>
        <w:rPr>
          <w:lang w:eastAsia="zh-CN"/>
        </w:rPr>
      </w:pPr>
      <w:r>
        <w:rPr>
          <w:lang w:eastAsia="zh-CN"/>
        </w:rPr>
        <w:t>До индукции диабета у мышей Sweet Pee уровень HbA1c был таким же, как у животных дикого типа [</w:t>
      </w:r>
      <w:r w:rsidR="007E4296">
        <w:rPr>
          <w:lang w:eastAsia="zh-CN"/>
        </w:rPr>
        <w:t>52</w:t>
      </w:r>
      <w:r>
        <w:rPr>
          <w:lang w:eastAsia="zh-CN"/>
        </w:rPr>
        <w:t>]. После первой инъекции STZ 86% мышей дикого типа, при этом только 52% гомозиготных мышей Sweet Pee становились диабетиками. У животных с диабетом, как и в случае с эмпаглифлозином, у гомо- и гетерозиготных мышей Sweet Pee наблюдался более низкий уровень HbA1c, измеренный через 16 недель после индукции диабета. STZ-диабетические мыши Sweet Pee демонстрировали более высокий риск инфекции мочевыводящих путей и повышенный уровень смертности (70% против 10% у контрольной группы через 20 недель). С другой стороны, не наблюдалось увеличения смертности у мышей с нокаутом SGLT2, получавших STZ [4</w:t>
      </w:r>
      <w:r w:rsidR="007E4296">
        <w:rPr>
          <w:lang w:eastAsia="zh-CN"/>
        </w:rPr>
        <w:t>1</w:t>
      </w:r>
      <w:r>
        <w:rPr>
          <w:lang w:eastAsia="zh-CN"/>
        </w:rPr>
        <w:t>], или у мышей Akita, получавших эмпаглифлозин [</w:t>
      </w:r>
      <w:r w:rsidR="007E4296">
        <w:rPr>
          <w:lang w:eastAsia="zh-CN"/>
        </w:rPr>
        <w:t>5</w:t>
      </w:r>
      <w:r>
        <w:rPr>
          <w:lang w:eastAsia="zh-CN"/>
        </w:rPr>
        <w:t>]. Причины этих различий еще предстоит определить, но они могут быть частично связаны с более высокой дозой STZ, которую давали мышам Sweet Pee по сравнению с их контролем.</w:t>
      </w:r>
    </w:p>
    <w:p w14:paraId="3A369A5A" w14:textId="77777777" w:rsidR="00C035FA" w:rsidRDefault="00C035FA">
      <w:pPr>
        <w:spacing w:after="0" w:line="240" w:lineRule="auto"/>
        <w:rPr>
          <w:lang w:eastAsia="zh-CN"/>
        </w:rPr>
      </w:pPr>
    </w:p>
    <w:p w14:paraId="5BCC45B0" w14:textId="77777777" w:rsidR="00C035FA" w:rsidRDefault="008D5756">
      <w:pPr>
        <w:spacing w:after="0" w:line="240" w:lineRule="auto"/>
        <w:rPr>
          <w:b/>
          <w:i/>
          <w:lang w:eastAsia="zh-CN"/>
        </w:rPr>
      </w:pPr>
      <w:r>
        <w:rPr>
          <w:b/>
          <w:i/>
          <w:lang w:eastAsia="zh-CN"/>
        </w:rPr>
        <w:t>Исследования при ожирении и потере веса</w:t>
      </w:r>
    </w:p>
    <w:p w14:paraId="469A465B" w14:textId="77777777" w:rsidR="00C035FA" w:rsidRDefault="008D5756">
      <w:pPr>
        <w:spacing w:after="0" w:line="240" w:lineRule="auto"/>
        <w:ind w:firstLine="720"/>
        <w:rPr>
          <w:lang w:eastAsia="zh-CN"/>
        </w:rPr>
      </w:pPr>
      <w:r>
        <w:rPr>
          <w:lang w:eastAsia="zh-CN"/>
        </w:rPr>
        <w:t xml:space="preserve">Ожирение часто является основой для развития сахарного диабета 2 типа. Многие существующие медицинские методы лечения гипергликемии часто приводят к дальнейшему увеличению массы тела, тем самым создавая порочный круг. Напротив, </w:t>
      </w:r>
      <w:r>
        <w:rPr>
          <w:lang w:eastAsia="zh-CN"/>
        </w:rPr>
        <w:lastRenderedPageBreak/>
        <w:t>диабет 1 типа часто связан с низкой массой тела или даже потерей массы тела. На этом фоне влияние эмпаглифлозина на массу тела исследовали на мышах без ожирения и на моделях животных с ожирением и сахарным диабетом 2 и 1 типа.</w:t>
      </w:r>
    </w:p>
    <w:p w14:paraId="2789ED99" w14:textId="778859F4" w:rsidR="00C035FA" w:rsidRDefault="008D5756">
      <w:pPr>
        <w:spacing w:after="0" w:line="240" w:lineRule="auto"/>
        <w:ind w:firstLine="720"/>
        <w:rPr>
          <w:lang w:eastAsia="zh-CN"/>
        </w:rPr>
      </w:pPr>
      <w:r>
        <w:rPr>
          <w:lang w:eastAsia="zh-CN"/>
        </w:rPr>
        <w:t>Мыши дикого типа с нормогликемией, без ожирения и с нокаутом SGLT1 получали эмпаглифлозин (доза 300 мг/кг) в течение 3 недель [</w:t>
      </w:r>
      <w:r w:rsidR="007E4296">
        <w:rPr>
          <w:lang w:eastAsia="zh-CN"/>
        </w:rPr>
        <w:t>37</w:t>
      </w:r>
      <w:r>
        <w:rPr>
          <w:lang w:eastAsia="zh-CN"/>
        </w:rPr>
        <w:t>]. В соответствии со стимулированием экскреции глюкозы эмпаглифлозин снижал массу тела у обоих штаммов примерно на 1,5 и 3% соответственно, несмотря на увеличение потребления пищи и воды. В подтверждение этих результатов у мышей с двойным нокаутом SGLT1/2 в этом исследовании наблюдалось примерно 10% снижение массы тела и увеличение потребления пищи и воды.</w:t>
      </w:r>
    </w:p>
    <w:p w14:paraId="716CC691" w14:textId="747D704D" w:rsidR="00C035FA" w:rsidRDefault="008D5756">
      <w:pPr>
        <w:spacing w:after="0" w:line="240" w:lineRule="auto"/>
        <w:ind w:firstLine="720"/>
        <w:rPr>
          <w:lang w:eastAsia="zh-CN"/>
        </w:rPr>
      </w:pPr>
      <w:r>
        <w:rPr>
          <w:lang w:eastAsia="zh-CN"/>
        </w:rPr>
        <w:t>Другое исследование той же группы, проведенное на мышах дикого типа, показало, что эффект увеличения экскреции глюкозы с мочой, вызванный 15-недельным лечением эмпаглифлозином, был частично компенсирован увеличением потребления пищи и жидкости, но, тем не менее, приводил к общей умеренной потере веса, связанной с уменьшение размера эпидидимальных белых адипоцитов [</w:t>
      </w:r>
      <w:r w:rsidR="007E4296">
        <w:rPr>
          <w:lang w:eastAsia="zh-CN"/>
        </w:rPr>
        <w:t>5</w:t>
      </w:r>
      <w:r>
        <w:rPr>
          <w:lang w:eastAsia="zh-CN"/>
        </w:rPr>
        <w:t>].</w:t>
      </w:r>
    </w:p>
    <w:p w14:paraId="750AAD85" w14:textId="77777777" w:rsidR="00C035FA" w:rsidRDefault="008D5756">
      <w:pPr>
        <w:spacing w:after="0" w:line="240" w:lineRule="auto"/>
        <w:ind w:firstLine="720"/>
        <w:rPr>
          <w:lang w:eastAsia="zh-CN"/>
        </w:rPr>
      </w:pPr>
      <w:r>
        <w:rPr>
          <w:lang w:eastAsia="zh-CN"/>
        </w:rPr>
        <w:t>У эугликемических крыс с ожирением, вызванным диетой, 4-недельное лечение эмпаглифлозином (3 и 10 мг/кг) снижало массу тела на 4,1 и 6,9% соответственно, не влияя на ежедневное потребление пищи. По крайней мере, для более высоких доз это сопровождалось снижением содержания жира в организме (со 175 ± 5 до 152 ± 3 г/крысу), тогда как содержание воды или белка в организме не менялось, что указывает на то, что потеря жира составляет большую часть снижения массы тела.</w:t>
      </w:r>
    </w:p>
    <w:p w14:paraId="35AFC978" w14:textId="77777777" w:rsidR="00C035FA" w:rsidRDefault="008D5756">
      <w:pPr>
        <w:spacing w:after="0" w:line="240" w:lineRule="auto"/>
        <w:ind w:firstLine="720"/>
        <w:rPr>
          <w:lang w:eastAsia="zh-CN"/>
        </w:rPr>
      </w:pPr>
      <w:r>
        <w:rPr>
          <w:lang w:eastAsia="zh-CN"/>
        </w:rPr>
        <w:t xml:space="preserve">Последующее исследование аналогичного дизайна подтвердило влияние на экскрецию глюкозы, но сообщило о несколько меньшем снижении массы тела (-3,1%). С другой стороны, эмпаглифлозин в значительной степени устранял увеличение веса, вызванное пиоглитазоном в этой модели (+1,6 против +6,8%). </w:t>
      </w:r>
    </w:p>
    <w:p w14:paraId="33D0C7B4" w14:textId="46DF7A23" w:rsidR="00C035FA" w:rsidRDefault="008D5756">
      <w:pPr>
        <w:spacing w:after="0" w:line="240" w:lineRule="auto"/>
        <w:ind w:firstLine="720"/>
        <w:rPr>
          <w:lang w:eastAsia="zh-CN"/>
        </w:rPr>
      </w:pPr>
      <w:r>
        <w:rPr>
          <w:lang w:eastAsia="zh-CN"/>
        </w:rPr>
        <w:t>В более подробном исследовании крысы подвергались диете в течение 15–20 недель, чтобы вызвать ожирение, после чего были начаты два исследования лечения [</w:t>
      </w:r>
      <w:r w:rsidR="007E4296">
        <w:rPr>
          <w:lang w:eastAsia="zh-CN"/>
        </w:rPr>
        <w:t>27</w:t>
      </w:r>
      <w:r>
        <w:rPr>
          <w:lang w:eastAsia="zh-CN"/>
        </w:rPr>
        <w:t>]. В первом исследовании крыс лечили носителем или 10, 30 или 60 мг/кг эмпаглифлозина в течение 28 дней. Во втором исследовании они получали эмпаглифлозин в дозе 10 мг/кг в сочетании либо с 5 мг/кг ингибитора обратного захвата серотонина-норадреналина сибутрамином один раз в сутки, либо с ингибитором липазы орлистатом в дозе 20 мг/кг два раза в сутки.</w:t>
      </w:r>
    </w:p>
    <w:p w14:paraId="6B8A0653" w14:textId="00E75CCB" w:rsidR="00C035FA" w:rsidRDefault="008D5756">
      <w:pPr>
        <w:spacing w:after="0" w:line="240" w:lineRule="auto"/>
        <w:ind w:firstLine="720"/>
        <w:rPr>
          <w:lang w:eastAsia="zh-CN"/>
        </w:rPr>
      </w:pPr>
      <w:r>
        <w:rPr>
          <w:lang w:eastAsia="zh-CN"/>
        </w:rPr>
        <w:t>Эмпаглифлозин дозозависимо повышал экскрецию глюкозы с мочой и снижал массу тела, уровень лептина в плазме и жировые отложения. Комбинация эмпаглифлозина и орлистата снижала массу тела по сравнению с животными, получавшими одно из этих лекарств, и улучшала толерантность к глюкозе, уровень инсулина в плазме и уровень лептина по сравнению с контрольными животными, получавшими носитель. Эффект сибутрамина для улучшения гликемического контроля в пероральном тесте на толерантность к глюкозе также усиливался при приеме эмпаглифлозина, а комбинированное лечение приводило к более значительному снижению содержания жира в теле животных, чем при применении любого препарата по отдельности.</w:t>
      </w:r>
    </w:p>
    <w:p w14:paraId="2921985D" w14:textId="065D78DF" w:rsidR="00C035FA" w:rsidRDefault="008D5756">
      <w:pPr>
        <w:spacing w:after="0" w:line="240" w:lineRule="auto"/>
        <w:ind w:firstLine="720"/>
        <w:rPr>
          <w:lang w:eastAsia="zh-CN"/>
        </w:rPr>
      </w:pPr>
      <w:r>
        <w:rPr>
          <w:lang w:eastAsia="zh-CN"/>
        </w:rPr>
        <w:t>В совокупности эти исследования установили, что эмпаглифлозин может снижать массу тела у грызунов без ожирения и с ожирением. Это происходит из-за потери жировых отложений, вероятно, вторичной по отношению к усиленному выведению глюкозы, и является добавкой к известным лекарствам для снижения веса.</w:t>
      </w:r>
    </w:p>
    <w:p w14:paraId="08DEE528" w14:textId="07BE645A" w:rsidR="00C035FA" w:rsidRDefault="008D5756">
      <w:pPr>
        <w:spacing w:after="0" w:line="240" w:lineRule="auto"/>
        <w:ind w:firstLine="720"/>
        <w:rPr>
          <w:lang w:eastAsia="zh-CN"/>
        </w:rPr>
      </w:pPr>
      <w:r>
        <w:rPr>
          <w:lang w:eastAsia="zh-CN"/>
        </w:rPr>
        <w:t>Исследования на мышах Sweet Pee показали снижение прибавки массы тела с течением времени с промежуточным эффектом у гетерозиготных животных [</w:t>
      </w:r>
      <w:r w:rsidR="007E4296">
        <w:rPr>
          <w:lang w:eastAsia="zh-CN"/>
        </w:rPr>
        <w:t>50</w:t>
      </w:r>
      <w:r>
        <w:rPr>
          <w:lang w:eastAsia="zh-CN"/>
        </w:rPr>
        <w:t>]. У недиабетических мышей с нокаутом SGLT2 ситуация менее ясна, поскольку сообщалось о сниженной [52] и нормальной массе тела [4</w:t>
      </w:r>
      <w:r w:rsidR="007E4296">
        <w:rPr>
          <w:lang w:eastAsia="zh-CN"/>
        </w:rPr>
        <w:t>1</w:t>
      </w:r>
      <w:r>
        <w:rPr>
          <w:lang w:eastAsia="zh-CN"/>
        </w:rPr>
        <w:t>, 53].</w:t>
      </w:r>
    </w:p>
    <w:p w14:paraId="6A09D9F0" w14:textId="64F68169" w:rsidR="00C035FA" w:rsidRDefault="008D5756">
      <w:pPr>
        <w:spacing w:after="0" w:line="240" w:lineRule="auto"/>
        <w:ind w:firstLine="720"/>
        <w:rPr>
          <w:lang w:eastAsia="zh-CN"/>
        </w:rPr>
      </w:pPr>
      <w:r>
        <w:rPr>
          <w:lang w:eastAsia="zh-CN"/>
        </w:rPr>
        <w:lastRenderedPageBreak/>
        <w:t>Во время 7-дневного лечения мышей db/db эмпаглифлозином 24-часовое потребление воды временно увеличивалось в 1-й день, в то время как потребление пищи не менялось в течение всего периода исследования, прибавка массы тела снижалась с 1 по 5 день [3</w:t>
      </w:r>
      <w:r w:rsidR="007E4296">
        <w:rPr>
          <w:lang w:eastAsia="zh-CN"/>
        </w:rPr>
        <w:t>6</w:t>
      </w:r>
      <w:r>
        <w:rPr>
          <w:lang w:eastAsia="zh-CN"/>
        </w:rPr>
        <w:t>].</w:t>
      </w:r>
    </w:p>
    <w:p w14:paraId="16FAC50D" w14:textId="5FCF8590" w:rsidR="00C035FA" w:rsidRDefault="008D5756">
      <w:pPr>
        <w:spacing w:after="0" w:line="240" w:lineRule="auto"/>
        <w:ind w:firstLine="720"/>
        <w:rPr>
          <w:lang w:eastAsia="zh-CN"/>
        </w:rPr>
      </w:pPr>
      <w:r>
        <w:rPr>
          <w:lang w:eastAsia="zh-CN"/>
        </w:rPr>
        <w:t>Во втором эксперименте с 10-недельным лечением эмпаглифлозином масса тела мышей db/db в течение последних 4 недель исследования была несколько выше у эмпаглифлозина, чем у крыс, получавших носитель. Эмпаглифлозин также оказывал лишь незначительное влияние на потребление пищи и воды в эти моменты времени.</w:t>
      </w:r>
    </w:p>
    <w:p w14:paraId="2D6636AD" w14:textId="3743DF26" w:rsidR="00C035FA" w:rsidRDefault="008D5756">
      <w:pPr>
        <w:spacing w:after="0" w:line="240" w:lineRule="auto"/>
        <w:ind w:firstLine="720"/>
        <w:rPr>
          <w:lang w:eastAsia="zh-CN"/>
        </w:rPr>
      </w:pPr>
      <w:r>
        <w:rPr>
          <w:lang w:eastAsia="zh-CN"/>
        </w:rPr>
        <w:t xml:space="preserve">В другом исследовании крысам вводили носитель или низкие дозы </w:t>
      </w:r>
      <w:r>
        <w:t>STZ</w:t>
      </w:r>
      <w:r>
        <w:rPr>
          <w:lang w:eastAsia="zh-CN"/>
        </w:rPr>
        <w:t xml:space="preserve"> (35 мг/кг) и содержали на диете с высоким содержанием жиров в течение 29 дней. Через 1 неделю животным назначали носитель, эмпаглифлозин (10 мг/кг перорально) или эксенатид (30 мкг/кг/день с помощью подкожно имплантированных мининасосов). В конце исследования, по сравнению с крысами, получавшими носитель, у животных, получавших STZ, наблюдалось ожидаемое снижение массы тела (519 против 568 г) и инсулина в плазме (1,6 против 2,8 нг/мл) и увеличение HbA1c (9 против 2,8 нг/мл), уровня глюкозы в плазме (15,7 против 8,3 мм) и уровня триацилглицеридов (0,36 против 0,2 мм).</w:t>
      </w:r>
    </w:p>
    <w:p w14:paraId="454C521B" w14:textId="2F33491A" w:rsidR="00C035FA" w:rsidRDefault="008D5756">
      <w:pPr>
        <w:spacing w:after="0" w:line="240" w:lineRule="auto"/>
        <w:ind w:firstLine="720"/>
        <w:rPr>
          <w:lang w:eastAsia="zh-CN"/>
        </w:rPr>
      </w:pPr>
      <w:r>
        <w:rPr>
          <w:lang w:eastAsia="zh-CN"/>
        </w:rPr>
        <w:t>Лечение эмпаглифлозином не влияло на массу тела или потребление пищи по сравнению с лечением стрептозотоцином, который улучшает метаболические параметры. Неизменный прием пищи, возможно, отражал неизменную экскрецию глюкозы с мочой в стационарном состоянии, то есть ингибирование реабсорбции глюкозы почками было сбалансировано снижением фильтрации глюкозы, как это наблюдалось у мышей Akita, получавших эмпаглифлозин [</w:t>
      </w:r>
      <w:r w:rsidR="007E4296">
        <w:rPr>
          <w:lang w:eastAsia="zh-CN"/>
        </w:rPr>
        <w:t>5</w:t>
      </w:r>
      <w:r>
        <w:rPr>
          <w:lang w:eastAsia="zh-CN"/>
        </w:rPr>
        <w:t>], и у мышей с нокаутом SGLT2, страдающих диабетом STZ [4</w:t>
      </w:r>
      <w:r w:rsidR="007E4296">
        <w:rPr>
          <w:lang w:eastAsia="zh-CN"/>
        </w:rPr>
        <w:t>1</w:t>
      </w:r>
      <w:r>
        <w:rPr>
          <w:lang w:eastAsia="zh-CN"/>
        </w:rPr>
        <w:t>].</w:t>
      </w:r>
    </w:p>
    <w:p w14:paraId="1BF6A5AF" w14:textId="763CE1B7" w:rsidR="00C035FA" w:rsidRDefault="008D5756">
      <w:pPr>
        <w:spacing w:after="0" w:line="240" w:lineRule="auto"/>
        <w:ind w:firstLine="720"/>
        <w:rPr>
          <w:lang w:eastAsia="zh-CN"/>
        </w:rPr>
      </w:pPr>
      <w:r>
        <w:rPr>
          <w:lang w:eastAsia="zh-CN"/>
        </w:rPr>
        <w:t>Потеря веса является одним из возможных симптомов у пациентов с диабетом 1 типа в начале заболевания или при неадекватно контролируемом гомеостазе глюкозы. В модели STZ у крыс эмпаглифлозин не снижал, а скорее увеличивал массу тела, хотя и в меньшей степени, чем один или два имплантата инсулина (+7,5 против +11,1 и +20,0% соответственно) [5</w:t>
      </w:r>
      <w:r w:rsidR="007E4296">
        <w:rPr>
          <w:lang w:eastAsia="zh-CN"/>
        </w:rPr>
        <w:t>0</w:t>
      </w:r>
      <w:r>
        <w:rPr>
          <w:lang w:eastAsia="zh-CN"/>
        </w:rPr>
        <w:t>]. В отличие от лечения инсулином, эмпаглифлозин не увеличивал содержание жира в организме. Снижение массы тела в STZ-модели диабета 1 типа было одинаковым у мышей дикого типа и мышей с нокаутом SGLT2 при оценке через 5 недель или 4,5 месяца после индукции диабета [4</w:t>
      </w:r>
      <w:r w:rsidR="007E4296">
        <w:rPr>
          <w:lang w:eastAsia="zh-CN"/>
        </w:rPr>
        <w:t>1</w:t>
      </w:r>
      <w:r>
        <w:rPr>
          <w:lang w:eastAsia="zh-CN"/>
        </w:rPr>
        <w:t>].</w:t>
      </w:r>
    </w:p>
    <w:p w14:paraId="603EF62D" w14:textId="4485C83B" w:rsidR="00C035FA" w:rsidRDefault="008D5756">
      <w:pPr>
        <w:spacing w:after="0" w:line="240" w:lineRule="auto"/>
        <w:ind w:firstLine="720"/>
        <w:rPr>
          <w:lang w:eastAsia="zh-CN"/>
        </w:rPr>
      </w:pPr>
      <w:r>
        <w:rPr>
          <w:lang w:eastAsia="zh-CN"/>
        </w:rPr>
        <w:t>Модель Akita с диабетом 1 типа демонстрирует снижение массы тела с течением времени. В этой модели лечение эмпаглифлозином продолжительностью до 15 недель снижало дальнейшее снижение и уменьшение размера эпидидимальных адипоцитов, несмотря на аналогичное увеличение потребления пищи и жидкости по сравнению с лечением носителем [</w:t>
      </w:r>
      <w:r w:rsidR="007E4296">
        <w:rPr>
          <w:lang w:eastAsia="zh-CN"/>
        </w:rPr>
        <w:t>5</w:t>
      </w:r>
      <w:r>
        <w:rPr>
          <w:lang w:eastAsia="zh-CN"/>
        </w:rPr>
        <w:t>].</w:t>
      </w:r>
    </w:p>
    <w:p w14:paraId="6A7700C0" w14:textId="5B5F5B85" w:rsidR="00C035FA" w:rsidRDefault="008D5756">
      <w:pPr>
        <w:spacing w:after="0" w:line="240" w:lineRule="auto"/>
        <w:ind w:firstLine="720"/>
        <w:rPr>
          <w:lang w:eastAsia="zh-CN"/>
        </w:rPr>
      </w:pPr>
      <w:r>
        <w:rPr>
          <w:lang w:eastAsia="zh-CN"/>
        </w:rPr>
        <w:t>В совокупности эти данные показывают, что, в отличие от многих других антигипергликемических препаратов, эмпаглифлозин снижает массу тела на моделях ожирения у животных независимо от наличия сопутствующего диабета. Напротив, лечение эмпаглифлозином или нокаут SGLT2 не усиливают связанное с заболеванием снижение массы тела на животных моделях диабета 1 типа.</w:t>
      </w:r>
    </w:p>
    <w:p w14:paraId="7264AEDF" w14:textId="77777777" w:rsidR="00C035FA" w:rsidRDefault="00C035FA">
      <w:pPr>
        <w:spacing w:after="0" w:line="240" w:lineRule="auto"/>
        <w:rPr>
          <w:lang w:eastAsia="zh-CN"/>
        </w:rPr>
      </w:pPr>
    </w:p>
    <w:p w14:paraId="1B959B26" w14:textId="77777777" w:rsidR="00C035FA" w:rsidRDefault="008D5756">
      <w:pPr>
        <w:spacing w:after="0" w:line="240" w:lineRule="auto"/>
        <w:rPr>
          <w:b/>
          <w:i/>
          <w:lang w:eastAsia="zh-CN"/>
        </w:rPr>
      </w:pPr>
      <w:r>
        <w:rPr>
          <w:b/>
          <w:i/>
          <w:lang w:eastAsia="zh-CN"/>
        </w:rPr>
        <w:t>Исследования сердечно-сосудистых осложнений диабета</w:t>
      </w:r>
    </w:p>
    <w:p w14:paraId="556DB747" w14:textId="5C6C1020" w:rsidR="00C035FA" w:rsidRDefault="008D5756">
      <w:pPr>
        <w:spacing w:after="0" w:line="240" w:lineRule="auto"/>
        <w:ind w:firstLine="720"/>
        <w:rPr>
          <w:lang w:eastAsia="zh-CN"/>
        </w:rPr>
      </w:pPr>
      <w:r>
        <w:rPr>
          <w:lang w:eastAsia="zh-CN"/>
        </w:rPr>
        <w:t>Сердечно-сосудистые осложнения являются важной причиной заболеваемости и смертности у больных сахарным диабетом, а эндотелиальная дисфункция является ранним индикатором развития сердечно-сосудистых осложнений. На крысиной STZ-модели диабета 1 типа было изучено влияние 7-недельного лечения эмпаглифлозином (10 и 30 мг/кг) на эндотелиальную дисфункцию [3</w:t>
      </w:r>
      <w:r w:rsidR="007E4296">
        <w:rPr>
          <w:lang w:eastAsia="zh-CN"/>
        </w:rPr>
        <w:t>3</w:t>
      </w:r>
      <w:r>
        <w:rPr>
          <w:lang w:eastAsia="zh-CN"/>
        </w:rPr>
        <w:t>].</w:t>
      </w:r>
    </w:p>
    <w:p w14:paraId="6D1CFAA7" w14:textId="29C474EB" w:rsidR="00C035FA" w:rsidRDefault="008D5756">
      <w:pPr>
        <w:spacing w:after="0" w:line="240" w:lineRule="auto"/>
        <w:ind w:firstLine="720"/>
        <w:rPr>
          <w:lang w:eastAsia="zh-CN"/>
        </w:rPr>
      </w:pPr>
      <w:r>
        <w:rPr>
          <w:lang w:eastAsia="zh-CN"/>
        </w:rPr>
        <w:lastRenderedPageBreak/>
        <w:t>Такое лечение снижало повышение уровня глюкозы в плазме натощак (с 400 до 170–185 мг/дл), и нормализовало эндотелиальную дисфункцию, оцениваемую по эндотелийзависимой релаксации аорты, и уменьшало окислительный стресс в этих сосудах, а также толщину сосудистой стенки и содержание коллагена. Кроме того, эмпаглифлозин нормализовал повышенную активность НАДФН-оксидазы в сердце. Эндотелиальная дисфункция также улучшилась в аорте мышей db/db после 10-недельного лечения эмпаглифлозином наряду со снижением повышенных уровней супероксида в аорте [3</w:t>
      </w:r>
      <w:r w:rsidR="007E4296">
        <w:rPr>
          <w:lang w:eastAsia="zh-CN"/>
        </w:rPr>
        <w:t>6</w:t>
      </w:r>
      <w:r>
        <w:rPr>
          <w:lang w:eastAsia="zh-CN"/>
        </w:rPr>
        <w:t>].</w:t>
      </w:r>
    </w:p>
    <w:p w14:paraId="0BC8CD09" w14:textId="7EF42A49" w:rsidR="00C035FA" w:rsidRDefault="008D5756">
      <w:pPr>
        <w:spacing w:after="0" w:line="240" w:lineRule="auto"/>
        <w:ind w:firstLine="720"/>
        <w:rPr>
          <w:lang w:eastAsia="zh-CN"/>
        </w:rPr>
      </w:pPr>
      <w:r>
        <w:rPr>
          <w:lang w:eastAsia="zh-CN"/>
        </w:rPr>
        <w:t>Диабет также может привести к увеличению жесткости артерий, что, в свою очередь, может увеличить риск сердечно-сосудистых осложнений. У мышей db/db наблюдается сердечный интерстициальный и перикоронарный артериальный фиброз вместе с утолщением коронарных артерий, инфильтрацией интерстициальными макрофагами и повышенными уровнями кардиального супероксида [3</w:t>
      </w:r>
      <w:r w:rsidR="007E4296">
        <w:rPr>
          <w:lang w:eastAsia="zh-CN"/>
        </w:rPr>
        <w:t>6</w:t>
      </w:r>
      <w:r>
        <w:rPr>
          <w:lang w:eastAsia="zh-CN"/>
        </w:rPr>
        <w:t xml:space="preserve">]. Все эти изменения нормализовались после 10-недельного лечения эмпаглифлозином. В соответствии с этими морфологическими данными на модели мышей с диабетом 2 типа, 8-недельное лечение молодых и нормотензивных пациентов с диабетом 1 типа эмпаглифлозином снижало индексы аугментации [54], индекс жесткости артерий, связанный с сердечно-сосудистыми заболеваниями [55] в лучевой, каротидной и аортальной позициях в условиях эугликемии и аналогичные эффекты наблюдались в условиях гипергликемии. </w:t>
      </w:r>
    </w:p>
    <w:p w14:paraId="316E8931" w14:textId="1120726C" w:rsidR="00C035FA" w:rsidRDefault="008D5756">
      <w:pPr>
        <w:spacing w:after="0" w:line="240" w:lineRule="auto"/>
        <w:ind w:firstLine="720"/>
        <w:rPr>
          <w:lang w:eastAsia="zh-CN"/>
        </w:rPr>
      </w:pPr>
      <w:r>
        <w:rPr>
          <w:lang w:eastAsia="zh-CN"/>
        </w:rPr>
        <w:t xml:space="preserve">Эмпаглифлозин одновременно снижал скорость каротидно-лучевой пульсовой волны в условиях эугликемии и гипергликемии, в то время как снижение скорости каротидно-бедренной пульсовой волны наблюдалось только при гипергликемии (от 5,7 ± 1,1 до 5,2 ± 0,9 м/с), при </w:t>
      </w:r>
      <w:r w:rsidR="00B47686">
        <w:rPr>
          <w:lang w:eastAsia="zh-CN"/>
        </w:rPr>
        <w:t>этом HbA</w:t>
      </w:r>
      <w:r>
        <w:rPr>
          <w:lang w:eastAsia="zh-CN"/>
        </w:rPr>
        <w:t>1c снизился с 8,0 до 7,6 % [56]. Авторы предположили, что это снижение жесткости артерий у молодых людей с сахарным диабетом 1 типа может быть связано с плейотропным действием ингибирования SGLT2, включая эффекты снижения уровня глюкозы, антигипертензии и снижения веса.</w:t>
      </w:r>
    </w:p>
    <w:p w14:paraId="7891FC1B" w14:textId="1FDE2D83" w:rsidR="00C035FA" w:rsidRDefault="008D5756">
      <w:pPr>
        <w:spacing w:after="0" w:line="240" w:lineRule="auto"/>
        <w:ind w:firstLine="720"/>
        <w:rPr>
          <w:lang w:eastAsia="zh-CN"/>
        </w:rPr>
      </w:pPr>
      <w:r>
        <w:rPr>
          <w:lang w:eastAsia="zh-CN"/>
        </w:rPr>
        <w:t>Артериальная гипертензия часто сочетается с диабетом, и эти два состояния могут усиливать друг друга в отношении долгосрочного неблагоприятного воздействия на сердечно-сосудистую систему, включая почечные исходы. У нормотензивных мышей дикого типа с нормальным артериальным давлением 15-недельное лечение эмпаглифлозином не влияло на артериальное давление, частоту сердечных сокращений или концентрацию альдостерона в плазме [</w:t>
      </w:r>
      <w:r w:rsidR="007E4296">
        <w:rPr>
          <w:lang w:eastAsia="zh-CN"/>
        </w:rPr>
        <w:t>5</w:t>
      </w:r>
      <w:r>
        <w:rPr>
          <w:lang w:eastAsia="zh-CN"/>
        </w:rPr>
        <w:t>].</w:t>
      </w:r>
    </w:p>
    <w:p w14:paraId="138199D0" w14:textId="668E65F8" w:rsidR="00C035FA" w:rsidRDefault="008D5756">
      <w:pPr>
        <w:spacing w:after="0" w:line="240" w:lineRule="auto"/>
        <w:ind w:firstLine="720"/>
        <w:rPr>
          <w:lang w:eastAsia="zh-CN"/>
        </w:rPr>
      </w:pPr>
      <w:r>
        <w:rPr>
          <w:lang w:eastAsia="zh-CN"/>
        </w:rPr>
        <w:t>Лечение эмпаглифлозином в течение 12 недель не влияло на кровяное давление в модели BTBR ob/ob диабета 2 типа, независимо от того, были ли эти мыши нормотензивными или гипертония была вызвана инфузией ангиотензина II [</w:t>
      </w:r>
      <w:r w:rsidR="007E4296">
        <w:rPr>
          <w:lang w:eastAsia="zh-CN"/>
        </w:rPr>
        <w:t>11</w:t>
      </w:r>
      <w:r>
        <w:rPr>
          <w:lang w:eastAsia="zh-CN"/>
        </w:rPr>
        <w:t>].</w:t>
      </w:r>
    </w:p>
    <w:p w14:paraId="6DF679BB" w14:textId="51883644" w:rsidR="00C035FA" w:rsidRDefault="008D5756">
      <w:pPr>
        <w:spacing w:after="0" w:line="240" w:lineRule="auto"/>
        <w:ind w:firstLine="720"/>
        <w:rPr>
          <w:lang w:eastAsia="zh-CN"/>
        </w:rPr>
      </w:pPr>
      <w:r>
        <w:rPr>
          <w:lang w:eastAsia="zh-CN"/>
        </w:rPr>
        <w:t>Лечение эмпаглифлозином в течение 10 недель также не влияло на артериальное давление у мышей db/db по оценке через 3 или 8 недель [3</w:t>
      </w:r>
      <w:r w:rsidR="007E4296">
        <w:rPr>
          <w:lang w:eastAsia="zh-CN"/>
        </w:rPr>
        <w:t>6</w:t>
      </w:r>
      <w:r>
        <w:rPr>
          <w:lang w:eastAsia="zh-CN"/>
        </w:rPr>
        <w:t>]. В то время как модель диабета 1 типа у мышей Akita показала такую же частоту сердечных сокращений, что и у мышей дикого типа, она характеризовалась повышенным кровяным давлением и альдостероном в плазме [</w:t>
      </w:r>
      <w:r w:rsidR="007E4296">
        <w:rPr>
          <w:lang w:eastAsia="zh-CN"/>
        </w:rPr>
        <w:t>5</w:t>
      </w:r>
      <w:r>
        <w:rPr>
          <w:lang w:eastAsia="zh-CN"/>
        </w:rPr>
        <w:t>]. У таких мышей эмпаглифлозин не влиял на частоту сердечных сокращений или уровень альдостерона, но нормализовал артериальное давление. О снижении артериального давления также сообщалось после 18 недель лечения эмпаглифлозином (10 мг/кг/день) в исследовании на крысах Cohen Rosenthal с диабетом и гипертензией. В этом исследовании лечение эмпаглифлозином также уменьшало массу миокарда левого желудочка и конечно-диастолический размер, конечно-систолический размер левого желудочка [</w:t>
      </w:r>
      <w:r w:rsidR="007E4296">
        <w:rPr>
          <w:lang w:eastAsia="zh-CN"/>
        </w:rPr>
        <w:t>38</w:t>
      </w:r>
      <w:r>
        <w:rPr>
          <w:lang w:eastAsia="zh-CN"/>
        </w:rPr>
        <w:t>].</w:t>
      </w:r>
    </w:p>
    <w:p w14:paraId="23A8EB7A" w14:textId="4E2D37D0" w:rsidR="00C035FA" w:rsidRDefault="008D5756">
      <w:pPr>
        <w:spacing w:after="0" w:line="240" w:lineRule="auto"/>
        <w:ind w:firstLine="720"/>
        <w:rPr>
          <w:lang w:eastAsia="zh-CN"/>
        </w:rPr>
      </w:pPr>
      <w:r>
        <w:rPr>
          <w:lang w:eastAsia="zh-CN"/>
        </w:rPr>
        <w:t>В указанных выше исследованиях на животных эмпаглифлозин в терапевтических дозах не оказывал влияния на частоту сердечных сокращений.</w:t>
      </w:r>
    </w:p>
    <w:p w14:paraId="225E7A91" w14:textId="3A14E1F5" w:rsidR="00C035FA" w:rsidRDefault="008D5756">
      <w:pPr>
        <w:spacing w:after="0" w:line="240" w:lineRule="auto"/>
        <w:ind w:firstLine="720"/>
        <w:rPr>
          <w:lang w:eastAsia="zh-CN"/>
        </w:rPr>
      </w:pPr>
      <w:r>
        <w:rPr>
          <w:lang w:eastAsia="zh-CN"/>
        </w:rPr>
        <w:t xml:space="preserve">Холестерин плазмы, особенно холестерин ЛПНП, является фактором сердечно-сосудистого риска, сходным с диабетом. Хотя прямого воздействия ингибиторов SGLT2 на </w:t>
      </w:r>
      <w:r>
        <w:rPr>
          <w:lang w:eastAsia="zh-CN"/>
        </w:rPr>
        <w:lastRenderedPageBreak/>
        <w:t>уровень холестерина в плазме не ожидается, исходя из способа их действия, может происходить модуляция с помощью непрямых механизмов.</w:t>
      </w:r>
    </w:p>
    <w:p w14:paraId="1D90DEF3" w14:textId="77EB6D8E" w:rsidR="00C035FA" w:rsidRDefault="008D5756">
      <w:pPr>
        <w:spacing w:after="0" w:line="240" w:lineRule="auto"/>
        <w:ind w:firstLine="720"/>
        <w:rPr>
          <w:lang w:eastAsia="zh-CN"/>
        </w:rPr>
      </w:pPr>
      <w:r>
        <w:rPr>
          <w:lang w:eastAsia="zh-CN"/>
        </w:rPr>
        <w:t>В проведенном доклиническом исследовании оценивался эффект эмпаглифлозина на липидный спектр. В этом исследовании у крыс с STZ-индуцированным диабетом эмпаглифлозин не повышал, а скорее снижал уровень холестерина в плазме, эффект достигал статистической значимости при более высоких дозах (105 ± 8 против 93 ± 4 против 83 ± 5 мг/дл для плацебо, 10 и 30 мг/кг/день эмпаглифлозина соответственно) [3</w:t>
      </w:r>
      <w:r w:rsidR="007E4296">
        <w:rPr>
          <w:lang w:eastAsia="zh-CN"/>
        </w:rPr>
        <w:t>3</w:t>
      </w:r>
      <w:r>
        <w:rPr>
          <w:lang w:eastAsia="zh-CN"/>
        </w:rPr>
        <w:t>].</w:t>
      </w:r>
    </w:p>
    <w:p w14:paraId="76CC67EF" w14:textId="399599C1" w:rsidR="001E7F44" w:rsidRDefault="008D5756">
      <w:pPr>
        <w:spacing w:after="0" w:line="240" w:lineRule="auto"/>
        <w:ind w:firstLine="720"/>
        <w:rPr>
          <w:lang w:eastAsia="zh-CN"/>
        </w:rPr>
      </w:pPr>
      <w:r>
        <w:rPr>
          <w:lang w:eastAsia="zh-CN"/>
        </w:rPr>
        <w:t>У мышей с нокаутом SGLT2 не наблюдалось значительных изменений уровня холестерина в плазме в отсутствие или при наличии STZ-индуцированного диабета (188 ± 37 против 186 ± 45 и 173 ± 32 против 202 ± 60 мг/дл соответственно) [53].</w:t>
      </w:r>
    </w:p>
    <w:p w14:paraId="7FC937B2" w14:textId="77777777" w:rsidR="00C035FA" w:rsidRDefault="00C035FA" w:rsidP="00E14858">
      <w:pPr>
        <w:spacing w:after="0" w:line="240" w:lineRule="auto"/>
        <w:ind w:firstLine="720"/>
        <w:rPr>
          <w:sz w:val="28"/>
          <w:szCs w:val="28"/>
          <w:lang w:eastAsia="zh-CN"/>
        </w:rPr>
      </w:pPr>
    </w:p>
    <w:p w14:paraId="656AA431" w14:textId="77777777" w:rsidR="00C035FA" w:rsidRDefault="008D5756">
      <w:pPr>
        <w:spacing w:after="0" w:line="240" w:lineRule="auto"/>
        <w:rPr>
          <w:b/>
          <w:i/>
          <w:lang w:eastAsia="zh-CN"/>
        </w:rPr>
      </w:pPr>
      <w:r>
        <w:rPr>
          <w:b/>
          <w:i/>
          <w:lang w:eastAsia="zh-CN"/>
        </w:rPr>
        <w:t>Исследования почечных осложнений диабета</w:t>
      </w:r>
    </w:p>
    <w:p w14:paraId="4729E7CF" w14:textId="096408A1" w:rsidR="00C035FA" w:rsidRDefault="008D5756">
      <w:pPr>
        <w:spacing w:after="0" w:line="240" w:lineRule="auto"/>
        <w:ind w:firstLine="720"/>
        <w:rPr>
          <w:lang w:eastAsia="zh-CN"/>
        </w:rPr>
      </w:pPr>
      <w:r>
        <w:rPr>
          <w:lang w:eastAsia="zh-CN"/>
        </w:rPr>
        <w:t>Нефропатия является еще одним важным осложнением диабета, и первичные изменения в системе проксимальных канальцев связаны с ранними и поздними последствиями, наблюдаемыми в диабетической почке [</w:t>
      </w:r>
      <w:r w:rsidR="007E4296">
        <w:rPr>
          <w:lang w:eastAsia="zh-CN"/>
        </w:rPr>
        <w:t>39</w:t>
      </w:r>
      <w:r>
        <w:rPr>
          <w:lang w:eastAsia="zh-CN"/>
        </w:rPr>
        <w:t>, 4</w:t>
      </w:r>
      <w:r w:rsidR="007E4296">
        <w:rPr>
          <w:lang w:eastAsia="zh-CN"/>
        </w:rPr>
        <w:t>0</w:t>
      </w:r>
      <w:r>
        <w:rPr>
          <w:lang w:eastAsia="zh-CN"/>
        </w:rPr>
        <w:t xml:space="preserve">, 57]. </w:t>
      </w:r>
    </w:p>
    <w:p w14:paraId="2DAEBB47" w14:textId="0FBFEB46" w:rsidR="00C035FA" w:rsidRDefault="008D5756">
      <w:pPr>
        <w:spacing w:after="0" w:line="240" w:lineRule="auto"/>
        <w:ind w:firstLine="720"/>
        <w:rPr>
          <w:lang w:eastAsia="zh-CN"/>
        </w:rPr>
      </w:pPr>
      <w:r>
        <w:rPr>
          <w:lang w:eastAsia="zh-CN"/>
        </w:rPr>
        <w:t xml:space="preserve">Было проведено два исследования </w:t>
      </w:r>
      <w:r>
        <w:rPr>
          <w:i/>
          <w:iCs/>
          <w:lang w:eastAsia="zh-CN"/>
        </w:rPr>
        <w:t>in vivo</w:t>
      </w:r>
      <w:r>
        <w:rPr>
          <w:lang w:eastAsia="zh-CN"/>
        </w:rPr>
        <w:t>, на мышах ob/ob, у которых спонтанно развивалась диабетическая нефропатия 2 типа [</w:t>
      </w:r>
      <w:r w:rsidR="007E4296">
        <w:rPr>
          <w:lang w:eastAsia="zh-CN"/>
        </w:rPr>
        <w:t>11</w:t>
      </w:r>
      <w:r>
        <w:rPr>
          <w:lang w:eastAsia="zh-CN"/>
        </w:rPr>
        <w:t>]. В первом исследовании мыши BTBR ob/ob получали эквикалорийную пищу или плацебо в течение 12 недель. Во втором исследовании они получали ту же диету в течение 6 недель, но дополнительно осмотические мининасосы, высвобождающие 1 мкг/кг массы тела/день ангиотензина II. В обоих исследованиях эмпаглифлозин снижал уровень глюкозы в крови примерно на 140–150 мг/дл до уровней в конце исследования 230 и 170 мг/дл соответственно и одновременно уменьшал альбуминурию. Хотя лечение эмпаглифлозином не влияло на расширение матрикса по данным иммуногистохимии, оно снижало гипертрофию клубочков, связанную с диабетом.</w:t>
      </w:r>
    </w:p>
    <w:p w14:paraId="23536CC9" w14:textId="46AB4BCC" w:rsidR="00C035FA" w:rsidRDefault="008D5756">
      <w:pPr>
        <w:spacing w:after="0" w:line="240" w:lineRule="auto"/>
        <w:ind w:firstLine="720"/>
        <w:rPr>
          <w:lang w:eastAsia="zh-CN"/>
        </w:rPr>
      </w:pPr>
      <w:r>
        <w:rPr>
          <w:lang w:eastAsia="zh-CN"/>
        </w:rPr>
        <w:t>У мышей db/db 10-недельное лечение эмпаглифлозином улучшало экскрецию альбумина с мочой и креатинина, индекс гломерулярного склероза, инфильтрацию гломерулярных макрофагов и уровень гломерулярного супероксида [3</w:t>
      </w:r>
      <w:r w:rsidR="007E4296">
        <w:rPr>
          <w:lang w:eastAsia="zh-CN"/>
        </w:rPr>
        <w:t>6</w:t>
      </w:r>
      <w:r>
        <w:rPr>
          <w:lang w:eastAsia="zh-CN"/>
        </w:rPr>
        <w:t>].</w:t>
      </w:r>
    </w:p>
    <w:p w14:paraId="52811444" w14:textId="209E308A" w:rsidR="00C035FA" w:rsidRDefault="008D5756">
      <w:pPr>
        <w:spacing w:after="0" w:line="240" w:lineRule="auto"/>
        <w:ind w:firstLine="720"/>
        <w:rPr>
          <w:lang w:eastAsia="zh-CN"/>
        </w:rPr>
      </w:pPr>
      <w:r>
        <w:rPr>
          <w:lang w:eastAsia="zh-CN"/>
        </w:rPr>
        <w:t>Влияние эмпаглифлозина на функцию и морфологию почек также было протестировано на модели диабета 1 типа у мышей Akita [</w:t>
      </w:r>
      <w:r w:rsidR="00D56C8F">
        <w:rPr>
          <w:lang w:eastAsia="zh-CN"/>
        </w:rPr>
        <w:t>5</w:t>
      </w:r>
      <w:r>
        <w:rPr>
          <w:lang w:eastAsia="zh-CN"/>
        </w:rPr>
        <w:t>]. В этом исследовании эмпаглифлозин снижал уровень глюкозы в крови с 530 до 200 мг/дл. Он умеренно снижал скорость клубочковой фильтрации в группе контроля (250 против 306 мкл/мин) и полностью предотвращал вызванное диабетом увеличение скорости фильтрации (255 против 397 мкл/мин). Эмпаглифлозин также ослаблял увеличение массы почек и соотношения альбумин/креатинин в моче у мышей Akita пропорционально гипергликемии, но не увеличивал соотношение глюкоза/креатинин в моче, указывая на то, что снижение отфильтрованной глюкозы уравновешивало ингибирование реабсорбции глюкозы. Более того, эмпаглифлозин предотвращал увеличение размеров клубочков и молекулярных маркеров роста почек, воспаление и глюконеогенез у мышей Akita.</w:t>
      </w:r>
    </w:p>
    <w:p w14:paraId="3CF345DA" w14:textId="3130DD58" w:rsidR="00C035FA" w:rsidRDefault="008D5756">
      <w:pPr>
        <w:spacing w:after="0" w:line="240" w:lineRule="auto"/>
        <w:ind w:firstLine="720"/>
        <w:rPr>
          <w:lang w:eastAsia="zh-CN"/>
        </w:rPr>
      </w:pPr>
      <w:r>
        <w:rPr>
          <w:lang w:eastAsia="zh-CN"/>
        </w:rPr>
        <w:t>В другом исследовании индуцировали диабет низкими дозами STZ у мышей с нокаутом SGLT2 и изучали маркеры роста и повреждения почек через 5 недель и 4,5 месяца после введения STZ [4</w:t>
      </w:r>
      <w:r w:rsidR="00D56C8F">
        <w:rPr>
          <w:lang w:eastAsia="zh-CN"/>
        </w:rPr>
        <w:t>1</w:t>
      </w:r>
      <w:r>
        <w:rPr>
          <w:lang w:eastAsia="zh-CN"/>
        </w:rPr>
        <w:t>]. Нокаут SGLT2 снижал уровень глюкозы в крови у мышей с диабетом STZ с 470 до 300 мг/дл, то есть уровень глюкозы в крови оставался выше по сравнению с мышами Akita, получавшими эмпаглифлозин [</w:t>
      </w:r>
      <w:r w:rsidR="00D56C8F">
        <w:rPr>
          <w:lang w:eastAsia="zh-CN"/>
        </w:rPr>
        <w:t>5</w:t>
      </w:r>
      <w:r>
        <w:rPr>
          <w:lang w:eastAsia="zh-CN"/>
        </w:rPr>
        <w:t>]. Увеличение глюкозурии и потребления пищи и жидкости было сходным у обоих штаммов. Отсутствие SGLT2 предотвращало индуцированную STZ гиперфильтрацию клубочков, но не вызывало увеличение массы почек.</w:t>
      </w:r>
    </w:p>
    <w:p w14:paraId="5BCB8B2B" w14:textId="78C39C45" w:rsidR="00C035FA" w:rsidRDefault="008D5756">
      <w:pPr>
        <w:spacing w:after="0" w:line="240" w:lineRule="auto"/>
        <w:ind w:firstLine="720"/>
        <w:rPr>
          <w:lang w:eastAsia="zh-CN"/>
        </w:rPr>
      </w:pPr>
      <w:r>
        <w:rPr>
          <w:lang w:eastAsia="zh-CN"/>
        </w:rPr>
        <w:lastRenderedPageBreak/>
        <w:t>Эти исследования на мышах Akita, получавших эмпаглифлозин, и STZ-диабетических мышах с нокаутом SGLT2, подтвердили, что ингибирование SGLT2 может снижать СКФ независимо от снижения уровня глюкозы в крови. Это согласуется с тубулярной гипотезой диабетической гломерулярной гиперфильтрации и первоначальным наблюдением, согласно которому увеличение транспорта натрия, опосредованного SGLT, способствует индуцированной диабетом гиперреабсорбции в проксимальных канальцах, которая снижает концентрацию Na-Cl-K и увеличивает СКФ через физиологию тубулогломерулярной обратной связи [58]. В отличие от влияния на СКФ, ингибирование SGLT2, по-видимому, ослабляет альбуминурию, рост почек и воспаление в почках на ранней стадии диабета, в основном вторично по отношению к снижению уровня глюкозы в крови [</w:t>
      </w:r>
      <w:r w:rsidR="00D56C8F">
        <w:rPr>
          <w:lang w:eastAsia="zh-CN"/>
        </w:rPr>
        <w:t>5</w:t>
      </w:r>
      <w:r>
        <w:rPr>
          <w:lang w:eastAsia="zh-CN"/>
        </w:rPr>
        <w:t>].</w:t>
      </w:r>
    </w:p>
    <w:p w14:paraId="2AA6DBB2" w14:textId="0934A021" w:rsidR="00C035FA" w:rsidRDefault="008D5756">
      <w:pPr>
        <w:spacing w:after="0" w:line="240" w:lineRule="auto"/>
        <w:ind w:firstLine="720"/>
        <w:rPr>
          <w:lang w:eastAsia="zh-CN"/>
        </w:rPr>
      </w:pPr>
      <w:r>
        <w:rPr>
          <w:lang w:eastAsia="zh-CN"/>
        </w:rPr>
        <w:t>Эффекты эмпаглифлозина также были протестированы на мышах с нокаутом эндотелиальной NO-синтазы, которым вводили низкую дозу STZ [1</w:t>
      </w:r>
      <w:r w:rsidR="00D56C8F">
        <w:rPr>
          <w:lang w:eastAsia="zh-CN"/>
        </w:rPr>
        <w:t>4</w:t>
      </w:r>
      <w:r>
        <w:rPr>
          <w:lang w:eastAsia="zh-CN"/>
        </w:rPr>
        <w:t>]. В этом исследовании диабетические мыши получали инъекции инсулина гларгина трижды в неделю каждый раз, когда уровень сахара в их крови превышал 28 мм или если они теряли в весе более 25% по сравнению с преддиабетическим состоянием, в результате чего средняя концентрация глюкозы в крови составляла 21–22 мм у мышей с диабетом, независимо от лечения эмпаглифлозином. В этих условиях лечение эмпаглифлозином не улучшало альбуминурию, гломерулосклероз, канальцевую атрофию, инфильтрацию тубулоинтерстициальных макрофагов или интерстициальный фиброз. Напротив, антагонист ангиотензиновых рецепторов телмисартан, используемый в качестве положительного контроля, улучшал или даже нормализовал все эти параметры.</w:t>
      </w:r>
    </w:p>
    <w:p w14:paraId="5E4704CB" w14:textId="42EFD161" w:rsidR="00C035FA" w:rsidRDefault="008D5756">
      <w:pPr>
        <w:spacing w:after="0" w:line="240" w:lineRule="auto"/>
        <w:ind w:firstLine="720"/>
        <w:rPr>
          <w:lang w:eastAsia="zh-CN"/>
        </w:rPr>
      </w:pPr>
      <w:r>
        <w:rPr>
          <w:lang w:eastAsia="zh-CN"/>
        </w:rPr>
        <w:t>Нефропротективные эффекты эмпаглифлозина также изучались на крысах. Сообщалось о снижении альбуминурии после 18 недель лечения эмпаглифлозином (10 мг/кг/день) в исследовании Cohen Rosenthal на крысах с диабетом и гипертензией. В рамках этого исследования лечение эмпаглифлозином также предотвращало накопление жировой ткани и жира в поджелудочной железе. В других исследованиях чувствительных к соли крыс Dahl кормили диетой с высоким содержанием соли и дополнительно вводили инъекцию STZ, чтобы вызвать гипертоническую модель диабета 1 типа. В другом исследовании крысам Goto-Kakizaki имплантировали гранулы дезоксикортикостерона ацетата длительного действия, после чего крысам давали питьевую воду, содержащую 1 % NaCl (модель диабета 2 типа с гипертонией). В обоих исследованиях крысам назначали эмпаглифлозин (20 мг/кг/сут), ингибитор ангиотензинпревращающего фермента лизиноприл (10 мг/кг/сут) или их комбинацию, либо подкожно имплантировали гранулы инсулина Silastic в течение 8 (тип 1) или 12 недель (сахарный диабет 2 типа).</w:t>
      </w:r>
    </w:p>
    <w:p w14:paraId="658FC45F" w14:textId="05405A56" w:rsidR="00C035FA" w:rsidRDefault="008D5756">
      <w:pPr>
        <w:spacing w:after="0" w:line="240" w:lineRule="auto"/>
        <w:ind w:firstLine="720"/>
        <w:rPr>
          <w:lang w:eastAsia="zh-CN"/>
        </w:rPr>
      </w:pPr>
      <w:r>
        <w:rPr>
          <w:lang w:eastAsia="zh-CN"/>
        </w:rPr>
        <w:t>В исследовании диабета 1 типа уровни глюкозы в крови составляли 400–500 мг/дл в группах, получавших носитель и лизиноприл, и 100–150 мг/дл в группах, получавших инсулин, эмпаглифлозин и эмпаглифлозин в комбинации с лизиноприлом. Комбинированное лечение снижало систолическое артериальное давление в большей степени, чем монотерапия или инсулин. В этой модели лизиноприл влиял на протеинурию в незначительной степени, в то время как эмпаглифлозин вызывал более выраженное снижение. Комбинированное лечение привело к снижению протеинурии, почти достигнув уровня, наблюдаемого при применении инсулина. В то время как монотерапия не улучшала гистологически определяемую оценку гломерулярного повреждения или фиброза наружного мозгового вещества почки, оба параметра улучшались при комбинированном лечении.</w:t>
      </w:r>
    </w:p>
    <w:p w14:paraId="576D6E8A" w14:textId="10D65336" w:rsidR="00C035FA" w:rsidRDefault="008D5756">
      <w:pPr>
        <w:spacing w:after="0" w:line="240" w:lineRule="auto"/>
        <w:ind w:firstLine="720"/>
        <w:rPr>
          <w:lang w:eastAsia="zh-CN"/>
        </w:rPr>
      </w:pPr>
      <w:r>
        <w:rPr>
          <w:lang w:eastAsia="zh-CN"/>
        </w:rPr>
        <w:t xml:space="preserve">В модели сахарного диабета 2 типа уровень глюкозы в крови составлял 200–300 мг/дл в группах, получавших носитель и лизиноприл, и 100–150 мг/дл в группах, </w:t>
      </w:r>
      <w:r>
        <w:rPr>
          <w:lang w:eastAsia="zh-CN"/>
        </w:rPr>
        <w:lastRenderedPageBreak/>
        <w:t>получавших инсулин, эмпаглифлозин и эмпаглифлозин в комбинации с лизиноприлом. Обе монотерапии улучшили уровень гломерулярного повреждения и коркового фиброза, при этом комбинированное лечение не было более эффективным. Кроме инсулина, ни один из препаратов не влиял на медуллярный фиброз. Эти данные расширяют потенциальные нефропротекторные эффекты эмпаглифлозина на гипертензивных моделях крыс с диабетом 1 и 2 типа.</w:t>
      </w:r>
    </w:p>
    <w:p w14:paraId="1C3691E8" w14:textId="697D7C93" w:rsidR="00C035FA" w:rsidRDefault="008D5756">
      <w:pPr>
        <w:spacing w:after="0" w:line="240" w:lineRule="auto"/>
        <w:ind w:firstLine="720"/>
        <w:rPr>
          <w:lang w:eastAsia="zh-CN"/>
        </w:rPr>
      </w:pPr>
      <w:r>
        <w:rPr>
          <w:lang w:eastAsia="zh-CN"/>
        </w:rPr>
        <w:t>В совокупности эти исследования показывают, что эмпаглифлозин предотвращает или даже устраняет осложнения диабета 1 или 2 типа в сосудистой системе и почках [</w:t>
      </w:r>
      <w:r w:rsidR="00D56C8F">
        <w:rPr>
          <w:lang w:eastAsia="zh-CN"/>
        </w:rPr>
        <w:t>38</w:t>
      </w:r>
      <w:r>
        <w:rPr>
          <w:lang w:eastAsia="zh-CN"/>
        </w:rPr>
        <w:t>].</w:t>
      </w:r>
    </w:p>
    <w:p w14:paraId="748828BA" w14:textId="77777777" w:rsidR="00C035FA" w:rsidRDefault="00C035FA">
      <w:pPr>
        <w:spacing w:after="0" w:line="240" w:lineRule="auto"/>
        <w:rPr>
          <w:lang w:eastAsia="zh-CN"/>
        </w:rPr>
      </w:pPr>
    </w:p>
    <w:p w14:paraId="268F514C" w14:textId="77777777" w:rsidR="00C035FA" w:rsidRDefault="008D5756">
      <w:pPr>
        <w:spacing w:after="0" w:line="240" w:lineRule="auto"/>
        <w:rPr>
          <w:b/>
          <w:i/>
          <w:lang w:eastAsia="zh-CN"/>
        </w:rPr>
      </w:pPr>
      <w:r>
        <w:rPr>
          <w:b/>
          <w:i/>
          <w:lang w:eastAsia="zh-CN"/>
        </w:rPr>
        <w:t>Другие эффекты in vivo</w:t>
      </w:r>
    </w:p>
    <w:p w14:paraId="632E8F79" w14:textId="22C997B6" w:rsidR="00C035FA" w:rsidRDefault="008D5756">
      <w:pPr>
        <w:spacing w:after="0" w:line="240" w:lineRule="auto"/>
        <w:ind w:firstLine="720"/>
        <w:rPr>
          <w:lang w:eastAsia="zh-CN"/>
        </w:rPr>
      </w:pPr>
      <w:r>
        <w:rPr>
          <w:lang w:eastAsia="zh-CN"/>
        </w:rPr>
        <w:t>Шестнадцатинедельные мыши db/db демонстрировали нарушения обучения и рабочей памяти по сравнению с мышами db/m того же возраста, что оценивалось в тесте водного лабиринта Морриса. Применение эмпаглифлозина после 10-недельного лечения привело к улучшению данных параметров [3</w:t>
      </w:r>
      <w:r w:rsidR="00D56C8F">
        <w:rPr>
          <w:lang w:eastAsia="zh-CN"/>
        </w:rPr>
        <w:t>6</w:t>
      </w:r>
      <w:r>
        <w:rPr>
          <w:lang w:eastAsia="zh-CN"/>
        </w:rPr>
        <w:t>]. Это вызванное эмпаглифлозином когнитивное улучшение сопровождалось снижением церебрального супероксида, окислительного повреждения ДНК и экспрессии субъединицы НАДФН-оксидазы, а также увеличением экспрессии нейротрофического фактора головного мозга.</w:t>
      </w:r>
    </w:p>
    <w:p w14:paraId="0C42FE03" w14:textId="77777777" w:rsidR="00C035FA" w:rsidRDefault="008D5756">
      <w:pPr>
        <w:spacing w:after="0" w:line="240" w:lineRule="auto"/>
        <w:ind w:firstLine="720"/>
        <w:rPr>
          <w:lang w:eastAsia="zh-CN"/>
        </w:rPr>
      </w:pPr>
      <w:r>
        <w:rPr>
          <w:lang w:eastAsia="zh-CN"/>
        </w:rPr>
        <w:t>Данные, обобщенные в проведенных доклинических исследованиях, демонстрируют, что эмпаглифлозин является мощным и селективным ингибитором SGLT2. В соответствии с данными о мышах, несущих мутации генов, кодирующих SGLT2, или мышах с нокаутом SGLT2, лечение эмпаглифлозином способствует экскреции глюкозы с мочой, что приводит к снижению уровня глюкозы в крови, меньшим колебаниям уровня глюкозы во время пероральных тестов на толерантность к глюкозе и снижением HbA1c при длительном лечении.</w:t>
      </w:r>
    </w:p>
    <w:p w14:paraId="78B89ED9" w14:textId="6094F0B3" w:rsidR="00C035FA" w:rsidRPr="00FE3A2B" w:rsidRDefault="008D5756" w:rsidP="00FE3A2B">
      <w:pPr>
        <w:spacing w:after="0" w:line="240" w:lineRule="auto"/>
        <w:ind w:firstLine="720"/>
        <w:rPr>
          <w:lang w:eastAsia="zh-CN"/>
        </w:rPr>
      </w:pPr>
      <w:r>
        <w:rPr>
          <w:lang w:eastAsia="zh-CN"/>
        </w:rPr>
        <w:t>В отличие от классических сахароснижающих препаратов, таких как инсулин, производные сульфонилмочевины и тиазолидиндионы [59], эмпаглифлозин приводит к снижению массы тела у моделей животных с ожирением и диабетом 2 типа, а также у пациентов с диабетом 2 типа. Более того, это связано с умеренным снижением артериального давления у животных и пациентов без изменения частоты сердечных сокращений. В моделях на животных эффект снижения уровня глюкозы в крови эмпаглифлозина благотворно влияет на сосудистые и почечные осложнения диабета [</w:t>
      </w:r>
      <w:r w:rsidR="00D56C8F">
        <w:rPr>
          <w:lang w:eastAsia="zh-CN"/>
        </w:rPr>
        <w:t>38</w:t>
      </w:r>
      <w:r>
        <w:rPr>
          <w:lang w:eastAsia="zh-CN"/>
        </w:rPr>
        <w:t>].</w:t>
      </w:r>
    </w:p>
    <w:p w14:paraId="5DB2DEBF" w14:textId="77777777" w:rsidR="00C035FA" w:rsidRDefault="008D5756">
      <w:pPr>
        <w:spacing w:before="240" w:after="240" w:line="240" w:lineRule="auto"/>
        <w:outlineLvl w:val="2"/>
        <w:rPr>
          <w:b/>
          <w:color w:val="000000" w:themeColor="text1"/>
        </w:rPr>
      </w:pPr>
      <w:bookmarkStart w:id="72" w:name="_Toc139366848"/>
      <w:r>
        <w:rPr>
          <w:b/>
          <w:color w:val="000000" w:themeColor="text1"/>
        </w:rPr>
        <w:t>3.1.3.</w:t>
      </w:r>
      <w:bookmarkStart w:id="73" w:name="_Hlk521883759"/>
      <w:r>
        <w:rPr>
          <w:b/>
          <w:color w:val="000000" w:themeColor="text1"/>
        </w:rPr>
        <w:t xml:space="preserve"> Вторичная фармакодинамика</w:t>
      </w:r>
      <w:bookmarkStart w:id="74" w:name="_Toc323751703"/>
      <w:bookmarkStart w:id="75" w:name="_Toc320631473"/>
      <w:bookmarkEnd w:id="72"/>
    </w:p>
    <w:p w14:paraId="32182AC4" w14:textId="77777777" w:rsidR="00C035FA" w:rsidRDefault="008D5756" w:rsidP="00FE3A2B">
      <w:pPr>
        <w:spacing w:after="0" w:line="240" w:lineRule="auto"/>
        <w:ind w:firstLine="720"/>
        <w:rPr>
          <w:szCs w:val="28"/>
          <w:lang w:eastAsia="zh-CN"/>
        </w:rPr>
      </w:pPr>
      <w:bookmarkStart w:id="76" w:name="_Toc499821139"/>
      <w:bookmarkEnd w:id="73"/>
      <w:r>
        <w:rPr>
          <w:szCs w:val="28"/>
          <w:lang w:eastAsia="zh-CN"/>
        </w:rPr>
        <w:t>Доклиническую эффективность эмпаглифлозина оценивали на мышах db/db, крысах Zucker с диабетом и ожирением (ZDF) и собаках породы бигль с использованием вторичных фармакологических/фармакодинамических маркеров экскреции глюкозы с мочой (глюкозурия), полиурии и снижении уровня глюкозы в крови.</w:t>
      </w:r>
    </w:p>
    <w:p w14:paraId="642D71D3" w14:textId="77777777" w:rsidR="00C035FA" w:rsidRDefault="00C035FA" w:rsidP="00FE3A2B">
      <w:pPr>
        <w:spacing w:after="0" w:line="240" w:lineRule="auto"/>
        <w:ind w:firstLine="720"/>
        <w:rPr>
          <w:sz w:val="28"/>
          <w:szCs w:val="28"/>
          <w:u w:val="single"/>
          <w:lang w:eastAsia="zh-CN"/>
        </w:rPr>
      </w:pPr>
    </w:p>
    <w:p w14:paraId="3E749693" w14:textId="77777777" w:rsidR="00C035FA" w:rsidRPr="00B47330" w:rsidRDefault="008D5756" w:rsidP="00B47330">
      <w:pPr>
        <w:spacing w:after="0" w:line="240" w:lineRule="auto"/>
        <w:rPr>
          <w:b/>
          <w:i/>
          <w:szCs w:val="28"/>
          <w:lang w:eastAsia="zh-CN"/>
        </w:rPr>
      </w:pPr>
      <w:r w:rsidRPr="00B47330">
        <w:rPr>
          <w:b/>
          <w:i/>
          <w:szCs w:val="28"/>
          <w:lang w:eastAsia="zh-CN"/>
        </w:rPr>
        <w:t>Исследования однократной дозы эмпаглифлозина</w:t>
      </w:r>
    </w:p>
    <w:p w14:paraId="19C166F6" w14:textId="77777777" w:rsidR="00C035FA" w:rsidRDefault="008D5756">
      <w:pPr>
        <w:spacing w:after="0" w:line="240" w:lineRule="auto"/>
        <w:ind w:firstLine="720"/>
        <w:rPr>
          <w:szCs w:val="28"/>
          <w:lang w:eastAsia="zh-CN"/>
        </w:rPr>
      </w:pPr>
      <w:r>
        <w:rPr>
          <w:szCs w:val="28"/>
          <w:lang w:eastAsia="zh-CN"/>
        </w:rPr>
        <w:t>Лечение самцов мышей db/db и самцов крыс ZDF с диабетом однократной дозой эмпаглифлозина от 0,03 до 30 мг/кг приводило к снижению уровня глюкозы в крови при кормлении (прандиальные животные).</w:t>
      </w:r>
    </w:p>
    <w:p w14:paraId="2B97B1E0" w14:textId="157DB685" w:rsidR="00C035FA" w:rsidRDefault="008D5756">
      <w:pPr>
        <w:spacing w:after="0" w:line="240" w:lineRule="auto"/>
        <w:ind w:firstLine="720"/>
        <w:rPr>
          <w:szCs w:val="28"/>
          <w:lang w:eastAsia="zh-CN"/>
        </w:rPr>
      </w:pPr>
      <w:r>
        <w:rPr>
          <w:szCs w:val="28"/>
          <w:lang w:eastAsia="zh-CN"/>
        </w:rPr>
        <w:t>У самцов крыс ZDF и самцов мышей db/db однократное пероральное воздействие эмпаглифлозина в дозе 3 мг/кг или 10 мг/кг у самцов собак с нормогликемией вызывали полиурию и глюкозурию.</w:t>
      </w:r>
    </w:p>
    <w:p w14:paraId="758FB54A" w14:textId="4836F252" w:rsidR="00C035FA" w:rsidRDefault="008D5756">
      <w:pPr>
        <w:spacing w:after="0" w:line="240" w:lineRule="auto"/>
        <w:ind w:firstLine="720"/>
        <w:rPr>
          <w:szCs w:val="28"/>
          <w:lang w:eastAsia="zh-CN"/>
        </w:rPr>
      </w:pPr>
      <w:r>
        <w:rPr>
          <w:szCs w:val="28"/>
          <w:lang w:eastAsia="zh-CN"/>
        </w:rPr>
        <w:t xml:space="preserve">У самцов мышей db/db и самцов крыс ZDF, подвергшихся воздействию эмпаглифлозина от 0,1 до 30 мг/кг и при проведении ГТТ эмпаглифлозин дозозависимо </w:t>
      </w:r>
      <w:r>
        <w:rPr>
          <w:szCs w:val="28"/>
          <w:lang w:eastAsia="zh-CN"/>
        </w:rPr>
        <w:lastRenderedPageBreak/>
        <w:t>снижал уровень глюкозы в крови на уровне ≥ 0,3 мг/кг у каждого вида и значительно вызывал снижение уровня глюкозы в крови на 40-65% при дозе ≥ 3 мг/кг у мышей db/db и на 81% при дозе 30 мг/кг у крыс ZDF соответственно [6</w:t>
      </w:r>
      <w:r w:rsidR="00D56C8F">
        <w:rPr>
          <w:szCs w:val="28"/>
          <w:lang w:eastAsia="zh-CN"/>
        </w:rPr>
        <w:t>0</w:t>
      </w:r>
      <w:r>
        <w:rPr>
          <w:szCs w:val="28"/>
          <w:lang w:eastAsia="zh-CN"/>
        </w:rPr>
        <w:t>].</w:t>
      </w:r>
    </w:p>
    <w:p w14:paraId="252ACCB3" w14:textId="77777777" w:rsidR="00C035FA" w:rsidRDefault="00C035FA">
      <w:pPr>
        <w:spacing w:after="0" w:line="240" w:lineRule="auto"/>
        <w:ind w:firstLine="720"/>
        <w:rPr>
          <w:szCs w:val="28"/>
          <w:lang w:eastAsia="zh-CN"/>
        </w:rPr>
      </w:pPr>
    </w:p>
    <w:p w14:paraId="75FBA965" w14:textId="77777777" w:rsidR="00C035FA" w:rsidRPr="00B47330" w:rsidRDefault="008D5756" w:rsidP="00B47330">
      <w:pPr>
        <w:spacing w:after="0" w:line="240" w:lineRule="auto"/>
        <w:rPr>
          <w:b/>
          <w:i/>
          <w:szCs w:val="28"/>
          <w:lang w:eastAsia="zh-CN"/>
        </w:rPr>
      </w:pPr>
      <w:r w:rsidRPr="00B47330">
        <w:rPr>
          <w:b/>
          <w:i/>
          <w:szCs w:val="28"/>
          <w:lang w:eastAsia="zh-CN"/>
        </w:rPr>
        <w:t>Исследования с многократными дозами эмпаглифлозина</w:t>
      </w:r>
    </w:p>
    <w:p w14:paraId="529E74A3" w14:textId="77777777" w:rsidR="00C035FA" w:rsidRDefault="008D5756">
      <w:pPr>
        <w:spacing w:after="0" w:line="240" w:lineRule="auto"/>
        <w:ind w:firstLine="720"/>
        <w:rPr>
          <w:szCs w:val="28"/>
          <w:lang w:eastAsia="zh-CN"/>
        </w:rPr>
      </w:pPr>
      <w:r>
        <w:rPr>
          <w:szCs w:val="28"/>
          <w:lang w:eastAsia="zh-CN"/>
        </w:rPr>
        <w:t>Субхроническое ежедневное пероральное лечение эмпаглифлозином (0, 0,3, 1 или 3 мг/кг) у самцов диабетических крыс ZDF в течение 5 недель дозозависимо снижало уровень глюкозы в крови на 4-39%, по сравнению с контролем, у голодных животных на 37-й день после введения дозы.</w:t>
      </w:r>
    </w:p>
    <w:p w14:paraId="23ED6F40" w14:textId="77777777" w:rsidR="00C035FA" w:rsidRDefault="008D5756">
      <w:pPr>
        <w:spacing w:after="0" w:line="240" w:lineRule="auto"/>
        <w:ind w:firstLine="720"/>
        <w:rPr>
          <w:szCs w:val="28"/>
          <w:lang w:eastAsia="zh-CN"/>
        </w:rPr>
      </w:pPr>
      <w:r>
        <w:rPr>
          <w:szCs w:val="28"/>
          <w:lang w:eastAsia="zh-CN"/>
        </w:rPr>
        <w:t>Уровень глюкозы в крови также снизился на 19% у сытых самцов крыс с диабетом ZDF на 23-й день после введения эмпаглифлозина в дозе 3 мг/кг. После ГТТ AUC</w:t>
      </w:r>
      <w:r>
        <w:rPr>
          <w:szCs w:val="28"/>
          <w:vertAlign w:val="subscript"/>
          <w:lang w:eastAsia="zh-CN"/>
        </w:rPr>
        <w:t xml:space="preserve">0-3 ч </w:t>
      </w:r>
      <w:r>
        <w:rPr>
          <w:szCs w:val="28"/>
          <w:lang w:eastAsia="zh-CN"/>
        </w:rPr>
        <w:t>глюкозы в крови также дозозависимо снижалась на 6-36% у самцов крыс с диабетом ZDF, получавших эмпаглифлозин в дозе 0,3–3 мг/кг.</w:t>
      </w:r>
    </w:p>
    <w:p w14:paraId="66D1C283" w14:textId="01E1B8AC" w:rsidR="00C035FA" w:rsidRDefault="008D5756">
      <w:pPr>
        <w:spacing w:after="0" w:line="240" w:lineRule="auto"/>
        <w:ind w:firstLine="720"/>
        <w:rPr>
          <w:szCs w:val="28"/>
          <w:lang w:eastAsia="zh-CN"/>
        </w:rPr>
      </w:pPr>
      <w:r>
        <w:rPr>
          <w:szCs w:val="28"/>
          <w:lang w:eastAsia="zh-CN"/>
        </w:rPr>
        <w:t>У самцов группы контроля HbA1c исходно составлял 7,94. На 37-й день уровень HbA1c увеличился до 9,03, что представляет собой значительное (p=0,0003) увеличение на 14%. У самцов ZDF в дозе 3 мг/кг у крыс с диабетом HbA1c снизился с исходного значения 7,93 до 6,84, что соответствует значительному (p=0,006) снижению на 14%.</w:t>
      </w:r>
    </w:p>
    <w:p w14:paraId="18201ABF" w14:textId="0C8504CD" w:rsidR="00C035FA" w:rsidRDefault="008D5756">
      <w:pPr>
        <w:spacing w:after="0" w:line="240" w:lineRule="auto"/>
        <w:ind w:firstLine="720"/>
        <w:rPr>
          <w:szCs w:val="28"/>
          <w:lang w:eastAsia="zh-CN"/>
        </w:rPr>
      </w:pPr>
      <w:r>
        <w:rPr>
          <w:szCs w:val="28"/>
          <w:lang w:eastAsia="zh-CN"/>
        </w:rPr>
        <w:t xml:space="preserve">Эмпаглифлозин также подвергался скринингу </w:t>
      </w:r>
      <w:r>
        <w:rPr>
          <w:i/>
          <w:iCs/>
          <w:szCs w:val="28"/>
          <w:lang w:eastAsia="zh-CN"/>
        </w:rPr>
        <w:t>in vitro</w:t>
      </w:r>
      <w:r>
        <w:rPr>
          <w:szCs w:val="28"/>
          <w:lang w:eastAsia="zh-CN"/>
        </w:rPr>
        <w:t xml:space="preserve"> на активность связывания с рядом неродственных рецепторов, ионных каналов, протеаз, факторов роста и транспортеров. Было обнаружено, что эмпаглифлозин имеет минимальную (менее 30%) активность в отношении данных параметров [6</w:t>
      </w:r>
      <w:r w:rsidR="00D56C8F">
        <w:rPr>
          <w:szCs w:val="28"/>
          <w:lang w:eastAsia="zh-CN"/>
        </w:rPr>
        <w:t>0</w:t>
      </w:r>
      <w:r>
        <w:rPr>
          <w:szCs w:val="28"/>
          <w:lang w:eastAsia="zh-CN"/>
        </w:rPr>
        <w:t>].</w:t>
      </w:r>
    </w:p>
    <w:p w14:paraId="22AECE3B" w14:textId="0864C362" w:rsidR="00C035FA" w:rsidRDefault="008D5756">
      <w:pPr>
        <w:spacing w:after="0" w:line="240" w:lineRule="auto"/>
        <w:ind w:firstLine="720"/>
        <w:rPr>
          <w:szCs w:val="28"/>
          <w:lang w:eastAsia="zh-CN"/>
        </w:rPr>
      </w:pPr>
      <w:r>
        <w:rPr>
          <w:szCs w:val="28"/>
          <w:lang w:eastAsia="zh-CN"/>
        </w:rPr>
        <w:t>В модельных исследованиях на животных с использованием крыс Zucker с диабетом и ожирением однократные дозы эмпаглифлозина 1 или 3 мг/кг или носителя (плацебо) приводили к дозозависимому увеличению UGE, а 5-недельный курс лечения 0,3, 1 или 3 мг/кг эмпаглифлозина или носителя снижали уровни глюкозы в плазме натощак и HbA1c и улучшали толерантность к глюкозе в ответ на введение глюкозы [</w:t>
      </w:r>
      <w:r w:rsidR="00D56C8F">
        <w:rPr>
          <w:szCs w:val="28"/>
          <w:lang w:eastAsia="zh-CN"/>
        </w:rPr>
        <w:t>47</w:t>
      </w:r>
      <w:r>
        <w:rPr>
          <w:szCs w:val="28"/>
          <w:lang w:eastAsia="zh-CN"/>
        </w:rPr>
        <w:t>]. В ходе исследования не было признаков гипогликемии, а также повышалась чувствительность к инсулину [</w:t>
      </w:r>
      <w:r w:rsidR="00D56C8F">
        <w:rPr>
          <w:szCs w:val="28"/>
          <w:lang w:eastAsia="zh-CN"/>
        </w:rPr>
        <w:t>47</w:t>
      </w:r>
      <w:r>
        <w:rPr>
          <w:szCs w:val="28"/>
          <w:lang w:eastAsia="zh-CN"/>
        </w:rPr>
        <w:t xml:space="preserve">]. </w:t>
      </w:r>
    </w:p>
    <w:p w14:paraId="272A73CB" w14:textId="16935FDA" w:rsidR="00C035FA" w:rsidRDefault="008D5756">
      <w:pPr>
        <w:spacing w:after="0" w:line="240" w:lineRule="auto"/>
        <w:ind w:firstLine="720"/>
        <w:rPr>
          <w:szCs w:val="28"/>
          <w:lang w:eastAsia="zh-CN"/>
        </w:rPr>
      </w:pPr>
      <w:r>
        <w:rPr>
          <w:szCs w:val="28"/>
          <w:lang w:eastAsia="zh-CN"/>
        </w:rPr>
        <w:t>В 8-недельном исследовании на крысах с ожирением эмпаглифлозин в дозе 3 мг/кг один раз в день обеспечивал устойчивый гликемический ответ, а также продемонстрировал улучшение массы бета-клеток, что повышает вероятность того, что эмпаглифлозин может сохранять функцию поджелудочной железы [</w:t>
      </w:r>
      <w:r w:rsidR="00D56C8F">
        <w:rPr>
          <w:szCs w:val="28"/>
          <w:lang w:eastAsia="zh-CN"/>
        </w:rPr>
        <w:t>61</w:t>
      </w:r>
      <w:r>
        <w:rPr>
          <w:szCs w:val="28"/>
          <w:lang w:eastAsia="zh-CN"/>
        </w:rPr>
        <w:t>].</w:t>
      </w:r>
    </w:p>
    <w:p w14:paraId="22A8FBBA" w14:textId="2ED0EAAA" w:rsidR="00C035FA" w:rsidRDefault="008D5756">
      <w:pPr>
        <w:spacing w:after="0" w:line="240" w:lineRule="auto"/>
        <w:ind w:firstLine="720"/>
        <w:rPr>
          <w:szCs w:val="28"/>
          <w:lang w:eastAsia="zh-CN"/>
        </w:rPr>
      </w:pPr>
      <w:r>
        <w:rPr>
          <w:szCs w:val="28"/>
          <w:lang w:eastAsia="zh-CN"/>
        </w:rPr>
        <w:t>У крыс с диетическим ожирением эмпаглифлозин приводил к значительному увеличению UGE, а также к значительной потере веса через 4 недели (4,1% массы тела при приеме эмпаглифлозина в дозе 3 мг/кг один раз в день и 6,9% при приеме в дозе 10 мг/кг) по сравнению с плацебо.</w:t>
      </w:r>
    </w:p>
    <w:p w14:paraId="40E11B40" w14:textId="618F9B32" w:rsidR="00C035FA" w:rsidRPr="00FE3A2B" w:rsidRDefault="008D5756" w:rsidP="00FE3A2B">
      <w:pPr>
        <w:spacing w:after="0" w:line="240" w:lineRule="auto"/>
        <w:ind w:firstLine="720"/>
        <w:rPr>
          <w:szCs w:val="28"/>
          <w:lang w:eastAsia="zh-CN"/>
        </w:rPr>
      </w:pPr>
      <w:r>
        <w:rPr>
          <w:szCs w:val="28"/>
          <w:lang w:eastAsia="zh-CN"/>
        </w:rPr>
        <w:t>Не было выявлено никаких изменений в содержании воды или белка в организме, подтверждая, что потеря жира составляла большую часть наблюдаемой потери веса [</w:t>
      </w:r>
      <w:r w:rsidR="00D56C8F">
        <w:rPr>
          <w:szCs w:val="28"/>
          <w:lang w:eastAsia="zh-CN"/>
        </w:rPr>
        <w:t>61</w:t>
      </w:r>
      <w:r>
        <w:rPr>
          <w:szCs w:val="28"/>
          <w:lang w:eastAsia="zh-CN"/>
        </w:rPr>
        <w:t>].</w:t>
      </w:r>
    </w:p>
    <w:p w14:paraId="16DF2CE9" w14:textId="77777777" w:rsidR="00C035FA" w:rsidRDefault="008D5756">
      <w:pPr>
        <w:spacing w:before="240" w:after="240" w:line="240" w:lineRule="auto"/>
        <w:outlineLvl w:val="2"/>
        <w:rPr>
          <w:b/>
          <w:color w:val="000000" w:themeColor="text1"/>
        </w:rPr>
      </w:pPr>
      <w:bookmarkStart w:id="77" w:name="_Toc139366849"/>
      <w:r>
        <w:rPr>
          <w:b/>
          <w:color w:val="000000" w:themeColor="text1"/>
        </w:rPr>
        <w:t>3.1.4. Фармакологическая безопасност</w:t>
      </w:r>
      <w:bookmarkEnd w:id="76"/>
      <w:r>
        <w:rPr>
          <w:b/>
          <w:color w:val="000000" w:themeColor="text1"/>
        </w:rPr>
        <w:t>ь</w:t>
      </w:r>
      <w:bookmarkEnd w:id="77"/>
    </w:p>
    <w:p w14:paraId="0ACAA523" w14:textId="77777777" w:rsidR="00C035FA" w:rsidRDefault="008D5756">
      <w:pPr>
        <w:spacing w:after="0" w:line="240" w:lineRule="auto"/>
        <w:ind w:firstLine="720"/>
      </w:pPr>
      <w:r>
        <w:t>Была проведена оценка безопасности сердечно-сосудистых, неврологических, легочных, желудочно-кишечных и почечных эффектов эмпаглифлозина.</w:t>
      </w:r>
    </w:p>
    <w:p w14:paraId="1B2DF5ED" w14:textId="77777777" w:rsidR="00C035FA" w:rsidRDefault="00C035FA">
      <w:pPr>
        <w:spacing w:after="0" w:line="240" w:lineRule="auto"/>
        <w:ind w:firstLine="720"/>
      </w:pPr>
    </w:p>
    <w:p w14:paraId="4D404024" w14:textId="77777777" w:rsidR="00C035FA" w:rsidRPr="00B47330" w:rsidRDefault="008D5756">
      <w:pPr>
        <w:spacing w:after="0" w:line="240" w:lineRule="auto"/>
        <w:rPr>
          <w:b/>
          <w:i/>
        </w:rPr>
      </w:pPr>
      <w:r w:rsidRPr="00B47330">
        <w:rPr>
          <w:b/>
          <w:i/>
        </w:rPr>
        <w:t>Неврологические эффекты</w:t>
      </w:r>
    </w:p>
    <w:p w14:paraId="34E98403" w14:textId="77777777" w:rsidR="00C035FA" w:rsidRDefault="008D5756">
      <w:pPr>
        <w:spacing w:after="0" w:line="240" w:lineRule="auto"/>
        <w:ind w:firstLine="720"/>
      </w:pPr>
      <w:r>
        <w:t xml:space="preserve">Самцов крыс SD (n=10 в группе) лечили эмпаглифлозином в дозах 0, 500, 1000 или 2000 мг/кг перорально и отслеживали токсикологические, неврологические или температурные эффекты через 15, 30 и 45 минут после введения дозы и до 24 часов после введения дозы соответственно. Мягкие фекалии наблюдались у всех крыс, получавших </w:t>
      </w:r>
      <w:r>
        <w:lastRenderedPageBreak/>
        <w:t>эмпаглифлозин, но токсикологических, температурных эффектов, а также изменений со стороны ЦНС не наблюдалось.</w:t>
      </w:r>
    </w:p>
    <w:p w14:paraId="7D7A463F" w14:textId="1E867EB6" w:rsidR="00C035FA" w:rsidRDefault="008D5756">
      <w:pPr>
        <w:spacing w:after="0" w:line="240" w:lineRule="auto"/>
        <w:ind w:firstLine="720"/>
      </w:pPr>
      <w:r>
        <w:t>Самцов мышей SPF (NMRI-Harlan) (n=6 в группе) лечили эмпаглифлозином в дозах 0, 3, 10 или 30 мг/кг перорально и исследовали общее поведение и влияние температуры тела в модифицированном тесте в течение 24 часов, а также оценивали ночную двигательную активность в течение 14 часов. Никаких побочных эффектов со стороны ЦНС, изменений температуры тела или ночной двигательной активности не наблюдалось</w:t>
      </w:r>
      <w:r w:rsidR="00D56C8F">
        <w:t xml:space="preserve"> </w:t>
      </w:r>
      <w:r w:rsidR="00D56C8F" w:rsidRPr="00D56C8F">
        <w:t>[62]</w:t>
      </w:r>
      <w:r>
        <w:t>.</w:t>
      </w:r>
    </w:p>
    <w:p w14:paraId="56E5D2F3" w14:textId="77777777" w:rsidR="00C035FA" w:rsidRDefault="00C035FA">
      <w:pPr>
        <w:spacing w:after="0" w:line="240" w:lineRule="auto"/>
        <w:rPr>
          <w:u w:val="single"/>
        </w:rPr>
      </w:pPr>
    </w:p>
    <w:p w14:paraId="49DA9C0E" w14:textId="77777777" w:rsidR="00C035FA" w:rsidRPr="00B47330" w:rsidRDefault="008D5756">
      <w:pPr>
        <w:spacing w:after="0" w:line="240" w:lineRule="auto"/>
        <w:rPr>
          <w:b/>
          <w:i/>
        </w:rPr>
      </w:pPr>
      <w:r w:rsidRPr="00B47330">
        <w:rPr>
          <w:b/>
          <w:i/>
        </w:rPr>
        <w:t>Сердечно-сосудистые эффекты</w:t>
      </w:r>
    </w:p>
    <w:p w14:paraId="260B35BD" w14:textId="2A44A43D" w:rsidR="00645FAB" w:rsidRDefault="00645FAB" w:rsidP="00D00216">
      <w:pPr>
        <w:spacing w:after="0" w:line="240" w:lineRule="auto"/>
        <w:ind w:firstLine="708"/>
      </w:pPr>
      <w:r>
        <w:t>Доклинические исследования кардиовасекулярной безопасности эмпаглифлозина показали следующие результаты</w:t>
      </w:r>
      <w:r w:rsidRPr="00E14858">
        <w:t>:</w:t>
      </w:r>
    </w:p>
    <w:p w14:paraId="62A18E84" w14:textId="0E0F11EF" w:rsidR="00C035FA" w:rsidRDefault="00D00216" w:rsidP="00E14858">
      <w:pPr>
        <w:spacing w:after="0" w:line="240" w:lineRule="auto"/>
        <w:ind w:firstLine="708"/>
      </w:pPr>
      <w:r>
        <w:t>Эмпаглифлозин не оказыва</w:t>
      </w:r>
      <w:r w:rsidR="00645FAB">
        <w:t>ет</w:t>
      </w:r>
      <w:r>
        <w:t xml:space="preserve"> влияния на ток калия в </w:t>
      </w:r>
      <w:r w:rsidR="00670240">
        <w:t>эксперименте на клеточной линии</w:t>
      </w:r>
      <w:r>
        <w:t xml:space="preserve"> HEK293, </w:t>
      </w:r>
      <w:r w:rsidR="00865E8E">
        <w:t>при концентрации</w:t>
      </w:r>
      <w:r w:rsidR="00670240">
        <w:t xml:space="preserve"> до </w:t>
      </w:r>
      <w:r>
        <w:t>30 мк</w:t>
      </w:r>
      <w:r w:rsidR="00645FAB">
        <w:t>моль</w:t>
      </w:r>
      <w:r>
        <w:t xml:space="preserve">. Эмпаглифлозин также не оказывал влияния на потенциалы действия, генерируемые изолированными сосочковыми мышцами морской свинки </w:t>
      </w:r>
      <w:r w:rsidR="00645FAB">
        <w:t>при концентрации</w:t>
      </w:r>
      <w:r>
        <w:t xml:space="preserve"> до 10 м</w:t>
      </w:r>
      <w:r w:rsidR="00645FAB">
        <w:t>кмоль</w:t>
      </w:r>
      <w:r>
        <w:t>.</w:t>
      </w:r>
    </w:p>
    <w:p w14:paraId="76A5B7E6" w14:textId="279FFF1A" w:rsidR="00C035FA" w:rsidRDefault="008D5756">
      <w:pPr>
        <w:spacing w:after="0" w:line="240" w:lineRule="auto"/>
        <w:ind w:firstLine="720"/>
      </w:pPr>
      <w:r>
        <w:t>В начальном не-GLP исследовании у собак с телеметрией в сознании (n = 2/пол/группа) однократная пероральная доза эмпаглифлозина в дозе 3, 10 или 30 мг/кг, вводимая с 24-часовым интервалом, соответственно, не вызывала изменений сердечно-сосудистых параметров.</w:t>
      </w:r>
    </w:p>
    <w:p w14:paraId="4E8CE1F9" w14:textId="64CA7B13" w:rsidR="00C035FA" w:rsidRDefault="008D5756">
      <w:pPr>
        <w:spacing w:after="0" w:line="240" w:lineRule="auto"/>
        <w:ind w:firstLine="720"/>
      </w:pPr>
      <w:r>
        <w:t xml:space="preserve">Во втором исследовании GLP на собаках с телеметрией в сознании (n = 3 пола/группа) эмпаглифлозин при однократном пероральном введении в дозаз 10, 30 или 100 мг/кг с 7-дневным периодом отмывки, соответственно, также не влиял на частоту сердечных сокращений, кровяное давление, интервал QTc или сократимость. Эмпаглифлозин, использованный в этих исследованиях, был эквивалентен 4x-39x </w:t>
      </w:r>
      <w:r w:rsidR="00855755">
        <w:t>максимальной рекомендуемой дозе для человека (</w:t>
      </w:r>
      <w:r>
        <w:t>MRHD</w:t>
      </w:r>
      <w:r w:rsidR="00855755">
        <w:t>)</w:t>
      </w:r>
      <w:r>
        <w:t xml:space="preserve"> (на основе площади поверхности тела).</w:t>
      </w:r>
    </w:p>
    <w:p w14:paraId="0DC5EB32" w14:textId="77777777" w:rsidR="00C035FA" w:rsidRDefault="008D5756">
      <w:pPr>
        <w:spacing w:after="0" w:line="240" w:lineRule="auto"/>
        <w:ind w:firstLine="720"/>
      </w:pPr>
      <w:r>
        <w:t>Кроме того, эмпаглифлозин также оценивался у находящихся в сознании самцов крыс Wistar с телеметрией (n = 8/группа, не-GLP). Эмпаглифлозин в виде однократной дозы 3, 10 или 30 мг/кг (0,5x-12x MRHD на основе площади поверхности тела) не оказывал влияния на систолическое или диастолическое артериальное давление, частоту сердечных сокращений или температуру тела.</w:t>
      </w:r>
    </w:p>
    <w:p w14:paraId="7CDC998E" w14:textId="6CB60BA7" w:rsidR="00C035FA" w:rsidRDefault="008D5756">
      <w:pPr>
        <w:spacing w:after="0" w:line="240" w:lineRule="auto"/>
        <w:ind w:firstLine="720"/>
      </w:pPr>
      <w:r>
        <w:t>В целом, эти результаты свидетельствуют о минимальном проаритмическом потенциале эмпаглифлозина и минимальном влиянии на удлинение интервала QT у людей</w:t>
      </w:r>
      <w:r w:rsidR="00D56C8F" w:rsidRPr="00D56C8F">
        <w:t xml:space="preserve"> [62]</w:t>
      </w:r>
      <w:r>
        <w:t>.</w:t>
      </w:r>
    </w:p>
    <w:p w14:paraId="35FBC5DC" w14:textId="77777777" w:rsidR="00C035FA" w:rsidRDefault="00C035FA">
      <w:pPr>
        <w:spacing w:after="0" w:line="240" w:lineRule="auto"/>
      </w:pPr>
    </w:p>
    <w:p w14:paraId="16E26AB5" w14:textId="77777777" w:rsidR="00C035FA" w:rsidRPr="00B47330" w:rsidRDefault="008D5756">
      <w:pPr>
        <w:spacing w:after="0" w:line="240" w:lineRule="auto"/>
        <w:rPr>
          <w:b/>
          <w:i/>
        </w:rPr>
      </w:pPr>
      <w:r w:rsidRPr="00B47330">
        <w:rPr>
          <w:b/>
          <w:i/>
        </w:rPr>
        <w:t>Респираторные эффекты</w:t>
      </w:r>
    </w:p>
    <w:p w14:paraId="072456CF" w14:textId="77777777" w:rsidR="00C035FA" w:rsidRDefault="008D5756">
      <w:pPr>
        <w:spacing w:after="0" w:line="240" w:lineRule="auto"/>
        <w:ind w:firstLine="720"/>
      </w:pPr>
      <w:r>
        <w:t>Эмпаглифлозин оценивали на самцах крыс Wistar (n = 8/группа) в сознании, помещенных в камеру для плетизмографии. Эмпаглифлозин в виде однократной дозы 3, 10 или 30 мг/кг (0,5x-12x MRHD на основе площади поверхности тела) не влиял на частоту дыхания, дыхательный объем или температуру тела.</w:t>
      </w:r>
    </w:p>
    <w:p w14:paraId="1822E764" w14:textId="3111CF95" w:rsidR="00C035FA" w:rsidRDefault="008D5756">
      <w:pPr>
        <w:spacing w:after="0" w:line="240" w:lineRule="auto"/>
        <w:ind w:firstLine="720"/>
      </w:pPr>
      <w:r>
        <w:t xml:space="preserve">В другом плетизмографическом исследовании самцов крыс </w:t>
      </w:r>
      <w:r w:rsidR="00865E8E">
        <w:t>Wistar (</w:t>
      </w:r>
      <w:r>
        <w:t>n=4 в группе) лечили эмпаглифлозином в дозах 0, 500, 1000 или 2000 мг/кг, помещали в плетизмографическую камеру и проводили оценку в течение 6 часов после введения дозы. Эмпаглифлозин в дозе до 2000 мг/кг не влиял на частоту дыхания, дыхательный объем или минутный объем. Эмпаглифлозин, используемый в этом исследовании, эквивалентен 194x-779x MRHD (на основе площади поверхности тела)</w:t>
      </w:r>
      <w:r w:rsidR="00D56C8F" w:rsidRPr="00D56C8F">
        <w:t xml:space="preserve"> [62]</w:t>
      </w:r>
      <w:r>
        <w:t>.</w:t>
      </w:r>
    </w:p>
    <w:p w14:paraId="255C9203" w14:textId="17DAA46F" w:rsidR="00C035FA" w:rsidRDefault="00C035FA">
      <w:pPr>
        <w:spacing w:after="0" w:line="240" w:lineRule="auto"/>
        <w:rPr>
          <w:u w:val="single"/>
        </w:rPr>
      </w:pPr>
    </w:p>
    <w:p w14:paraId="5A9BC987" w14:textId="77777777" w:rsidR="00B47330" w:rsidRDefault="00B47330">
      <w:pPr>
        <w:spacing w:after="0" w:line="240" w:lineRule="auto"/>
        <w:rPr>
          <w:b/>
          <w:i/>
        </w:rPr>
      </w:pPr>
    </w:p>
    <w:p w14:paraId="6B5A4B9D" w14:textId="28E7AB1A" w:rsidR="00C035FA" w:rsidRPr="00B47330" w:rsidRDefault="008D5756">
      <w:pPr>
        <w:spacing w:after="0" w:line="240" w:lineRule="auto"/>
        <w:rPr>
          <w:b/>
          <w:i/>
        </w:rPr>
      </w:pPr>
      <w:r w:rsidRPr="00B47330">
        <w:rPr>
          <w:b/>
          <w:i/>
        </w:rPr>
        <w:lastRenderedPageBreak/>
        <w:t>Почечные эффекты</w:t>
      </w:r>
    </w:p>
    <w:p w14:paraId="0213ADAA" w14:textId="77777777" w:rsidR="00C035FA" w:rsidRDefault="008D5756">
      <w:pPr>
        <w:spacing w:after="0" w:line="240" w:lineRule="auto"/>
        <w:ind w:firstLine="720"/>
      </w:pPr>
      <w:r>
        <w:t>Влияние эмпаглифлозина на функцию почек и печени оценивали у крыс Wistar после однократного введения 3, 10 или 30 мг/кг перорально (20/пол/группа) (эквивалентно 0,5x–12x MRHD на основе площади поверхности тела). Для анализа мужские и женские данные были объединены. Экскреция глюкозы с мочой зависела от дозы и значительно увеличивалась через 0-4, 4-8 (только 10 и 30 мг/кг), 8-24 (только 10 и 30 мг/кг) и 0-24 ч после введения дозы.</w:t>
      </w:r>
    </w:p>
    <w:p w14:paraId="47FA0E53" w14:textId="07CB91AB" w:rsidR="00C035FA" w:rsidRDefault="008D5756">
      <w:pPr>
        <w:spacing w:after="0" w:line="240" w:lineRule="auto"/>
        <w:ind w:firstLine="720"/>
      </w:pPr>
      <w:r>
        <w:t>Экскреция натрия с мочой зависела от дозы и значительно увеличивалась при дозах 10 и 30 мг/кг через 0-4 ч после введения дозы и при дозе 30 мг/кг через 0-24 ч после приема соответственно. Содержание хлоридов в моче было значительно повышено при дозе 30 мг/кг через 0-4 часа после введения дозы, но дозозависимо снижалось и было значимо при дозах 10 и 30 мг/кг через 4-8 часов после приема соответственно.</w:t>
      </w:r>
    </w:p>
    <w:p w14:paraId="5F046F81" w14:textId="77777777" w:rsidR="00C035FA" w:rsidRDefault="008D5756">
      <w:pPr>
        <w:spacing w:after="0" w:line="240" w:lineRule="auto"/>
        <w:ind w:firstLine="720"/>
      </w:pPr>
      <w:r>
        <w:t>Осмоляльность мочи была значительно повышена при дозах 10 и 30 мг/кг через 0-4 и 4-8 ч после введения дозы соответственно.</w:t>
      </w:r>
    </w:p>
    <w:p w14:paraId="4836812D" w14:textId="77777777" w:rsidR="00C035FA" w:rsidRDefault="008D5756">
      <w:pPr>
        <w:spacing w:after="0" w:line="240" w:lineRule="auto"/>
      </w:pPr>
      <w:r>
        <w:t xml:space="preserve"> </w:t>
      </w:r>
      <w:r>
        <w:tab/>
        <w:t>Эмпаглифлозин в виде однократной дозы до 30 мг/кг (12x MRHD на основе площади поверхности тела) не влиял на объем мочи, калий, кальций, магний, белок, альбумин или рН мочи.</w:t>
      </w:r>
    </w:p>
    <w:p w14:paraId="6E0688F7" w14:textId="77777777" w:rsidR="00C035FA" w:rsidRDefault="008D5756">
      <w:pPr>
        <w:spacing w:after="0" w:line="240" w:lineRule="auto"/>
        <w:ind w:firstLine="720"/>
      </w:pPr>
      <w:r>
        <w:t>Эмпаглифлозин дозозависимо и значительно увеличивал количество свободных жирных кислот (СЖК) в сыворотке крови при дозах 10 и 30 мг/кг через 4 часа после введения дозы. СЖК также значительно увеличивались при дозах 10 и 30 мг/кг через 8 часов после приема и при дозах 30 мг/кг через 24 часа после приема соответственно.</w:t>
      </w:r>
    </w:p>
    <w:p w14:paraId="0BC161F9" w14:textId="77777777" w:rsidR="00C035FA" w:rsidRDefault="008D5756">
      <w:pPr>
        <w:spacing w:after="0" w:line="240" w:lineRule="auto"/>
        <w:ind w:firstLine="720"/>
      </w:pPr>
      <w:r>
        <w:t xml:space="preserve">В соответствии с классом препаратов грызуны были более чувствительны, чем собаки, в отношении гистологических изменений в почках после хронического воздействия эмпаглифлозина. Воздействие при самых низких дозах, испытанных на крысах и мышах приблизительно в 2-5 раз превышало клиническую экспозицию и приводило к минерализации канальцев и расширению почечной лоханки, мочеточника и мочевого пузыря. Эти гистологические изменения не были тяжелыми и считались следствием (или адаптивным изменением) хронической глюкозурии/полиурии и кальциурии, наблюдаемой при применении этого класса препаратов. </w:t>
      </w:r>
    </w:p>
    <w:p w14:paraId="14D832D9" w14:textId="77777777" w:rsidR="00C035FA" w:rsidRDefault="008D5756">
      <w:pPr>
        <w:spacing w:after="0" w:line="240" w:lineRule="auto"/>
        <w:ind w:firstLine="720"/>
      </w:pPr>
      <w:r>
        <w:t>Воздействие при самой низкой дозе, испытанной на собаках (10 мг/кг) примерно в 12-19 раз превышало клиническую экспозицию и не приводило к неблагоприятным изменениям гистологии почек, несмотря на признаки фармакологической активности (глюкозурия/полиурия) в 52-недельном хроническом токсикологическом исследовании. АКМ и креатинин в сыворотке существенно не изменились, что согласуется с отсутствием явных неблагоприятных гистологических изменений почек при этом уровне воздействия.</w:t>
      </w:r>
    </w:p>
    <w:p w14:paraId="45237ACF" w14:textId="6A3ED704" w:rsidR="00C035FA" w:rsidRDefault="008D5756">
      <w:pPr>
        <w:spacing w:after="0" w:line="240" w:lineRule="auto"/>
        <w:ind w:firstLine="720"/>
      </w:pPr>
      <w:r>
        <w:t>Введение более высоких доз эмпаглифлозина вызывало почечную патологию у крыс, мышей и собак в разной степени. Наименее тяжелые результаты были зарегистрированы у крыс в виде дилатации канальцев, вакуолизации с липидными включениями, базофилии и гиперплазии канальцев</w:t>
      </w:r>
    </w:p>
    <w:p w14:paraId="7D2B3814" w14:textId="7A19541B" w:rsidR="00C035FA" w:rsidRDefault="008D5756">
      <w:pPr>
        <w:spacing w:after="0" w:line="240" w:lineRule="auto"/>
        <w:ind w:firstLine="720"/>
      </w:pPr>
      <w:r>
        <w:t>Более серьезные результаты были зарегистрированы у собак и мышей. У собак хронический интерстициальный нефрит, тубулярная нефропатия с фиброзом и дегенерация возникала при дозе 100 мг/кг (примерно 220x MRHD) без каких-либо изменений минерализации или маркеров повреждения канальцев. Такая почечная патология у собак не типична для этого класса препаратов и может отражать токсикологию, специфичную для эмпаглифлозина. У мышей хроническая нефротоксичность проявлялась при дозе 1000 мг/кг (45xMRHD) и характеризовалась некрозом одиночных клеток, кариомегалией, гипертрофией/атрофией и атипичной гиперплазией почечных канальцев, что приводило к аденоме/карциноме почечных канальцев у самцов.</w:t>
      </w:r>
    </w:p>
    <w:p w14:paraId="7E135225" w14:textId="3404BF63" w:rsidR="00C035FA" w:rsidRDefault="008D5756">
      <w:pPr>
        <w:spacing w:after="0" w:line="240" w:lineRule="auto"/>
        <w:ind w:firstLine="720"/>
      </w:pPr>
      <w:r>
        <w:lastRenderedPageBreak/>
        <w:t>Доза 300 мг/кг показала канальцевое повреждение, но в меньшей степени, чем группа 1000 мг/кг.</w:t>
      </w:r>
    </w:p>
    <w:p w14:paraId="46435173" w14:textId="38BC89F1" w:rsidR="00C035FA" w:rsidRDefault="008D5756">
      <w:pPr>
        <w:spacing w:after="0" w:line="240" w:lineRule="auto"/>
        <w:ind w:firstLine="720"/>
      </w:pPr>
      <w:r>
        <w:t>Результаты при минимальном воздействии на крыс (≤5 клинических доз) и собак (≤19 клинических доз) показывают, что эмпаглифлозин не будет оказывать почечного токсического действия на человека в клинической дозе 25 мг на 1 дозу в сутки при постоянном приеме.</w:t>
      </w:r>
    </w:p>
    <w:p w14:paraId="1F9873EF" w14:textId="77777777" w:rsidR="00C035FA" w:rsidRDefault="008D5756">
      <w:pPr>
        <w:spacing w:after="0" w:line="240" w:lineRule="auto"/>
        <w:ind w:firstLine="720"/>
      </w:pPr>
      <w:r>
        <w:t>Сохраняется риск вторичной инфекции мочевыводящих путей/пиелонефрита и хронической глюкозурии, которая является признанным риском в этой группе ингибиторов SGLT2 [62].</w:t>
      </w:r>
    </w:p>
    <w:p w14:paraId="36A4526B" w14:textId="77777777" w:rsidR="00C035FA" w:rsidRDefault="00C035FA">
      <w:pPr>
        <w:spacing w:after="0" w:line="240" w:lineRule="auto"/>
      </w:pPr>
    </w:p>
    <w:p w14:paraId="58FAAE5B" w14:textId="77777777" w:rsidR="00C035FA" w:rsidRPr="00B47330" w:rsidRDefault="008D5756">
      <w:pPr>
        <w:spacing w:after="0" w:line="240" w:lineRule="auto"/>
        <w:rPr>
          <w:b/>
          <w:i/>
        </w:rPr>
      </w:pPr>
      <w:r w:rsidRPr="00B47330">
        <w:rPr>
          <w:b/>
          <w:i/>
        </w:rPr>
        <w:t>Желудочно-кишечные эффекты</w:t>
      </w:r>
    </w:p>
    <w:p w14:paraId="23FFD0F2" w14:textId="28CD6419" w:rsidR="00C035FA" w:rsidRDefault="008D5756">
      <w:pPr>
        <w:spacing w:after="0" w:line="240" w:lineRule="auto"/>
        <w:ind w:firstLine="720"/>
      </w:pPr>
      <w:r>
        <w:t>Чтобы определить влияние эмпаглифлозина на опорожнение желудка, эмпаглифлозин в дозе 3, 10 или 30 мг/кг перорально, соответственно, вводили голодающим крысам Wistar (5/пол/группа) с последующим пероральным введением тестовой пищи с сульфатом бария. Эмпаглифлозин не оказывал влияния на кишечный транзит, однако эмпаглифлозин в дозе 30 мг/кг увеличивал опорожнение желудка на 33%. Эмпаглифлозин, используемый в этом исследовании, эквивалентен 0,5x-12x MRHD (на основе площади поверхности тела). Несмотря на то, что это исследование безопасности является исследованием однократной дозы, известно, что желудочно-кишечные эффекты этого класса препаратов возникают у грызунов.</w:t>
      </w:r>
    </w:p>
    <w:p w14:paraId="27FF9F5E" w14:textId="77777777" w:rsidR="00C035FA" w:rsidRDefault="008D5756">
      <w:pPr>
        <w:spacing w:after="0" w:line="240" w:lineRule="auto"/>
        <w:ind w:firstLine="720"/>
      </w:pPr>
      <w:r>
        <w:t>При высоких дозах и многократном воздействии фармакодинамический эффект ингибиторов SGLT2 приводит к увеличению абсорбции кальция, что связано с нецелевым ингибированием близкородственных переносчиков SGLT1 в желудочно-кишечном тракте. Острая абсорбция ионизированного кальция также не оценивалась в настоящем исследовании, и вполне вероятно, что для получения желудочно-кишечного эффекта потребуются многократные высокие дозы эмпаглифлозина, как это наблюдалось в исследованиях канцерогенности на грызунах (вздутие живота). Минимальное увеличение опорожнения желудка в настоящем исследовании вряд ли будет иметь эффект лекарственного взаимодействия.</w:t>
      </w:r>
    </w:p>
    <w:p w14:paraId="1491AF9E" w14:textId="77777777" w:rsidR="00C035FA" w:rsidRDefault="008D5756">
      <w:pPr>
        <w:spacing w:after="0" w:line="240" w:lineRule="auto"/>
        <w:ind w:firstLine="720"/>
      </w:pPr>
      <w:r>
        <w:t>Во втором исследовании на крысах 8 самцов крыс Wistar лечили интрадуоденально эмпаглифлозином в дозах 3, 10 или 30 мг/кг (8 в группе) после хирургической перевязки привратника. Через 4 часа после введения эмпаглифлозин не оказывал влияния на pH желудка, общую кислотность, объем или выделение кислоты. Настоящее исследование при 1x-12x MRHD (на основе площади поверхности тела) показывает, что эмпаглифлозин оказывает минимальное влияние на секрецию желудочного сока и, следовательно, на ульцерогенную активность [62].</w:t>
      </w:r>
    </w:p>
    <w:p w14:paraId="340B0B67" w14:textId="77777777" w:rsidR="00C035FA" w:rsidRDefault="00C035FA">
      <w:pPr>
        <w:spacing w:after="0" w:line="240" w:lineRule="auto"/>
        <w:rPr>
          <w:b/>
          <w:i/>
          <w:u w:val="single"/>
        </w:rPr>
      </w:pPr>
    </w:p>
    <w:p w14:paraId="26C14171" w14:textId="77777777" w:rsidR="00C035FA" w:rsidRPr="00B47330" w:rsidRDefault="008D5756">
      <w:pPr>
        <w:spacing w:after="0" w:line="240" w:lineRule="auto"/>
        <w:rPr>
          <w:b/>
          <w:i/>
        </w:rPr>
      </w:pPr>
      <w:r w:rsidRPr="00B47330">
        <w:rPr>
          <w:b/>
          <w:i/>
        </w:rPr>
        <w:t>Минерализация тканей и здоровье костей</w:t>
      </w:r>
    </w:p>
    <w:p w14:paraId="5EF8496A" w14:textId="6A85EE7E" w:rsidR="00C035FA" w:rsidRDefault="008D5756">
      <w:pPr>
        <w:spacing w:after="0" w:line="240" w:lineRule="auto"/>
        <w:ind w:firstLine="720"/>
      </w:pPr>
      <w:r>
        <w:t>Повторяющимся результатом применения ингибиторов SGLT2, включая эмпаглифлозин, является нарушение обмена кальция, гомеостаза у грызунов и, в меньшей степени, у негрызунов. Нарушение обмена кальция обычно проявляется у крыс трабекулярным срастанием кости, кальцинозом мягких тканей, гиперкальциурией и сложными изменениями костных биомаркеров. Соответственно, сывороточный (1,25)-дигидроксивитамин D и уровень паратиреоидного гормона резко снижаются. У негрызунов наблюдаются менее серьезные изменения биомаркеров, а гистология костей существенно не меняется в ходе исследований хронической токсичности.</w:t>
      </w:r>
    </w:p>
    <w:p w14:paraId="76255EA4" w14:textId="77777777" w:rsidR="00C035FA" w:rsidRDefault="008D5756">
      <w:pPr>
        <w:spacing w:after="0" w:line="240" w:lineRule="auto"/>
        <w:ind w:firstLine="720"/>
      </w:pPr>
      <w:r>
        <w:lastRenderedPageBreak/>
        <w:t>Имеются данные как о мальабсорбции углеводов (вторичной по отношению к ингибированию интестинального SGLT1) и потери кальция/фосфата через осмотический диурез в качестве факторов, влияющих на кальциевый дисбаланс.</w:t>
      </w:r>
    </w:p>
    <w:p w14:paraId="12ACB271" w14:textId="77777777" w:rsidR="00C035FA" w:rsidRDefault="008D5756">
      <w:pPr>
        <w:spacing w:after="0" w:line="240" w:lineRule="auto"/>
        <w:ind w:firstLine="720"/>
      </w:pPr>
      <w:r>
        <w:t>Эмпаглифлозин был нетипичным в том смысле, что последствия нарушения гомеостаза кальция наблюдались только в 2-летнем исследовании на крысах. Увеличение трабекулярной кости и обширная минерализация сосудов в множественные органы наблюдались при дозах ≥300 мг/кг и особенно при дозах 700 мг/кг.</w:t>
      </w:r>
    </w:p>
    <w:p w14:paraId="06464C15" w14:textId="44C07DE0" w:rsidR="00C035FA" w:rsidRDefault="008D5756">
      <w:pPr>
        <w:spacing w:after="0" w:line="240" w:lineRule="auto"/>
        <w:ind w:firstLine="720"/>
      </w:pPr>
      <w:r>
        <w:t>Гиперкальциурия и снижение уровня паратиреоидного гормона также отмечались у мышей, но обширной минерализации тканей не наблюдалось, несмотря на 2-годичный курс лечения.</w:t>
      </w:r>
    </w:p>
    <w:p w14:paraId="6EC2B267" w14:textId="6E967300" w:rsidR="00430706" w:rsidRDefault="008D5756" w:rsidP="00865E8E">
      <w:pPr>
        <w:spacing w:after="0" w:line="240" w:lineRule="auto"/>
        <w:ind w:firstLine="720"/>
      </w:pPr>
      <w:r>
        <w:t>Клинический мониторинг этой конкретной токсичности частично проводился путем сбора маркеров гомеостаза кальция в ходе клинических испытаний, включая сывороточный кальций, паратиреоидный гормон и изоформы витамина D. Согласно проведенному анализу, не было никаких доказательств того, что эмпаглифлозин изменял эти биомаркеры в какой-либо заметной степени в клинических испытаниях. Таким образом, этот спектр токсикологии, наблюдаемый в доклинических исследованиях, представляет низкий риск для человека при применении предлагаемой дозы эмпаглифлозина [62].</w:t>
      </w:r>
    </w:p>
    <w:p w14:paraId="4F98D286" w14:textId="77777777" w:rsidR="00C035FA" w:rsidRDefault="008D5756">
      <w:pPr>
        <w:spacing w:before="240" w:after="240" w:line="240" w:lineRule="auto"/>
        <w:outlineLvl w:val="2"/>
        <w:rPr>
          <w:b/>
          <w:color w:val="000000" w:themeColor="text1"/>
        </w:rPr>
      </w:pPr>
      <w:bookmarkStart w:id="78" w:name="_Toc139366850"/>
      <w:r>
        <w:rPr>
          <w:b/>
          <w:color w:val="000000" w:themeColor="text1"/>
        </w:rPr>
        <w:t>3.1.5. Фармакодинамические лекарственные взаимодействия</w:t>
      </w:r>
      <w:bookmarkEnd w:id="78"/>
    </w:p>
    <w:bookmarkEnd w:id="74"/>
    <w:bookmarkEnd w:id="75"/>
    <w:p w14:paraId="34D15105" w14:textId="3A211886" w:rsidR="00C035FA" w:rsidRDefault="008D5756">
      <w:pPr>
        <w:spacing w:after="0" w:line="240" w:lineRule="auto"/>
        <w:ind w:firstLine="720"/>
        <w:contextualSpacing/>
        <w:rPr>
          <w:szCs w:val="28"/>
        </w:rPr>
      </w:pPr>
      <w:r>
        <w:rPr>
          <w:szCs w:val="28"/>
        </w:rPr>
        <w:t>Исследования общей токсичности на крысах до 13 недель проводились комбинацией эмпаглифлозина и линаглиптина. Признаки токсичности наблюдались при воздействии более чем в 13 раз превышающем клиническое воздействие AUC. Явной аддитивной токсичности, вызванной комбинацией эмпаглифлозина и линаглиптина, не отмечалось. Комбинация эмпаглифлозина и линаглиптина в период органогенеза не оказывала тератогенного действия на крыс вплоть до комбинированной дозы 700 мг/кг/сутки эмпаглифлозина и 140 мг/кг/сутки линаглиптина, что в 253 и 353 раза превышает клиническую экспозицию AUC соответственно. При применении комбинации с эмпаглифлозином в дозе 700 мг/кг/сутки и 140 мг/кг/день линаглиптина наблюдалось снижение массы тела плода. Материнские эффекты (снижение прироста массы тела и потребления пищи) наблюдались при применении комбинации эмпаглифлозина ≥300 мг/кг/сутки и линаглиптина 60 мг/кг/сутки, что соотвествует 99- и 227-кратному клиническому воздействию AUC соответственно. Не выявлено морфологических и гистопатологических изменений в почках плодов после введения только эмпаглифлозина, линаглиптина отдельно или после введения комбинированных продуктов во время органогенеза у крыс (с 7 по 16 дни беременности) [6</w:t>
      </w:r>
      <w:r w:rsidR="00D56C8F" w:rsidRPr="00D56C8F">
        <w:rPr>
          <w:szCs w:val="28"/>
        </w:rPr>
        <w:t>3</w:t>
      </w:r>
      <w:r>
        <w:rPr>
          <w:szCs w:val="28"/>
        </w:rPr>
        <w:t>].</w:t>
      </w:r>
    </w:p>
    <w:p w14:paraId="5D1E0DB2" w14:textId="77777777" w:rsidR="00C035FA" w:rsidRDefault="008D5756">
      <w:pPr>
        <w:pStyle w:val="Heading2"/>
        <w:tabs>
          <w:tab w:val="left" w:pos="284"/>
          <w:tab w:val="left" w:pos="567"/>
        </w:tabs>
        <w:spacing w:line="240" w:lineRule="auto"/>
        <w:contextualSpacing/>
        <w:rPr>
          <w:color w:val="000000" w:themeColor="text1"/>
        </w:rPr>
      </w:pPr>
      <w:bookmarkStart w:id="79" w:name="_Toc139366851"/>
      <w:r>
        <w:rPr>
          <w:color w:val="000000" w:themeColor="text1"/>
        </w:rPr>
        <w:t>3.2. Доклиническая фармакокинетика</w:t>
      </w:r>
      <w:bookmarkEnd w:id="79"/>
    </w:p>
    <w:p w14:paraId="6500608B" w14:textId="77777777" w:rsidR="00C035FA" w:rsidRDefault="008D5756">
      <w:pPr>
        <w:spacing w:before="240" w:after="240" w:line="240" w:lineRule="auto"/>
        <w:contextualSpacing/>
        <w:outlineLvl w:val="2"/>
        <w:rPr>
          <w:b/>
          <w:color w:val="000000" w:themeColor="text1"/>
        </w:rPr>
      </w:pPr>
      <w:bookmarkStart w:id="80" w:name="_Toc484199228"/>
      <w:bookmarkStart w:id="81" w:name="_Toc10578060"/>
      <w:bookmarkStart w:id="82" w:name="_Toc139366852"/>
      <w:bookmarkStart w:id="83" w:name="_Toc483835323"/>
      <w:bookmarkStart w:id="84" w:name="_Toc484591394"/>
      <w:bookmarkStart w:id="85" w:name="_Hlk521883862"/>
      <w:bookmarkStart w:id="86" w:name="_Toc415001099"/>
      <w:bookmarkStart w:id="87" w:name="_Toc298775544"/>
      <w:r>
        <w:rPr>
          <w:b/>
          <w:color w:val="000000" w:themeColor="text1"/>
        </w:rPr>
        <w:t xml:space="preserve">3.2.1. </w:t>
      </w:r>
      <w:bookmarkEnd w:id="80"/>
      <w:bookmarkEnd w:id="81"/>
      <w:r>
        <w:rPr>
          <w:b/>
          <w:bCs/>
          <w:iCs/>
          <w:color w:val="000000" w:themeColor="text1"/>
          <w:szCs w:val="28"/>
        </w:rPr>
        <w:t>Всасывание</w:t>
      </w:r>
      <w:bookmarkEnd w:id="82"/>
    </w:p>
    <w:p w14:paraId="26D830B4" w14:textId="77777777" w:rsidR="00D56C8F" w:rsidRDefault="00D56C8F" w:rsidP="00D56C8F">
      <w:pPr>
        <w:spacing w:after="0" w:line="240" w:lineRule="auto"/>
        <w:ind w:firstLine="720"/>
        <w:contextualSpacing/>
        <w:rPr>
          <w:szCs w:val="28"/>
          <w:shd w:val="clear" w:color="auto" w:fill="FFFFFF"/>
        </w:rPr>
      </w:pPr>
      <w:bookmarkStart w:id="88" w:name="_Toc10578061"/>
      <w:bookmarkStart w:id="89" w:name="_Toc484199229"/>
    </w:p>
    <w:p w14:paraId="12946A8B" w14:textId="3104F92E" w:rsidR="00C035FA" w:rsidRDefault="008D5756" w:rsidP="00D56C8F">
      <w:pPr>
        <w:spacing w:after="0" w:line="240" w:lineRule="auto"/>
        <w:ind w:firstLine="720"/>
        <w:contextualSpacing/>
        <w:rPr>
          <w:szCs w:val="28"/>
          <w:shd w:val="clear" w:color="auto" w:fill="FFFFFF"/>
        </w:rPr>
      </w:pPr>
      <w:r>
        <w:rPr>
          <w:szCs w:val="28"/>
          <w:shd w:val="clear" w:color="auto" w:fill="FFFFFF"/>
        </w:rPr>
        <w:t xml:space="preserve">Всасывание эмпаглифлозина изучалось </w:t>
      </w:r>
      <w:r w:rsidRPr="00E14858">
        <w:rPr>
          <w:i/>
          <w:szCs w:val="28"/>
          <w:shd w:val="clear" w:color="auto" w:fill="FFFFFF"/>
        </w:rPr>
        <w:t>«</w:t>
      </w:r>
      <w:r w:rsidRPr="00E14858">
        <w:rPr>
          <w:i/>
          <w:szCs w:val="28"/>
          <w:shd w:val="clear" w:color="auto" w:fill="FFFFFF"/>
          <w:lang w:val="en-US"/>
        </w:rPr>
        <w:t>in</w:t>
      </w:r>
      <w:r w:rsidRPr="00E14858">
        <w:rPr>
          <w:i/>
          <w:szCs w:val="28"/>
          <w:shd w:val="clear" w:color="auto" w:fill="FFFFFF"/>
        </w:rPr>
        <w:t xml:space="preserve"> </w:t>
      </w:r>
      <w:r w:rsidRPr="00E14858">
        <w:rPr>
          <w:i/>
          <w:szCs w:val="28"/>
          <w:shd w:val="clear" w:color="auto" w:fill="FFFFFF"/>
          <w:lang w:val="en-US"/>
        </w:rPr>
        <w:t>vitro</w:t>
      </w:r>
      <w:r w:rsidRPr="00E14858">
        <w:rPr>
          <w:i/>
          <w:szCs w:val="28"/>
          <w:shd w:val="clear" w:color="auto" w:fill="FFFFFF"/>
        </w:rPr>
        <w:t xml:space="preserve">» </w:t>
      </w:r>
      <w:r>
        <w:rPr>
          <w:szCs w:val="28"/>
          <w:shd w:val="clear" w:color="auto" w:fill="FFFFFF"/>
        </w:rPr>
        <w:t>на следующих моделях</w:t>
      </w:r>
      <w:r w:rsidRPr="00E14858">
        <w:rPr>
          <w:szCs w:val="28"/>
          <w:shd w:val="clear" w:color="auto" w:fill="FFFFFF"/>
        </w:rPr>
        <w:t>:</w:t>
      </w:r>
    </w:p>
    <w:p w14:paraId="62C80FBD" w14:textId="77777777" w:rsidR="00C035FA" w:rsidRPr="00E14858" w:rsidRDefault="008D5756" w:rsidP="00D56C8F">
      <w:pPr>
        <w:spacing w:after="0" w:line="240" w:lineRule="auto"/>
        <w:contextualSpacing/>
        <w:rPr>
          <w:szCs w:val="28"/>
          <w:shd w:val="clear" w:color="auto" w:fill="FFFFFF"/>
          <w:lang w:val="en-US"/>
        </w:rPr>
      </w:pPr>
      <w:r w:rsidRPr="00E14858">
        <w:rPr>
          <w:szCs w:val="28"/>
          <w:shd w:val="clear" w:color="auto" w:fill="FFFFFF"/>
          <w:lang w:val="en-US"/>
        </w:rPr>
        <w:t xml:space="preserve">- </w:t>
      </w:r>
      <w:r>
        <w:rPr>
          <w:szCs w:val="28"/>
          <w:shd w:val="clear" w:color="auto" w:fill="FFFFFF"/>
        </w:rPr>
        <w:t>клеточная</w:t>
      </w:r>
      <w:r w:rsidRPr="00E14858">
        <w:rPr>
          <w:szCs w:val="28"/>
          <w:shd w:val="clear" w:color="auto" w:fill="FFFFFF"/>
          <w:lang w:val="en-US"/>
        </w:rPr>
        <w:t xml:space="preserve"> </w:t>
      </w:r>
      <w:r>
        <w:rPr>
          <w:szCs w:val="28"/>
          <w:shd w:val="clear" w:color="auto" w:fill="FFFFFF"/>
        </w:rPr>
        <w:t>линия</w:t>
      </w:r>
      <w:r w:rsidRPr="00E14858">
        <w:rPr>
          <w:szCs w:val="28"/>
          <w:shd w:val="clear" w:color="auto" w:fill="FFFFFF"/>
          <w:lang w:val="en-US"/>
        </w:rPr>
        <w:t xml:space="preserve"> Caco-2</w:t>
      </w:r>
      <w:r w:rsidRPr="008D5756">
        <w:rPr>
          <w:szCs w:val="28"/>
          <w:shd w:val="clear" w:color="auto" w:fill="FFFFFF"/>
          <w:lang w:val="en-US"/>
        </w:rPr>
        <w:t>;</w:t>
      </w:r>
    </w:p>
    <w:p w14:paraId="3010BD2C" w14:textId="77777777" w:rsidR="00C035FA" w:rsidRDefault="008D5756" w:rsidP="00D56C8F">
      <w:pPr>
        <w:spacing w:after="0" w:line="240" w:lineRule="auto"/>
        <w:contextualSpacing/>
        <w:rPr>
          <w:szCs w:val="28"/>
          <w:shd w:val="clear" w:color="auto" w:fill="FFFFFF"/>
          <w:lang w:val="en-US"/>
        </w:rPr>
      </w:pPr>
      <w:r w:rsidRPr="00E14858">
        <w:rPr>
          <w:szCs w:val="28"/>
          <w:shd w:val="clear" w:color="auto" w:fill="FFFFFF"/>
          <w:lang w:val="en-US"/>
        </w:rPr>
        <w:t>- MDCK-MDR1 (</w:t>
      </w:r>
      <w:proofErr w:type="spellStart"/>
      <w:r w:rsidRPr="00E14858">
        <w:rPr>
          <w:szCs w:val="28"/>
          <w:shd w:val="clear" w:color="auto" w:fill="FFFFFF"/>
          <w:lang w:val="en-US"/>
        </w:rPr>
        <w:t>Mandin</w:t>
      </w:r>
      <w:proofErr w:type="spellEnd"/>
      <w:r w:rsidRPr="00E14858">
        <w:rPr>
          <w:szCs w:val="28"/>
          <w:shd w:val="clear" w:color="auto" w:fill="FFFFFF"/>
          <w:lang w:val="en-US"/>
        </w:rPr>
        <w:t>-Darby Canine Kidney).</w:t>
      </w:r>
    </w:p>
    <w:p w14:paraId="0D360FF6" w14:textId="34746AEA" w:rsidR="00C035FA" w:rsidRDefault="008D5756" w:rsidP="00D56C8F">
      <w:pPr>
        <w:spacing w:after="0" w:line="240" w:lineRule="auto"/>
        <w:contextualSpacing/>
        <w:rPr>
          <w:szCs w:val="28"/>
          <w:shd w:val="clear" w:color="auto" w:fill="FFFFFF"/>
        </w:rPr>
      </w:pPr>
      <w:r>
        <w:rPr>
          <w:szCs w:val="28"/>
          <w:shd w:val="clear" w:color="auto" w:fill="FFFFFF"/>
          <w:lang w:val="en-US"/>
        </w:rPr>
        <w:tab/>
      </w:r>
      <w:r w:rsidRPr="00E14858">
        <w:rPr>
          <w:szCs w:val="28"/>
          <w:shd w:val="clear" w:color="auto" w:fill="FFFFFF"/>
        </w:rPr>
        <w:t>Было обнаружено, что эмпаглифлозин является субстратом как</w:t>
      </w:r>
      <w:r>
        <w:rPr>
          <w:szCs w:val="28"/>
          <w:shd w:val="clear" w:color="auto" w:fill="FFFFFF"/>
        </w:rPr>
        <w:t xml:space="preserve"> для </w:t>
      </w:r>
      <w:r w:rsidR="00865E8E">
        <w:rPr>
          <w:szCs w:val="28"/>
          <w:shd w:val="clear" w:color="auto" w:fill="FFFFFF"/>
        </w:rPr>
        <w:t>человеческого P</w:t>
      </w:r>
      <w:r>
        <w:rPr>
          <w:szCs w:val="28"/>
          <w:shd w:val="clear" w:color="auto" w:fill="FFFFFF"/>
        </w:rPr>
        <w:t xml:space="preserve">-гликопротеина, так и для BCRP (белок устойчивости к раку молочной железы). При этом исследуемое вещество не ингибирует P-gp и BCRP-опосредованный транспорт субстратов в данных клеточных моделях. В клетках </w:t>
      </w:r>
      <w:r>
        <w:rPr>
          <w:szCs w:val="28"/>
          <w:shd w:val="clear" w:color="auto" w:fill="FFFFFF"/>
          <w:lang w:val="en-US"/>
        </w:rPr>
        <w:t>MDCK</w:t>
      </w:r>
      <w:r>
        <w:rPr>
          <w:szCs w:val="28"/>
          <w:shd w:val="clear" w:color="auto" w:fill="FFFFFF"/>
        </w:rPr>
        <w:t>-</w:t>
      </w:r>
      <w:r>
        <w:rPr>
          <w:szCs w:val="28"/>
          <w:shd w:val="clear" w:color="auto" w:fill="FFFFFF"/>
          <w:lang w:val="en-US"/>
        </w:rPr>
        <w:t>MDR</w:t>
      </w:r>
      <w:r>
        <w:rPr>
          <w:szCs w:val="28"/>
          <w:shd w:val="clear" w:color="auto" w:fill="FFFFFF"/>
        </w:rPr>
        <w:t xml:space="preserve">1 эмпаглифлозин проявлял высокий </w:t>
      </w:r>
      <w:r>
        <w:rPr>
          <w:szCs w:val="28"/>
          <w:shd w:val="clear" w:color="auto" w:fill="FFFFFF"/>
        </w:rPr>
        <w:lastRenderedPageBreak/>
        <w:t>секреторный транспорт (базолатеральный (BL) к апикальному (AP) (BL- AP)), с незначительным абсорбционным транспортом (AP - BL). Было установлено, что соотношение BL- AP/AP – BL составляет более 10 при всех оцененных концентрациях эмпаглифлозина.</w:t>
      </w:r>
    </w:p>
    <w:p w14:paraId="7EE02C51" w14:textId="4ED13ECF" w:rsidR="00C035FA" w:rsidRDefault="008D5756" w:rsidP="00D56C8F">
      <w:pPr>
        <w:spacing w:after="0" w:line="240" w:lineRule="auto"/>
        <w:ind w:firstLine="708"/>
        <w:contextualSpacing/>
        <w:rPr>
          <w:szCs w:val="28"/>
          <w:shd w:val="clear" w:color="auto" w:fill="FFFFFF"/>
        </w:rPr>
      </w:pPr>
      <w:r>
        <w:rPr>
          <w:szCs w:val="28"/>
          <w:shd w:val="clear" w:color="auto" w:fill="FFFFFF"/>
        </w:rPr>
        <w:t xml:space="preserve">Исследования </w:t>
      </w:r>
      <w:r w:rsidRPr="00E14858">
        <w:rPr>
          <w:i/>
          <w:szCs w:val="28"/>
          <w:shd w:val="clear" w:color="auto" w:fill="FFFFFF"/>
        </w:rPr>
        <w:t>«</w:t>
      </w:r>
      <w:r w:rsidRPr="00E14858">
        <w:rPr>
          <w:i/>
          <w:szCs w:val="28"/>
          <w:shd w:val="clear" w:color="auto" w:fill="FFFFFF"/>
          <w:lang w:val="en-US"/>
        </w:rPr>
        <w:t>in</w:t>
      </w:r>
      <w:r w:rsidRPr="00E14858">
        <w:rPr>
          <w:i/>
          <w:szCs w:val="28"/>
          <w:shd w:val="clear" w:color="auto" w:fill="FFFFFF"/>
        </w:rPr>
        <w:t xml:space="preserve"> </w:t>
      </w:r>
      <w:r w:rsidRPr="00E14858">
        <w:rPr>
          <w:i/>
          <w:szCs w:val="28"/>
          <w:shd w:val="clear" w:color="auto" w:fill="FFFFFF"/>
          <w:lang w:val="en-US"/>
        </w:rPr>
        <w:t>vivo</w:t>
      </w:r>
      <w:r w:rsidRPr="00E14858">
        <w:rPr>
          <w:i/>
          <w:szCs w:val="28"/>
          <w:shd w:val="clear" w:color="auto" w:fill="FFFFFF"/>
        </w:rPr>
        <w:t>»</w:t>
      </w:r>
      <w:r>
        <w:rPr>
          <w:b/>
          <w:szCs w:val="28"/>
          <w:shd w:val="clear" w:color="auto" w:fill="FFFFFF"/>
        </w:rPr>
        <w:t xml:space="preserve"> </w:t>
      </w:r>
      <w:r>
        <w:rPr>
          <w:szCs w:val="28"/>
          <w:shd w:val="clear" w:color="auto" w:fill="FFFFFF"/>
        </w:rPr>
        <w:t>были проведены на мышах, крысах и собаках.</w:t>
      </w:r>
      <w:r w:rsidR="003B1FBF">
        <w:rPr>
          <w:szCs w:val="28"/>
          <w:shd w:val="clear" w:color="auto" w:fill="FFFFFF"/>
        </w:rPr>
        <w:t xml:space="preserve"> </w:t>
      </w:r>
      <w:r>
        <w:rPr>
          <w:szCs w:val="28"/>
          <w:shd w:val="clear" w:color="auto" w:fill="FFFFFF"/>
        </w:rPr>
        <w:t>Всасывание эмпаглифлозина после однократного приема внутрь происходит быстро, при этом C</w:t>
      </w:r>
      <w:r w:rsidRPr="00421FA2">
        <w:rPr>
          <w:szCs w:val="28"/>
          <w:shd w:val="clear" w:color="auto" w:fill="FFFFFF"/>
          <w:vertAlign w:val="subscript"/>
        </w:rPr>
        <w:t>max</w:t>
      </w:r>
      <w:r>
        <w:rPr>
          <w:szCs w:val="28"/>
          <w:shd w:val="clear" w:color="auto" w:fill="FFFFFF"/>
        </w:rPr>
        <w:t xml:space="preserve"> достигается за (T</w:t>
      </w:r>
      <w:r w:rsidRPr="00421FA2">
        <w:rPr>
          <w:szCs w:val="28"/>
          <w:shd w:val="clear" w:color="auto" w:fill="FFFFFF"/>
          <w:vertAlign w:val="subscript"/>
        </w:rPr>
        <w:t>max</w:t>
      </w:r>
      <w:r>
        <w:rPr>
          <w:szCs w:val="28"/>
          <w:shd w:val="clear" w:color="auto" w:fill="FFFFFF"/>
        </w:rPr>
        <w:t>)</w:t>
      </w:r>
      <w:r w:rsidRPr="00E14858">
        <w:rPr>
          <w:szCs w:val="28"/>
          <w:shd w:val="clear" w:color="auto" w:fill="FFFFFF"/>
        </w:rPr>
        <w:t>:</w:t>
      </w:r>
      <w:r>
        <w:rPr>
          <w:szCs w:val="28"/>
          <w:shd w:val="clear" w:color="auto" w:fill="FFFFFF"/>
        </w:rPr>
        <w:t xml:space="preserve"> 0,33-2, 0,75-1 и 1 ч для мыши, крысы и собаки соответственно.  Э</w:t>
      </w:r>
      <w:r>
        <w:rPr>
          <w:szCs w:val="28"/>
          <w:lang w:eastAsia="ru-RU"/>
        </w:rPr>
        <w:t>мпаглифлозин</w:t>
      </w:r>
      <w:r>
        <w:rPr>
          <w:szCs w:val="28"/>
          <w:shd w:val="clear" w:color="auto" w:fill="FFFFFF"/>
        </w:rPr>
        <w:t xml:space="preserve"> имеет высокую биодоступность при пероральном приеме у мышей (94%) и собак (</w:t>
      </w:r>
      <w:r w:rsidRPr="00E14858">
        <w:rPr>
          <w:szCs w:val="28"/>
          <w:shd w:val="clear" w:color="auto" w:fill="FFFFFF"/>
        </w:rPr>
        <w:t>89%</w:t>
      </w:r>
      <w:r>
        <w:rPr>
          <w:szCs w:val="28"/>
          <w:shd w:val="clear" w:color="auto" w:fill="FFFFFF"/>
        </w:rPr>
        <w:t>), но умеренную у крыс (31%)</w:t>
      </w:r>
      <w:r w:rsidR="006D7E96">
        <w:rPr>
          <w:szCs w:val="28"/>
          <w:shd w:val="clear" w:color="auto" w:fill="FFFFFF"/>
        </w:rPr>
        <w:t xml:space="preserve"> </w:t>
      </w:r>
      <w:r>
        <w:rPr>
          <w:szCs w:val="28"/>
          <w:shd w:val="clear" w:color="auto" w:fill="FFFFFF"/>
        </w:rPr>
        <w:t>[62].</w:t>
      </w:r>
    </w:p>
    <w:p w14:paraId="4C6367BC" w14:textId="77777777" w:rsidR="00D56C8F" w:rsidRDefault="00D56C8F" w:rsidP="00D56C8F">
      <w:pPr>
        <w:spacing w:after="0" w:line="240" w:lineRule="auto"/>
        <w:ind w:firstLine="708"/>
        <w:contextualSpacing/>
        <w:rPr>
          <w:rStyle w:val="jlqj4b"/>
          <w:color w:val="000000"/>
          <w:szCs w:val="28"/>
          <w:highlight w:val="yellow"/>
        </w:rPr>
      </w:pPr>
    </w:p>
    <w:p w14:paraId="79111D74" w14:textId="77777777" w:rsidR="00C035FA" w:rsidRDefault="008D5756" w:rsidP="00D56C8F">
      <w:pPr>
        <w:spacing w:before="240" w:after="240" w:line="240" w:lineRule="auto"/>
        <w:contextualSpacing/>
        <w:outlineLvl w:val="2"/>
        <w:rPr>
          <w:b/>
          <w:color w:val="000000" w:themeColor="text1"/>
        </w:rPr>
      </w:pPr>
      <w:bookmarkStart w:id="90" w:name="_Toc139366853"/>
      <w:r>
        <w:rPr>
          <w:b/>
          <w:color w:val="000000" w:themeColor="text1"/>
        </w:rPr>
        <w:t xml:space="preserve">3.2.2. </w:t>
      </w:r>
      <w:bookmarkEnd w:id="88"/>
      <w:bookmarkEnd w:id="89"/>
      <w:r>
        <w:rPr>
          <w:b/>
          <w:bCs/>
          <w:color w:val="000000" w:themeColor="text1"/>
        </w:rPr>
        <w:t>Распределение</w:t>
      </w:r>
      <w:bookmarkEnd w:id="90"/>
    </w:p>
    <w:p w14:paraId="78C13FE4" w14:textId="77777777" w:rsidR="00D56C8F" w:rsidRDefault="00D56C8F" w:rsidP="00D56C8F">
      <w:pPr>
        <w:spacing w:after="0" w:line="240" w:lineRule="auto"/>
        <w:ind w:firstLine="709"/>
        <w:contextualSpacing/>
        <w:rPr>
          <w:szCs w:val="28"/>
        </w:rPr>
      </w:pPr>
    </w:p>
    <w:p w14:paraId="20A3D910" w14:textId="7FFF1B24" w:rsidR="00C035FA" w:rsidRPr="006D7E96" w:rsidRDefault="008D5756" w:rsidP="00D56C8F">
      <w:pPr>
        <w:spacing w:after="0" w:line="240" w:lineRule="auto"/>
        <w:ind w:firstLine="709"/>
        <w:contextualSpacing/>
        <w:rPr>
          <w:b/>
          <w:szCs w:val="28"/>
        </w:rPr>
      </w:pPr>
      <w:r>
        <w:rPr>
          <w:szCs w:val="28"/>
        </w:rPr>
        <w:t>Сходный объем распределения (Vd) между крысами (0,8 л/кг) и людьми (1,05 л/кг) позволяет предположить, что профиль распределения эмпаглифлозина в тканях у крыс будет сходным у людей</w:t>
      </w:r>
      <w:r w:rsidR="006D7E96" w:rsidRPr="00E14858">
        <w:rPr>
          <w:szCs w:val="28"/>
        </w:rPr>
        <w:t xml:space="preserve"> [62].</w:t>
      </w:r>
    </w:p>
    <w:p w14:paraId="48CB0045" w14:textId="575A661E" w:rsidR="00C035FA" w:rsidRPr="006D7E96" w:rsidRDefault="008D5756">
      <w:pPr>
        <w:spacing w:after="0" w:line="240" w:lineRule="auto"/>
        <w:ind w:firstLine="709"/>
        <w:rPr>
          <w:szCs w:val="28"/>
          <w:shd w:val="clear" w:color="auto" w:fill="FFFFFF"/>
        </w:rPr>
      </w:pPr>
      <w:r>
        <w:rPr>
          <w:szCs w:val="28"/>
          <w:shd w:val="clear" w:color="auto" w:fill="FFFFFF"/>
        </w:rPr>
        <w:t>Обнаружено широкое распределение у мышей, крыс и собак с кажущимся объемом распределения 0,868–1,17, 0,818 и 0,868–1,08 л/кг соответственно после внутривенного введения. Кажущийся объем распределения у человека после перорального приема составил 168–172 л</w:t>
      </w:r>
      <w:r w:rsidR="006D7E96" w:rsidRPr="00E14858">
        <w:rPr>
          <w:szCs w:val="28"/>
          <w:shd w:val="clear" w:color="auto" w:fill="FFFFFF"/>
        </w:rPr>
        <w:t xml:space="preserve"> [</w:t>
      </w:r>
      <w:r w:rsidR="00D56C8F" w:rsidRPr="00D56C8F">
        <w:rPr>
          <w:szCs w:val="28"/>
          <w:shd w:val="clear" w:color="auto" w:fill="FFFFFF"/>
        </w:rPr>
        <w:t>64</w:t>
      </w:r>
      <w:r w:rsidR="006D7E96" w:rsidRPr="00E14858">
        <w:rPr>
          <w:szCs w:val="28"/>
          <w:shd w:val="clear" w:color="auto" w:fill="FFFFFF"/>
        </w:rPr>
        <w:t>].</w:t>
      </w:r>
    </w:p>
    <w:p w14:paraId="6C4F8CBB" w14:textId="59F3914B" w:rsidR="00C035FA" w:rsidRDefault="008D5756">
      <w:pPr>
        <w:spacing w:after="0" w:line="240" w:lineRule="auto"/>
        <w:ind w:firstLine="709"/>
        <w:contextualSpacing/>
        <w:rPr>
          <w:szCs w:val="28"/>
          <w:shd w:val="clear" w:color="auto" w:fill="FFFFFF"/>
        </w:rPr>
      </w:pPr>
      <w:r>
        <w:rPr>
          <w:szCs w:val="28"/>
        </w:rPr>
        <w:t xml:space="preserve">В исследовании на крысах после однократного перорального введения эмпаглифлозин быстро и хорошо распределялся в некоторых тканях, кроме центральной нервной системы (ЦНС). Относительно более высокие уровни концентрации наблюдались в органах, участвующих в процессах всасывания и выведения, таких как желудочно-кишечный тракт, печень и почки, по сравнению с другими органами. Все ткани с измеримыми концентрациями эмпаглифлозина имели максимальные концентрации через 1 час после введения дозы. Ткани, в которых концентрации эмпаглифлозина отсутствовали, включали головной мозг, спинной мозг, кости, костный мозг, глаза, хрусталик глаза, яички и увеальный тракт. Концентрация эмпаглифлозина во всех органах снижалась в течение 24–168 ч, что свидетельствует об отсутствии кумуляции препарата </w:t>
      </w:r>
      <w:r>
        <w:rPr>
          <w:szCs w:val="28"/>
          <w:shd w:val="clear" w:color="auto" w:fill="FFFFFF"/>
        </w:rPr>
        <w:t>[62].</w:t>
      </w:r>
    </w:p>
    <w:p w14:paraId="7019D6D1" w14:textId="77777777" w:rsidR="006D7E96" w:rsidRDefault="006D7E96">
      <w:pPr>
        <w:spacing w:after="0" w:line="240" w:lineRule="auto"/>
        <w:ind w:firstLine="709"/>
        <w:contextualSpacing/>
        <w:rPr>
          <w:b/>
          <w:szCs w:val="28"/>
        </w:rPr>
      </w:pPr>
    </w:p>
    <w:p w14:paraId="42D6E3B6" w14:textId="77777777" w:rsidR="00C035FA" w:rsidRDefault="008D5756">
      <w:pPr>
        <w:spacing w:before="240" w:after="240" w:line="240" w:lineRule="auto"/>
        <w:contextualSpacing/>
        <w:outlineLvl w:val="2"/>
        <w:rPr>
          <w:b/>
          <w:color w:val="000000" w:themeColor="text1"/>
        </w:rPr>
      </w:pPr>
      <w:bookmarkStart w:id="91" w:name="_Toc139366854"/>
      <w:r>
        <w:rPr>
          <w:b/>
          <w:color w:val="000000" w:themeColor="text1"/>
        </w:rPr>
        <w:t xml:space="preserve">3.2.3. </w:t>
      </w:r>
      <w:r>
        <w:rPr>
          <w:b/>
          <w:bCs/>
          <w:color w:val="000000" w:themeColor="text1"/>
        </w:rPr>
        <w:t>Связывание с белками плазмы</w:t>
      </w:r>
      <w:bookmarkEnd w:id="91"/>
    </w:p>
    <w:p w14:paraId="29A0E499" w14:textId="77777777" w:rsidR="00D56C8F" w:rsidRDefault="00D56C8F" w:rsidP="00E14858">
      <w:pPr>
        <w:spacing w:after="0" w:line="240" w:lineRule="auto"/>
        <w:ind w:firstLine="708"/>
        <w:contextualSpacing/>
        <w:rPr>
          <w:i/>
          <w:szCs w:val="28"/>
        </w:rPr>
      </w:pPr>
    </w:p>
    <w:p w14:paraId="6863A10E" w14:textId="107AC7E9" w:rsidR="00C035FA" w:rsidRDefault="008D5756" w:rsidP="00E14858">
      <w:pPr>
        <w:spacing w:after="0" w:line="240" w:lineRule="auto"/>
        <w:ind w:firstLine="708"/>
        <w:contextualSpacing/>
        <w:rPr>
          <w:szCs w:val="28"/>
        </w:rPr>
      </w:pPr>
      <w:r w:rsidRPr="00E14858">
        <w:rPr>
          <w:i/>
          <w:szCs w:val="28"/>
        </w:rPr>
        <w:t>«</w:t>
      </w:r>
      <w:r>
        <w:rPr>
          <w:i/>
          <w:szCs w:val="28"/>
          <w:lang w:val="en-US"/>
        </w:rPr>
        <w:t>I</w:t>
      </w:r>
      <w:r w:rsidRPr="00E14858">
        <w:rPr>
          <w:i/>
          <w:szCs w:val="28"/>
        </w:rPr>
        <w:t>n vitro»</w:t>
      </w:r>
      <w:r>
        <w:rPr>
          <w:szCs w:val="28"/>
        </w:rPr>
        <w:t xml:space="preserve"> связывание </w:t>
      </w:r>
      <w:r>
        <w:t>[</w:t>
      </w:r>
      <w:r w:rsidRPr="00E14858">
        <w:rPr>
          <w:vertAlign w:val="superscript"/>
        </w:rPr>
        <w:t>14</w:t>
      </w:r>
      <w:r>
        <w:t>C]</w:t>
      </w:r>
      <w:r w:rsidR="00865E8E">
        <w:t>-</w:t>
      </w:r>
      <w:r>
        <w:rPr>
          <w:szCs w:val="28"/>
        </w:rPr>
        <w:t>эмпаглифлозина с белками плазмы крови 4% человеческого сывороточного альбумина (HSA) или 0,07% α1-кислого гликопротеина (AAG) оценивали с помощью равновесного диализа объединенной плазмы мыши (CD-1), крысы (Wistar), собаки или человека.</w:t>
      </w:r>
    </w:p>
    <w:p w14:paraId="5126928B" w14:textId="77777777" w:rsidR="00C035FA" w:rsidRDefault="008D5756">
      <w:pPr>
        <w:spacing w:after="0" w:line="240" w:lineRule="auto"/>
        <w:ind w:firstLine="720"/>
        <w:contextualSpacing/>
        <w:rPr>
          <w:szCs w:val="28"/>
        </w:rPr>
      </w:pPr>
      <w:r>
        <w:rPr>
          <w:szCs w:val="28"/>
        </w:rPr>
        <w:t>Среднее связывание с белками плазмы было сходным у мыши (88%), крысы (91%) и собаки (89%) и несколько ниже в плазме крови человека (84%)</w:t>
      </w:r>
      <w:r w:rsidRPr="00E14858">
        <w:rPr>
          <w:szCs w:val="28"/>
        </w:rPr>
        <w:t>.</w:t>
      </w:r>
    </w:p>
    <w:p w14:paraId="138A8072" w14:textId="5C77BD00" w:rsidR="00C035FA" w:rsidRDefault="008D5756" w:rsidP="00865E8E">
      <w:pPr>
        <w:spacing w:after="0" w:line="240" w:lineRule="auto"/>
        <w:ind w:firstLine="720"/>
        <w:contextualSpacing/>
        <w:rPr>
          <w:szCs w:val="28"/>
          <w:shd w:val="clear" w:color="auto" w:fill="FFFFFF"/>
        </w:rPr>
      </w:pPr>
      <w:r w:rsidRPr="00E14858">
        <w:rPr>
          <w:szCs w:val="28"/>
        </w:rPr>
        <w:t xml:space="preserve">Степень разделения клеток крови определяли у крысы, собаки и человека </w:t>
      </w:r>
      <w:r>
        <w:rPr>
          <w:szCs w:val="28"/>
          <w:lang w:val="en-US"/>
        </w:rPr>
        <w:t>c</w:t>
      </w:r>
      <w:r w:rsidRPr="00E14858">
        <w:rPr>
          <w:szCs w:val="28"/>
        </w:rPr>
        <w:t xml:space="preserve"> [</w:t>
      </w:r>
      <w:r w:rsidRPr="00E14858">
        <w:rPr>
          <w:szCs w:val="28"/>
          <w:vertAlign w:val="superscript"/>
        </w:rPr>
        <w:t>14</w:t>
      </w:r>
      <w:r>
        <w:rPr>
          <w:szCs w:val="28"/>
          <w:lang w:val="en-US"/>
        </w:rPr>
        <w:t>C</w:t>
      </w:r>
      <w:r w:rsidRPr="00E14858">
        <w:rPr>
          <w:szCs w:val="28"/>
        </w:rPr>
        <w:t>] эмпаглифлозин</w:t>
      </w:r>
      <w:r>
        <w:rPr>
          <w:szCs w:val="28"/>
        </w:rPr>
        <w:t>ом</w:t>
      </w:r>
      <w:r w:rsidRPr="00E14858">
        <w:rPr>
          <w:szCs w:val="28"/>
        </w:rPr>
        <w:t xml:space="preserve"> в дозе 0,3; 1 или 10 мг/экв/мл. Разделение на клетки крови было умеренным со средней концентрацией в клетках крови (</w:t>
      </w:r>
      <w:proofErr w:type="spellStart"/>
      <w:r>
        <w:rPr>
          <w:szCs w:val="28"/>
          <w:lang w:val="en-US"/>
        </w:rPr>
        <w:t>Cbc</w:t>
      </w:r>
      <w:proofErr w:type="spellEnd"/>
      <w:r w:rsidRPr="00E14858">
        <w:rPr>
          <w:szCs w:val="28"/>
        </w:rPr>
        <w:t>) по отношению к концентрации в плазме (</w:t>
      </w:r>
      <w:r>
        <w:rPr>
          <w:szCs w:val="28"/>
          <w:lang w:val="en-US"/>
        </w:rPr>
        <w:t>Cp</w:t>
      </w:r>
      <w:r w:rsidRPr="00E14858">
        <w:rPr>
          <w:szCs w:val="28"/>
        </w:rPr>
        <w:t>) соотношения (</w:t>
      </w:r>
      <w:proofErr w:type="spellStart"/>
      <w:r>
        <w:rPr>
          <w:szCs w:val="28"/>
          <w:lang w:val="en-US"/>
        </w:rPr>
        <w:t>Cbc</w:t>
      </w:r>
      <w:proofErr w:type="spellEnd"/>
      <w:r w:rsidRPr="00E14858">
        <w:rPr>
          <w:szCs w:val="28"/>
        </w:rPr>
        <w:t>/</w:t>
      </w:r>
      <w:r>
        <w:rPr>
          <w:szCs w:val="28"/>
          <w:lang w:val="en-US"/>
        </w:rPr>
        <w:t>Cp</w:t>
      </w:r>
      <w:r w:rsidRPr="00E14858">
        <w:rPr>
          <w:szCs w:val="28"/>
        </w:rPr>
        <w:t>) 0,296, 0,253 и 0,301 в крови крысы, собаки и человека</w:t>
      </w:r>
      <w:r>
        <w:rPr>
          <w:szCs w:val="28"/>
        </w:rPr>
        <w:t xml:space="preserve"> </w:t>
      </w:r>
      <w:r>
        <w:rPr>
          <w:szCs w:val="28"/>
          <w:shd w:val="clear" w:color="auto" w:fill="FFFFFF"/>
        </w:rPr>
        <w:t>[62].</w:t>
      </w:r>
    </w:p>
    <w:p w14:paraId="1C949ED1" w14:textId="77777777" w:rsidR="00C035FA" w:rsidRDefault="008D5756">
      <w:pPr>
        <w:spacing w:before="240" w:after="240" w:line="240" w:lineRule="auto"/>
        <w:outlineLvl w:val="2"/>
        <w:rPr>
          <w:b/>
          <w:bCs/>
          <w:color w:val="000000" w:themeColor="text1"/>
        </w:rPr>
      </w:pPr>
      <w:bookmarkStart w:id="92" w:name="_Toc139366855"/>
      <w:r>
        <w:rPr>
          <w:b/>
          <w:color w:val="000000" w:themeColor="text1"/>
        </w:rPr>
        <w:t xml:space="preserve">3.2.4. </w:t>
      </w:r>
      <w:r>
        <w:rPr>
          <w:b/>
          <w:bCs/>
          <w:color w:val="000000" w:themeColor="text1"/>
        </w:rPr>
        <w:t>Метаболизм</w:t>
      </w:r>
      <w:bookmarkEnd w:id="92"/>
    </w:p>
    <w:p w14:paraId="14A97C00" w14:textId="6C55A0C2" w:rsidR="00865E8E" w:rsidRDefault="00E87E13" w:rsidP="00B47330">
      <w:pPr>
        <w:spacing w:after="0" w:line="240" w:lineRule="auto"/>
        <w:ind w:firstLine="709"/>
        <w:rPr>
          <w:szCs w:val="28"/>
        </w:rPr>
      </w:pPr>
      <w:r>
        <w:rPr>
          <w:szCs w:val="28"/>
        </w:rPr>
        <w:t xml:space="preserve">Метаболизм эмпаглифлозина у человека и у животных имеет общие черты, подробная схема метаболизма представлена на рисунке </w:t>
      </w:r>
      <w:r w:rsidR="0051188B">
        <w:rPr>
          <w:szCs w:val="28"/>
        </w:rPr>
        <w:t>3-</w:t>
      </w:r>
      <w:r>
        <w:rPr>
          <w:szCs w:val="28"/>
        </w:rPr>
        <w:t>1.</w:t>
      </w:r>
      <w:r w:rsidR="00865E8E">
        <w:rPr>
          <w:szCs w:val="28"/>
        </w:rPr>
        <w:br w:type="page"/>
      </w:r>
    </w:p>
    <w:p w14:paraId="59C8F40F" w14:textId="67618453" w:rsidR="00D56C8F" w:rsidRDefault="00D56C8F" w:rsidP="00D56C8F">
      <w:pPr>
        <w:spacing w:after="0" w:line="240" w:lineRule="auto"/>
        <w:rPr>
          <w:szCs w:val="28"/>
        </w:rPr>
      </w:pPr>
      <w:r w:rsidRPr="00D56C8F">
        <w:rPr>
          <w:b/>
          <w:bCs/>
          <w:szCs w:val="28"/>
        </w:rPr>
        <w:lastRenderedPageBreak/>
        <w:t xml:space="preserve">Рисунок </w:t>
      </w:r>
      <w:r w:rsidR="0051188B">
        <w:rPr>
          <w:b/>
          <w:bCs/>
          <w:szCs w:val="28"/>
        </w:rPr>
        <w:t>3-</w:t>
      </w:r>
      <w:r w:rsidRPr="00D56C8F">
        <w:rPr>
          <w:b/>
          <w:bCs/>
          <w:szCs w:val="28"/>
        </w:rPr>
        <w:t>1.</w:t>
      </w:r>
      <w:r>
        <w:rPr>
          <w:szCs w:val="28"/>
        </w:rPr>
        <w:t xml:space="preserve"> Эмпаглифлозин и его метаболиты* идентифицированные в многовидовых гепатоцитах и образцах плазмы крови человека.</w:t>
      </w:r>
    </w:p>
    <w:p w14:paraId="2E1206D3" w14:textId="77777777" w:rsidR="00D56C8F" w:rsidRDefault="00D56C8F">
      <w:pPr>
        <w:spacing w:after="0" w:line="240" w:lineRule="auto"/>
        <w:ind w:firstLine="709"/>
        <w:rPr>
          <w:szCs w:val="28"/>
        </w:rPr>
      </w:pPr>
    </w:p>
    <w:p w14:paraId="7BACF0BB" w14:textId="6A24B529" w:rsidR="00C035FA" w:rsidRDefault="008D5756">
      <w:pPr>
        <w:spacing w:after="0" w:line="240" w:lineRule="auto"/>
        <w:ind w:firstLine="709"/>
        <w:jc w:val="center"/>
        <w:rPr>
          <w:szCs w:val="28"/>
        </w:rPr>
      </w:pPr>
      <w:r>
        <w:rPr>
          <w:noProof/>
          <w:szCs w:val="28"/>
          <w:lang w:eastAsia="ru-RU"/>
        </w:rPr>
        <w:drawing>
          <wp:inline distT="0" distB="0" distL="0" distR="0" wp14:anchorId="566E1523" wp14:editId="1781A197">
            <wp:extent cx="5490342" cy="61944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30368" cy="6239600"/>
                    </a:xfrm>
                    <a:prstGeom prst="rect">
                      <a:avLst/>
                    </a:prstGeom>
                    <a:noFill/>
                    <a:ln>
                      <a:noFill/>
                    </a:ln>
                  </pic:spPr>
                </pic:pic>
              </a:graphicData>
            </a:graphic>
          </wp:inline>
        </w:drawing>
      </w:r>
    </w:p>
    <w:p w14:paraId="7C5F034F" w14:textId="3385B7D4" w:rsidR="001E7F44" w:rsidRPr="00865E8E" w:rsidRDefault="00D56C8F" w:rsidP="006D7E96">
      <w:pPr>
        <w:spacing w:after="0" w:line="240" w:lineRule="auto"/>
        <w:rPr>
          <w:b/>
          <w:sz w:val="20"/>
          <w:szCs w:val="20"/>
        </w:rPr>
      </w:pPr>
      <w:r w:rsidRPr="00865E8E">
        <w:rPr>
          <w:b/>
          <w:sz w:val="20"/>
          <w:szCs w:val="20"/>
        </w:rPr>
        <w:t>Примечание:</w:t>
      </w:r>
    </w:p>
    <w:p w14:paraId="33F1252F" w14:textId="2256CEFF" w:rsidR="006D7E96" w:rsidRPr="00D56C8F" w:rsidRDefault="006D7E96" w:rsidP="00E14858">
      <w:pPr>
        <w:tabs>
          <w:tab w:val="left" w:pos="720"/>
        </w:tabs>
        <w:spacing w:after="0" w:line="240" w:lineRule="auto"/>
        <w:rPr>
          <w:sz w:val="20"/>
          <w:szCs w:val="20"/>
        </w:rPr>
      </w:pPr>
      <w:r w:rsidRPr="00D56C8F">
        <w:rPr>
          <w:sz w:val="20"/>
          <w:szCs w:val="20"/>
        </w:rPr>
        <w:t>* - метаболиты человека</w:t>
      </w:r>
      <w:r w:rsidR="00A21117" w:rsidRPr="00D56C8F">
        <w:rPr>
          <w:sz w:val="20"/>
          <w:szCs w:val="20"/>
        </w:rPr>
        <w:t xml:space="preserve"> на схеме</w:t>
      </w:r>
      <w:r w:rsidRPr="00D56C8F">
        <w:rPr>
          <w:sz w:val="20"/>
          <w:szCs w:val="20"/>
        </w:rPr>
        <w:t xml:space="preserve"> обведены</w:t>
      </w:r>
    </w:p>
    <w:p w14:paraId="0F8CE834" w14:textId="5833BE98" w:rsidR="001E7F44" w:rsidRDefault="001E7F44" w:rsidP="00865E8E">
      <w:pPr>
        <w:spacing w:after="0" w:line="240" w:lineRule="auto"/>
        <w:rPr>
          <w:szCs w:val="28"/>
        </w:rPr>
      </w:pPr>
    </w:p>
    <w:p w14:paraId="66ECD903" w14:textId="3C8A3437" w:rsidR="00C035FA" w:rsidRPr="00E14858" w:rsidRDefault="00E87E13">
      <w:pPr>
        <w:spacing w:after="0" w:line="240" w:lineRule="auto"/>
        <w:ind w:firstLine="709"/>
        <w:rPr>
          <w:szCs w:val="28"/>
        </w:rPr>
      </w:pPr>
      <w:r>
        <w:rPr>
          <w:szCs w:val="28"/>
        </w:rPr>
        <w:t>П</w:t>
      </w:r>
      <w:r w:rsidR="008D5756">
        <w:rPr>
          <w:szCs w:val="28"/>
        </w:rPr>
        <w:t>осле перорального введения интактный эмпаглифлозин был преобладающим компонентом в плазме у мышей (36-87%), крыс (63-86%) и собак (69-87%). У добровольцев однократное переральное введение [</w:t>
      </w:r>
      <w:r w:rsidR="008D5756" w:rsidRPr="00D56C8F">
        <w:rPr>
          <w:szCs w:val="28"/>
          <w:vertAlign w:val="superscript"/>
        </w:rPr>
        <w:t>14</w:t>
      </w:r>
      <w:r w:rsidR="008D5756">
        <w:rPr>
          <w:szCs w:val="28"/>
        </w:rPr>
        <w:t>C]</w:t>
      </w:r>
      <w:r w:rsidR="001654B0">
        <w:rPr>
          <w:szCs w:val="28"/>
        </w:rPr>
        <w:t>-</w:t>
      </w:r>
      <w:r w:rsidR="008D5756">
        <w:rPr>
          <w:szCs w:val="28"/>
        </w:rPr>
        <w:t xml:space="preserve">эмпаглифлозина в дозе 50 мг показало, что большая часть эмпаглифлозина в плазме является неизмененным исходным веществом (около 76%). Анализ плазмы в этом исследовании человека показал, что наиболее распространенными метаболитами плазмы были три глюкуронида эмпаглифлозина (M626/1 (CD00006135), M626/2 (CD00006134) и M626/3 (CD00006136)), представляющие </w:t>
      </w:r>
      <w:r w:rsidR="008D5756">
        <w:rPr>
          <w:szCs w:val="28"/>
        </w:rPr>
        <w:lastRenderedPageBreak/>
        <w:t>3,3-7,4% радиоактивности плазмы. Напротив, основным метаболитом в плазме мыши (10-65%), крысы (6-29%) и собаки (2-17%) является окислительный метаболит М482/1. Кроме того, у людей отсутствуют основные циркулирующие метаболиты в концентрации &gt;10%, и все метаболиты человека обнаруживаются у доклинических видов.</w:t>
      </w:r>
    </w:p>
    <w:p w14:paraId="7BC615A3" w14:textId="37263AD1" w:rsidR="00C035FA" w:rsidRPr="001654B0" w:rsidRDefault="008D5756" w:rsidP="001654B0">
      <w:pPr>
        <w:spacing w:after="0" w:line="240" w:lineRule="auto"/>
        <w:ind w:firstLine="720"/>
        <w:rPr>
          <w:szCs w:val="28"/>
          <w:shd w:val="clear" w:color="auto" w:fill="FFFFFF"/>
        </w:rPr>
      </w:pPr>
      <w:r>
        <w:rPr>
          <w:szCs w:val="28"/>
          <w:shd w:val="clear" w:color="auto" w:fill="FFFFFF"/>
        </w:rPr>
        <w:t>Эмпаглифлозин умеренно метаболизируется в микросомах и гепатоцитах печени крыс и собак, но незначительно в микросомах и гепатоцитах печени человека. В целом исходный препарат представляет собой наиболее распространенный компонент, а метаболиты глюкуронидов (эмпаглифлозин-2-О-, 3-О- и 6-О-глюкуронид) являются наиболее распространенными метаболитами в плазме человека (3-7%). Окислительный метаболизм преобладает у доклинических видов, при этом до 31%, 20% и 17% окислительного метаболизма приходится на мышей, крыс и собак соответственно [62]. Рекомбинантные изоформы UGT, ответственные за образование глюкуронидов эмпаглифлозина, представляли собой UGT1A3, 1A8, 1A9 и 2B7 [62].</w:t>
      </w:r>
    </w:p>
    <w:p w14:paraId="793911C9" w14:textId="77777777" w:rsidR="00C035FA" w:rsidRDefault="008D5756">
      <w:pPr>
        <w:spacing w:before="240" w:after="240" w:line="240" w:lineRule="auto"/>
        <w:outlineLvl w:val="2"/>
        <w:rPr>
          <w:b/>
          <w:color w:val="000000" w:themeColor="text1"/>
        </w:rPr>
      </w:pPr>
      <w:bookmarkStart w:id="93" w:name="_Toc139366856"/>
      <w:r>
        <w:rPr>
          <w:b/>
          <w:color w:val="000000" w:themeColor="text1"/>
        </w:rPr>
        <w:t xml:space="preserve">3.2.5. </w:t>
      </w:r>
      <w:r>
        <w:rPr>
          <w:b/>
          <w:bCs/>
          <w:color w:val="000000" w:themeColor="text1"/>
        </w:rPr>
        <w:t>Выведение</w:t>
      </w:r>
      <w:bookmarkEnd w:id="93"/>
    </w:p>
    <w:p w14:paraId="1D6C4ABA" w14:textId="18695F83" w:rsidR="00C035FA" w:rsidRDefault="008D5756">
      <w:pPr>
        <w:spacing w:after="0" w:line="240" w:lineRule="auto"/>
        <w:ind w:firstLine="709"/>
        <w:rPr>
          <w:szCs w:val="28"/>
          <w:shd w:val="clear" w:color="auto" w:fill="FFFFFF"/>
        </w:rPr>
      </w:pPr>
      <w:r>
        <w:rPr>
          <w:szCs w:val="28"/>
          <w:shd w:val="clear" w:color="auto" w:fill="FFFFFF"/>
        </w:rPr>
        <w:t xml:space="preserve">После перорального приема эмпаглифлозина период полувыведения у людей (8,57–13,1 ч) был более длительным, чем у мышей (4,31–5,59 ч), крыс (6,32 ч) и собак (3,6–5,16 ч), </w:t>
      </w:r>
      <w:r>
        <w:rPr>
          <w:szCs w:val="28"/>
        </w:rPr>
        <w:t>что свидетельствует о разной скорости почечной элиминации. Поскольку концентрация эмпаглифлозина в плазме качественно аналогична концентрации в крови, клиренс из крови будет приблизительно равен клиренсу из плазмы.</w:t>
      </w:r>
      <w:r>
        <w:rPr>
          <w:b/>
          <w:szCs w:val="28"/>
        </w:rPr>
        <w:t xml:space="preserve"> </w:t>
      </w:r>
      <w:r>
        <w:rPr>
          <w:szCs w:val="28"/>
          <w:shd w:val="clear" w:color="auto" w:fill="FFFFFF"/>
        </w:rPr>
        <w:t xml:space="preserve">Отмечается умеренный клиренс у крыс (14,8 мл/мин/кг) и мышей (33,0–40,1 мл/мин/кг), но низкий у собак (1,65–1,76 мл/мин/кг) по сравнению с кровотоком в печени </w:t>
      </w:r>
      <w:r w:rsidR="001654B0">
        <w:rPr>
          <w:szCs w:val="28"/>
          <w:shd w:val="clear" w:color="auto" w:fill="FFFFFF"/>
        </w:rPr>
        <w:t>после внутривенного введения</w:t>
      </w:r>
      <w:r>
        <w:rPr>
          <w:szCs w:val="28"/>
          <w:shd w:val="clear" w:color="auto" w:fill="FFFFFF"/>
        </w:rPr>
        <w:t xml:space="preserve"> [62].</w:t>
      </w:r>
    </w:p>
    <w:p w14:paraId="5E7B7B0A" w14:textId="539F8A15" w:rsidR="00C035FA" w:rsidRDefault="008D5756">
      <w:pPr>
        <w:spacing w:after="0" w:line="240" w:lineRule="auto"/>
        <w:ind w:firstLine="709"/>
        <w:rPr>
          <w:b/>
          <w:szCs w:val="28"/>
        </w:rPr>
      </w:pPr>
      <w:r>
        <w:rPr>
          <w:szCs w:val="28"/>
        </w:rPr>
        <w:t>Разница в межвидовом метаболизме, имеющая потенциальное значение, заключается в том, что окислительный метаболизм эмпаглифлозина преобладает у грызунов и собак, но незначителен у людей. Окислительный путь у всех видов включает продукцию промежуточного альдегида, который был идентифицирован как M466/2 у мышей, но не был идентифицирован у других видов.</w:t>
      </w:r>
    </w:p>
    <w:p w14:paraId="422C14AF" w14:textId="2A811E79" w:rsidR="00C035FA" w:rsidRDefault="008D5756">
      <w:pPr>
        <w:spacing w:after="0" w:line="240" w:lineRule="auto"/>
        <w:ind w:firstLine="709"/>
        <w:rPr>
          <w:b/>
          <w:szCs w:val="28"/>
        </w:rPr>
      </w:pPr>
      <w:r>
        <w:rPr>
          <w:szCs w:val="28"/>
        </w:rPr>
        <w:t xml:space="preserve">Исследования </w:t>
      </w:r>
      <w:r>
        <w:rPr>
          <w:i/>
          <w:iCs/>
          <w:szCs w:val="28"/>
        </w:rPr>
        <w:t xml:space="preserve">in vitro </w:t>
      </w:r>
      <w:r>
        <w:rPr>
          <w:szCs w:val="28"/>
        </w:rPr>
        <w:t>с использованием микросом или гепатоцитов доклинических видов и/или человека показали, что эмпаглифлозин метаболизируется в минимальной степени и не индуцирует активность цитохрома P450 или сильно ингибирует активность UGT.</w:t>
      </w:r>
    </w:p>
    <w:p w14:paraId="3022668D" w14:textId="3ED41AD5" w:rsidR="00C035FA" w:rsidRDefault="008D5756">
      <w:pPr>
        <w:spacing w:after="0" w:line="240" w:lineRule="auto"/>
        <w:ind w:firstLine="709"/>
        <w:rPr>
          <w:b/>
          <w:szCs w:val="28"/>
        </w:rPr>
      </w:pPr>
      <w:r>
        <w:rPr>
          <w:szCs w:val="28"/>
        </w:rPr>
        <w:t>Экскреция однократной пероральной дозы [</w:t>
      </w:r>
      <w:r>
        <w:rPr>
          <w:szCs w:val="28"/>
          <w:vertAlign w:val="superscript"/>
        </w:rPr>
        <w:t>14</w:t>
      </w:r>
      <w:r>
        <w:rPr>
          <w:szCs w:val="28"/>
        </w:rPr>
        <w:t>C]-эмпаглифлозина была обнаружена как активность, связанная с лекарственным средством, и обнаруживалась преимущественно в фекалиях доклинических видов (61–82%), а затем в моче (4–30%). Эмпаглифлозин был основным компонентом фекалий у тестируемых видов, за исключением собак. Аналогичные результаты были получены у людей-добровольцев, где однократная пероральная доза [</w:t>
      </w:r>
      <w:r>
        <w:rPr>
          <w:szCs w:val="28"/>
          <w:vertAlign w:val="superscript"/>
        </w:rPr>
        <w:t>14</w:t>
      </w:r>
      <w:r>
        <w:rPr>
          <w:szCs w:val="28"/>
        </w:rPr>
        <w:t>C]-эмпаглифлозина (50 мг) показала, что 54% и 41% дозы выводятся с мочой и фекалиями соответственно. Неизмененный эмпаглифлозин также составлял 83% и 44% фекальной и мочевой радиоактивности соответственно.</w:t>
      </w:r>
    </w:p>
    <w:p w14:paraId="32C4F50F" w14:textId="73119CD7" w:rsidR="00C035FA" w:rsidRDefault="008D5756">
      <w:pPr>
        <w:spacing w:after="0" w:line="240" w:lineRule="auto"/>
        <w:ind w:firstLine="709"/>
        <w:rPr>
          <w:szCs w:val="28"/>
          <w:lang w:eastAsia="ru-RU"/>
        </w:rPr>
      </w:pPr>
      <w:r>
        <w:rPr>
          <w:szCs w:val="28"/>
          <w:lang w:eastAsia="ru-RU"/>
        </w:rPr>
        <w:t xml:space="preserve">Проведено исследование оценки фармакокинетики </w:t>
      </w:r>
      <w:r>
        <w:rPr>
          <w:i/>
          <w:iCs/>
          <w:szCs w:val="28"/>
          <w:lang w:eastAsia="ru-RU"/>
        </w:rPr>
        <w:t>in vivo</w:t>
      </w:r>
      <w:r>
        <w:rPr>
          <w:szCs w:val="28"/>
          <w:lang w:eastAsia="ru-RU"/>
        </w:rPr>
        <w:t xml:space="preserve"> у собак породы бигль с нормогликемией и у собак и крыс с сахарным диабетом Zucker (ZDF) [4</w:t>
      </w:r>
      <w:r w:rsidR="00D56C8F">
        <w:rPr>
          <w:szCs w:val="28"/>
          <w:lang w:eastAsia="ru-RU"/>
        </w:rPr>
        <w:t>5</w:t>
      </w:r>
      <w:r>
        <w:rPr>
          <w:szCs w:val="28"/>
          <w:lang w:eastAsia="ru-RU"/>
        </w:rPr>
        <w:t>].</w:t>
      </w:r>
    </w:p>
    <w:p w14:paraId="48F9FF04" w14:textId="0516CF57" w:rsidR="00C035FA" w:rsidRDefault="008D5756">
      <w:pPr>
        <w:spacing w:after="0" w:line="240" w:lineRule="auto"/>
        <w:ind w:firstLine="709"/>
        <w:rPr>
          <w:szCs w:val="28"/>
          <w:lang w:eastAsia="ru-RU"/>
        </w:rPr>
      </w:pPr>
      <w:r>
        <w:rPr>
          <w:szCs w:val="28"/>
          <w:lang w:eastAsia="ru-RU"/>
        </w:rPr>
        <w:t>Согласно данным проведенного исследование эмпаглифлозин имеет IC</w:t>
      </w:r>
      <w:r>
        <w:rPr>
          <w:szCs w:val="28"/>
          <w:vertAlign w:val="subscript"/>
          <w:lang w:eastAsia="ru-RU"/>
        </w:rPr>
        <w:t>50</w:t>
      </w:r>
      <w:r>
        <w:rPr>
          <w:szCs w:val="28"/>
          <w:lang w:eastAsia="ru-RU"/>
        </w:rPr>
        <w:t xml:space="preserve"> 3,1 нм</w:t>
      </w:r>
      <w:r w:rsidR="00814CEC">
        <w:rPr>
          <w:szCs w:val="28"/>
          <w:lang w:eastAsia="ru-RU"/>
        </w:rPr>
        <w:t>оль</w:t>
      </w:r>
      <w:r>
        <w:rPr>
          <w:szCs w:val="28"/>
          <w:lang w:eastAsia="ru-RU"/>
        </w:rPr>
        <w:t xml:space="preserve"> для hSGLT-2. Его связывание с SGLT-2 конкурирует с глюкозой (период полувыведения примерно 1 час). По сравнению с другими ингибиторами SGLT-2 эмпаглифлозин обладает высокой степенью селективности по сравнению с SGLT-1, 4, 5 и 6. Фармакокинетика эмпаглифлозина у крыс ZDF характеризовалась умеренным общим плазменным клиренсом </w:t>
      </w:r>
      <w:r>
        <w:rPr>
          <w:szCs w:val="28"/>
          <w:lang w:eastAsia="ru-RU"/>
        </w:rPr>
        <w:lastRenderedPageBreak/>
        <w:t xml:space="preserve">(CL) и биодоступностью (ВА), в то время как у собак породы бигль плазменный клиренс была низким, а ВА </w:t>
      </w:r>
      <w:r w:rsidRPr="00C649F4">
        <w:rPr>
          <w:szCs w:val="28"/>
          <w:lang w:eastAsia="ru-RU"/>
        </w:rPr>
        <w:t xml:space="preserve">высокой (табл. </w:t>
      </w:r>
      <w:r w:rsidR="00E87E13" w:rsidRPr="00C649F4">
        <w:rPr>
          <w:szCs w:val="28"/>
          <w:lang w:eastAsia="ru-RU"/>
        </w:rPr>
        <w:t>3-</w:t>
      </w:r>
      <w:r w:rsidRPr="00C649F4">
        <w:rPr>
          <w:szCs w:val="28"/>
          <w:lang w:eastAsia="ru-RU"/>
        </w:rPr>
        <w:t>1).</w:t>
      </w:r>
    </w:p>
    <w:p w14:paraId="39B909A1" w14:textId="5A136CB0" w:rsidR="00C035FA" w:rsidRDefault="008D5756" w:rsidP="00D56C8F">
      <w:pPr>
        <w:spacing w:after="0" w:line="240" w:lineRule="auto"/>
        <w:ind w:firstLine="709"/>
        <w:contextualSpacing/>
        <w:rPr>
          <w:szCs w:val="28"/>
          <w:lang w:eastAsia="ru-RU"/>
        </w:rPr>
      </w:pPr>
      <w:r>
        <w:rPr>
          <w:szCs w:val="28"/>
          <w:lang w:eastAsia="ru-RU"/>
        </w:rPr>
        <w:t>Согласно фармакокинетическому анализу достигнута высокая экспозиция эмпаглифлозина у собак с концентрацией в плазме более чем в 100 раз выше IC</w:t>
      </w:r>
      <w:r>
        <w:rPr>
          <w:szCs w:val="28"/>
          <w:vertAlign w:val="subscript"/>
          <w:lang w:eastAsia="ru-RU"/>
        </w:rPr>
        <w:t>50</w:t>
      </w:r>
      <w:r>
        <w:rPr>
          <w:szCs w:val="28"/>
          <w:lang w:eastAsia="ru-RU"/>
        </w:rPr>
        <w:t>, измеренной через 24 часа после введения 5 мг/кг эмпаглифлозина. Несмотря на умеренные CL и BA эмпаглифлозина у крыс также была достигнута приемлемая экспозиция. Так, у собак породы бигль и крыс ZDF в плазме могут быть достигнуты концентрации значительно выше IC</w:t>
      </w:r>
      <w:r>
        <w:rPr>
          <w:szCs w:val="28"/>
          <w:vertAlign w:val="subscript"/>
          <w:lang w:eastAsia="ru-RU"/>
        </w:rPr>
        <w:t xml:space="preserve">50 </w:t>
      </w:r>
      <w:r>
        <w:rPr>
          <w:szCs w:val="28"/>
          <w:lang w:eastAsia="ru-RU"/>
        </w:rPr>
        <w:t>в отношении SGLT-2 при применении низких доз эмпаглифлозина перорально [4</w:t>
      </w:r>
      <w:r w:rsidR="00D56C8F">
        <w:rPr>
          <w:szCs w:val="28"/>
          <w:lang w:eastAsia="ru-RU"/>
        </w:rPr>
        <w:t>5</w:t>
      </w:r>
      <w:r>
        <w:rPr>
          <w:szCs w:val="28"/>
          <w:lang w:eastAsia="ru-RU"/>
        </w:rPr>
        <w:t>].</w:t>
      </w:r>
    </w:p>
    <w:p w14:paraId="0AB342C7" w14:textId="77777777" w:rsidR="00C035FA" w:rsidRDefault="00C035FA" w:rsidP="00D56C8F">
      <w:pPr>
        <w:spacing w:line="240" w:lineRule="auto"/>
        <w:contextualSpacing/>
        <w:rPr>
          <w:sz w:val="28"/>
          <w:szCs w:val="28"/>
          <w:lang w:eastAsia="ru-RU"/>
        </w:rPr>
      </w:pPr>
    </w:p>
    <w:p w14:paraId="1A15853E" w14:textId="77777777" w:rsidR="00C035FA" w:rsidRDefault="008D5756" w:rsidP="00D56C8F">
      <w:pPr>
        <w:spacing w:after="0" w:line="240" w:lineRule="auto"/>
        <w:contextualSpacing/>
        <w:rPr>
          <w:szCs w:val="28"/>
          <w:lang w:eastAsia="ru-RU"/>
        </w:rPr>
      </w:pPr>
      <w:r>
        <w:rPr>
          <w:b/>
          <w:szCs w:val="28"/>
          <w:lang w:eastAsia="ru-RU"/>
        </w:rPr>
        <w:t>Таблица 3-1.</w:t>
      </w:r>
      <w:r>
        <w:rPr>
          <w:szCs w:val="28"/>
          <w:lang w:eastAsia="ru-RU"/>
        </w:rPr>
        <w:t xml:space="preserve"> Фармакокинетические параметры после однократного внутривенного или перорального введения эмпаглифлозина крысам ZDF и гончим собакам.</w:t>
      </w:r>
    </w:p>
    <w:tbl>
      <w:tblPr>
        <w:tblStyle w:val="TableGrid"/>
        <w:tblW w:w="5000" w:type="pct"/>
        <w:tblLook w:val="04A0" w:firstRow="1" w:lastRow="0" w:firstColumn="1" w:lastColumn="0" w:noHBand="0" w:noVBand="1"/>
      </w:tblPr>
      <w:tblGrid>
        <w:gridCol w:w="3532"/>
        <w:gridCol w:w="2852"/>
        <w:gridCol w:w="2960"/>
      </w:tblGrid>
      <w:tr w:rsidR="00C035FA" w14:paraId="49474B77" w14:textId="77777777" w:rsidTr="00B47330">
        <w:trPr>
          <w:trHeight w:val="545"/>
          <w:tblHeader/>
        </w:trPr>
        <w:tc>
          <w:tcPr>
            <w:tcW w:w="3532" w:type="dxa"/>
            <w:shd w:val="clear" w:color="auto" w:fill="D9D9D9" w:themeFill="background1" w:themeFillShade="D9"/>
            <w:vAlign w:val="center"/>
          </w:tcPr>
          <w:p w14:paraId="46A550CC" w14:textId="77777777" w:rsidR="00C035FA" w:rsidRDefault="008D5756" w:rsidP="00B47330">
            <w:pPr>
              <w:spacing w:after="0" w:line="240" w:lineRule="auto"/>
              <w:contextualSpacing/>
              <w:jc w:val="center"/>
              <w:rPr>
                <w:rFonts w:eastAsia="Times New Roman"/>
                <w:b/>
                <w:szCs w:val="28"/>
                <w:lang w:eastAsia="ru-RU"/>
              </w:rPr>
            </w:pPr>
            <w:r>
              <w:rPr>
                <w:rFonts w:eastAsia="Times New Roman"/>
                <w:b/>
                <w:szCs w:val="28"/>
                <w:lang w:eastAsia="ru-RU"/>
              </w:rPr>
              <w:t>Параметры</w:t>
            </w:r>
          </w:p>
        </w:tc>
        <w:tc>
          <w:tcPr>
            <w:tcW w:w="2852" w:type="dxa"/>
            <w:shd w:val="clear" w:color="auto" w:fill="D9D9D9" w:themeFill="background1" w:themeFillShade="D9"/>
            <w:vAlign w:val="center"/>
          </w:tcPr>
          <w:p w14:paraId="4F198191" w14:textId="77777777" w:rsidR="00C035FA" w:rsidRDefault="008D5756" w:rsidP="00B47330">
            <w:pPr>
              <w:spacing w:after="0" w:line="240" w:lineRule="auto"/>
              <w:contextualSpacing/>
              <w:jc w:val="center"/>
              <w:rPr>
                <w:rFonts w:eastAsia="Times New Roman"/>
                <w:b/>
                <w:szCs w:val="28"/>
                <w:lang w:eastAsia="ru-RU"/>
              </w:rPr>
            </w:pPr>
            <w:r>
              <w:rPr>
                <w:rFonts w:eastAsia="Times New Roman"/>
                <w:b/>
                <w:szCs w:val="28"/>
                <w:lang w:eastAsia="ru-RU"/>
              </w:rPr>
              <w:t>Крысы</w:t>
            </w:r>
          </w:p>
        </w:tc>
        <w:tc>
          <w:tcPr>
            <w:tcW w:w="2960" w:type="dxa"/>
            <w:shd w:val="clear" w:color="auto" w:fill="D9D9D9" w:themeFill="background1" w:themeFillShade="D9"/>
            <w:vAlign w:val="center"/>
          </w:tcPr>
          <w:p w14:paraId="208C8141" w14:textId="77777777" w:rsidR="00C035FA" w:rsidRDefault="008D5756" w:rsidP="00B47330">
            <w:pPr>
              <w:spacing w:after="0" w:line="240" w:lineRule="auto"/>
              <w:contextualSpacing/>
              <w:jc w:val="center"/>
              <w:rPr>
                <w:rFonts w:eastAsia="Times New Roman"/>
                <w:b/>
                <w:szCs w:val="28"/>
                <w:lang w:eastAsia="ru-RU"/>
              </w:rPr>
            </w:pPr>
            <w:r>
              <w:rPr>
                <w:rFonts w:eastAsia="Times New Roman"/>
                <w:b/>
                <w:szCs w:val="28"/>
                <w:lang w:eastAsia="ru-RU"/>
              </w:rPr>
              <w:t>Собаки</w:t>
            </w:r>
          </w:p>
        </w:tc>
      </w:tr>
      <w:tr w:rsidR="00C035FA" w14:paraId="3258DE90" w14:textId="77777777">
        <w:tc>
          <w:tcPr>
            <w:tcW w:w="3532" w:type="dxa"/>
          </w:tcPr>
          <w:p w14:paraId="4F26FE8E" w14:textId="77777777" w:rsidR="00C035FA" w:rsidRPr="001654B0" w:rsidRDefault="008D5756" w:rsidP="00D56C8F">
            <w:pPr>
              <w:spacing w:after="0" w:line="240" w:lineRule="auto"/>
              <w:contextualSpacing/>
              <w:rPr>
                <w:rFonts w:eastAsia="Times New Roman"/>
                <w:b/>
                <w:szCs w:val="28"/>
                <w:lang w:eastAsia="ru-RU"/>
              </w:rPr>
            </w:pPr>
            <w:r w:rsidRPr="001654B0">
              <w:rPr>
                <w:rFonts w:eastAsia="Times New Roman"/>
                <w:b/>
                <w:szCs w:val="28"/>
                <w:lang w:eastAsia="ru-RU"/>
              </w:rPr>
              <w:t>Доза (мг/кг), в/в</w:t>
            </w:r>
          </w:p>
        </w:tc>
        <w:tc>
          <w:tcPr>
            <w:tcW w:w="2852" w:type="dxa"/>
          </w:tcPr>
          <w:p w14:paraId="26005DC3" w14:textId="77777777" w:rsidR="00C035FA" w:rsidRPr="001654B0" w:rsidRDefault="008D5756" w:rsidP="00D56C8F">
            <w:pPr>
              <w:spacing w:after="0" w:line="240" w:lineRule="auto"/>
              <w:contextualSpacing/>
              <w:jc w:val="center"/>
              <w:rPr>
                <w:rFonts w:eastAsia="Times New Roman"/>
                <w:b/>
                <w:szCs w:val="28"/>
                <w:lang w:eastAsia="ru-RU"/>
              </w:rPr>
            </w:pPr>
            <w:r w:rsidRPr="001654B0">
              <w:rPr>
                <w:rFonts w:eastAsia="Times New Roman"/>
                <w:b/>
                <w:szCs w:val="28"/>
                <w:lang w:eastAsia="ru-RU"/>
              </w:rPr>
              <w:t>1</w:t>
            </w:r>
          </w:p>
        </w:tc>
        <w:tc>
          <w:tcPr>
            <w:tcW w:w="2960" w:type="dxa"/>
          </w:tcPr>
          <w:p w14:paraId="7719C2F3" w14:textId="77777777" w:rsidR="00C035FA" w:rsidRPr="001654B0" w:rsidRDefault="008D5756" w:rsidP="00D56C8F">
            <w:pPr>
              <w:spacing w:after="0" w:line="240" w:lineRule="auto"/>
              <w:contextualSpacing/>
              <w:jc w:val="center"/>
              <w:rPr>
                <w:rFonts w:eastAsia="Times New Roman"/>
                <w:b/>
                <w:szCs w:val="28"/>
                <w:lang w:eastAsia="ru-RU"/>
              </w:rPr>
            </w:pPr>
            <w:r w:rsidRPr="001654B0">
              <w:rPr>
                <w:rFonts w:eastAsia="Times New Roman"/>
                <w:b/>
                <w:szCs w:val="28"/>
                <w:lang w:eastAsia="ru-RU"/>
              </w:rPr>
              <w:t>0,5</w:t>
            </w:r>
          </w:p>
        </w:tc>
      </w:tr>
      <w:tr w:rsidR="00C035FA" w14:paraId="4811DDF7" w14:textId="77777777">
        <w:tc>
          <w:tcPr>
            <w:tcW w:w="3532" w:type="dxa"/>
          </w:tcPr>
          <w:p w14:paraId="165EFE93" w14:textId="77777777" w:rsidR="00C035FA" w:rsidRDefault="008D5756">
            <w:pPr>
              <w:spacing w:after="0"/>
              <w:ind w:left="173"/>
              <w:rPr>
                <w:rFonts w:eastAsia="Times New Roman"/>
                <w:szCs w:val="28"/>
                <w:lang w:eastAsia="ru-RU"/>
              </w:rPr>
            </w:pPr>
            <w:r>
              <w:rPr>
                <w:rFonts w:eastAsia="Times New Roman"/>
                <w:szCs w:val="28"/>
                <w:lang w:eastAsia="ru-RU"/>
              </w:rPr>
              <w:t>CL (мл/мин/кг), в/в</w:t>
            </w:r>
          </w:p>
        </w:tc>
        <w:tc>
          <w:tcPr>
            <w:tcW w:w="2852" w:type="dxa"/>
          </w:tcPr>
          <w:p w14:paraId="55591316" w14:textId="77777777" w:rsidR="00C035FA" w:rsidRDefault="008D5756">
            <w:pPr>
              <w:spacing w:after="0"/>
              <w:jc w:val="center"/>
              <w:rPr>
                <w:rFonts w:eastAsia="Times New Roman"/>
                <w:szCs w:val="28"/>
                <w:lang w:eastAsia="ru-RU"/>
              </w:rPr>
            </w:pPr>
            <w:r>
              <w:rPr>
                <w:rFonts w:eastAsia="Times New Roman"/>
                <w:szCs w:val="28"/>
                <w:lang w:eastAsia="ru-RU"/>
              </w:rPr>
              <w:t>43 ± 2,7</w:t>
            </w:r>
          </w:p>
        </w:tc>
        <w:tc>
          <w:tcPr>
            <w:tcW w:w="2960" w:type="dxa"/>
          </w:tcPr>
          <w:p w14:paraId="553E09FC" w14:textId="77777777" w:rsidR="00C035FA" w:rsidRDefault="008D5756">
            <w:pPr>
              <w:spacing w:after="0"/>
              <w:jc w:val="center"/>
              <w:rPr>
                <w:rFonts w:eastAsia="Times New Roman"/>
                <w:szCs w:val="28"/>
                <w:lang w:eastAsia="ru-RU"/>
              </w:rPr>
            </w:pPr>
            <w:r>
              <w:rPr>
                <w:rFonts w:eastAsia="Times New Roman"/>
                <w:szCs w:val="28"/>
                <w:lang w:eastAsia="ru-RU"/>
              </w:rPr>
              <w:t>1,8 ± 0,2</w:t>
            </w:r>
          </w:p>
        </w:tc>
      </w:tr>
      <w:tr w:rsidR="00C035FA" w14:paraId="67D8137E" w14:textId="77777777">
        <w:tc>
          <w:tcPr>
            <w:tcW w:w="3532" w:type="dxa"/>
          </w:tcPr>
          <w:p w14:paraId="707D2944" w14:textId="77777777" w:rsidR="00C035FA" w:rsidRDefault="008D5756">
            <w:pPr>
              <w:spacing w:after="0"/>
              <w:ind w:left="173"/>
              <w:rPr>
                <w:rFonts w:eastAsia="Times New Roman"/>
                <w:szCs w:val="28"/>
                <w:lang w:eastAsia="ru-RU"/>
              </w:rPr>
            </w:pPr>
            <w:r>
              <w:rPr>
                <w:rFonts w:eastAsia="Times New Roman"/>
                <w:szCs w:val="28"/>
                <w:lang w:eastAsia="ru-RU"/>
              </w:rPr>
              <w:t>Vss (л/кг), в/в</w:t>
            </w:r>
          </w:p>
        </w:tc>
        <w:tc>
          <w:tcPr>
            <w:tcW w:w="2852" w:type="dxa"/>
          </w:tcPr>
          <w:p w14:paraId="0CA4FC0F" w14:textId="77777777" w:rsidR="00C035FA" w:rsidRDefault="008D5756">
            <w:pPr>
              <w:spacing w:after="0"/>
              <w:jc w:val="center"/>
              <w:rPr>
                <w:rFonts w:eastAsia="Times New Roman"/>
                <w:szCs w:val="28"/>
                <w:lang w:eastAsia="ru-RU"/>
              </w:rPr>
            </w:pPr>
            <w:r>
              <w:rPr>
                <w:rFonts w:eastAsia="Times New Roman"/>
                <w:szCs w:val="28"/>
                <w:lang w:eastAsia="ru-RU"/>
              </w:rPr>
              <w:t>1,4 ± 0,1</w:t>
            </w:r>
          </w:p>
        </w:tc>
        <w:tc>
          <w:tcPr>
            <w:tcW w:w="2960" w:type="dxa"/>
          </w:tcPr>
          <w:p w14:paraId="306683B9" w14:textId="77777777" w:rsidR="00C035FA" w:rsidRDefault="008D5756">
            <w:pPr>
              <w:spacing w:after="0"/>
              <w:jc w:val="center"/>
              <w:rPr>
                <w:rFonts w:eastAsia="Times New Roman"/>
                <w:szCs w:val="28"/>
                <w:lang w:eastAsia="ru-RU"/>
              </w:rPr>
            </w:pPr>
            <w:r>
              <w:rPr>
                <w:rFonts w:eastAsia="Times New Roman"/>
                <w:szCs w:val="28"/>
                <w:lang w:eastAsia="ru-RU"/>
              </w:rPr>
              <w:t>0,6 ± 0,1</w:t>
            </w:r>
          </w:p>
        </w:tc>
      </w:tr>
      <w:tr w:rsidR="00C035FA" w14:paraId="7D1C3C6C" w14:textId="77777777">
        <w:tc>
          <w:tcPr>
            <w:tcW w:w="3532" w:type="dxa"/>
          </w:tcPr>
          <w:p w14:paraId="6770A6F5" w14:textId="77777777" w:rsidR="00C035FA" w:rsidRPr="001654B0" w:rsidRDefault="008D5756">
            <w:pPr>
              <w:spacing w:after="0"/>
              <w:rPr>
                <w:rFonts w:eastAsia="Times New Roman"/>
                <w:b/>
                <w:szCs w:val="28"/>
                <w:lang w:eastAsia="ru-RU"/>
              </w:rPr>
            </w:pPr>
            <w:r w:rsidRPr="001654B0">
              <w:rPr>
                <w:rFonts w:eastAsia="Times New Roman"/>
                <w:b/>
                <w:szCs w:val="28"/>
                <w:lang w:eastAsia="ru-RU"/>
              </w:rPr>
              <w:t>Доза (мг/кг), перорально</w:t>
            </w:r>
          </w:p>
        </w:tc>
        <w:tc>
          <w:tcPr>
            <w:tcW w:w="2852" w:type="dxa"/>
          </w:tcPr>
          <w:p w14:paraId="67C1EB34" w14:textId="77777777" w:rsidR="00C035FA" w:rsidRPr="001654B0" w:rsidRDefault="008D5756">
            <w:pPr>
              <w:spacing w:after="0"/>
              <w:jc w:val="center"/>
              <w:rPr>
                <w:rFonts w:eastAsia="Times New Roman"/>
                <w:b/>
                <w:szCs w:val="28"/>
                <w:lang w:eastAsia="ru-RU"/>
              </w:rPr>
            </w:pPr>
            <w:r w:rsidRPr="001654B0">
              <w:rPr>
                <w:rFonts w:eastAsia="Times New Roman"/>
                <w:b/>
                <w:szCs w:val="28"/>
                <w:lang w:eastAsia="ru-RU"/>
              </w:rPr>
              <w:t>3</w:t>
            </w:r>
          </w:p>
        </w:tc>
        <w:tc>
          <w:tcPr>
            <w:tcW w:w="2960" w:type="dxa"/>
          </w:tcPr>
          <w:p w14:paraId="156920CE" w14:textId="77777777" w:rsidR="00C035FA" w:rsidRPr="001654B0" w:rsidRDefault="008D5756">
            <w:pPr>
              <w:spacing w:after="0"/>
              <w:jc w:val="center"/>
              <w:rPr>
                <w:rFonts w:eastAsia="Times New Roman"/>
                <w:b/>
                <w:szCs w:val="28"/>
                <w:lang w:eastAsia="ru-RU"/>
              </w:rPr>
            </w:pPr>
            <w:r w:rsidRPr="001654B0">
              <w:rPr>
                <w:rFonts w:eastAsia="Times New Roman"/>
                <w:b/>
                <w:szCs w:val="28"/>
                <w:lang w:eastAsia="ru-RU"/>
              </w:rPr>
              <w:t>5</w:t>
            </w:r>
          </w:p>
        </w:tc>
      </w:tr>
      <w:tr w:rsidR="00C035FA" w14:paraId="7BAF8EB6" w14:textId="77777777">
        <w:tc>
          <w:tcPr>
            <w:tcW w:w="3532" w:type="dxa"/>
          </w:tcPr>
          <w:p w14:paraId="3F470747" w14:textId="4ABE83E1" w:rsidR="00C035FA" w:rsidRDefault="008D5756">
            <w:pPr>
              <w:spacing w:after="0"/>
              <w:ind w:left="173"/>
              <w:rPr>
                <w:rFonts w:eastAsia="Times New Roman"/>
                <w:szCs w:val="28"/>
                <w:lang w:eastAsia="ru-RU"/>
              </w:rPr>
            </w:pPr>
            <w:r>
              <w:rPr>
                <w:rFonts w:eastAsia="Times New Roman"/>
                <w:szCs w:val="28"/>
                <w:lang w:eastAsia="ru-RU"/>
              </w:rPr>
              <w:t>C</w:t>
            </w:r>
            <w:r>
              <w:rPr>
                <w:rFonts w:eastAsia="Times New Roman"/>
                <w:szCs w:val="28"/>
                <w:vertAlign w:val="subscript"/>
                <w:lang w:eastAsia="ru-RU"/>
              </w:rPr>
              <w:t>max</w:t>
            </w:r>
            <w:r>
              <w:rPr>
                <w:rFonts w:eastAsia="Times New Roman"/>
                <w:szCs w:val="28"/>
                <w:lang w:eastAsia="ru-RU"/>
              </w:rPr>
              <w:t xml:space="preserve"> (нм</w:t>
            </w:r>
            <w:r w:rsidR="00814CEC">
              <w:rPr>
                <w:rFonts w:eastAsia="Times New Roman"/>
                <w:szCs w:val="28"/>
                <w:lang w:eastAsia="ru-RU"/>
              </w:rPr>
              <w:t>оль</w:t>
            </w:r>
            <w:r>
              <w:rPr>
                <w:rFonts w:eastAsia="Times New Roman"/>
                <w:szCs w:val="28"/>
                <w:lang w:eastAsia="ru-RU"/>
              </w:rPr>
              <w:t>)</w:t>
            </w:r>
          </w:p>
        </w:tc>
        <w:tc>
          <w:tcPr>
            <w:tcW w:w="2852" w:type="dxa"/>
          </w:tcPr>
          <w:p w14:paraId="22EEF501" w14:textId="77777777" w:rsidR="00C035FA" w:rsidRDefault="008D5756">
            <w:pPr>
              <w:spacing w:after="0"/>
              <w:jc w:val="center"/>
              <w:rPr>
                <w:rFonts w:eastAsia="Times New Roman"/>
                <w:szCs w:val="28"/>
                <w:lang w:eastAsia="ru-RU"/>
              </w:rPr>
            </w:pPr>
            <w:r>
              <w:rPr>
                <w:rFonts w:eastAsia="Times New Roman"/>
                <w:szCs w:val="28"/>
                <w:lang w:eastAsia="ru-RU"/>
              </w:rPr>
              <w:t>167 ± 82,9</w:t>
            </w:r>
          </w:p>
        </w:tc>
        <w:tc>
          <w:tcPr>
            <w:tcW w:w="2960" w:type="dxa"/>
          </w:tcPr>
          <w:p w14:paraId="4439E268" w14:textId="77777777" w:rsidR="00C035FA" w:rsidRDefault="008D5756">
            <w:pPr>
              <w:spacing w:after="0"/>
              <w:jc w:val="center"/>
              <w:rPr>
                <w:rFonts w:eastAsia="Times New Roman"/>
                <w:szCs w:val="28"/>
                <w:lang w:eastAsia="ru-RU"/>
              </w:rPr>
            </w:pPr>
            <w:r>
              <w:rPr>
                <w:rFonts w:eastAsia="Times New Roman"/>
                <w:szCs w:val="28"/>
                <w:lang w:eastAsia="ru-RU"/>
              </w:rPr>
              <w:t>17254 ± 1557</w:t>
            </w:r>
          </w:p>
        </w:tc>
      </w:tr>
      <w:tr w:rsidR="00C035FA" w14:paraId="45A8AB61" w14:textId="77777777">
        <w:tc>
          <w:tcPr>
            <w:tcW w:w="3532" w:type="dxa"/>
          </w:tcPr>
          <w:p w14:paraId="1902E1A4" w14:textId="77777777" w:rsidR="00C035FA" w:rsidRDefault="008D5756">
            <w:pPr>
              <w:pStyle w:val="Default"/>
              <w:ind w:left="173"/>
              <w:jc w:val="both"/>
              <w:rPr>
                <w:color w:val="auto"/>
                <w:szCs w:val="28"/>
              </w:rPr>
            </w:pPr>
            <w:r>
              <w:rPr>
                <w:color w:val="auto"/>
                <w:szCs w:val="28"/>
                <w:shd w:val="clear" w:color="auto" w:fill="FFFFFF"/>
              </w:rPr>
              <w:t>T</w:t>
            </w:r>
            <w:r>
              <w:rPr>
                <w:color w:val="auto"/>
                <w:szCs w:val="28"/>
                <w:shd w:val="clear" w:color="auto" w:fill="FFFFFF"/>
                <w:vertAlign w:val="subscript"/>
              </w:rPr>
              <w:t>max</w:t>
            </w:r>
            <w:r>
              <w:rPr>
                <w:color w:val="auto"/>
                <w:szCs w:val="28"/>
              </w:rPr>
              <w:t xml:space="preserve"> (ч)</w:t>
            </w:r>
            <w:r>
              <w:rPr>
                <w:rFonts w:ascii="Cambria Math" w:hAnsi="Cambria Math" w:cs="Cambria Math"/>
                <w:color w:val="auto"/>
                <w:szCs w:val="28"/>
              </w:rPr>
              <w:t>∗</w:t>
            </w:r>
          </w:p>
        </w:tc>
        <w:tc>
          <w:tcPr>
            <w:tcW w:w="2852" w:type="dxa"/>
          </w:tcPr>
          <w:p w14:paraId="1E971E6E" w14:textId="77777777" w:rsidR="00C035FA" w:rsidRDefault="008D5756">
            <w:pPr>
              <w:spacing w:after="0"/>
              <w:jc w:val="center"/>
              <w:rPr>
                <w:rFonts w:eastAsia="Times New Roman"/>
                <w:szCs w:val="28"/>
                <w:lang w:eastAsia="ru-RU"/>
              </w:rPr>
            </w:pPr>
            <w:r>
              <w:rPr>
                <w:rFonts w:eastAsia="Times New Roman"/>
                <w:szCs w:val="28"/>
                <w:lang w:eastAsia="ru-RU"/>
              </w:rPr>
              <w:t>2 (2–3)</w:t>
            </w:r>
          </w:p>
        </w:tc>
        <w:tc>
          <w:tcPr>
            <w:tcW w:w="2960" w:type="dxa"/>
          </w:tcPr>
          <w:p w14:paraId="2677313D" w14:textId="77777777" w:rsidR="00C035FA" w:rsidRDefault="008D5756">
            <w:pPr>
              <w:spacing w:after="0"/>
              <w:jc w:val="center"/>
              <w:rPr>
                <w:rFonts w:eastAsia="Times New Roman"/>
                <w:szCs w:val="28"/>
                <w:lang w:eastAsia="ru-RU"/>
              </w:rPr>
            </w:pPr>
            <w:r>
              <w:rPr>
                <w:rFonts w:eastAsia="Times New Roman"/>
                <w:szCs w:val="28"/>
                <w:lang w:eastAsia="ru-RU"/>
              </w:rPr>
              <w:t>1 (0,7–1)</w:t>
            </w:r>
          </w:p>
        </w:tc>
      </w:tr>
      <w:tr w:rsidR="00C035FA" w14:paraId="5BAEE3DA" w14:textId="77777777">
        <w:tc>
          <w:tcPr>
            <w:tcW w:w="3532" w:type="dxa"/>
          </w:tcPr>
          <w:p w14:paraId="72C3873F" w14:textId="5F1C5B9C" w:rsidR="00C035FA" w:rsidRDefault="008D5756">
            <w:pPr>
              <w:spacing w:after="0"/>
              <w:ind w:left="173"/>
              <w:rPr>
                <w:rFonts w:eastAsia="Times New Roman"/>
                <w:szCs w:val="28"/>
                <w:lang w:eastAsia="ru-RU"/>
              </w:rPr>
            </w:pPr>
            <w:r>
              <w:rPr>
                <w:rFonts w:eastAsia="Times New Roman"/>
                <w:szCs w:val="28"/>
                <w:lang w:eastAsia="ru-RU"/>
              </w:rPr>
              <w:t>AUC</w:t>
            </w:r>
            <w:r>
              <w:rPr>
                <w:rFonts w:eastAsia="Times New Roman"/>
                <w:szCs w:val="28"/>
                <w:vertAlign w:val="subscript"/>
                <w:lang w:eastAsia="ru-RU"/>
              </w:rPr>
              <w:t>0−∞</w:t>
            </w:r>
            <w:r>
              <w:rPr>
                <w:rFonts w:eastAsia="Times New Roman"/>
                <w:szCs w:val="28"/>
                <w:lang w:eastAsia="ru-RU"/>
              </w:rPr>
              <w:t xml:space="preserve"> (нм</w:t>
            </w:r>
            <w:r w:rsidR="00814CEC">
              <w:rPr>
                <w:rFonts w:eastAsia="Times New Roman"/>
                <w:szCs w:val="28"/>
                <w:lang w:eastAsia="ru-RU"/>
              </w:rPr>
              <w:t>оль</w:t>
            </w:r>
            <w:r>
              <w:rPr>
                <w:rFonts w:eastAsia="Times New Roman"/>
                <w:szCs w:val="28"/>
                <w:lang w:eastAsia="ru-RU"/>
              </w:rPr>
              <w:t>*ч)</w:t>
            </w:r>
          </w:p>
        </w:tc>
        <w:tc>
          <w:tcPr>
            <w:tcW w:w="2852" w:type="dxa"/>
          </w:tcPr>
          <w:p w14:paraId="52286203" w14:textId="77777777" w:rsidR="00C035FA" w:rsidRDefault="008D5756">
            <w:pPr>
              <w:spacing w:after="0"/>
              <w:jc w:val="center"/>
              <w:rPr>
                <w:rFonts w:eastAsia="Times New Roman"/>
                <w:szCs w:val="28"/>
                <w:lang w:eastAsia="ru-RU"/>
              </w:rPr>
            </w:pPr>
            <w:r>
              <w:rPr>
                <w:rFonts w:eastAsia="Times New Roman"/>
                <w:szCs w:val="28"/>
                <w:lang w:eastAsia="ru-RU"/>
              </w:rPr>
              <w:t>858 ± 200</w:t>
            </w:r>
          </w:p>
        </w:tc>
        <w:tc>
          <w:tcPr>
            <w:tcW w:w="2960" w:type="dxa"/>
          </w:tcPr>
          <w:p w14:paraId="7244FD1B" w14:textId="77777777" w:rsidR="00C035FA" w:rsidRDefault="008D5756">
            <w:pPr>
              <w:spacing w:after="0"/>
              <w:jc w:val="center"/>
              <w:rPr>
                <w:rFonts w:eastAsia="Times New Roman"/>
                <w:szCs w:val="28"/>
                <w:lang w:eastAsia="ru-RU"/>
              </w:rPr>
            </w:pPr>
            <w:r>
              <w:rPr>
                <w:rFonts w:eastAsia="Times New Roman"/>
                <w:szCs w:val="28"/>
                <w:lang w:eastAsia="ru-RU"/>
              </w:rPr>
              <w:t>93560 ± 9304</w:t>
            </w:r>
          </w:p>
        </w:tc>
      </w:tr>
      <w:tr w:rsidR="00C035FA" w14:paraId="6156840D" w14:textId="77777777">
        <w:tc>
          <w:tcPr>
            <w:tcW w:w="3532" w:type="dxa"/>
          </w:tcPr>
          <w:p w14:paraId="5F680387" w14:textId="77777777" w:rsidR="00C035FA" w:rsidRDefault="008D5756">
            <w:pPr>
              <w:spacing w:after="0"/>
              <w:ind w:left="173"/>
              <w:rPr>
                <w:rFonts w:eastAsia="Times New Roman"/>
                <w:szCs w:val="28"/>
                <w:lang w:eastAsia="ru-RU"/>
              </w:rPr>
            </w:pPr>
            <w:r>
              <w:rPr>
                <w:rFonts w:eastAsia="Times New Roman"/>
                <w:szCs w:val="28"/>
                <w:shd w:val="clear" w:color="auto" w:fill="FFFFFF"/>
              </w:rPr>
              <w:t>T</w:t>
            </w:r>
            <w:r>
              <w:rPr>
                <w:rFonts w:eastAsia="Times New Roman"/>
                <w:szCs w:val="28"/>
                <w:shd w:val="clear" w:color="auto" w:fill="FFFFFF"/>
                <w:vertAlign w:val="subscript"/>
              </w:rPr>
              <w:t>1/2</w:t>
            </w:r>
            <w:r>
              <w:rPr>
                <w:rFonts w:eastAsia="Times New Roman"/>
                <w:szCs w:val="28"/>
                <w:lang w:eastAsia="ru-RU"/>
              </w:rPr>
              <w:t xml:space="preserve"> (ч)</w:t>
            </w:r>
          </w:p>
        </w:tc>
        <w:tc>
          <w:tcPr>
            <w:tcW w:w="2852" w:type="dxa"/>
          </w:tcPr>
          <w:p w14:paraId="345C2A03" w14:textId="77777777" w:rsidR="00C035FA" w:rsidRDefault="008D5756">
            <w:pPr>
              <w:spacing w:after="0"/>
              <w:jc w:val="center"/>
              <w:rPr>
                <w:rFonts w:eastAsia="Times New Roman"/>
                <w:szCs w:val="28"/>
                <w:lang w:eastAsia="ru-RU"/>
              </w:rPr>
            </w:pPr>
            <w:r>
              <w:rPr>
                <w:rFonts w:eastAsia="Times New Roman"/>
                <w:szCs w:val="28"/>
                <w:lang w:eastAsia="ru-RU"/>
              </w:rPr>
              <w:t>1,5 ± 0,5</w:t>
            </w:r>
          </w:p>
        </w:tc>
        <w:tc>
          <w:tcPr>
            <w:tcW w:w="2960" w:type="dxa"/>
          </w:tcPr>
          <w:p w14:paraId="4EC47202" w14:textId="77777777" w:rsidR="00C035FA" w:rsidRDefault="008D5756">
            <w:pPr>
              <w:spacing w:after="0"/>
              <w:jc w:val="center"/>
              <w:rPr>
                <w:rFonts w:eastAsia="Times New Roman"/>
                <w:szCs w:val="28"/>
                <w:lang w:eastAsia="ru-RU"/>
              </w:rPr>
            </w:pPr>
            <w:r>
              <w:rPr>
                <w:rFonts w:eastAsia="Times New Roman"/>
                <w:szCs w:val="28"/>
                <w:lang w:eastAsia="ru-RU"/>
              </w:rPr>
              <w:t>6,3 ± 2,1</w:t>
            </w:r>
          </w:p>
        </w:tc>
      </w:tr>
      <w:tr w:rsidR="00C035FA" w14:paraId="0BDE2D88" w14:textId="77777777">
        <w:tc>
          <w:tcPr>
            <w:tcW w:w="3532" w:type="dxa"/>
          </w:tcPr>
          <w:p w14:paraId="4F14D1F2" w14:textId="77777777" w:rsidR="00C035FA" w:rsidRDefault="008D5756">
            <w:pPr>
              <w:spacing w:after="0"/>
              <w:ind w:left="173"/>
              <w:rPr>
                <w:rFonts w:eastAsia="Times New Roman"/>
                <w:szCs w:val="28"/>
                <w:lang w:eastAsia="ru-RU"/>
              </w:rPr>
            </w:pPr>
            <w:r>
              <w:rPr>
                <w:rFonts w:eastAsia="Times New Roman"/>
                <w:szCs w:val="28"/>
                <w:lang w:eastAsia="ru-RU"/>
              </w:rPr>
              <w:t>ВА (%)</w:t>
            </w:r>
          </w:p>
        </w:tc>
        <w:tc>
          <w:tcPr>
            <w:tcW w:w="2852" w:type="dxa"/>
          </w:tcPr>
          <w:p w14:paraId="6CC707FA" w14:textId="77777777" w:rsidR="00C035FA" w:rsidRDefault="008D5756">
            <w:pPr>
              <w:spacing w:after="0"/>
              <w:jc w:val="center"/>
              <w:rPr>
                <w:rFonts w:eastAsia="Times New Roman"/>
                <w:szCs w:val="28"/>
                <w:lang w:eastAsia="ru-RU"/>
              </w:rPr>
            </w:pPr>
            <w:r>
              <w:rPr>
                <w:rFonts w:eastAsia="Times New Roman"/>
                <w:szCs w:val="28"/>
                <w:lang w:eastAsia="ru-RU"/>
              </w:rPr>
              <w:t>33,2 ± 7,7</w:t>
            </w:r>
          </w:p>
        </w:tc>
        <w:tc>
          <w:tcPr>
            <w:tcW w:w="2960" w:type="dxa"/>
          </w:tcPr>
          <w:p w14:paraId="2A8A0492" w14:textId="77777777" w:rsidR="00C035FA" w:rsidRDefault="008D5756">
            <w:pPr>
              <w:spacing w:after="0"/>
              <w:jc w:val="center"/>
              <w:rPr>
                <w:rFonts w:eastAsia="Times New Roman"/>
                <w:szCs w:val="28"/>
                <w:lang w:eastAsia="ru-RU"/>
              </w:rPr>
            </w:pPr>
            <w:r>
              <w:rPr>
                <w:rFonts w:eastAsia="Times New Roman"/>
                <w:szCs w:val="28"/>
                <w:lang w:eastAsia="ru-RU"/>
              </w:rPr>
              <w:t>89,0 ± 3,9</w:t>
            </w:r>
          </w:p>
        </w:tc>
      </w:tr>
      <w:tr w:rsidR="00C035FA" w14:paraId="4DCF0680" w14:textId="77777777" w:rsidTr="001654B0">
        <w:trPr>
          <w:trHeight w:val="1172"/>
        </w:trPr>
        <w:tc>
          <w:tcPr>
            <w:tcW w:w="9344" w:type="dxa"/>
            <w:gridSpan w:val="3"/>
          </w:tcPr>
          <w:p w14:paraId="658581BC" w14:textId="79FD6523" w:rsidR="00C035FA" w:rsidRDefault="008D5756">
            <w:pPr>
              <w:spacing w:after="0" w:line="240" w:lineRule="auto"/>
              <w:rPr>
                <w:rFonts w:eastAsia="Times New Roman"/>
                <w:sz w:val="20"/>
                <w:szCs w:val="20"/>
                <w:lang w:eastAsia="ru-RU"/>
              </w:rPr>
            </w:pPr>
            <w:r>
              <w:rPr>
                <w:rFonts w:eastAsia="Times New Roman"/>
                <w:b/>
                <w:bCs/>
                <w:sz w:val="20"/>
                <w:szCs w:val="20"/>
                <w:lang w:eastAsia="ru-RU"/>
              </w:rPr>
              <w:t>Примечание:</w:t>
            </w:r>
            <w:r>
              <w:rPr>
                <w:rFonts w:eastAsia="Times New Roman"/>
                <w:b/>
                <w:bCs/>
                <w:sz w:val="20"/>
                <w:szCs w:val="20"/>
                <w:lang w:eastAsia="ru-RU"/>
              </w:rPr>
              <w:br/>
            </w:r>
            <w:r>
              <w:rPr>
                <w:rFonts w:eastAsia="Times New Roman"/>
                <w:sz w:val="20"/>
                <w:szCs w:val="20"/>
                <w:lang w:eastAsia="ru-RU"/>
              </w:rPr>
              <w:t xml:space="preserve">среднее значение ± стандартное отклонение (n = 4). * - Медиана и </w:t>
            </w:r>
            <w:r w:rsidR="001654B0">
              <w:rPr>
                <w:rFonts w:eastAsia="Times New Roman"/>
                <w:sz w:val="20"/>
                <w:szCs w:val="20"/>
                <w:lang w:eastAsia="ru-RU"/>
              </w:rPr>
              <w:t>диапазон; AUC</w:t>
            </w:r>
            <w:r>
              <w:rPr>
                <w:rFonts w:eastAsia="Times New Roman"/>
                <w:sz w:val="20"/>
                <w:szCs w:val="20"/>
                <w:lang w:eastAsia="ru-RU"/>
              </w:rPr>
              <w:t xml:space="preserve"> - площадь под кривой зависимости концентрации в плазме от времени; ВА - биодоступность; CL - общий плазменный клиренс; C</w:t>
            </w:r>
            <w:r>
              <w:rPr>
                <w:rFonts w:eastAsia="Times New Roman"/>
                <w:sz w:val="20"/>
                <w:szCs w:val="20"/>
                <w:vertAlign w:val="subscript"/>
                <w:lang w:eastAsia="ru-RU"/>
              </w:rPr>
              <w:t>max</w:t>
            </w:r>
            <w:r>
              <w:rPr>
                <w:rFonts w:eastAsia="Times New Roman"/>
                <w:sz w:val="20"/>
                <w:szCs w:val="20"/>
                <w:lang w:eastAsia="ru-RU"/>
              </w:rPr>
              <w:t xml:space="preserve"> - максимальная концентрация; </w:t>
            </w:r>
            <w:r>
              <w:rPr>
                <w:rFonts w:eastAsia="Times New Roman"/>
                <w:sz w:val="20"/>
                <w:szCs w:val="20"/>
                <w:shd w:val="clear" w:color="auto" w:fill="FFFFFF"/>
              </w:rPr>
              <w:t>T</w:t>
            </w:r>
            <w:r>
              <w:rPr>
                <w:rFonts w:eastAsia="Times New Roman"/>
                <w:sz w:val="20"/>
                <w:szCs w:val="20"/>
                <w:shd w:val="clear" w:color="auto" w:fill="FFFFFF"/>
                <w:vertAlign w:val="subscript"/>
              </w:rPr>
              <w:t>max</w:t>
            </w:r>
            <w:r>
              <w:rPr>
                <w:rFonts w:eastAsia="Times New Roman"/>
                <w:sz w:val="20"/>
                <w:szCs w:val="20"/>
                <w:lang w:eastAsia="ru-RU"/>
              </w:rPr>
              <w:t xml:space="preserve"> - время достижения максимальной концентрации; Vss - кажущийся равновесный объём распределения; </w:t>
            </w:r>
            <w:r>
              <w:rPr>
                <w:rFonts w:eastAsia="Times New Roman"/>
                <w:sz w:val="20"/>
                <w:szCs w:val="20"/>
                <w:shd w:val="clear" w:color="auto" w:fill="FFFFFF"/>
              </w:rPr>
              <w:t>T</w:t>
            </w:r>
            <w:r>
              <w:rPr>
                <w:rFonts w:eastAsia="Times New Roman"/>
                <w:sz w:val="20"/>
                <w:szCs w:val="20"/>
                <w:shd w:val="clear" w:color="auto" w:fill="FFFFFF"/>
                <w:vertAlign w:val="subscript"/>
              </w:rPr>
              <w:t>1/2</w:t>
            </w:r>
            <w:r>
              <w:rPr>
                <w:rFonts w:eastAsia="Times New Roman"/>
                <w:sz w:val="20"/>
                <w:szCs w:val="20"/>
                <w:lang w:eastAsia="ru-RU"/>
              </w:rPr>
              <w:t xml:space="preserve"> - конечный период полувыведения. ZDF - крысы Zucker с диабетом и ожирением</w:t>
            </w:r>
          </w:p>
        </w:tc>
      </w:tr>
    </w:tbl>
    <w:p w14:paraId="1A394A59" w14:textId="77777777" w:rsidR="00C035FA" w:rsidRDefault="00C035FA">
      <w:pPr>
        <w:spacing w:after="0" w:line="240" w:lineRule="auto"/>
        <w:rPr>
          <w:szCs w:val="28"/>
          <w:lang w:eastAsia="ru-RU"/>
        </w:rPr>
      </w:pPr>
    </w:p>
    <w:p w14:paraId="21413A86" w14:textId="28B9C880" w:rsidR="00D56C8F" w:rsidRDefault="008D5756" w:rsidP="001654B0">
      <w:pPr>
        <w:spacing w:after="0" w:line="240" w:lineRule="auto"/>
        <w:ind w:firstLine="720"/>
        <w:rPr>
          <w:szCs w:val="28"/>
          <w:lang w:eastAsia="ru-RU"/>
        </w:rPr>
      </w:pPr>
      <w:r>
        <w:rPr>
          <w:szCs w:val="28"/>
          <w:lang w:eastAsia="ru-RU"/>
        </w:rPr>
        <w:t>В параллельном исследовании [</w:t>
      </w:r>
      <w:r w:rsidR="00D56C8F">
        <w:rPr>
          <w:szCs w:val="28"/>
          <w:lang w:eastAsia="ru-RU"/>
        </w:rPr>
        <w:t>47</w:t>
      </w:r>
      <w:r>
        <w:rPr>
          <w:szCs w:val="28"/>
          <w:lang w:eastAsia="ru-RU"/>
        </w:rPr>
        <w:t>] было показано, что эмпаглифлозин эффективно увеличивает экскрецию глюкозы с мочой и снижает уровень глюкозы в крови у крыс с диабетом. В целом, эти эксперименты показывают, что эмпаглифлозин является мощным, конкурентоспособным ингибитором SGLT-2 с высокой селективностью по сравнению с SGLT-1, 4, 5 и 6 и потенциально может использоваться для лечения сахарного диабета 2 типа.</w:t>
      </w:r>
    </w:p>
    <w:p w14:paraId="217BA49E" w14:textId="77777777" w:rsidR="00D56C8F" w:rsidRPr="00D56C8F" w:rsidRDefault="00D56C8F" w:rsidP="00D56C8F">
      <w:pPr>
        <w:spacing w:after="0" w:line="240" w:lineRule="auto"/>
        <w:ind w:firstLine="720"/>
        <w:rPr>
          <w:szCs w:val="28"/>
          <w:lang w:eastAsia="ru-RU"/>
        </w:rPr>
      </w:pPr>
    </w:p>
    <w:p w14:paraId="5A0BE970" w14:textId="77777777" w:rsidR="00C035FA" w:rsidRDefault="008D5756">
      <w:pPr>
        <w:spacing w:before="240" w:after="240" w:line="240" w:lineRule="auto"/>
        <w:contextualSpacing/>
        <w:outlineLvl w:val="2"/>
        <w:rPr>
          <w:b/>
          <w:bCs/>
          <w:color w:val="000000" w:themeColor="text1"/>
        </w:rPr>
      </w:pPr>
      <w:bookmarkStart w:id="94" w:name="_Toc139366857"/>
      <w:r>
        <w:rPr>
          <w:b/>
          <w:color w:val="000000" w:themeColor="text1"/>
        </w:rPr>
        <w:t xml:space="preserve">3.2.6. </w:t>
      </w:r>
      <w:r>
        <w:rPr>
          <w:b/>
          <w:bCs/>
          <w:color w:val="000000" w:themeColor="text1"/>
        </w:rPr>
        <w:t>Фармакокинетические лекарственные взаимодействия</w:t>
      </w:r>
      <w:bookmarkEnd w:id="94"/>
    </w:p>
    <w:p w14:paraId="5063B17B" w14:textId="77777777" w:rsidR="00D56C8F" w:rsidRDefault="00D56C8F">
      <w:pPr>
        <w:spacing w:after="0" w:line="240" w:lineRule="auto"/>
        <w:ind w:firstLine="709"/>
        <w:contextualSpacing/>
      </w:pPr>
    </w:p>
    <w:p w14:paraId="3107CF70" w14:textId="0B798804" w:rsidR="00C035FA" w:rsidRDefault="008D5756">
      <w:pPr>
        <w:spacing w:after="0" w:line="240" w:lineRule="auto"/>
        <w:ind w:firstLine="709"/>
        <w:contextualSpacing/>
      </w:pPr>
      <w:r>
        <w:t>Относительно способности эмпаглифлозина связываться с белками-транспортёрами был проведён ряд исследований.</w:t>
      </w:r>
    </w:p>
    <w:p w14:paraId="13ADD9E0" w14:textId="77777777" w:rsidR="00C035FA" w:rsidRDefault="008D5756">
      <w:pPr>
        <w:spacing w:after="0" w:line="240" w:lineRule="auto"/>
        <w:ind w:firstLine="709"/>
        <w:contextualSpacing/>
      </w:pPr>
      <w:r>
        <w:t>Использовались транспортеры BCRP или MRP2 для определения ингибирующей/транспортной способности эмпаглифлозина. Было обнаружено, что эмпаглифлозин является субстратом для некоторых переносчиков распределения/экскреции у человека (hOAT3, hOATP1B1 и hOATP1B3), за исключением hOAT1 и hOCT2.</w:t>
      </w:r>
    </w:p>
    <w:p w14:paraId="0F8C2638" w14:textId="77777777" w:rsidR="00C035FA" w:rsidRDefault="008D5756">
      <w:pPr>
        <w:spacing w:after="0" w:line="240" w:lineRule="auto"/>
        <w:ind w:left="708" w:firstLine="1"/>
        <w:contextualSpacing/>
      </w:pPr>
      <w:r>
        <w:t>Эмпаглифлозин также ингибировал hOAT3-, hOATP1B1-, hOATP1B3- и hOAT2B1-</w:t>
      </w:r>
    </w:p>
    <w:p w14:paraId="0EA2DC88" w14:textId="4DC4106A" w:rsidR="00C035FA" w:rsidRDefault="008D5756" w:rsidP="00E14858">
      <w:pPr>
        <w:spacing w:after="0" w:line="240" w:lineRule="auto"/>
        <w:contextualSpacing/>
      </w:pPr>
      <w:r>
        <w:lastRenderedPageBreak/>
        <w:t>опосредованный транспорт субстратов зонда с IC</w:t>
      </w:r>
      <w:r w:rsidRPr="001654B0">
        <w:rPr>
          <w:vertAlign w:val="subscript"/>
        </w:rPr>
        <w:t>50</w:t>
      </w:r>
      <w:r>
        <w:t xml:space="preserve"> в диапазоне 45-295 мкм</w:t>
      </w:r>
      <w:r w:rsidR="005D55BF">
        <w:t>оль</w:t>
      </w:r>
      <w:r>
        <w:t>. Эмпаглифлозин не ингибировал hOAT1- или hOCT2-опосредованный транспорт субстратов зонда, поскольку IC50 превышал 1000 мкм</w:t>
      </w:r>
      <w:r w:rsidR="00814CEC">
        <w:t>оль</w:t>
      </w:r>
      <w:r>
        <w:t>. Эмпаглифлозин, однако, ингибировал BCRP- и MRP2-опосредованный транспорт с IC50 из 114 и 1399 мкм</w:t>
      </w:r>
      <w:r w:rsidR="00814CEC">
        <w:t>оль</w:t>
      </w:r>
      <w:r>
        <w:t xml:space="preserve"> соответственно</w:t>
      </w:r>
      <w:r w:rsidR="00D56C8F">
        <w:t>.</w:t>
      </w:r>
    </w:p>
    <w:p w14:paraId="18F30B00" w14:textId="75B6939D" w:rsidR="00C035FA" w:rsidRDefault="008D5756">
      <w:pPr>
        <w:spacing w:after="0" w:line="240" w:lineRule="auto"/>
        <w:ind w:firstLine="709"/>
      </w:pPr>
      <w:r>
        <w:t xml:space="preserve">Рекомбинантные ферменты CYP450 человека </w:t>
      </w:r>
      <w:r w:rsidRPr="00972924">
        <w:rPr>
          <w:i/>
        </w:rPr>
        <w:t>in vitro</w:t>
      </w:r>
      <w:r>
        <w:t>, экспрессируемые в клетках насекомых, показывают, что эмпаглифлозин и три его глюкуронидных метаболита минимально ингибируют CYP2C9, 2D6, 3A4, 2C8.</w:t>
      </w:r>
    </w:p>
    <w:p w14:paraId="3EF9BE51" w14:textId="3500882F" w:rsidR="00C035FA" w:rsidRPr="005D55BF" w:rsidRDefault="008D5756">
      <w:pPr>
        <w:spacing w:after="0" w:line="240" w:lineRule="auto"/>
        <w:ind w:firstLine="709"/>
      </w:pPr>
      <w:r>
        <w:t>Кроме того, эмпаглифлозин и три его глюкуронидных метаболита минимально ингибируют микросомальный метаболизм CYP31A2, 2B6, 2C8, 2C9, 2C19, 2D6 и 3A4 субстратов зонда в печени человека с IC50s в диапазоне 20-150 мкм</w:t>
      </w:r>
      <w:r w:rsidR="00814CEC">
        <w:t>оль</w:t>
      </w:r>
      <w:r w:rsidR="005D55BF" w:rsidRPr="00E14858">
        <w:t>.</w:t>
      </w:r>
    </w:p>
    <w:p w14:paraId="0E06EF90" w14:textId="1DC60CA1" w:rsidR="00C035FA" w:rsidRDefault="008D5756">
      <w:pPr>
        <w:spacing w:after="0" w:line="240" w:lineRule="auto"/>
        <w:ind w:firstLine="709"/>
      </w:pPr>
      <w:r>
        <w:t xml:space="preserve">Исследования метаболизма </w:t>
      </w:r>
      <w:r w:rsidRPr="001B443B">
        <w:rPr>
          <w:i/>
        </w:rPr>
        <w:t>in vitro</w:t>
      </w:r>
      <w:r>
        <w:t xml:space="preserve"> с эмпаглифлозином в дозе 0,1-10 мкм</w:t>
      </w:r>
      <w:r w:rsidR="00814CEC">
        <w:t>оль</w:t>
      </w:r>
      <w:r>
        <w:t xml:space="preserve"> с использованием гепатоцитов крыс, собак или человека, показали, что период полураспада метаболизма </w:t>
      </w:r>
      <w:r w:rsidR="008A5E05">
        <w:t xml:space="preserve">в </w:t>
      </w:r>
      <w:r>
        <w:t xml:space="preserve">BI 10773 </w:t>
      </w:r>
      <w:r w:rsidRPr="001654B0">
        <w:rPr>
          <w:i/>
        </w:rPr>
        <w:t>in vitro</w:t>
      </w:r>
      <w:r>
        <w:t xml:space="preserve"> составлял 472, 1382 и &gt;1579 минут для каждого из гепатоцитов крысы, собаки и человека, соответственно. Также было обнаружено, что эмпаглифлозин не индуцирует мРНК CYP1A2, 2B или 3A4 гепатоцитов человека или активность фермента в отношении субстратов, специфичных для изофермента CYP450.</w:t>
      </w:r>
    </w:p>
    <w:p w14:paraId="7DAF8AA0" w14:textId="2C922F2B" w:rsidR="00C035FA" w:rsidRPr="00CD613C" w:rsidRDefault="008D5756" w:rsidP="00CD613C">
      <w:pPr>
        <w:spacing w:after="0" w:line="240" w:lineRule="auto"/>
        <w:ind w:firstLine="709"/>
      </w:pPr>
      <w:r>
        <w:t xml:space="preserve">Дальнейшие исследования метаболизма </w:t>
      </w:r>
      <w:r w:rsidRPr="00972924">
        <w:rPr>
          <w:i/>
        </w:rPr>
        <w:t>in vitro</w:t>
      </w:r>
      <w:r>
        <w:t xml:space="preserve"> с эмпаглифлозином в дозе 10 мкм</w:t>
      </w:r>
      <w:r w:rsidR="00814CEC">
        <w:t>оль</w:t>
      </w:r>
      <w:r>
        <w:t xml:space="preserve"> в гепатоцитах крысы, собаки и человека показали наличие четырех уникальных метаболитов (M481-2, M625_2, M625_3 иM379). Все метаболиты неклинических видов наблюдались в виде мета</w:t>
      </w:r>
      <w:r w:rsidR="001654B0">
        <w:t>болитов в плазме крови человека</w:t>
      </w:r>
      <w:r>
        <w:t xml:space="preserve"> [</w:t>
      </w:r>
      <w:r w:rsidR="00C649F4">
        <w:t>46</w:t>
      </w:r>
      <w:r>
        <w:t>].</w:t>
      </w:r>
    </w:p>
    <w:p w14:paraId="2FE9D067" w14:textId="77777777" w:rsidR="00C035FA" w:rsidRDefault="008D5756">
      <w:pPr>
        <w:pStyle w:val="Heading2"/>
        <w:spacing w:line="240" w:lineRule="auto"/>
        <w:rPr>
          <w:color w:val="000000" w:themeColor="text1"/>
        </w:rPr>
      </w:pPr>
      <w:bookmarkStart w:id="95" w:name="_Toc139366858"/>
      <w:bookmarkEnd w:id="83"/>
      <w:bookmarkEnd w:id="84"/>
      <w:bookmarkEnd w:id="85"/>
      <w:r>
        <w:rPr>
          <w:color w:val="000000" w:themeColor="text1"/>
        </w:rPr>
        <w:t>3.3. Токсикологические исследования</w:t>
      </w:r>
      <w:bookmarkEnd w:id="86"/>
      <w:bookmarkEnd w:id="95"/>
    </w:p>
    <w:p w14:paraId="13C00133" w14:textId="43DB9339" w:rsidR="00E87E13" w:rsidRDefault="008D5756" w:rsidP="008A5E05">
      <w:pPr>
        <w:spacing w:after="0" w:line="240" w:lineRule="auto"/>
        <w:ind w:firstLine="709"/>
      </w:pPr>
      <w:r>
        <w:t xml:space="preserve">В </w:t>
      </w:r>
      <w:r w:rsidR="00E87E13">
        <w:t>следующей таблице</w:t>
      </w:r>
      <w:r>
        <w:t xml:space="preserve"> приведены общие сведения о</w:t>
      </w:r>
      <w:r w:rsidR="00E87E13">
        <w:t>б исследованиях</w:t>
      </w:r>
      <w:r>
        <w:t xml:space="preserve"> токсикологи</w:t>
      </w:r>
      <w:r w:rsidR="00E87E13">
        <w:t>и</w:t>
      </w:r>
      <w:r>
        <w:t xml:space="preserve"> Эмпаглифлозина</w:t>
      </w:r>
      <w:r w:rsidR="00670240">
        <w:t>.</w:t>
      </w:r>
    </w:p>
    <w:p w14:paraId="59ABC4F3" w14:textId="77777777" w:rsidR="00D56C8F" w:rsidRDefault="00D56C8F" w:rsidP="008A5E05">
      <w:pPr>
        <w:spacing w:after="0" w:line="240" w:lineRule="auto"/>
        <w:ind w:firstLine="709"/>
      </w:pPr>
    </w:p>
    <w:p w14:paraId="665CD6CF" w14:textId="6019FCE3" w:rsidR="00C035FA" w:rsidRPr="00D56C8F" w:rsidRDefault="008D5756" w:rsidP="00D56C8F">
      <w:pPr>
        <w:spacing w:after="0" w:line="240" w:lineRule="auto"/>
        <w:contextualSpacing/>
      </w:pPr>
      <w:r w:rsidRPr="00D56C8F">
        <w:rPr>
          <w:b/>
          <w:bCs/>
        </w:rPr>
        <w:t>Таблица 3-2.</w:t>
      </w:r>
      <w:r>
        <w:t xml:space="preserve"> Краткое изложение исследований по различным видам токсичности Эмпаглифлозина</w:t>
      </w:r>
      <w:r w:rsidR="00670240">
        <w:t xml:space="preserve"> [</w:t>
      </w:r>
      <w:r w:rsidR="00C649F4">
        <w:t>46</w:t>
      </w:r>
      <w:r w:rsidR="00670240">
        <w:t>].</w:t>
      </w:r>
    </w:p>
    <w:tbl>
      <w:tblPr>
        <w:tblStyle w:val="TableGrid"/>
        <w:tblW w:w="0" w:type="auto"/>
        <w:tblLook w:val="04A0" w:firstRow="1" w:lastRow="0" w:firstColumn="1" w:lastColumn="0" w:noHBand="0" w:noVBand="1"/>
      </w:tblPr>
      <w:tblGrid>
        <w:gridCol w:w="2098"/>
        <w:gridCol w:w="1491"/>
        <w:gridCol w:w="2076"/>
        <w:gridCol w:w="3679"/>
      </w:tblGrid>
      <w:tr w:rsidR="00E87E13" w14:paraId="72BADC4C" w14:textId="77777777" w:rsidTr="00D56C8F">
        <w:trPr>
          <w:tblHeader/>
        </w:trPr>
        <w:tc>
          <w:tcPr>
            <w:tcW w:w="9344" w:type="dxa"/>
            <w:gridSpan w:val="4"/>
            <w:shd w:val="clear" w:color="auto" w:fill="D9D9D9" w:themeFill="background1" w:themeFillShade="D9"/>
          </w:tcPr>
          <w:p w14:paraId="1D196816" w14:textId="7D88D415" w:rsidR="00E87E13" w:rsidRPr="00D56C8F" w:rsidRDefault="00E87E13" w:rsidP="00D56C8F">
            <w:pPr>
              <w:spacing w:after="0" w:line="240" w:lineRule="auto"/>
              <w:contextualSpacing/>
              <w:jc w:val="center"/>
              <w:rPr>
                <w:b/>
                <w:bCs/>
                <w:color w:val="000000" w:themeColor="text1"/>
              </w:rPr>
            </w:pPr>
            <w:r w:rsidRPr="00D56C8F">
              <w:rPr>
                <w:b/>
                <w:bCs/>
                <w:color w:val="000000" w:themeColor="text1"/>
              </w:rPr>
              <w:t xml:space="preserve">Исследования </w:t>
            </w:r>
            <w:r w:rsidR="008F52FE" w:rsidRPr="00D56C8F">
              <w:rPr>
                <w:b/>
                <w:bCs/>
                <w:color w:val="000000" w:themeColor="text1"/>
              </w:rPr>
              <w:t>токсичности</w:t>
            </w:r>
            <w:r w:rsidRPr="00D56C8F">
              <w:rPr>
                <w:b/>
                <w:bCs/>
                <w:color w:val="000000" w:themeColor="text1"/>
              </w:rPr>
              <w:t xml:space="preserve"> Эмпаглифлозина</w:t>
            </w:r>
            <w:r w:rsidR="008F52FE" w:rsidRPr="00D56C8F">
              <w:rPr>
                <w:b/>
                <w:bCs/>
                <w:color w:val="000000" w:themeColor="text1"/>
              </w:rPr>
              <w:t xml:space="preserve"> у различных видов</w:t>
            </w:r>
          </w:p>
        </w:tc>
      </w:tr>
      <w:tr w:rsidR="00E87E13" w14:paraId="695F6716" w14:textId="77777777" w:rsidTr="00D56C8F">
        <w:trPr>
          <w:tblHeader/>
        </w:trPr>
        <w:tc>
          <w:tcPr>
            <w:tcW w:w="2098" w:type="dxa"/>
            <w:shd w:val="clear" w:color="auto" w:fill="D9D9D9" w:themeFill="background1" w:themeFillShade="D9"/>
            <w:vAlign w:val="center"/>
          </w:tcPr>
          <w:p w14:paraId="05A23451" w14:textId="6AB169C0" w:rsidR="00E87E13" w:rsidRPr="00D56C8F" w:rsidRDefault="00E87E13" w:rsidP="00D56C8F">
            <w:pPr>
              <w:spacing w:after="0" w:line="240" w:lineRule="auto"/>
              <w:contextualSpacing/>
              <w:jc w:val="center"/>
              <w:rPr>
                <w:b/>
                <w:bCs/>
                <w:color w:val="000000" w:themeColor="text1"/>
              </w:rPr>
            </w:pPr>
            <w:r w:rsidRPr="00D56C8F">
              <w:rPr>
                <w:b/>
                <w:bCs/>
                <w:color w:val="000000" w:themeColor="text1"/>
              </w:rPr>
              <w:t>Тест-системы</w:t>
            </w:r>
          </w:p>
        </w:tc>
        <w:tc>
          <w:tcPr>
            <w:tcW w:w="1491" w:type="dxa"/>
            <w:shd w:val="clear" w:color="auto" w:fill="D9D9D9" w:themeFill="background1" w:themeFillShade="D9"/>
            <w:vAlign w:val="center"/>
          </w:tcPr>
          <w:p w14:paraId="3ABDBFB3" w14:textId="16FE9E38" w:rsidR="00E87E13" w:rsidRPr="00D56C8F" w:rsidRDefault="00E87E13" w:rsidP="00D56C8F">
            <w:pPr>
              <w:spacing w:after="0" w:line="240" w:lineRule="auto"/>
              <w:contextualSpacing/>
              <w:jc w:val="center"/>
              <w:rPr>
                <w:b/>
                <w:bCs/>
                <w:color w:val="000000" w:themeColor="text1"/>
                <w:lang w:val="en-US"/>
              </w:rPr>
            </w:pPr>
            <w:r w:rsidRPr="00D56C8F">
              <w:rPr>
                <w:b/>
                <w:bCs/>
                <w:color w:val="000000" w:themeColor="text1"/>
                <w:lang w:val="en-US"/>
              </w:rPr>
              <w:t>NOAEL</w:t>
            </w:r>
          </w:p>
        </w:tc>
        <w:tc>
          <w:tcPr>
            <w:tcW w:w="2076" w:type="dxa"/>
            <w:shd w:val="clear" w:color="auto" w:fill="D9D9D9" w:themeFill="background1" w:themeFillShade="D9"/>
            <w:vAlign w:val="center"/>
          </w:tcPr>
          <w:p w14:paraId="1C6FF951" w14:textId="65B195A7" w:rsidR="00E87E13" w:rsidRPr="00D56C8F" w:rsidRDefault="00E87E13" w:rsidP="00D56C8F">
            <w:pPr>
              <w:spacing w:after="0" w:line="240" w:lineRule="auto"/>
              <w:contextualSpacing/>
              <w:jc w:val="center"/>
              <w:rPr>
                <w:b/>
                <w:bCs/>
                <w:color w:val="000000" w:themeColor="text1"/>
              </w:rPr>
            </w:pPr>
            <w:r w:rsidRPr="00D56C8F">
              <w:rPr>
                <w:b/>
                <w:bCs/>
                <w:color w:val="000000" w:themeColor="text1"/>
              </w:rPr>
              <w:t xml:space="preserve">Кратность </w:t>
            </w:r>
            <w:r w:rsidRPr="00D56C8F">
              <w:rPr>
                <w:b/>
                <w:bCs/>
                <w:color w:val="000000" w:themeColor="text1"/>
                <w:lang w:val="en-US"/>
              </w:rPr>
              <w:t>MRHD</w:t>
            </w:r>
            <w:r w:rsidRPr="00D56C8F">
              <w:rPr>
                <w:b/>
                <w:bCs/>
                <w:color w:val="000000" w:themeColor="text1"/>
              </w:rPr>
              <w:t xml:space="preserve"> 25 мг: 4670 </w:t>
            </w:r>
            <w:r w:rsidR="00EB677C" w:rsidRPr="00D56C8F">
              <w:rPr>
                <w:b/>
                <w:bCs/>
                <w:color w:val="000000" w:themeColor="text1"/>
              </w:rPr>
              <w:t>нмоль/л/ч AUC*</w:t>
            </w:r>
          </w:p>
        </w:tc>
        <w:tc>
          <w:tcPr>
            <w:tcW w:w="3679" w:type="dxa"/>
            <w:shd w:val="clear" w:color="auto" w:fill="D9D9D9" w:themeFill="background1" w:themeFillShade="D9"/>
            <w:vAlign w:val="center"/>
          </w:tcPr>
          <w:p w14:paraId="0EBC5040" w14:textId="04B69B75" w:rsidR="00E87E13" w:rsidRPr="00D56C8F" w:rsidRDefault="00E87E13" w:rsidP="00D56C8F">
            <w:pPr>
              <w:spacing w:after="0" w:line="240" w:lineRule="auto"/>
              <w:contextualSpacing/>
              <w:jc w:val="center"/>
              <w:rPr>
                <w:b/>
                <w:bCs/>
                <w:color w:val="000000" w:themeColor="text1"/>
              </w:rPr>
            </w:pPr>
            <w:r w:rsidRPr="00D56C8F">
              <w:rPr>
                <w:b/>
                <w:bCs/>
                <w:color w:val="000000" w:themeColor="text1"/>
              </w:rPr>
              <w:t>Основная информация</w:t>
            </w:r>
          </w:p>
        </w:tc>
      </w:tr>
      <w:tr w:rsidR="00E87E13" w14:paraId="7F98AAC2" w14:textId="77777777" w:rsidTr="00B47330">
        <w:tc>
          <w:tcPr>
            <w:tcW w:w="2098" w:type="dxa"/>
          </w:tcPr>
          <w:p w14:paraId="0502C1F6" w14:textId="537EFE9B" w:rsidR="00E87E13" w:rsidRDefault="00E87E13" w:rsidP="00B47330">
            <w:pPr>
              <w:spacing w:after="0" w:line="240" w:lineRule="auto"/>
              <w:contextualSpacing/>
              <w:jc w:val="left"/>
              <w:rPr>
                <w:color w:val="000000" w:themeColor="text1"/>
              </w:rPr>
            </w:pPr>
            <w:r>
              <w:rPr>
                <w:color w:val="000000" w:themeColor="text1"/>
              </w:rPr>
              <w:t>Мыш</w:t>
            </w:r>
            <w:r w:rsidR="0081552D">
              <w:rPr>
                <w:color w:val="000000" w:themeColor="text1"/>
              </w:rPr>
              <w:t>и</w:t>
            </w:r>
            <w:r>
              <w:rPr>
                <w:color w:val="000000" w:themeColor="text1"/>
              </w:rPr>
              <w:t>, 13 недель</w:t>
            </w:r>
            <w:r w:rsidRPr="00E14858">
              <w:rPr>
                <w:color w:val="000000" w:themeColor="text1"/>
              </w:rPr>
              <w:t>:</w:t>
            </w:r>
            <w:r>
              <w:rPr>
                <w:color w:val="000000" w:themeColor="text1"/>
              </w:rPr>
              <w:t xml:space="preserve"> </w:t>
            </w:r>
          </w:p>
          <w:p w14:paraId="0C02ADE8" w14:textId="3013DC9A" w:rsidR="00E87E13" w:rsidRPr="00E87E13" w:rsidRDefault="00E87E13" w:rsidP="00B47330">
            <w:pPr>
              <w:spacing w:after="0" w:line="240" w:lineRule="auto"/>
              <w:contextualSpacing/>
              <w:jc w:val="left"/>
              <w:rPr>
                <w:color w:val="000000" w:themeColor="text1"/>
              </w:rPr>
            </w:pPr>
            <w:r>
              <w:rPr>
                <w:color w:val="000000" w:themeColor="text1"/>
              </w:rPr>
              <w:t>0, 500, 750 и 1000 мг</w:t>
            </w:r>
            <w:r w:rsidRPr="00E14858">
              <w:rPr>
                <w:color w:val="000000" w:themeColor="text1"/>
              </w:rPr>
              <w:t>/</w:t>
            </w:r>
            <w:r>
              <w:rPr>
                <w:color w:val="000000" w:themeColor="text1"/>
              </w:rPr>
              <w:t>кг</w:t>
            </w:r>
            <w:r w:rsidRPr="00E14858">
              <w:rPr>
                <w:color w:val="000000" w:themeColor="text1"/>
              </w:rPr>
              <w:t>/</w:t>
            </w:r>
            <w:r>
              <w:rPr>
                <w:color w:val="000000" w:themeColor="text1"/>
              </w:rPr>
              <w:t>сут</w:t>
            </w:r>
          </w:p>
        </w:tc>
        <w:tc>
          <w:tcPr>
            <w:tcW w:w="1491" w:type="dxa"/>
          </w:tcPr>
          <w:p w14:paraId="5DD65ADF" w14:textId="02652AA0" w:rsidR="00E87E13" w:rsidRPr="00E87E13" w:rsidRDefault="00E87E13" w:rsidP="00B47330">
            <w:pPr>
              <w:spacing w:after="0" w:line="240" w:lineRule="auto"/>
              <w:contextualSpacing/>
              <w:jc w:val="left"/>
              <w:rPr>
                <w:color w:val="000000" w:themeColor="text1"/>
              </w:rPr>
            </w:pPr>
            <w:r>
              <w:rPr>
                <w:color w:val="000000" w:themeColor="text1"/>
                <w:lang w:val="en-US"/>
              </w:rPr>
              <w:t xml:space="preserve">1000 </w:t>
            </w:r>
            <w:r>
              <w:rPr>
                <w:color w:val="000000" w:themeColor="text1"/>
              </w:rPr>
              <w:t>мг</w:t>
            </w:r>
            <w:r>
              <w:rPr>
                <w:color w:val="000000" w:themeColor="text1"/>
                <w:lang w:val="en-US"/>
              </w:rPr>
              <w:t>/</w:t>
            </w:r>
            <w:r>
              <w:rPr>
                <w:color w:val="000000" w:themeColor="text1"/>
              </w:rPr>
              <w:t>кг</w:t>
            </w:r>
            <w:r>
              <w:rPr>
                <w:color w:val="000000" w:themeColor="text1"/>
                <w:lang w:val="en-US"/>
              </w:rPr>
              <w:t>/</w:t>
            </w:r>
            <w:r>
              <w:rPr>
                <w:color w:val="000000" w:themeColor="text1"/>
              </w:rPr>
              <w:t>сут</w:t>
            </w:r>
          </w:p>
        </w:tc>
        <w:tc>
          <w:tcPr>
            <w:tcW w:w="2076" w:type="dxa"/>
          </w:tcPr>
          <w:p w14:paraId="05E0185B" w14:textId="75691A75" w:rsidR="00E87E13" w:rsidRPr="00E87E13" w:rsidRDefault="00E87E13" w:rsidP="00B47330">
            <w:pPr>
              <w:spacing w:after="0" w:line="240" w:lineRule="auto"/>
              <w:contextualSpacing/>
              <w:jc w:val="left"/>
              <w:rPr>
                <w:color w:val="000000" w:themeColor="text1"/>
              </w:rPr>
            </w:pPr>
            <w:r>
              <w:rPr>
                <w:color w:val="000000" w:themeColor="text1"/>
              </w:rPr>
              <w:t>М</w:t>
            </w:r>
            <w:r>
              <w:rPr>
                <w:color w:val="000000" w:themeColor="text1"/>
                <w:lang w:val="en-US"/>
              </w:rPr>
              <w:t>: 62x</w:t>
            </w:r>
          </w:p>
          <w:p w14:paraId="036902B2" w14:textId="380E3343" w:rsidR="00E87E13" w:rsidRPr="00E87E13" w:rsidRDefault="00E87E13" w:rsidP="00B47330">
            <w:pPr>
              <w:spacing w:after="0" w:line="240" w:lineRule="auto"/>
              <w:contextualSpacing/>
              <w:jc w:val="left"/>
              <w:rPr>
                <w:color w:val="000000" w:themeColor="text1"/>
              </w:rPr>
            </w:pPr>
            <w:r>
              <w:rPr>
                <w:color w:val="000000" w:themeColor="text1"/>
              </w:rPr>
              <w:t>Ж</w:t>
            </w:r>
            <w:r>
              <w:rPr>
                <w:color w:val="000000" w:themeColor="text1"/>
                <w:lang w:val="en-US"/>
              </w:rPr>
              <w:t>: 98x</w:t>
            </w:r>
          </w:p>
        </w:tc>
        <w:tc>
          <w:tcPr>
            <w:tcW w:w="3679" w:type="dxa"/>
          </w:tcPr>
          <w:p w14:paraId="61CE37AF" w14:textId="784FB05E" w:rsidR="00E87E13" w:rsidRPr="00E14858" w:rsidRDefault="001E7F44" w:rsidP="00B47330">
            <w:pPr>
              <w:spacing w:after="0" w:line="240" w:lineRule="auto"/>
              <w:contextualSpacing/>
              <w:jc w:val="left"/>
              <w:rPr>
                <w:color w:val="000000" w:themeColor="text1"/>
              </w:rPr>
            </w:pPr>
            <w:r>
              <w:rPr>
                <w:color w:val="000000" w:themeColor="text1"/>
              </w:rPr>
              <w:t xml:space="preserve">- Смертность при </w:t>
            </w:r>
            <w:r w:rsidR="0081552D">
              <w:rPr>
                <w:color w:val="000000" w:themeColor="text1"/>
              </w:rPr>
              <w:t xml:space="preserve">дозах </w:t>
            </w:r>
            <w:r>
              <w:rPr>
                <w:color w:val="000000" w:themeColor="text1"/>
              </w:rPr>
              <w:t>250 и 400 мг</w:t>
            </w:r>
            <w:r w:rsidRPr="00E14858">
              <w:rPr>
                <w:color w:val="000000" w:themeColor="text1"/>
              </w:rPr>
              <w:t>/</w:t>
            </w:r>
            <w:r>
              <w:rPr>
                <w:color w:val="000000" w:themeColor="text1"/>
              </w:rPr>
              <w:t>кг</w:t>
            </w:r>
          </w:p>
          <w:p w14:paraId="36003330" w14:textId="7172847E" w:rsidR="001E7F44" w:rsidRDefault="001E7F44" w:rsidP="00B47330">
            <w:pPr>
              <w:spacing w:after="0" w:line="240" w:lineRule="auto"/>
              <w:contextualSpacing/>
              <w:jc w:val="left"/>
              <w:rPr>
                <w:color w:val="000000" w:themeColor="text1"/>
              </w:rPr>
            </w:pPr>
            <w:r w:rsidRPr="00E14858">
              <w:rPr>
                <w:color w:val="000000" w:themeColor="text1"/>
              </w:rPr>
              <w:t xml:space="preserve">- </w:t>
            </w:r>
            <w:r>
              <w:rPr>
                <w:color w:val="000000" w:themeColor="text1"/>
              </w:rPr>
              <w:t>Увеличение массы предстательной железы</w:t>
            </w:r>
          </w:p>
          <w:p w14:paraId="6E99066E" w14:textId="2B840593" w:rsidR="001E7F44" w:rsidRPr="001E7F44" w:rsidRDefault="001E7F44" w:rsidP="00B47330">
            <w:pPr>
              <w:spacing w:after="0" w:line="240" w:lineRule="auto"/>
              <w:contextualSpacing/>
              <w:jc w:val="left"/>
              <w:rPr>
                <w:color w:val="000000" w:themeColor="text1"/>
              </w:rPr>
            </w:pPr>
            <w:r>
              <w:rPr>
                <w:color w:val="000000" w:themeColor="text1"/>
              </w:rPr>
              <w:t>(</w:t>
            </w:r>
            <w:r w:rsidRPr="001E7F44">
              <w:rPr>
                <w:color w:val="000000" w:themeColor="text1"/>
              </w:rPr>
              <w:t>≥</w:t>
            </w:r>
            <w:r>
              <w:rPr>
                <w:color w:val="000000" w:themeColor="text1"/>
              </w:rPr>
              <w:t xml:space="preserve"> 20%) при</w:t>
            </w:r>
            <w:r w:rsidR="0081552D">
              <w:rPr>
                <w:color w:val="000000" w:themeColor="text1"/>
              </w:rPr>
              <w:t xml:space="preserve"> дозах</w:t>
            </w:r>
            <w:r>
              <w:rPr>
                <w:color w:val="000000" w:themeColor="text1"/>
              </w:rPr>
              <w:t xml:space="preserve"> 150 и 250 мг</w:t>
            </w:r>
            <w:r w:rsidRPr="00E14858">
              <w:rPr>
                <w:color w:val="000000" w:themeColor="text1"/>
              </w:rPr>
              <w:t>/</w:t>
            </w:r>
            <w:r>
              <w:rPr>
                <w:color w:val="000000" w:themeColor="text1"/>
              </w:rPr>
              <w:t>кг</w:t>
            </w:r>
          </w:p>
        </w:tc>
      </w:tr>
      <w:tr w:rsidR="00E87E13" w14:paraId="3A595474" w14:textId="77777777" w:rsidTr="00B47330">
        <w:tc>
          <w:tcPr>
            <w:tcW w:w="2098" w:type="dxa"/>
          </w:tcPr>
          <w:p w14:paraId="594AB53C" w14:textId="280D2B30" w:rsidR="00E87E13" w:rsidRDefault="00E87E13" w:rsidP="00B47330">
            <w:pPr>
              <w:spacing w:after="0" w:line="240" w:lineRule="auto"/>
              <w:contextualSpacing/>
              <w:jc w:val="left"/>
              <w:rPr>
                <w:color w:val="000000" w:themeColor="text1"/>
              </w:rPr>
            </w:pPr>
            <w:r>
              <w:rPr>
                <w:color w:val="000000" w:themeColor="text1"/>
              </w:rPr>
              <w:t>Крыс</w:t>
            </w:r>
            <w:r w:rsidR="0081552D">
              <w:rPr>
                <w:color w:val="000000" w:themeColor="text1"/>
              </w:rPr>
              <w:t>ы</w:t>
            </w:r>
            <w:r>
              <w:rPr>
                <w:color w:val="000000" w:themeColor="text1"/>
              </w:rPr>
              <w:t xml:space="preserve"> 13 недель</w:t>
            </w:r>
            <w:r w:rsidRPr="00E14858">
              <w:rPr>
                <w:color w:val="000000" w:themeColor="text1"/>
              </w:rPr>
              <w:t>:</w:t>
            </w:r>
            <w:r>
              <w:rPr>
                <w:color w:val="000000" w:themeColor="text1"/>
              </w:rPr>
              <w:t xml:space="preserve"> </w:t>
            </w:r>
          </w:p>
          <w:p w14:paraId="1EDBDDF9" w14:textId="65C1DD11" w:rsidR="00E87E13" w:rsidRDefault="00E87E13" w:rsidP="00B47330">
            <w:pPr>
              <w:spacing w:after="0" w:line="240" w:lineRule="auto"/>
              <w:contextualSpacing/>
              <w:jc w:val="left"/>
              <w:rPr>
                <w:color w:val="000000" w:themeColor="text1"/>
              </w:rPr>
            </w:pPr>
            <w:r>
              <w:rPr>
                <w:color w:val="000000" w:themeColor="text1"/>
              </w:rPr>
              <w:t>0, 30, 100 и 700 мг</w:t>
            </w:r>
            <w:r w:rsidRPr="00EB7E54">
              <w:rPr>
                <w:color w:val="000000" w:themeColor="text1"/>
              </w:rPr>
              <w:t>/</w:t>
            </w:r>
            <w:r>
              <w:rPr>
                <w:color w:val="000000" w:themeColor="text1"/>
              </w:rPr>
              <w:t>кг</w:t>
            </w:r>
            <w:r w:rsidRPr="00EB7E54">
              <w:rPr>
                <w:color w:val="000000" w:themeColor="text1"/>
              </w:rPr>
              <w:t>/</w:t>
            </w:r>
            <w:r>
              <w:rPr>
                <w:color w:val="000000" w:themeColor="text1"/>
              </w:rPr>
              <w:t>сут</w:t>
            </w:r>
          </w:p>
        </w:tc>
        <w:tc>
          <w:tcPr>
            <w:tcW w:w="1491" w:type="dxa"/>
          </w:tcPr>
          <w:p w14:paraId="73DF58EB" w14:textId="140AB1AE" w:rsidR="00E87E13" w:rsidRDefault="00E87E13" w:rsidP="00B47330">
            <w:pPr>
              <w:spacing w:after="0" w:line="240" w:lineRule="auto"/>
              <w:contextualSpacing/>
              <w:jc w:val="left"/>
              <w:rPr>
                <w:color w:val="000000" w:themeColor="text1"/>
              </w:rPr>
            </w:pPr>
            <w:r>
              <w:rPr>
                <w:color w:val="000000" w:themeColor="text1"/>
              </w:rPr>
              <w:t>100 мг</w:t>
            </w:r>
            <w:r>
              <w:rPr>
                <w:color w:val="000000" w:themeColor="text1"/>
                <w:lang w:val="en-US"/>
              </w:rPr>
              <w:t>/</w:t>
            </w:r>
            <w:r>
              <w:rPr>
                <w:color w:val="000000" w:themeColor="text1"/>
              </w:rPr>
              <w:t>кг</w:t>
            </w:r>
            <w:r>
              <w:rPr>
                <w:color w:val="000000" w:themeColor="text1"/>
                <w:lang w:val="en-US"/>
              </w:rPr>
              <w:t>/</w:t>
            </w:r>
            <w:r>
              <w:rPr>
                <w:color w:val="000000" w:themeColor="text1"/>
              </w:rPr>
              <w:t>сут</w:t>
            </w:r>
          </w:p>
        </w:tc>
        <w:tc>
          <w:tcPr>
            <w:tcW w:w="2076" w:type="dxa"/>
          </w:tcPr>
          <w:p w14:paraId="6342DE29" w14:textId="51C1B4CE" w:rsidR="00E87E13" w:rsidRDefault="00E87E13" w:rsidP="00B47330">
            <w:pPr>
              <w:spacing w:after="0" w:line="240" w:lineRule="auto"/>
              <w:contextualSpacing/>
              <w:jc w:val="left"/>
              <w:rPr>
                <w:color w:val="000000" w:themeColor="text1"/>
              </w:rPr>
            </w:pPr>
            <w:r>
              <w:rPr>
                <w:color w:val="000000" w:themeColor="text1"/>
              </w:rPr>
              <w:t>М</w:t>
            </w:r>
            <w:r>
              <w:rPr>
                <w:color w:val="000000" w:themeColor="text1"/>
                <w:lang w:val="en-US"/>
              </w:rPr>
              <w:t>: 13x</w:t>
            </w:r>
          </w:p>
          <w:p w14:paraId="5A6329CD" w14:textId="31653CA8" w:rsidR="00E87E13" w:rsidRDefault="00E87E13" w:rsidP="00B47330">
            <w:pPr>
              <w:spacing w:after="0" w:line="240" w:lineRule="auto"/>
              <w:contextualSpacing/>
              <w:jc w:val="left"/>
              <w:rPr>
                <w:color w:val="000000" w:themeColor="text1"/>
              </w:rPr>
            </w:pPr>
            <w:r>
              <w:rPr>
                <w:color w:val="000000" w:themeColor="text1"/>
              </w:rPr>
              <w:t>Ж</w:t>
            </w:r>
            <w:r>
              <w:rPr>
                <w:color w:val="000000" w:themeColor="text1"/>
                <w:lang w:val="en-US"/>
              </w:rPr>
              <w:t>: 35x</w:t>
            </w:r>
          </w:p>
        </w:tc>
        <w:tc>
          <w:tcPr>
            <w:tcW w:w="3679" w:type="dxa"/>
          </w:tcPr>
          <w:p w14:paraId="303B8540" w14:textId="1E714CB9" w:rsidR="00E87E13" w:rsidRDefault="00DC0268" w:rsidP="00B47330">
            <w:pPr>
              <w:spacing w:after="0" w:line="240" w:lineRule="auto"/>
              <w:contextualSpacing/>
              <w:jc w:val="left"/>
              <w:rPr>
                <w:color w:val="000000" w:themeColor="text1"/>
              </w:rPr>
            </w:pPr>
            <w:r>
              <w:rPr>
                <w:color w:val="000000" w:themeColor="text1"/>
              </w:rPr>
              <w:t>- Смертность при</w:t>
            </w:r>
            <w:r w:rsidR="0081552D">
              <w:rPr>
                <w:color w:val="000000" w:themeColor="text1"/>
              </w:rPr>
              <w:t xml:space="preserve"> доз</w:t>
            </w:r>
            <w:r w:rsidR="008A5E05">
              <w:rPr>
                <w:color w:val="000000" w:themeColor="text1"/>
              </w:rPr>
              <w:t>е</w:t>
            </w:r>
            <w:r>
              <w:rPr>
                <w:color w:val="000000" w:themeColor="text1"/>
              </w:rPr>
              <w:t xml:space="preserve"> 700 мг</w:t>
            </w:r>
            <w:r w:rsidRPr="00E14858">
              <w:rPr>
                <w:color w:val="000000" w:themeColor="text1"/>
              </w:rPr>
              <w:t>/</w:t>
            </w:r>
            <w:r>
              <w:rPr>
                <w:color w:val="000000" w:themeColor="text1"/>
              </w:rPr>
              <w:t>кг</w:t>
            </w:r>
          </w:p>
          <w:p w14:paraId="6E83FE2E" w14:textId="6846B8B8" w:rsidR="00DC0268" w:rsidRDefault="00DC0268" w:rsidP="00B47330">
            <w:pPr>
              <w:spacing w:after="0" w:line="240" w:lineRule="auto"/>
              <w:contextualSpacing/>
              <w:jc w:val="left"/>
              <w:rPr>
                <w:color w:val="000000" w:themeColor="text1"/>
              </w:rPr>
            </w:pPr>
            <w:r>
              <w:rPr>
                <w:color w:val="000000" w:themeColor="text1"/>
              </w:rPr>
              <w:t xml:space="preserve">- Увеличение </w:t>
            </w:r>
            <w:r>
              <w:rPr>
                <w:color w:val="000000" w:themeColor="text1"/>
                <w:lang w:val="en-US"/>
              </w:rPr>
              <w:t>BUN</w:t>
            </w:r>
            <w:r w:rsidRPr="00E14858">
              <w:rPr>
                <w:color w:val="000000" w:themeColor="text1"/>
              </w:rPr>
              <w:t xml:space="preserve"> </w:t>
            </w:r>
            <w:r w:rsidR="000049B1">
              <w:rPr>
                <w:color w:val="000000" w:themeColor="text1"/>
              </w:rPr>
              <w:t>при</w:t>
            </w:r>
            <w:r w:rsidR="008A5E05">
              <w:rPr>
                <w:color w:val="000000" w:themeColor="text1"/>
              </w:rPr>
              <w:t xml:space="preserve"> дозе</w:t>
            </w:r>
            <w:r>
              <w:rPr>
                <w:color w:val="000000" w:themeColor="text1"/>
              </w:rPr>
              <w:t xml:space="preserve"> 100 мг</w:t>
            </w:r>
            <w:r w:rsidRPr="00E14858">
              <w:rPr>
                <w:color w:val="000000" w:themeColor="text1"/>
              </w:rPr>
              <w:t>/</w:t>
            </w:r>
            <w:r>
              <w:rPr>
                <w:color w:val="000000" w:themeColor="text1"/>
              </w:rPr>
              <w:t>кг без корреляции с патологией</w:t>
            </w:r>
          </w:p>
          <w:p w14:paraId="2947962F" w14:textId="7124D2F3" w:rsidR="00DC0268" w:rsidRPr="00DC0268" w:rsidRDefault="00DC0268" w:rsidP="00B47330">
            <w:pPr>
              <w:spacing w:after="0" w:line="240" w:lineRule="auto"/>
              <w:contextualSpacing/>
              <w:jc w:val="left"/>
              <w:rPr>
                <w:color w:val="000000" w:themeColor="text1"/>
              </w:rPr>
            </w:pPr>
            <w:r>
              <w:rPr>
                <w:color w:val="000000" w:themeColor="text1"/>
              </w:rPr>
              <w:t>- Доза-зависимая минерализация в почках</w:t>
            </w:r>
          </w:p>
        </w:tc>
      </w:tr>
      <w:tr w:rsidR="00E87E13" w14:paraId="16B3EEB2" w14:textId="77777777" w:rsidTr="00B47330">
        <w:tc>
          <w:tcPr>
            <w:tcW w:w="2098" w:type="dxa"/>
          </w:tcPr>
          <w:p w14:paraId="18C08358" w14:textId="2A4B20A6" w:rsidR="00E87E13" w:rsidRDefault="00E87E13" w:rsidP="00B47330">
            <w:pPr>
              <w:spacing w:after="0" w:line="240" w:lineRule="auto"/>
              <w:contextualSpacing/>
              <w:jc w:val="left"/>
              <w:rPr>
                <w:color w:val="000000" w:themeColor="text1"/>
              </w:rPr>
            </w:pPr>
            <w:r>
              <w:rPr>
                <w:color w:val="000000" w:themeColor="text1"/>
              </w:rPr>
              <w:t>Крыс</w:t>
            </w:r>
            <w:r w:rsidR="0081552D">
              <w:rPr>
                <w:color w:val="000000" w:themeColor="text1"/>
              </w:rPr>
              <w:t>ы</w:t>
            </w:r>
            <w:r>
              <w:rPr>
                <w:color w:val="000000" w:themeColor="text1"/>
              </w:rPr>
              <w:t xml:space="preserve"> 6 месяцев </w:t>
            </w:r>
          </w:p>
          <w:p w14:paraId="1009B5A5" w14:textId="57454DA4" w:rsidR="00E87E13" w:rsidRDefault="00E87E13" w:rsidP="00B47330">
            <w:pPr>
              <w:spacing w:after="0" w:line="240" w:lineRule="auto"/>
              <w:contextualSpacing/>
              <w:jc w:val="left"/>
              <w:rPr>
                <w:color w:val="000000" w:themeColor="text1"/>
              </w:rPr>
            </w:pPr>
            <w:r>
              <w:rPr>
                <w:color w:val="000000" w:themeColor="text1"/>
              </w:rPr>
              <w:lastRenderedPageBreak/>
              <w:t>0, 30, 100 и 700 мг</w:t>
            </w:r>
            <w:r w:rsidRPr="00EB7E54">
              <w:rPr>
                <w:color w:val="000000" w:themeColor="text1"/>
              </w:rPr>
              <w:t>/</w:t>
            </w:r>
            <w:r>
              <w:rPr>
                <w:color w:val="000000" w:themeColor="text1"/>
              </w:rPr>
              <w:t>кг</w:t>
            </w:r>
            <w:r w:rsidRPr="00EB7E54">
              <w:rPr>
                <w:color w:val="000000" w:themeColor="text1"/>
              </w:rPr>
              <w:t>/</w:t>
            </w:r>
            <w:r>
              <w:rPr>
                <w:color w:val="000000" w:themeColor="text1"/>
              </w:rPr>
              <w:t>сут</w:t>
            </w:r>
          </w:p>
        </w:tc>
        <w:tc>
          <w:tcPr>
            <w:tcW w:w="1491" w:type="dxa"/>
          </w:tcPr>
          <w:p w14:paraId="5F8A23B3" w14:textId="172CA8EF" w:rsidR="00E87E13" w:rsidRDefault="00E87E13" w:rsidP="00B47330">
            <w:pPr>
              <w:spacing w:after="0" w:line="240" w:lineRule="auto"/>
              <w:contextualSpacing/>
              <w:jc w:val="left"/>
              <w:rPr>
                <w:color w:val="000000" w:themeColor="text1"/>
              </w:rPr>
            </w:pPr>
            <w:r>
              <w:rPr>
                <w:color w:val="000000" w:themeColor="text1"/>
              </w:rPr>
              <w:lastRenderedPageBreak/>
              <w:t>не установлено</w:t>
            </w:r>
          </w:p>
        </w:tc>
        <w:tc>
          <w:tcPr>
            <w:tcW w:w="2076" w:type="dxa"/>
          </w:tcPr>
          <w:p w14:paraId="51888309" w14:textId="01E55D06" w:rsidR="00E87E13" w:rsidRDefault="00E87E13" w:rsidP="00B47330">
            <w:pPr>
              <w:spacing w:after="0" w:line="240" w:lineRule="auto"/>
              <w:contextualSpacing/>
              <w:jc w:val="left"/>
              <w:rPr>
                <w:color w:val="000000" w:themeColor="text1"/>
              </w:rPr>
            </w:pPr>
            <w:r>
              <w:rPr>
                <w:color w:val="000000" w:themeColor="text1"/>
              </w:rPr>
              <w:t>не применимо</w:t>
            </w:r>
          </w:p>
        </w:tc>
        <w:tc>
          <w:tcPr>
            <w:tcW w:w="3679" w:type="dxa"/>
          </w:tcPr>
          <w:p w14:paraId="77598A06" w14:textId="0C5E50A5" w:rsidR="00E87E13" w:rsidRDefault="00DC0268" w:rsidP="00B47330">
            <w:pPr>
              <w:tabs>
                <w:tab w:val="left" w:pos="480"/>
              </w:tabs>
              <w:spacing w:after="0" w:line="240" w:lineRule="auto"/>
              <w:contextualSpacing/>
              <w:jc w:val="left"/>
              <w:rPr>
                <w:color w:val="000000" w:themeColor="text1"/>
              </w:rPr>
            </w:pPr>
            <w:r>
              <w:rPr>
                <w:color w:val="000000" w:themeColor="text1"/>
              </w:rPr>
              <w:t>- Смертность</w:t>
            </w:r>
            <w:r w:rsidR="000049B1">
              <w:rPr>
                <w:color w:val="000000" w:themeColor="text1"/>
              </w:rPr>
              <w:t xml:space="preserve"> в популяциях М и Ж</w:t>
            </w:r>
            <w:r>
              <w:rPr>
                <w:color w:val="000000" w:themeColor="text1"/>
              </w:rPr>
              <w:t xml:space="preserve"> при</w:t>
            </w:r>
            <w:r w:rsidR="008A5E05">
              <w:rPr>
                <w:color w:val="000000" w:themeColor="text1"/>
              </w:rPr>
              <w:t xml:space="preserve"> дозе</w:t>
            </w:r>
            <w:r>
              <w:rPr>
                <w:color w:val="000000" w:themeColor="text1"/>
              </w:rPr>
              <w:t xml:space="preserve"> 700 мг</w:t>
            </w:r>
            <w:r w:rsidRPr="00E14858">
              <w:rPr>
                <w:color w:val="000000" w:themeColor="text1"/>
              </w:rPr>
              <w:t>/</w:t>
            </w:r>
            <w:r>
              <w:rPr>
                <w:color w:val="000000" w:themeColor="text1"/>
              </w:rPr>
              <w:t>кг</w:t>
            </w:r>
          </w:p>
          <w:p w14:paraId="3FA9AF6A" w14:textId="77777777" w:rsidR="00DC0268" w:rsidRDefault="00DC0268" w:rsidP="00B47330">
            <w:pPr>
              <w:tabs>
                <w:tab w:val="left" w:pos="480"/>
              </w:tabs>
              <w:spacing w:after="0" w:line="240" w:lineRule="auto"/>
              <w:contextualSpacing/>
              <w:jc w:val="left"/>
              <w:rPr>
                <w:color w:val="000000" w:themeColor="text1"/>
              </w:rPr>
            </w:pPr>
            <w:r>
              <w:rPr>
                <w:color w:val="000000" w:themeColor="text1"/>
              </w:rPr>
              <w:lastRenderedPageBreak/>
              <w:t>- Все группы лечения эмплаглифлазином</w:t>
            </w:r>
            <w:r w:rsidRPr="00E14858">
              <w:rPr>
                <w:color w:val="000000" w:themeColor="text1"/>
              </w:rPr>
              <w:t>:</w:t>
            </w:r>
          </w:p>
          <w:p w14:paraId="578AB5B8" w14:textId="77777777" w:rsidR="00DC0268" w:rsidRDefault="00DC0268" w:rsidP="00B47330">
            <w:pPr>
              <w:tabs>
                <w:tab w:val="left" w:pos="480"/>
              </w:tabs>
              <w:spacing w:after="0" w:line="240" w:lineRule="auto"/>
              <w:contextualSpacing/>
              <w:jc w:val="left"/>
              <w:rPr>
                <w:color w:val="000000" w:themeColor="text1"/>
              </w:rPr>
            </w:pPr>
            <w:r>
              <w:rPr>
                <w:color w:val="000000" w:themeColor="text1"/>
              </w:rPr>
              <w:t>Вакуолизация надпочечников, вакуолизация печени, расширение кортикомедуллярных канальцев почек и минерализация</w:t>
            </w:r>
          </w:p>
          <w:p w14:paraId="3EEC289C" w14:textId="1005A728" w:rsidR="008A5E05" w:rsidRDefault="00DC0268" w:rsidP="00B47330">
            <w:pPr>
              <w:tabs>
                <w:tab w:val="left" w:pos="480"/>
              </w:tabs>
              <w:spacing w:after="0" w:line="240" w:lineRule="auto"/>
              <w:contextualSpacing/>
              <w:jc w:val="left"/>
              <w:rPr>
                <w:color w:val="000000" w:themeColor="text1"/>
              </w:rPr>
            </w:pPr>
            <w:r>
              <w:rPr>
                <w:color w:val="000000" w:themeColor="text1"/>
              </w:rPr>
              <w:t>- Вакуолизация почек при</w:t>
            </w:r>
            <w:r w:rsidR="008A5E05">
              <w:rPr>
                <w:color w:val="000000" w:themeColor="text1"/>
              </w:rPr>
              <w:t xml:space="preserve"> доз</w:t>
            </w:r>
            <w:r w:rsidR="00A21117">
              <w:rPr>
                <w:color w:val="000000" w:themeColor="text1"/>
              </w:rPr>
              <w:t>ах</w:t>
            </w:r>
          </w:p>
          <w:p w14:paraId="7D17D784" w14:textId="3E2C274A" w:rsidR="00DC0268" w:rsidRPr="00DC0268" w:rsidRDefault="00DC0268" w:rsidP="00B47330">
            <w:pPr>
              <w:tabs>
                <w:tab w:val="left" w:pos="480"/>
              </w:tabs>
              <w:spacing w:after="0" w:line="240" w:lineRule="auto"/>
              <w:contextualSpacing/>
              <w:jc w:val="left"/>
              <w:rPr>
                <w:color w:val="000000" w:themeColor="text1"/>
              </w:rPr>
            </w:pPr>
            <w:r>
              <w:rPr>
                <w:color w:val="000000" w:themeColor="text1"/>
              </w:rPr>
              <w:t xml:space="preserve"> </w:t>
            </w:r>
            <w:r w:rsidRPr="001E7F44">
              <w:rPr>
                <w:color w:val="000000" w:themeColor="text1"/>
              </w:rPr>
              <w:t>≥</w:t>
            </w:r>
            <w:r>
              <w:rPr>
                <w:color w:val="000000" w:themeColor="text1"/>
              </w:rPr>
              <w:t xml:space="preserve"> 100 мг</w:t>
            </w:r>
            <w:r w:rsidRPr="00E14858">
              <w:rPr>
                <w:color w:val="000000" w:themeColor="text1"/>
              </w:rPr>
              <w:t>/</w:t>
            </w:r>
            <w:r>
              <w:rPr>
                <w:color w:val="000000" w:themeColor="text1"/>
              </w:rPr>
              <w:t>кг</w:t>
            </w:r>
          </w:p>
        </w:tc>
      </w:tr>
      <w:tr w:rsidR="00E87E13" w14:paraId="1E0BB800" w14:textId="77777777" w:rsidTr="00B47330">
        <w:tc>
          <w:tcPr>
            <w:tcW w:w="2098" w:type="dxa"/>
          </w:tcPr>
          <w:p w14:paraId="4C45E4B9" w14:textId="1AC8C898" w:rsidR="00E87E13" w:rsidRDefault="00E87E13" w:rsidP="00B47330">
            <w:pPr>
              <w:spacing w:after="0" w:line="240" w:lineRule="auto"/>
              <w:contextualSpacing/>
              <w:jc w:val="left"/>
              <w:rPr>
                <w:color w:val="000000" w:themeColor="text1"/>
              </w:rPr>
            </w:pPr>
            <w:r>
              <w:rPr>
                <w:color w:val="000000" w:themeColor="text1"/>
              </w:rPr>
              <w:lastRenderedPageBreak/>
              <w:t>Собак</w:t>
            </w:r>
            <w:r w:rsidR="0081552D">
              <w:rPr>
                <w:color w:val="000000" w:themeColor="text1"/>
              </w:rPr>
              <w:t>и</w:t>
            </w:r>
            <w:r>
              <w:rPr>
                <w:color w:val="000000" w:themeColor="text1"/>
              </w:rPr>
              <w:t xml:space="preserve"> 13 недель</w:t>
            </w:r>
            <w:r w:rsidRPr="00E14858">
              <w:rPr>
                <w:color w:val="000000" w:themeColor="text1"/>
              </w:rPr>
              <w:t>:</w:t>
            </w:r>
            <w:r>
              <w:rPr>
                <w:color w:val="000000" w:themeColor="text1"/>
              </w:rPr>
              <w:t xml:space="preserve"> </w:t>
            </w:r>
          </w:p>
          <w:p w14:paraId="0FD8F35D" w14:textId="7B321B15" w:rsidR="00E87E13" w:rsidRDefault="00E87E13" w:rsidP="00B47330">
            <w:pPr>
              <w:spacing w:after="0" w:line="240" w:lineRule="auto"/>
              <w:contextualSpacing/>
              <w:jc w:val="left"/>
              <w:rPr>
                <w:color w:val="000000" w:themeColor="text1"/>
              </w:rPr>
            </w:pPr>
            <w:r>
              <w:rPr>
                <w:color w:val="000000" w:themeColor="text1"/>
              </w:rPr>
              <w:t>0, 10, 30 и 100 мг</w:t>
            </w:r>
            <w:r w:rsidRPr="00EB7E54">
              <w:rPr>
                <w:color w:val="000000" w:themeColor="text1"/>
              </w:rPr>
              <w:t>/</w:t>
            </w:r>
            <w:r>
              <w:rPr>
                <w:color w:val="000000" w:themeColor="text1"/>
              </w:rPr>
              <w:t>кг</w:t>
            </w:r>
            <w:r w:rsidRPr="00EB7E54">
              <w:rPr>
                <w:color w:val="000000" w:themeColor="text1"/>
              </w:rPr>
              <w:t>/</w:t>
            </w:r>
            <w:r>
              <w:rPr>
                <w:color w:val="000000" w:themeColor="text1"/>
              </w:rPr>
              <w:t>сут</w:t>
            </w:r>
          </w:p>
        </w:tc>
        <w:tc>
          <w:tcPr>
            <w:tcW w:w="1491" w:type="dxa"/>
          </w:tcPr>
          <w:p w14:paraId="10FD0251" w14:textId="50D78A8D" w:rsidR="00E87E13" w:rsidRDefault="00E87E13" w:rsidP="00B47330">
            <w:pPr>
              <w:spacing w:after="0" w:line="240" w:lineRule="auto"/>
              <w:contextualSpacing/>
              <w:jc w:val="left"/>
              <w:rPr>
                <w:color w:val="000000" w:themeColor="text1"/>
              </w:rPr>
            </w:pPr>
            <w:r>
              <w:rPr>
                <w:color w:val="000000" w:themeColor="text1"/>
              </w:rPr>
              <w:t>10 мг</w:t>
            </w:r>
            <w:r>
              <w:rPr>
                <w:color w:val="000000" w:themeColor="text1"/>
                <w:lang w:val="en-US"/>
              </w:rPr>
              <w:t>/</w:t>
            </w:r>
            <w:r>
              <w:rPr>
                <w:color w:val="000000" w:themeColor="text1"/>
              </w:rPr>
              <w:t>кг</w:t>
            </w:r>
            <w:r>
              <w:rPr>
                <w:color w:val="000000" w:themeColor="text1"/>
                <w:lang w:val="en-US"/>
              </w:rPr>
              <w:t>/</w:t>
            </w:r>
            <w:r>
              <w:rPr>
                <w:color w:val="000000" w:themeColor="text1"/>
              </w:rPr>
              <w:t>сут</w:t>
            </w:r>
          </w:p>
        </w:tc>
        <w:tc>
          <w:tcPr>
            <w:tcW w:w="2076" w:type="dxa"/>
          </w:tcPr>
          <w:p w14:paraId="524D0B8D" w14:textId="1D7B1CE3" w:rsidR="00E87E13" w:rsidRDefault="00E87E13" w:rsidP="00B47330">
            <w:pPr>
              <w:spacing w:after="0" w:line="240" w:lineRule="auto"/>
              <w:contextualSpacing/>
              <w:jc w:val="left"/>
              <w:rPr>
                <w:color w:val="000000" w:themeColor="text1"/>
              </w:rPr>
            </w:pPr>
            <w:r>
              <w:rPr>
                <w:color w:val="000000" w:themeColor="text1"/>
              </w:rPr>
              <w:t>М</w:t>
            </w:r>
            <w:r>
              <w:rPr>
                <w:color w:val="000000" w:themeColor="text1"/>
                <w:lang w:val="en-US"/>
              </w:rPr>
              <w:t>: 15x</w:t>
            </w:r>
          </w:p>
          <w:p w14:paraId="554E947F" w14:textId="281E637D" w:rsidR="00E87E13" w:rsidRDefault="00E87E13" w:rsidP="00B47330">
            <w:pPr>
              <w:spacing w:after="0" w:line="240" w:lineRule="auto"/>
              <w:contextualSpacing/>
              <w:jc w:val="left"/>
              <w:rPr>
                <w:color w:val="000000" w:themeColor="text1"/>
              </w:rPr>
            </w:pPr>
            <w:r>
              <w:rPr>
                <w:color w:val="000000" w:themeColor="text1"/>
              </w:rPr>
              <w:t>Ж</w:t>
            </w:r>
            <w:r>
              <w:rPr>
                <w:color w:val="000000" w:themeColor="text1"/>
                <w:lang w:val="en-US"/>
              </w:rPr>
              <w:t>: 24x</w:t>
            </w:r>
          </w:p>
        </w:tc>
        <w:tc>
          <w:tcPr>
            <w:tcW w:w="3679" w:type="dxa"/>
          </w:tcPr>
          <w:p w14:paraId="440E7A07" w14:textId="77777777" w:rsidR="008A5E05" w:rsidRDefault="00DC0268" w:rsidP="00B47330">
            <w:pPr>
              <w:spacing w:after="0" w:line="240" w:lineRule="auto"/>
              <w:contextualSpacing/>
              <w:jc w:val="left"/>
              <w:rPr>
                <w:color w:val="000000" w:themeColor="text1"/>
              </w:rPr>
            </w:pPr>
            <w:r>
              <w:rPr>
                <w:color w:val="000000" w:themeColor="text1"/>
              </w:rPr>
              <w:t xml:space="preserve">- Нефрит и кортикально-канальцевая нефропатия при </w:t>
            </w:r>
            <w:r w:rsidR="008A5E05">
              <w:rPr>
                <w:color w:val="000000" w:themeColor="text1"/>
              </w:rPr>
              <w:t xml:space="preserve">дозе </w:t>
            </w:r>
            <w:r>
              <w:rPr>
                <w:color w:val="000000" w:themeColor="text1"/>
              </w:rPr>
              <w:t>30 мг</w:t>
            </w:r>
            <w:r w:rsidRPr="00E14858">
              <w:rPr>
                <w:color w:val="000000" w:themeColor="text1"/>
              </w:rPr>
              <w:t>/</w:t>
            </w:r>
            <w:r>
              <w:rPr>
                <w:color w:val="000000" w:themeColor="text1"/>
              </w:rPr>
              <w:t xml:space="preserve">кг, необратимые при </w:t>
            </w:r>
          </w:p>
          <w:p w14:paraId="17C08EBF" w14:textId="586F61F9" w:rsidR="00E87E13" w:rsidRDefault="00DC0268" w:rsidP="00B47330">
            <w:pPr>
              <w:spacing w:after="0" w:line="240" w:lineRule="auto"/>
              <w:contextualSpacing/>
              <w:jc w:val="left"/>
              <w:rPr>
                <w:color w:val="000000" w:themeColor="text1"/>
              </w:rPr>
            </w:pPr>
            <w:r>
              <w:rPr>
                <w:color w:val="000000" w:themeColor="text1"/>
              </w:rPr>
              <w:t>100 мг</w:t>
            </w:r>
            <w:r w:rsidRPr="00E14858">
              <w:rPr>
                <w:color w:val="000000" w:themeColor="text1"/>
              </w:rPr>
              <w:t>/</w:t>
            </w:r>
            <w:r>
              <w:rPr>
                <w:color w:val="000000" w:themeColor="text1"/>
              </w:rPr>
              <w:t>кг</w:t>
            </w:r>
          </w:p>
          <w:p w14:paraId="42A3B962" w14:textId="165926DE" w:rsidR="00DC0268" w:rsidRPr="00DC0268" w:rsidRDefault="00DC0268" w:rsidP="00B47330">
            <w:pPr>
              <w:spacing w:after="0" w:line="240" w:lineRule="auto"/>
              <w:contextualSpacing/>
              <w:jc w:val="left"/>
              <w:rPr>
                <w:color w:val="000000" w:themeColor="text1"/>
              </w:rPr>
            </w:pPr>
            <w:r>
              <w:rPr>
                <w:color w:val="000000" w:themeColor="text1"/>
              </w:rPr>
              <w:t xml:space="preserve">- Вакуолизация печени при </w:t>
            </w:r>
            <w:r w:rsidR="008A5E05">
              <w:rPr>
                <w:color w:val="000000" w:themeColor="text1"/>
              </w:rPr>
              <w:t xml:space="preserve">дозе </w:t>
            </w:r>
            <w:r>
              <w:rPr>
                <w:color w:val="000000" w:themeColor="text1"/>
              </w:rPr>
              <w:t>30 мг</w:t>
            </w:r>
            <w:r w:rsidRPr="00E14858">
              <w:rPr>
                <w:color w:val="000000" w:themeColor="text1"/>
              </w:rPr>
              <w:t>/</w:t>
            </w:r>
            <w:r>
              <w:rPr>
                <w:color w:val="000000" w:themeColor="text1"/>
              </w:rPr>
              <w:t>кг</w:t>
            </w:r>
          </w:p>
        </w:tc>
      </w:tr>
      <w:tr w:rsidR="00E87E13" w14:paraId="1D89C5AB" w14:textId="77777777" w:rsidTr="00B47330">
        <w:tc>
          <w:tcPr>
            <w:tcW w:w="2098" w:type="dxa"/>
          </w:tcPr>
          <w:p w14:paraId="39B00AC3" w14:textId="37512E61" w:rsidR="00E87E13" w:rsidRDefault="00E87E13" w:rsidP="00B47330">
            <w:pPr>
              <w:spacing w:after="0" w:line="240" w:lineRule="auto"/>
              <w:contextualSpacing/>
              <w:jc w:val="left"/>
              <w:rPr>
                <w:color w:val="000000" w:themeColor="text1"/>
              </w:rPr>
            </w:pPr>
            <w:r>
              <w:rPr>
                <w:color w:val="000000" w:themeColor="text1"/>
              </w:rPr>
              <w:t>Собак</w:t>
            </w:r>
            <w:r w:rsidR="0081552D">
              <w:rPr>
                <w:color w:val="000000" w:themeColor="text1"/>
              </w:rPr>
              <w:t>и</w:t>
            </w:r>
            <w:r>
              <w:rPr>
                <w:color w:val="000000" w:themeColor="text1"/>
              </w:rPr>
              <w:t xml:space="preserve"> 26 недель</w:t>
            </w:r>
            <w:r w:rsidRPr="00E14858">
              <w:rPr>
                <w:color w:val="000000" w:themeColor="text1"/>
              </w:rPr>
              <w:t>:</w:t>
            </w:r>
            <w:r>
              <w:rPr>
                <w:color w:val="000000" w:themeColor="text1"/>
              </w:rPr>
              <w:t xml:space="preserve"> </w:t>
            </w:r>
          </w:p>
          <w:p w14:paraId="429E91D8" w14:textId="16619C26" w:rsidR="00E87E13" w:rsidRDefault="00E87E13" w:rsidP="00B47330">
            <w:pPr>
              <w:spacing w:after="0" w:line="240" w:lineRule="auto"/>
              <w:contextualSpacing/>
              <w:jc w:val="left"/>
              <w:rPr>
                <w:color w:val="000000" w:themeColor="text1"/>
              </w:rPr>
            </w:pPr>
            <w:r>
              <w:rPr>
                <w:color w:val="000000" w:themeColor="text1"/>
              </w:rPr>
              <w:t>0, 10, 30 и 100 мг</w:t>
            </w:r>
            <w:r w:rsidRPr="00EB7E54">
              <w:rPr>
                <w:color w:val="000000" w:themeColor="text1"/>
              </w:rPr>
              <w:t>/</w:t>
            </w:r>
            <w:r>
              <w:rPr>
                <w:color w:val="000000" w:themeColor="text1"/>
              </w:rPr>
              <w:t>кг</w:t>
            </w:r>
            <w:r w:rsidRPr="00EB7E54">
              <w:rPr>
                <w:color w:val="000000" w:themeColor="text1"/>
              </w:rPr>
              <w:t>/</w:t>
            </w:r>
            <w:r>
              <w:rPr>
                <w:color w:val="000000" w:themeColor="text1"/>
              </w:rPr>
              <w:t>сут</w:t>
            </w:r>
          </w:p>
        </w:tc>
        <w:tc>
          <w:tcPr>
            <w:tcW w:w="1491" w:type="dxa"/>
          </w:tcPr>
          <w:p w14:paraId="584DEE00" w14:textId="5D00E0E5" w:rsidR="00E87E13" w:rsidRDefault="00E87E13" w:rsidP="00B47330">
            <w:pPr>
              <w:spacing w:after="0" w:line="240" w:lineRule="auto"/>
              <w:contextualSpacing/>
              <w:jc w:val="left"/>
              <w:rPr>
                <w:color w:val="000000" w:themeColor="text1"/>
              </w:rPr>
            </w:pPr>
            <w:r>
              <w:rPr>
                <w:color w:val="000000" w:themeColor="text1"/>
              </w:rPr>
              <w:t>10 мг</w:t>
            </w:r>
            <w:r>
              <w:rPr>
                <w:color w:val="000000" w:themeColor="text1"/>
                <w:lang w:val="en-US"/>
              </w:rPr>
              <w:t>/</w:t>
            </w:r>
            <w:r>
              <w:rPr>
                <w:color w:val="000000" w:themeColor="text1"/>
              </w:rPr>
              <w:t>кг</w:t>
            </w:r>
            <w:r>
              <w:rPr>
                <w:color w:val="000000" w:themeColor="text1"/>
                <w:lang w:val="en-US"/>
              </w:rPr>
              <w:t>/</w:t>
            </w:r>
            <w:r>
              <w:rPr>
                <w:color w:val="000000" w:themeColor="text1"/>
              </w:rPr>
              <w:t>сут</w:t>
            </w:r>
          </w:p>
        </w:tc>
        <w:tc>
          <w:tcPr>
            <w:tcW w:w="2076" w:type="dxa"/>
          </w:tcPr>
          <w:p w14:paraId="0F837A67" w14:textId="1240F18D" w:rsidR="00E87E13" w:rsidRDefault="00E87E13" w:rsidP="00B47330">
            <w:pPr>
              <w:spacing w:after="0" w:line="240" w:lineRule="auto"/>
              <w:contextualSpacing/>
              <w:jc w:val="left"/>
              <w:rPr>
                <w:color w:val="000000" w:themeColor="text1"/>
              </w:rPr>
            </w:pPr>
            <w:r>
              <w:rPr>
                <w:color w:val="000000" w:themeColor="text1"/>
              </w:rPr>
              <w:t>М</w:t>
            </w:r>
            <w:r>
              <w:rPr>
                <w:color w:val="000000" w:themeColor="text1"/>
                <w:lang w:val="en-US"/>
              </w:rPr>
              <w:t>: 15x</w:t>
            </w:r>
          </w:p>
          <w:p w14:paraId="40B04A5F" w14:textId="29E078E0" w:rsidR="00E87E13" w:rsidRDefault="00E87E13" w:rsidP="00B47330">
            <w:pPr>
              <w:spacing w:after="0" w:line="240" w:lineRule="auto"/>
              <w:contextualSpacing/>
              <w:jc w:val="left"/>
              <w:rPr>
                <w:color w:val="000000" w:themeColor="text1"/>
              </w:rPr>
            </w:pPr>
            <w:r>
              <w:rPr>
                <w:color w:val="000000" w:themeColor="text1"/>
              </w:rPr>
              <w:t>Ж</w:t>
            </w:r>
            <w:r>
              <w:rPr>
                <w:color w:val="000000" w:themeColor="text1"/>
                <w:lang w:val="en-US"/>
              </w:rPr>
              <w:t>: 12x</w:t>
            </w:r>
          </w:p>
        </w:tc>
        <w:tc>
          <w:tcPr>
            <w:tcW w:w="3679" w:type="dxa"/>
          </w:tcPr>
          <w:p w14:paraId="04E1B18D" w14:textId="67A6C4A7" w:rsidR="00E87E13" w:rsidRDefault="00DC0268" w:rsidP="00B47330">
            <w:pPr>
              <w:spacing w:after="0" w:line="240" w:lineRule="auto"/>
              <w:contextualSpacing/>
              <w:jc w:val="left"/>
              <w:rPr>
                <w:color w:val="000000" w:themeColor="text1"/>
              </w:rPr>
            </w:pPr>
            <w:r>
              <w:rPr>
                <w:color w:val="000000" w:themeColor="text1"/>
              </w:rPr>
              <w:t xml:space="preserve">- Снижение прироста массы тела при </w:t>
            </w:r>
            <w:r w:rsidR="008A5E05">
              <w:rPr>
                <w:color w:val="000000" w:themeColor="text1"/>
              </w:rPr>
              <w:t xml:space="preserve">дозах </w:t>
            </w:r>
            <w:r>
              <w:rPr>
                <w:color w:val="000000" w:themeColor="text1"/>
              </w:rPr>
              <w:t>30 и 100 мг</w:t>
            </w:r>
            <w:r w:rsidRPr="00E14858">
              <w:rPr>
                <w:color w:val="000000" w:themeColor="text1"/>
              </w:rPr>
              <w:t>/</w:t>
            </w:r>
            <w:r>
              <w:rPr>
                <w:color w:val="000000" w:themeColor="text1"/>
              </w:rPr>
              <w:t>кг</w:t>
            </w:r>
          </w:p>
          <w:p w14:paraId="4621E638" w14:textId="06D41A06" w:rsidR="00DC0268" w:rsidRPr="00DC0268" w:rsidRDefault="00DC0268" w:rsidP="00B47330">
            <w:pPr>
              <w:spacing w:after="0" w:line="240" w:lineRule="auto"/>
              <w:contextualSpacing/>
              <w:jc w:val="left"/>
              <w:rPr>
                <w:color w:val="000000" w:themeColor="text1"/>
              </w:rPr>
            </w:pPr>
            <w:r>
              <w:rPr>
                <w:color w:val="000000" w:themeColor="text1"/>
              </w:rPr>
              <w:t>- Вакуолизация печени, дегенерация и гипертрофия клеток Купфера при</w:t>
            </w:r>
            <w:r w:rsidR="008A5E05">
              <w:rPr>
                <w:color w:val="000000" w:themeColor="text1"/>
              </w:rPr>
              <w:t xml:space="preserve"> дозе</w:t>
            </w:r>
            <w:r>
              <w:rPr>
                <w:color w:val="000000" w:themeColor="text1"/>
              </w:rPr>
              <w:t xml:space="preserve"> 100 мг</w:t>
            </w:r>
            <w:r w:rsidRPr="00E14858">
              <w:rPr>
                <w:color w:val="000000" w:themeColor="text1"/>
              </w:rPr>
              <w:t>/</w:t>
            </w:r>
            <w:r>
              <w:rPr>
                <w:color w:val="000000" w:themeColor="text1"/>
              </w:rPr>
              <w:t>кг</w:t>
            </w:r>
          </w:p>
        </w:tc>
      </w:tr>
      <w:tr w:rsidR="00E87E13" w14:paraId="0411C3A9" w14:textId="77777777" w:rsidTr="00B47330">
        <w:tc>
          <w:tcPr>
            <w:tcW w:w="2098" w:type="dxa"/>
          </w:tcPr>
          <w:p w14:paraId="759A864C" w14:textId="60C0D565" w:rsidR="00E87E13" w:rsidRDefault="00E87E13" w:rsidP="00B47330">
            <w:pPr>
              <w:spacing w:after="0" w:line="240" w:lineRule="auto"/>
              <w:contextualSpacing/>
              <w:jc w:val="left"/>
              <w:rPr>
                <w:color w:val="000000" w:themeColor="text1"/>
              </w:rPr>
            </w:pPr>
            <w:r>
              <w:rPr>
                <w:color w:val="000000" w:themeColor="text1"/>
              </w:rPr>
              <w:t>Собак</w:t>
            </w:r>
            <w:r w:rsidR="008A5E05">
              <w:rPr>
                <w:color w:val="000000" w:themeColor="text1"/>
              </w:rPr>
              <w:t>и</w:t>
            </w:r>
            <w:r>
              <w:rPr>
                <w:color w:val="000000" w:themeColor="text1"/>
              </w:rPr>
              <w:t xml:space="preserve"> 52 недели</w:t>
            </w:r>
            <w:r w:rsidRPr="00E14858">
              <w:rPr>
                <w:color w:val="000000" w:themeColor="text1"/>
              </w:rPr>
              <w:t>:</w:t>
            </w:r>
            <w:r>
              <w:rPr>
                <w:color w:val="000000" w:themeColor="text1"/>
              </w:rPr>
              <w:t xml:space="preserve"> </w:t>
            </w:r>
          </w:p>
          <w:p w14:paraId="4970E3FF" w14:textId="087B19D4" w:rsidR="00E87E13" w:rsidRDefault="00E87E13" w:rsidP="00B47330">
            <w:pPr>
              <w:spacing w:after="0" w:line="240" w:lineRule="auto"/>
              <w:contextualSpacing/>
              <w:jc w:val="left"/>
              <w:rPr>
                <w:color w:val="000000" w:themeColor="text1"/>
              </w:rPr>
            </w:pPr>
            <w:r>
              <w:rPr>
                <w:color w:val="000000" w:themeColor="text1"/>
              </w:rPr>
              <w:t>0, 10, 30 и 100 мг</w:t>
            </w:r>
            <w:r w:rsidRPr="00EB7E54">
              <w:rPr>
                <w:color w:val="000000" w:themeColor="text1"/>
              </w:rPr>
              <w:t>/</w:t>
            </w:r>
            <w:r>
              <w:rPr>
                <w:color w:val="000000" w:themeColor="text1"/>
              </w:rPr>
              <w:t>кг</w:t>
            </w:r>
            <w:r w:rsidRPr="00EB7E54">
              <w:rPr>
                <w:color w:val="000000" w:themeColor="text1"/>
              </w:rPr>
              <w:t>/</w:t>
            </w:r>
            <w:r>
              <w:rPr>
                <w:color w:val="000000" w:themeColor="text1"/>
              </w:rPr>
              <w:t>сут</w:t>
            </w:r>
          </w:p>
        </w:tc>
        <w:tc>
          <w:tcPr>
            <w:tcW w:w="1491" w:type="dxa"/>
          </w:tcPr>
          <w:p w14:paraId="0AE7944B" w14:textId="7E2E33B9" w:rsidR="00E87E13" w:rsidRDefault="00E87E13" w:rsidP="00B47330">
            <w:pPr>
              <w:spacing w:after="0" w:line="240" w:lineRule="auto"/>
              <w:contextualSpacing/>
              <w:jc w:val="left"/>
              <w:rPr>
                <w:color w:val="000000" w:themeColor="text1"/>
              </w:rPr>
            </w:pPr>
            <w:r>
              <w:rPr>
                <w:color w:val="000000" w:themeColor="text1"/>
              </w:rPr>
              <w:t>30 мг</w:t>
            </w:r>
            <w:r>
              <w:rPr>
                <w:color w:val="000000" w:themeColor="text1"/>
                <w:lang w:val="en-US"/>
              </w:rPr>
              <w:t>/</w:t>
            </w:r>
            <w:r>
              <w:rPr>
                <w:color w:val="000000" w:themeColor="text1"/>
              </w:rPr>
              <w:t>кг</w:t>
            </w:r>
            <w:r>
              <w:rPr>
                <w:color w:val="000000" w:themeColor="text1"/>
                <w:lang w:val="en-US"/>
              </w:rPr>
              <w:t>/</w:t>
            </w:r>
            <w:r>
              <w:rPr>
                <w:color w:val="000000" w:themeColor="text1"/>
              </w:rPr>
              <w:t>сут</w:t>
            </w:r>
          </w:p>
        </w:tc>
        <w:tc>
          <w:tcPr>
            <w:tcW w:w="2076" w:type="dxa"/>
          </w:tcPr>
          <w:p w14:paraId="18B7BA0C" w14:textId="3F5F847D" w:rsidR="00E87E13" w:rsidRDefault="00E87E13" w:rsidP="00B47330">
            <w:pPr>
              <w:spacing w:after="0" w:line="240" w:lineRule="auto"/>
              <w:contextualSpacing/>
              <w:jc w:val="left"/>
              <w:rPr>
                <w:color w:val="000000" w:themeColor="text1"/>
              </w:rPr>
            </w:pPr>
            <w:r>
              <w:rPr>
                <w:color w:val="000000" w:themeColor="text1"/>
              </w:rPr>
              <w:t>М</w:t>
            </w:r>
            <w:r>
              <w:rPr>
                <w:color w:val="000000" w:themeColor="text1"/>
                <w:lang w:val="en-US"/>
              </w:rPr>
              <w:t>: 55x</w:t>
            </w:r>
          </w:p>
          <w:p w14:paraId="7130AEE0" w14:textId="0F48D220" w:rsidR="00E87E13" w:rsidRDefault="00E87E13" w:rsidP="00B47330">
            <w:pPr>
              <w:spacing w:after="0" w:line="240" w:lineRule="auto"/>
              <w:contextualSpacing/>
              <w:jc w:val="left"/>
              <w:rPr>
                <w:color w:val="000000" w:themeColor="text1"/>
              </w:rPr>
            </w:pPr>
            <w:r>
              <w:rPr>
                <w:color w:val="000000" w:themeColor="text1"/>
              </w:rPr>
              <w:t>Ж</w:t>
            </w:r>
            <w:r>
              <w:rPr>
                <w:color w:val="000000" w:themeColor="text1"/>
                <w:lang w:val="en-US"/>
              </w:rPr>
              <w:t>: 50x</w:t>
            </w:r>
          </w:p>
        </w:tc>
        <w:tc>
          <w:tcPr>
            <w:tcW w:w="3679" w:type="dxa"/>
          </w:tcPr>
          <w:p w14:paraId="5D8BA4BD" w14:textId="64B8E83E" w:rsidR="00E87E13" w:rsidRDefault="00DC0268" w:rsidP="00B47330">
            <w:pPr>
              <w:spacing w:after="0" w:line="240" w:lineRule="auto"/>
              <w:contextualSpacing/>
              <w:jc w:val="left"/>
              <w:rPr>
                <w:color w:val="000000" w:themeColor="text1"/>
              </w:rPr>
            </w:pPr>
            <w:r>
              <w:rPr>
                <w:color w:val="000000" w:themeColor="text1"/>
              </w:rPr>
              <w:t xml:space="preserve">- Смертность при </w:t>
            </w:r>
            <w:r w:rsidR="008A5E05">
              <w:rPr>
                <w:color w:val="000000" w:themeColor="text1"/>
              </w:rPr>
              <w:t xml:space="preserve">дозе </w:t>
            </w:r>
            <w:r>
              <w:rPr>
                <w:color w:val="000000" w:themeColor="text1"/>
              </w:rPr>
              <w:t>30 мг</w:t>
            </w:r>
            <w:r w:rsidRPr="00E14858">
              <w:rPr>
                <w:color w:val="000000" w:themeColor="text1"/>
              </w:rPr>
              <w:t>/</w:t>
            </w:r>
            <w:r>
              <w:rPr>
                <w:color w:val="000000" w:themeColor="text1"/>
              </w:rPr>
              <w:t>кг</w:t>
            </w:r>
          </w:p>
          <w:p w14:paraId="5A4D70AC" w14:textId="0DD08F5A" w:rsidR="00DC0268" w:rsidRDefault="00DC0268" w:rsidP="00B47330">
            <w:pPr>
              <w:spacing w:after="0" w:line="240" w:lineRule="auto"/>
              <w:contextualSpacing/>
              <w:jc w:val="left"/>
              <w:rPr>
                <w:color w:val="000000" w:themeColor="text1"/>
              </w:rPr>
            </w:pPr>
            <w:r>
              <w:rPr>
                <w:color w:val="000000" w:themeColor="text1"/>
              </w:rPr>
              <w:t>- Нефрит и дегенерация кортикальных канальцев при</w:t>
            </w:r>
            <w:r w:rsidR="008A5E05">
              <w:rPr>
                <w:color w:val="000000" w:themeColor="text1"/>
              </w:rPr>
              <w:t xml:space="preserve"> дозе</w:t>
            </w:r>
            <w:r>
              <w:rPr>
                <w:color w:val="000000" w:themeColor="text1"/>
              </w:rPr>
              <w:t xml:space="preserve"> 100 мг</w:t>
            </w:r>
            <w:r w:rsidRPr="00E14858">
              <w:rPr>
                <w:color w:val="000000" w:themeColor="text1"/>
              </w:rPr>
              <w:t>/</w:t>
            </w:r>
            <w:r>
              <w:rPr>
                <w:color w:val="000000" w:themeColor="text1"/>
              </w:rPr>
              <w:t>кг</w:t>
            </w:r>
          </w:p>
          <w:p w14:paraId="7D9B5FD4" w14:textId="77777777" w:rsidR="00DC0268" w:rsidRDefault="00DC0268" w:rsidP="00B47330">
            <w:pPr>
              <w:spacing w:after="0" w:line="240" w:lineRule="auto"/>
              <w:contextualSpacing/>
              <w:jc w:val="left"/>
              <w:rPr>
                <w:color w:val="000000" w:themeColor="text1"/>
              </w:rPr>
            </w:pPr>
            <w:r>
              <w:rPr>
                <w:color w:val="000000" w:themeColor="text1"/>
              </w:rPr>
              <w:t>- Дозозависимое снижение массы тела</w:t>
            </w:r>
          </w:p>
          <w:p w14:paraId="73B1B8F7" w14:textId="6C22E0AB" w:rsidR="00DC0268" w:rsidRPr="00DC0268" w:rsidRDefault="00DC0268" w:rsidP="00B47330">
            <w:pPr>
              <w:spacing w:after="0" w:line="240" w:lineRule="auto"/>
              <w:contextualSpacing/>
              <w:jc w:val="left"/>
              <w:rPr>
                <w:color w:val="000000" w:themeColor="text1"/>
              </w:rPr>
            </w:pPr>
            <w:r>
              <w:rPr>
                <w:color w:val="000000" w:themeColor="text1"/>
              </w:rPr>
              <w:t>- Вакуолизация надпочечников при</w:t>
            </w:r>
            <w:r w:rsidR="008A5E05">
              <w:rPr>
                <w:color w:val="000000" w:themeColor="text1"/>
              </w:rPr>
              <w:t xml:space="preserve"> дозах</w:t>
            </w:r>
            <w:r>
              <w:rPr>
                <w:color w:val="000000" w:themeColor="text1"/>
              </w:rPr>
              <w:t xml:space="preserve"> 30 и 100 мг</w:t>
            </w:r>
            <w:r w:rsidRPr="00E14858">
              <w:rPr>
                <w:color w:val="000000" w:themeColor="text1"/>
              </w:rPr>
              <w:t>/</w:t>
            </w:r>
            <w:r>
              <w:rPr>
                <w:color w:val="000000" w:themeColor="text1"/>
              </w:rPr>
              <w:t>кг</w:t>
            </w:r>
          </w:p>
        </w:tc>
      </w:tr>
      <w:tr w:rsidR="00C72464" w14:paraId="6CCDED41" w14:textId="77777777" w:rsidTr="007756D8">
        <w:tc>
          <w:tcPr>
            <w:tcW w:w="9344" w:type="dxa"/>
            <w:gridSpan w:val="4"/>
          </w:tcPr>
          <w:p w14:paraId="552E505D" w14:textId="6C0A0C4D" w:rsidR="00C72464" w:rsidRPr="00C72464" w:rsidRDefault="00C72464" w:rsidP="00C72464">
            <w:pPr>
              <w:spacing w:after="0" w:line="240" w:lineRule="auto"/>
              <w:contextualSpacing/>
              <w:rPr>
                <w:color w:val="000000" w:themeColor="text1"/>
                <w:sz w:val="20"/>
                <w:szCs w:val="20"/>
              </w:rPr>
            </w:pPr>
            <w:r w:rsidRPr="00C72464">
              <w:rPr>
                <w:b/>
                <w:bCs/>
                <w:color w:val="000000" w:themeColor="text1"/>
                <w:sz w:val="20"/>
                <w:szCs w:val="20"/>
              </w:rPr>
              <w:t>Примечание:</w:t>
            </w:r>
            <w:r w:rsidRPr="00C72464">
              <w:rPr>
                <w:color w:val="000000" w:themeColor="text1"/>
                <w:sz w:val="20"/>
                <w:szCs w:val="20"/>
              </w:rPr>
              <w:br/>
              <w:t xml:space="preserve">* - </w:t>
            </w:r>
            <w:r w:rsidRPr="00C72464">
              <w:rPr>
                <w:color w:val="000000" w:themeColor="text1"/>
                <w:sz w:val="20"/>
                <w:szCs w:val="20"/>
                <w:lang w:val="en-US"/>
              </w:rPr>
              <w:t>AUC</w:t>
            </w:r>
            <w:r w:rsidRPr="00C72464">
              <w:rPr>
                <w:color w:val="000000" w:themeColor="text1"/>
                <w:sz w:val="20"/>
                <w:szCs w:val="20"/>
              </w:rPr>
              <w:t xml:space="preserve"> у человека: 4740 нмоль/л/ч при 25 мг/сут</w:t>
            </w:r>
          </w:p>
        </w:tc>
      </w:tr>
    </w:tbl>
    <w:p w14:paraId="7240B559" w14:textId="77777777" w:rsidR="008F52FE" w:rsidRPr="00EB677C" w:rsidRDefault="008F52FE" w:rsidP="00D56C8F">
      <w:pPr>
        <w:spacing w:after="0" w:line="240" w:lineRule="auto"/>
        <w:contextualSpacing/>
        <w:rPr>
          <w:color w:val="000000" w:themeColor="text1"/>
        </w:rPr>
      </w:pPr>
    </w:p>
    <w:p w14:paraId="12A9B0D3" w14:textId="77777777" w:rsidR="00C035FA" w:rsidRDefault="008D5756" w:rsidP="00D56C8F">
      <w:pPr>
        <w:pStyle w:val="Heading3"/>
        <w:spacing w:before="0" w:after="0" w:line="240" w:lineRule="auto"/>
        <w:contextualSpacing/>
        <w:rPr>
          <w:rFonts w:ascii="Times New Roman" w:hAnsi="Times New Roman"/>
          <w:color w:val="000000" w:themeColor="text1"/>
          <w:szCs w:val="24"/>
        </w:rPr>
      </w:pPr>
      <w:bookmarkStart w:id="96" w:name="_Toc139366859"/>
      <w:r>
        <w:rPr>
          <w:rFonts w:ascii="Times New Roman" w:hAnsi="Times New Roman"/>
          <w:color w:val="000000" w:themeColor="text1"/>
        </w:rPr>
        <w:t xml:space="preserve">3.3.1. </w:t>
      </w:r>
      <w:r>
        <w:rPr>
          <w:rFonts w:ascii="Times New Roman" w:hAnsi="Times New Roman"/>
          <w:color w:val="000000" w:themeColor="text1"/>
          <w:szCs w:val="24"/>
        </w:rPr>
        <w:t>Токсичность при однократном введении</w:t>
      </w:r>
      <w:bookmarkEnd w:id="96"/>
    </w:p>
    <w:p w14:paraId="143379A3" w14:textId="77777777" w:rsidR="0051188B" w:rsidRDefault="0051188B" w:rsidP="00D5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lang w:eastAsia="ru-RU"/>
        </w:rPr>
      </w:pPr>
    </w:p>
    <w:p w14:paraId="12F1382A" w14:textId="00C15701" w:rsidR="00C035FA" w:rsidRDefault="008D5756" w:rsidP="00D5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lang w:eastAsia="ru-RU"/>
        </w:rPr>
      </w:pPr>
      <w:r>
        <w:rPr>
          <w:lang w:eastAsia="ru-RU"/>
        </w:rPr>
        <w:t>Эмпаглифлозин продемонстрировал низкую острую токсичность. Однократная смертельная пероральная доза</w:t>
      </w:r>
      <w:r>
        <w:t xml:space="preserve"> (</w:t>
      </w:r>
      <w:r>
        <w:rPr>
          <w:lang w:eastAsia="ru-RU"/>
        </w:rPr>
        <w:t>LD</w:t>
      </w:r>
      <w:r>
        <w:rPr>
          <w:vertAlign w:val="subscript"/>
          <w:lang w:eastAsia="ru-RU"/>
        </w:rPr>
        <w:t>50</w:t>
      </w:r>
      <w:r>
        <w:rPr>
          <w:lang w:eastAsia="ru-RU"/>
        </w:rPr>
        <w:t>) эмпаглифлозина у мышей и крыс превышала 2000 мг/кг [</w:t>
      </w:r>
      <w:r w:rsidR="00C72464">
        <w:rPr>
          <w:lang w:eastAsia="ru-RU"/>
        </w:rPr>
        <w:t>6</w:t>
      </w:r>
      <w:r w:rsidR="00C649F4">
        <w:rPr>
          <w:lang w:eastAsia="ru-RU"/>
        </w:rPr>
        <w:t>3</w:t>
      </w:r>
      <w:r>
        <w:rPr>
          <w:lang w:eastAsia="ru-RU"/>
        </w:rPr>
        <w:t>].</w:t>
      </w:r>
    </w:p>
    <w:p w14:paraId="4B046EDC" w14:textId="7F9C4B0F" w:rsidR="00C035FA" w:rsidRDefault="008D5756" w:rsidP="00D56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lang w:eastAsia="ru-RU"/>
        </w:rPr>
      </w:pPr>
      <w:r>
        <w:rPr>
          <w:lang w:eastAsia="ru-RU"/>
        </w:rPr>
        <w:t>Исследования токсичности однократной дозы проводились на мышах CD-1 и крысах Wistar. Эмпаглифлозин вводили перорально через зонд или внутрибрюшинно. Лечение мышей эмпаглифлозином внутрибрюшинно в дозе 2000 мг/кг приводило к смертности 3 самок, получивших высокую дозу.</w:t>
      </w:r>
    </w:p>
    <w:p w14:paraId="041DD254" w14:textId="77777777"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lang w:eastAsia="ru-RU"/>
        </w:rPr>
      </w:pPr>
      <w:r>
        <w:rPr>
          <w:lang w:eastAsia="ru-RU"/>
        </w:rPr>
        <w:t>Клинические признаки при дозе 2000 мг/кг включали прострацию, которая обычно считалась неблагоприятным признаком.</w:t>
      </w:r>
    </w:p>
    <w:p w14:paraId="071AA348" w14:textId="29F8737D"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lang w:eastAsia="ru-RU"/>
        </w:rPr>
      </w:pPr>
      <w:r>
        <w:rPr>
          <w:lang w:eastAsia="ru-RU"/>
        </w:rPr>
        <w:lastRenderedPageBreak/>
        <w:t>Отсутствие смертности и клинических признаков отмечалось при дозе 300 мг/кг (NOAEL).</w:t>
      </w:r>
    </w:p>
    <w:p w14:paraId="4993A700" w14:textId="1C6DB00B" w:rsidR="00C035FA" w:rsidRPr="00972924" w:rsidRDefault="008D5756" w:rsidP="0097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lang w:eastAsia="ru-RU"/>
        </w:rPr>
      </w:pPr>
      <w:r>
        <w:rPr>
          <w:lang w:eastAsia="ru-RU"/>
        </w:rPr>
        <w:t>Исследование однократной пероральной дозы, проведенное на мышах CD-1, и исследования доз при пероральном и внутрибрюшинных путях введения, проведенные на крысах Wistar, не привели к неблагоприятным результатам, а LD</w:t>
      </w:r>
      <w:r>
        <w:rPr>
          <w:vertAlign w:val="subscript"/>
          <w:lang w:eastAsia="ru-RU"/>
        </w:rPr>
        <w:t>50</w:t>
      </w:r>
      <w:r>
        <w:rPr>
          <w:lang w:eastAsia="ru-RU"/>
        </w:rPr>
        <w:t xml:space="preserve"> в этих исследованиях составляла ≥ 2000 мг/кг [</w:t>
      </w:r>
      <w:r w:rsidR="00C649F4">
        <w:rPr>
          <w:lang w:eastAsia="ru-RU"/>
        </w:rPr>
        <w:t>46</w:t>
      </w:r>
      <w:r>
        <w:rPr>
          <w:lang w:eastAsia="ru-RU"/>
        </w:rPr>
        <w:t>].</w:t>
      </w:r>
    </w:p>
    <w:p w14:paraId="407A78ED" w14:textId="77777777" w:rsidR="00C035FA" w:rsidRDefault="008D5756">
      <w:pPr>
        <w:pStyle w:val="Heading3"/>
        <w:spacing w:after="240" w:line="240" w:lineRule="auto"/>
        <w:contextualSpacing/>
        <w:rPr>
          <w:rFonts w:ascii="Times New Roman" w:hAnsi="Times New Roman"/>
          <w:color w:val="000000" w:themeColor="text1"/>
        </w:rPr>
      </w:pPr>
      <w:bookmarkStart w:id="97" w:name="_Toc139366860"/>
      <w:r>
        <w:rPr>
          <w:rFonts w:ascii="Times New Roman" w:hAnsi="Times New Roman"/>
          <w:color w:val="000000" w:themeColor="text1"/>
        </w:rPr>
        <w:t>3.3.2. Токсичность при многократном введении</w:t>
      </w:r>
      <w:bookmarkEnd w:id="97"/>
    </w:p>
    <w:bookmarkEnd w:id="87"/>
    <w:p w14:paraId="357DF257" w14:textId="25F4EABE"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szCs w:val="28"/>
          <w:lang w:eastAsia="ru-RU"/>
        </w:rPr>
      </w:pPr>
      <w:r>
        <w:rPr>
          <w:szCs w:val="28"/>
          <w:lang w:eastAsia="ru-RU"/>
        </w:rPr>
        <w:t>Исследования пероральной токсичности повторных доз проводились на мышах, крысах и обезьянах до 13, 26 и 52 недель соответственно. Признаки интоксикации обычно наблюдались при воздействии, превышающем или равным 10-кратному воздействию на человека (AUC) при максимальном рекомендованной дозе 25 мг. Большая часть токсичности соответствовала вторичной фармакологии, связанной с потерей глюкозы с мочой и включала снижение массы тела и жировых отложений, повышенное потребление пищи, диарею, обезвоживание, снижение уровня глюкозы в сыворотке крови и увеличение других параметров сыворотки, отражающих повышенный уровень белка вследствие нарушения обмена веществ, глюконеогенеза и электролитного дисбаланса, такие как полиурия и глюкозурия.</w:t>
      </w:r>
    </w:p>
    <w:p w14:paraId="3BC6D011" w14:textId="3FDE5384"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szCs w:val="28"/>
          <w:lang w:eastAsia="ru-RU"/>
        </w:rPr>
      </w:pPr>
      <w:r>
        <w:rPr>
          <w:szCs w:val="28"/>
          <w:lang w:eastAsia="ru-RU"/>
        </w:rPr>
        <w:t>Увеличение массы печени, повышенная активность печеночных ферментов (АСТ и АЛТ) и гепатоцеллюлярная вакуолизация наблюдалась у мышей, крыс и собак. Эти изменения в печени могут быть связанны с глюконеогенезом и/или мобилизацией липидов для производства энергии.</w:t>
      </w:r>
    </w:p>
    <w:p w14:paraId="5528FB8F" w14:textId="77777777"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rPr>
          <w:szCs w:val="28"/>
          <w:lang w:eastAsia="ru-RU"/>
        </w:rPr>
      </w:pPr>
      <w:r>
        <w:rPr>
          <w:szCs w:val="28"/>
          <w:lang w:eastAsia="ru-RU"/>
        </w:rPr>
        <w:t>Основным органом-мишенью токсичности эмпаглифлозина были почки. Микроскопические изменения в почках наблюдались у разных видов и включали тубулярную кариомегалию, некроз одиночных клеток, кистозную гиперплазию и гипертрофию (у мышей), почечную минерализацию и вакуолизацию кортикальных канальцев (у крыс), а также канальцевую нефропатию и интерстициальный нефрит (у собак).</w:t>
      </w:r>
    </w:p>
    <w:p w14:paraId="20477F8F" w14:textId="3A486149"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Style w:val="Emphasis"/>
          <w:iCs w:val="0"/>
          <w:szCs w:val="28"/>
          <w:lang w:eastAsia="ru-RU"/>
        </w:rPr>
      </w:pPr>
      <w:r>
        <w:rPr>
          <w:szCs w:val="28"/>
          <w:lang w:eastAsia="ru-RU"/>
        </w:rPr>
        <w:t>В двухлетнем исследовании на мышах смертность, связанная с поражением мочевыводящих путей, увеличивалась в зависимости от дозы [</w:t>
      </w:r>
      <w:r w:rsidR="00C72464">
        <w:rPr>
          <w:szCs w:val="28"/>
          <w:lang w:eastAsia="ru-RU"/>
        </w:rPr>
        <w:t>6</w:t>
      </w:r>
      <w:r w:rsidR="00C649F4">
        <w:rPr>
          <w:szCs w:val="28"/>
          <w:lang w:eastAsia="ru-RU"/>
        </w:rPr>
        <w:t>3</w:t>
      </w:r>
      <w:r>
        <w:rPr>
          <w:szCs w:val="28"/>
          <w:lang w:eastAsia="ru-RU"/>
        </w:rPr>
        <w:t xml:space="preserve">]. </w:t>
      </w:r>
      <w:r>
        <w:rPr>
          <w:rStyle w:val="Emphasis"/>
          <w:i w:val="0"/>
          <w:szCs w:val="28"/>
          <w:shd w:val="clear" w:color="auto" w:fill="FFFFFF"/>
        </w:rPr>
        <w:t>Для мышей NOAEL составлял 62 × и 98 × MRHD для самцов и самок соответственно. Для крыс NOAEL не был установлен из-за вакуолизации надпочечников и печени во всех группах лечения, а основными органами-мишенями были почки, надпочечники и печень. Для собак NOAEL составлял 55 и 50 × MRHD для самцов и самок соответственно, отмечалось дозозависимое усиление выраженности вакуолизации надпочечников, нефрит и корковая тубулярная дегенерация с фиброзом.</w:t>
      </w:r>
    </w:p>
    <w:p w14:paraId="71F545EC" w14:textId="77777777" w:rsidR="00C035FA" w:rsidRDefault="008D5756">
      <w:pPr>
        <w:pStyle w:val="Heading3"/>
        <w:spacing w:after="240" w:line="240" w:lineRule="auto"/>
        <w:contextualSpacing/>
        <w:rPr>
          <w:rStyle w:val="apple-converted-space"/>
          <w:rFonts w:ascii="Times New Roman" w:eastAsia="Calibri" w:hAnsi="Times New Roman"/>
          <w:bCs w:val="0"/>
          <w:color w:val="000000" w:themeColor="text1"/>
          <w:shd w:val="clear" w:color="auto" w:fill="FFFFFF"/>
        </w:rPr>
      </w:pPr>
      <w:bookmarkStart w:id="98" w:name="_Toc139366861"/>
      <w:r>
        <w:rPr>
          <w:rFonts w:ascii="Times New Roman" w:hAnsi="Times New Roman"/>
          <w:color w:val="000000" w:themeColor="text1"/>
          <w:szCs w:val="24"/>
        </w:rPr>
        <w:t>3.3.3.</w:t>
      </w:r>
      <w:bookmarkStart w:id="99" w:name="_Toc477355751"/>
      <w:r>
        <w:rPr>
          <w:rFonts w:ascii="Times New Roman" w:hAnsi="Times New Roman"/>
          <w:color w:val="000000" w:themeColor="text1"/>
          <w:szCs w:val="24"/>
        </w:rPr>
        <w:t xml:space="preserve"> </w:t>
      </w:r>
      <w:r>
        <w:rPr>
          <w:rStyle w:val="apple-converted-space"/>
          <w:rFonts w:ascii="Times New Roman" w:eastAsia="Calibri" w:hAnsi="Times New Roman"/>
          <w:bCs w:val="0"/>
          <w:color w:val="000000" w:themeColor="text1"/>
          <w:shd w:val="clear" w:color="auto" w:fill="FFFFFF"/>
        </w:rPr>
        <w:t>Генотоксичность</w:t>
      </w:r>
      <w:bookmarkEnd w:id="98"/>
      <w:bookmarkEnd w:id="99"/>
    </w:p>
    <w:p w14:paraId="59583486" w14:textId="797368D2" w:rsidR="00C035FA" w:rsidRPr="00C649F4" w:rsidRDefault="008D5756" w:rsidP="00C649F4">
      <w:pPr>
        <w:spacing w:after="0" w:line="240" w:lineRule="auto"/>
        <w:ind w:firstLine="720"/>
        <w:contextualSpacing/>
        <w:rPr>
          <w:iCs/>
          <w:szCs w:val="28"/>
        </w:rPr>
      </w:pPr>
      <w:r>
        <w:rPr>
          <w:iCs/>
          <w:szCs w:val="28"/>
        </w:rPr>
        <w:t xml:space="preserve">Эмпаглифлозин не проявлял генотоксичности в тесте Эймса на бактериальный мутагенез, тест L5178/tk+/- анализ мышиной лимфомы или микроядерный тест на крысах </w:t>
      </w:r>
      <w:r>
        <w:rPr>
          <w:i/>
          <w:szCs w:val="28"/>
        </w:rPr>
        <w:t>in vivo</w:t>
      </w:r>
      <w:r>
        <w:rPr>
          <w:iCs/>
          <w:szCs w:val="28"/>
        </w:rPr>
        <w:t xml:space="preserve"> [</w:t>
      </w:r>
      <w:r w:rsidR="00C72464">
        <w:rPr>
          <w:iCs/>
          <w:szCs w:val="28"/>
        </w:rPr>
        <w:t>6</w:t>
      </w:r>
      <w:r w:rsidR="00C649F4">
        <w:rPr>
          <w:iCs/>
          <w:szCs w:val="28"/>
        </w:rPr>
        <w:t>3</w:t>
      </w:r>
      <w:r>
        <w:rPr>
          <w:iCs/>
          <w:szCs w:val="28"/>
        </w:rPr>
        <w:t>].</w:t>
      </w:r>
    </w:p>
    <w:p w14:paraId="27E3D897" w14:textId="77777777" w:rsidR="00C035FA" w:rsidRDefault="008D5756">
      <w:pPr>
        <w:pStyle w:val="Heading3"/>
        <w:spacing w:after="240" w:line="240" w:lineRule="auto"/>
        <w:contextualSpacing/>
        <w:rPr>
          <w:rFonts w:ascii="Times New Roman" w:hAnsi="Times New Roman"/>
          <w:color w:val="000000" w:themeColor="text1"/>
          <w:szCs w:val="24"/>
        </w:rPr>
      </w:pPr>
      <w:bookmarkStart w:id="100" w:name="_Toc477355752"/>
      <w:bookmarkStart w:id="101" w:name="_Toc139366862"/>
      <w:r>
        <w:rPr>
          <w:rFonts w:ascii="Times New Roman" w:hAnsi="Times New Roman"/>
          <w:color w:val="000000" w:themeColor="text1"/>
          <w:szCs w:val="24"/>
        </w:rPr>
        <w:t>3.3.4. Канцерогенность</w:t>
      </w:r>
      <w:bookmarkEnd w:id="100"/>
      <w:bookmarkEnd w:id="101"/>
    </w:p>
    <w:p w14:paraId="6AF8DF83" w14:textId="63BFA17E" w:rsidR="00C035FA" w:rsidRDefault="008D5756">
      <w:pPr>
        <w:spacing w:after="0" w:line="240" w:lineRule="auto"/>
        <w:ind w:firstLine="720"/>
        <w:contextualSpacing/>
        <w:rPr>
          <w:iCs/>
          <w:szCs w:val="28"/>
        </w:rPr>
      </w:pPr>
      <w:bookmarkStart w:id="102" w:name="_Toc477355753"/>
      <w:r>
        <w:rPr>
          <w:iCs/>
          <w:szCs w:val="28"/>
        </w:rPr>
        <w:t xml:space="preserve">Канцерогенный потенциал эмпаглифлозина оценивали в двухлетних исследованиях на мышах и крысах. Эмпаглифлозин не увеличивал частоту возникновения опухолей у </w:t>
      </w:r>
      <w:r>
        <w:rPr>
          <w:iCs/>
          <w:szCs w:val="28"/>
        </w:rPr>
        <w:lastRenderedPageBreak/>
        <w:t>самок крыс до самой высокой дозы 700 мг/кг/день (вплоть до 72-кратного превышения клинической дозы 25 мг на основе сравнения AUC). У самцов крыс, связанные с лечением доброкачественные сосудистые пролиферативные поражения (гемангиомы) мезентериального лимфатического узла наблюдались при дозе 700 мг/кг/день (приблизительно в 42 раза выше клинической дозы 25 мг на основе AUC), но не в дозе 300 мг/кг/день, что примерно в 26 раз превышает клиническую дозу 25 мг. Эти опухоли часто встречаются у крыс, и их частота (18%) была в пределах данных литературы (0-26%). Никаких сосудистых поражений у мышей и собак не наблюдалось.</w:t>
      </w:r>
    </w:p>
    <w:p w14:paraId="68A38971" w14:textId="49A34247" w:rsidR="00C035FA" w:rsidRDefault="008D5756">
      <w:pPr>
        <w:spacing w:after="0" w:line="240" w:lineRule="auto"/>
        <w:ind w:firstLine="720"/>
        <w:contextualSpacing/>
        <w:rPr>
          <w:iCs/>
          <w:szCs w:val="28"/>
        </w:rPr>
      </w:pPr>
      <w:r>
        <w:rPr>
          <w:iCs/>
          <w:szCs w:val="28"/>
        </w:rPr>
        <w:t>Эмпаглифлозин не увеличивал заболеваемость опухолями у самок мышей при дозах до 1000 мг/кг/сутки (примерно в 62 раза превышает клиническую дозу 25 мг на основе сравнения AUC).</w:t>
      </w:r>
    </w:p>
    <w:p w14:paraId="64DCA0C5" w14:textId="2A156BF3" w:rsidR="00C035FA" w:rsidRDefault="008D5756">
      <w:pPr>
        <w:spacing w:after="0" w:line="240" w:lineRule="auto"/>
        <w:ind w:firstLine="720"/>
        <w:rPr>
          <w:iCs/>
          <w:szCs w:val="28"/>
        </w:rPr>
      </w:pPr>
      <w:r>
        <w:rPr>
          <w:iCs/>
          <w:szCs w:val="28"/>
        </w:rPr>
        <w:t>Опухоли почек наблюдались у самцов мышей при дозе 1000 мг/кг/день (примерно в 45 раз выше клинической дозы 25 мг на основе сравнения AUC), но не при дозе 300 мг/кг/сутки, что примерно в 11 раз превышает клиническое воздействие от дозы 25 мг.</w:t>
      </w:r>
    </w:p>
    <w:p w14:paraId="7F1094E8" w14:textId="39393C00" w:rsidR="00C035FA" w:rsidRDefault="008D5756">
      <w:pPr>
        <w:spacing w:after="0" w:line="240" w:lineRule="auto"/>
        <w:ind w:firstLine="720"/>
        <w:rPr>
          <w:iCs/>
          <w:szCs w:val="28"/>
        </w:rPr>
      </w:pPr>
      <w:r>
        <w:rPr>
          <w:iCs/>
          <w:szCs w:val="28"/>
        </w:rPr>
        <w:t>Механизм развития этих опухолей может зависеть от естественной предрасположенности самцов мышей к почечной патологии, которая усугубляется специфическим для почек цитотоксическим окислительным метаболизмом у самцов мышей. Следовательно, опухоли почек, обнаруженные у мышей, могут не иметь отношения к пациентам, получавших клинические дозы эмпаглифлозина [</w:t>
      </w:r>
      <w:r w:rsidR="00C72464">
        <w:rPr>
          <w:iCs/>
          <w:szCs w:val="28"/>
        </w:rPr>
        <w:t>6</w:t>
      </w:r>
      <w:r w:rsidR="00C649F4">
        <w:rPr>
          <w:iCs/>
          <w:szCs w:val="28"/>
        </w:rPr>
        <w:t>3</w:t>
      </w:r>
      <w:r>
        <w:rPr>
          <w:iCs/>
          <w:szCs w:val="28"/>
        </w:rPr>
        <w:t xml:space="preserve">, </w:t>
      </w:r>
      <w:r w:rsidR="00C72464">
        <w:rPr>
          <w:iCs/>
          <w:szCs w:val="28"/>
        </w:rPr>
        <w:t>6</w:t>
      </w:r>
      <w:r w:rsidR="00C649F4">
        <w:rPr>
          <w:iCs/>
          <w:szCs w:val="28"/>
        </w:rPr>
        <w:t>4</w:t>
      </w:r>
      <w:r>
        <w:rPr>
          <w:iCs/>
          <w:szCs w:val="28"/>
        </w:rPr>
        <w:t>].</w:t>
      </w:r>
    </w:p>
    <w:p w14:paraId="3A2D8556" w14:textId="77777777" w:rsidR="00C035FA" w:rsidRDefault="008D5756">
      <w:pPr>
        <w:pStyle w:val="Heading3"/>
        <w:spacing w:after="240" w:line="240" w:lineRule="auto"/>
        <w:rPr>
          <w:rFonts w:ascii="Times New Roman" w:hAnsi="Times New Roman"/>
          <w:color w:val="000000" w:themeColor="text1"/>
          <w:szCs w:val="24"/>
        </w:rPr>
      </w:pPr>
      <w:bookmarkStart w:id="103" w:name="_Toc139366863"/>
      <w:r>
        <w:rPr>
          <w:rFonts w:ascii="Times New Roman" w:hAnsi="Times New Roman"/>
          <w:color w:val="000000" w:themeColor="text1"/>
          <w:szCs w:val="24"/>
        </w:rPr>
        <w:t>3.3.5. Репродуктивная и онтогенетическая токсичность</w:t>
      </w:r>
      <w:bookmarkEnd w:id="102"/>
      <w:bookmarkEnd w:id="103"/>
    </w:p>
    <w:p w14:paraId="7F611439" w14:textId="77777777" w:rsidR="00C035FA" w:rsidRDefault="008D5756">
      <w:pPr>
        <w:pStyle w:val="Heading4"/>
        <w:spacing w:after="240" w:line="240" w:lineRule="auto"/>
        <w:rPr>
          <w:color w:val="000000" w:themeColor="text1"/>
          <w:sz w:val="24"/>
          <w:szCs w:val="24"/>
        </w:rPr>
      </w:pPr>
      <w:bookmarkStart w:id="104" w:name="_Toc139366864"/>
      <w:r>
        <w:rPr>
          <w:rFonts w:ascii="Times New Roman" w:hAnsi="Times New Roman"/>
          <w:color w:val="000000" w:themeColor="text1"/>
          <w:sz w:val="24"/>
          <w:szCs w:val="24"/>
        </w:rPr>
        <w:t>3.3.5.1. Влияние на фертильность и ранняя эмбриональная токсичность</w:t>
      </w:r>
      <w:bookmarkEnd w:id="104"/>
    </w:p>
    <w:p w14:paraId="3DA70766" w14:textId="62B9C81D" w:rsidR="00C035FA" w:rsidRPr="00C72464" w:rsidRDefault="008D5756" w:rsidP="00C72464">
      <w:pPr>
        <w:spacing w:after="0" w:line="240" w:lineRule="auto"/>
        <w:ind w:firstLine="720"/>
        <w:rPr>
          <w:iCs/>
          <w:szCs w:val="28"/>
        </w:rPr>
      </w:pPr>
      <w:r>
        <w:rPr>
          <w:iCs/>
          <w:szCs w:val="28"/>
        </w:rPr>
        <w:t xml:space="preserve">В исследовании фертильности и раннего эмбрионального развития у крыс эмпаглифлозин не оказывал влияния на спаривание и фертильность у самцов или самок </w:t>
      </w:r>
      <w:r w:rsidR="0051188B">
        <w:rPr>
          <w:iCs/>
          <w:szCs w:val="28"/>
        </w:rPr>
        <w:t>крыс,</w:t>
      </w:r>
      <w:r>
        <w:rPr>
          <w:iCs/>
          <w:szCs w:val="28"/>
        </w:rPr>
        <w:t xml:space="preserve"> или на раннее эмбриональное развитие при применении максимальной дозы 700 мг/кг/день (примерно в 50 раз выше клинической дозы 25 мг на основе сравнения AUC) [</w:t>
      </w:r>
      <w:r w:rsidR="00C72464">
        <w:rPr>
          <w:iCs/>
          <w:szCs w:val="28"/>
        </w:rPr>
        <w:t>6</w:t>
      </w:r>
      <w:r w:rsidR="00C649F4">
        <w:rPr>
          <w:iCs/>
          <w:szCs w:val="28"/>
        </w:rPr>
        <w:t>3</w:t>
      </w:r>
      <w:r>
        <w:rPr>
          <w:iCs/>
          <w:szCs w:val="28"/>
        </w:rPr>
        <w:t xml:space="preserve">, </w:t>
      </w:r>
      <w:r w:rsidR="00C72464">
        <w:rPr>
          <w:iCs/>
          <w:szCs w:val="28"/>
        </w:rPr>
        <w:t>6</w:t>
      </w:r>
      <w:r w:rsidR="00C649F4">
        <w:rPr>
          <w:iCs/>
          <w:szCs w:val="28"/>
        </w:rPr>
        <w:t>5</w:t>
      </w:r>
      <w:r>
        <w:rPr>
          <w:iCs/>
          <w:szCs w:val="28"/>
        </w:rPr>
        <w:t>].</w:t>
      </w:r>
    </w:p>
    <w:p w14:paraId="4BD39AA3" w14:textId="77777777" w:rsidR="00C035FA" w:rsidRDefault="008D5756">
      <w:pPr>
        <w:pStyle w:val="Heading4"/>
        <w:spacing w:after="240" w:line="240" w:lineRule="auto"/>
        <w:rPr>
          <w:color w:val="000000" w:themeColor="text1"/>
        </w:rPr>
      </w:pPr>
      <w:bookmarkStart w:id="105" w:name="_Toc139366865"/>
      <w:r>
        <w:rPr>
          <w:rFonts w:ascii="Times New Roman" w:hAnsi="Times New Roman"/>
          <w:color w:val="000000" w:themeColor="text1"/>
          <w:sz w:val="24"/>
          <w:szCs w:val="24"/>
        </w:rPr>
        <w:t>3.3.5.2. Эмбрио-фетальная токсичность</w:t>
      </w:r>
      <w:bookmarkEnd w:id="105"/>
    </w:p>
    <w:p w14:paraId="0FE03D1A" w14:textId="41F19618" w:rsidR="00C035FA" w:rsidRDefault="008D5756">
      <w:pPr>
        <w:spacing w:after="0" w:line="240" w:lineRule="auto"/>
        <w:ind w:firstLine="720"/>
        <w:rPr>
          <w:iCs/>
          <w:szCs w:val="28"/>
        </w:rPr>
      </w:pPr>
      <w:r>
        <w:rPr>
          <w:szCs w:val="28"/>
        </w:rPr>
        <w:t xml:space="preserve">В исследованиях эмбриофетального развития у крыс и кроликов эмпаглифлозин вводили с интервалами, совпадающими с первым триместром периода органогенеза у человека. </w:t>
      </w:r>
      <w:r>
        <w:rPr>
          <w:iCs/>
          <w:szCs w:val="28"/>
        </w:rPr>
        <w:t xml:space="preserve">Эмпаглифлозин, вводимый в период органогенеза, не тератогенен в дозах до 300 мг/кг/день у крыс или кроликов, что превышает примерно в 48 раз </w:t>
      </w:r>
      <w:r>
        <w:rPr>
          <w:szCs w:val="28"/>
        </w:rPr>
        <w:t xml:space="preserve">(у крыс) </w:t>
      </w:r>
      <w:r>
        <w:rPr>
          <w:iCs/>
          <w:szCs w:val="28"/>
        </w:rPr>
        <w:t xml:space="preserve">или 128 раз </w:t>
      </w:r>
      <w:r>
        <w:rPr>
          <w:szCs w:val="28"/>
        </w:rPr>
        <w:t xml:space="preserve">(у кроликов) максимальную </w:t>
      </w:r>
      <w:r>
        <w:rPr>
          <w:iCs/>
          <w:szCs w:val="28"/>
        </w:rPr>
        <w:t>клиническую дозу 25 мг на основе сравнения AUC, соответственно.</w:t>
      </w:r>
    </w:p>
    <w:p w14:paraId="2894D8C7" w14:textId="6C17E28C" w:rsidR="00C035FA" w:rsidRDefault="008D5756">
      <w:pPr>
        <w:spacing w:after="0" w:line="240" w:lineRule="auto"/>
        <w:ind w:firstLine="720"/>
        <w:rPr>
          <w:szCs w:val="28"/>
        </w:rPr>
      </w:pPr>
      <w:r>
        <w:rPr>
          <w:szCs w:val="28"/>
        </w:rPr>
        <w:t>У крыс более высокие дозы эмпаглифлозина, вызывающие материнскую токсичность, пороки развития костей конечностей увеличились у плодов при дозе 700 мг/кг/день или в 154 раза превышающей максимальную клиническую дозу 25 мг для человека.</w:t>
      </w:r>
    </w:p>
    <w:p w14:paraId="32C433D3" w14:textId="62B62146" w:rsidR="00C035FA" w:rsidRPr="00C72464" w:rsidRDefault="008D5756" w:rsidP="00C72464">
      <w:pPr>
        <w:spacing w:after="0" w:line="240" w:lineRule="auto"/>
        <w:ind w:firstLine="720"/>
        <w:rPr>
          <w:iCs/>
          <w:szCs w:val="28"/>
        </w:rPr>
      </w:pPr>
      <w:r>
        <w:rPr>
          <w:szCs w:val="28"/>
        </w:rPr>
        <w:t>У кроликов более высокие дозы эмпаглифлозина приводили к токсичности для матери и плода при дозе 700 мг/кг/день или в 139 раз превышающей максимальную клиническую дозу 25 мг для человека</w:t>
      </w:r>
      <w:r>
        <w:rPr>
          <w:iCs/>
          <w:szCs w:val="28"/>
        </w:rPr>
        <w:t xml:space="preserve"> на основе сравнения AUC [</w:t>
      </w:r>
      <w:r w:rsidR="00C72464">
        <w:rPr>
          <w:iCs/>
          <w:szCs w:val="28"/>
        </w:rPr>
        <w:t>6</w:t>
      </w:r>
      <w:r w:rsidR="00C649F4">
        <w:rPr>
          <w:iCs/>
          <w:szCs w:val="28"/>
        </w:rPr>
        <w:t>5</w:t>
      </w:r>
      <w:r>
        <w:rPr>
          <w:iCs/>
          <w:szCs w:val="28"/>
        </w:rPr>
        <w:t xml:space="preserve">, </w:t>
      </w:r>
      <w:r w:rsidR="00C72464">
        <w:rPr>
          <w:iCs/>
          <w:szCs w:val="28"/>
        </w:rPr>
        <w:t>26</w:t>
      </w:r>
      <w:r>
        <w:rPr>
          <w:iCs/>
          <w:szCs w:val="28"/>
        </w:rPr>
        <w:t>].</w:t>
      </w:r>
    </w:p>
    <w:p w14:paraId="2C04F334" w14:textId="77777777" w:rsidR="00C035FA" w:rsidRDefault="008D5756">
      <w:pPr>
        <w:pStyle w:val="Heading4"/>
        <w:spacing w:after="240" w:line="240" w:lineRule="auto"/>
        <w:rPr>
          <w:color w:val="000000" w:themeColor="text1"/>
        </w:rPr>
      </w:pPr>
      <w:bookmarkStart w:id="106" w:name="_Toc139366866"/>
      <w:r>
        <w:rPr>
          <w:rFonts w:ascii="Times New Roman" w:hAnsi="Times New Roman"/>
          <w:color w:val="000000" w:themeColor="text1"/>
          <w:sz w:val="24"/>
          <w:szCs w:val="24"/>
        </w:rPr>
        <w:lastRenderedPageBreak/>
        <w:t>3.3.5.3. Влияние на пренатальное и постнатальное развитие</w:t>
      </w:r>
      <w:bookmarkEnd w:id="106"/>
    </w:p>
    <w:p w14:paraId="54F2EBA7" w14:textId="1C61E239" w:rsidR="00C035FA" w:rsidRDefault="008D5756">
      <w:pPr>
        <w:spacing w:after="0" w:line="240" w:lineRule="auto"/>
        <w:ind w:firstLine="720"/>
        <w:rPr>
          <w:iCs/>
          <w:szCs w:val="28"/>
        </w:rPr>
      </w:pPr>
      <w:r>
        <w:rPr>
          <w:iCs/>
          <w:szCs w:val="28"/>
        </w:rPr>
        <w:t>В исследовании пре- и постнатальной токсичности у крыс эмпаглифлозин вводили с 6-го дня беременности по до 20-го дня лактации (отлучение от груди) в дозах 10, 30 и 100 мг/кг/день, и детеныши подвергались косвенному воздействию внутриутробно и на протяжении всей лактации. Не было выявлено никаких доказательств материнской токсичности при применении высокой дозы 100 мг/кг/день, однако снижение прироста массы тела детенышей F1, в основном в период лактации, наблюдалось при дозе ≥30 мг/кг/день (в ≥4 раза выше клинической дозы 25 мг на основе сравнения AUC). У самцов детенышей F1 также наблюдался дефицит обучения и памяти при дозе 100 мг/кг (примерно в 16 раз выше клинической дозы 25 мг/кг на основе сравнения AUC) на постнатальный день 22, но не на 62 день.</w:t>
      </w:r>
    </w:p>
    <w:p w14:paraId="79D747CE" w14:textId="096471A6" w:rsidR="00C035FA" w:rsidRPr="00C72464" w:rsidRDefault="008D5756" w:rsidP="00C72464">
      <w:pPr>
        <w:spacing w:after="0" w:line="240" w:lineRule="auto"/>
        <w:ind w:firstLine="720"/>
        <w:rPr>
          <w:iCs/>
          <w:szCs w:val="28"/>
        </w:rPr>
      </w:pPr>
      <w:r>
        <w:rPr>
          <w:iCs/>
          <w:szCs w:val="28"/>
        </w:rPr>
        <w:t>Эти нейроповеденческие эффекты, вероятно, были вторичными по отношению к замедленным темпам роста детенышей мужского пола F1. NOAEL для F1 неонатальной токсичности составила 10 мг/кг/день (примерно в 1,4 раза выше клинической дозы 25 мг на основе AUC) [</w:t>
      </w:r>
      <w:r w:rsidR="00C72464">
        <w:rPr>
          <w:iCs/>
          <w:szCs w:val="28"/>
        </w:rPr>
        <w:t>6</w:t>
      </w:r>
      <w:r w:rsidR="00C649F4">
        <w:rPr>
          <w:iCs/>
          <w:szCs w:val="28"/>
        </w:rPr>
        <w:t>3</w:t>
      </w:r>
      <w:r>
        <w:rPr>
          <w:iCs/>
          <w:szCs w:val="28"/>
        </w:rPr>
        <w:t xml:space="preserve">, </w:t>
      </w:r>
      <w:r w:rsidR="00C72464">
        <w:rPr>
          <w:iCs/>
          <w:szCs w:val="28"/>
        </w:rPr>
        <w:t>6</w:t>
      </w:r>
      <w:r w:rsidR="00C649F4">
        <w:rPr>
          <w:iCs/>
          <w:szCs w:val="28"/>
        </w:rPr>
        <w:t>5</w:t>
      </w:r>
      <w:r>
        <w:rPr>
          <w:iCs/>
          <w:szCs w:val="28"/>
        </w:rPr>
        <w:t>].</w:t>
      </w:r>
    </w:p>
    <w:p w14:paraId="52EA9E0D" w14:textId="77777777" w:rsidR="00C035FA" w:rsidRDefault="008D5756">
      <w:pPr>
        <w:pStyle w:val="Heading4"/>
        <w:spacing w:after="240" w:line="240" w:lineRule="auto"/>
        <w:rPr>
          <w:rFonts w:ascii="Times New Roman" w:hAnsi="Times New Roman"/>
          <w:color w:val="000000" w:themeColor="text1"/>
          <w:sz w:val="24"/>
          <w:szCs w:val="24"/>
        </w:rPr>
      </w:pPr>
      <w:bookmarkStart w:id="107" w:name="_Toc139366867"/>
      <w:r>
        <w:rPr>
          <w:rFonts w:ascii="Times New Roman" w:hAnsi="Times New Roman"/>
          <w:color w:val="000000" w:themeColor="text1"/>
          <w:sz w:val="24"/>
          <w:szCs w:val="24"/>
        </w:rPr>
        <w:t>3.3.5.4. Ювенильная токсичность</w:t>
      </w:r>
      <w:bookmarkEnd w:id="107"/>
    </w:p>
    <w:p w14:paraId="53142217" w14:textId="3A0D7DD3" w:rsidR="00C035FA" w:rsidRDefault="008D5756">
      <w:pPr>
        <w:spacing w:after="0" w:line="240" w:lineRule="auto"/>
        <w:ind w:firstLine="709"/>
        <w:rPr>
          <w:iCs/>
          <w:lang w:eastAsia="en-US"/>
        </w:rPr>
      </w:pPr>
      <w:r w:rsidRPr="00E14858">
        <w:rPr>
          <w:iCs/>
          <w:lang w:eastAsia="en-US"/>
        </w:rPr>
        <w:t xml:space="preserve">В исследовании </w:t>
      </w:r>
      <w:r>
        <w:rPr>
          <w:iCs/>
          <w:lang w:eastAsia="en-US"/>
        </w:rPr>
        <w:t>ювенильной токсичности</w:t>
      </w:r>
      <w:r w:rsidRPr="00E14858">
        <w:rPr>
          <w:iCs/>
          <w:lang w:eastAsia="en-US"/>
        </w:rPr>
        <w:t xml:space="preserve"> эмпаглифлозин вводили непосредственно молодым крысам</w:t>
      </w:r>
      <w:r>
        <w:rPr>
          <w:iCs/>
          <w:lang w:eastAsia="en-US"/>
        </w:rPr>
        <w:t xml:space="preserve"> в период</w:t>
      </w:r>
      <w:r w:rsidRPr="00E14858">
        <w:rPr>
          <w:iCs/>
          <w:lang w:eastAsia="en-US"/>
        </w:rPr>
        <w:t xml:space="preserve"> с</w:t>
      </w:r>
      <w:r>
        <w:rPr>
          <w:iCs/>
          <w:lang w:eastAsia="en-US"/>
        </w:rPr>
        <w:t xml:space="preserve"> </w:t>
      </w:r>
      <w:r w:rsidRPr="00E14858">
        <w:rPr>
          <w:iCs/>
          <w:lang w:eastAsia="en-US"/>
        </w:rPr>
        <w:t xml:space="preserve">21-го по 90-й день </w:t>
      </w:r>
      <w:r>
        <w:rPr>
          <w:iCs/>
          <w:lang w:eastAsia="en-US"/>
        </w:rPr>
        <w:t>жизни</w:t>
      </w:r>
      <w:r w:rsidRPr="00E14858">
        <w:rPr>
          <w:iCs/>
          <w:lang w:eastAsia="en-US"/>
        </w:rPr>
        <w:t xml:space="preserve"> в пероральных дозах 1, 10, 30 и 100 мг/кг/сут.</w:t>
      </w:r>
    </w:p>
    <w:p w14:paraId="466CA73E" w14:textId="25FC6942" w:rsidR="00C035FA" w:rsidRDefault="008D5756">
      <w:pPr>
        <w:spacing w:after="0" w:line="240" w:lineRule="auto"/>
        <w:ind w:firstLine="709"/>
        <w:rPr>
          <w:iCs/>
          <w:lang w:eastAsia="en-US"/>
        </w:rPr>
      </w:pPr>
      <w:r>
        <w:rPr>
          <w:iCs/>
          <w:lang w:eastAsia="en-US"/>
        </w:rPr>
        <w:t>У особей мужского пола наблюдалось у</w:t>
      </w:r>
      <w:r w:rsidRPr="00E14858">
        <w:rPr>
          <w:iCs/>
          <w:lang w:eastAsia="en-US"/>
        </w:rPr>
        <w:t>величение</w:t>
      </w:r>
      <w:r>
        <w:rPr>
          <w:iCs/>
          <w:lang w:eastAsia="en-US"/>
        </w:rPr>
        <w:t xml:space="preserve"> </w:t>
      </w:r>
      <w:r w:rsidRPr="00E14858">
        <w:rPr>
          <w:iCs/>
          <w:lang w:eastAsia="en-US"/>
        </w:rPr>
        <w:t>массы почек при приеме</w:t>
      </w:r>
      <w:r w:rsidR="008A5E05">
        <w:rPr>
          <w:iCs/>
          <w:lang w:eastAsia="en-US"/>
        </w:rPr>
        <w:t xml:space="preserve"> доз</w:t>
      </w:r>
      <w:r w:rsidRPr="00E14858">
        <w:rPr>
          <w:iCs/>
          <w:lang w:eastAsia="en-US"/>
        </w:rPr>
        <w:t xml:space="preserve"> ≥ 10 мг/кг/сут (в 0,7 раза больше клинической дозы 25 мг на основе</w:t>
      </w:r>
      <w:r>
        <w:rPr>
          <w:iCs/>
          <w:lang w:eastAsia="en-US"/>
        </w:rPr>
        <w:t xml:space="preserve"> </w:t>
      </w:r>
      <w:r w:rsidRPr="00E14858">
        <w:rPr>
          <w:iCs/>
          <w:lang w:eastAsia="en-US"/>
        </w:rPr>
        <w:t xml:space="preserve">сравнения </w:t>
      </w:r>
      <w:r>
        <w:rPr>
          <w:iCs/>
          <w:lang w:val="en-US" w:eastAsia="en-US"/>
        </w:rPr>
        <w:t>AUC</w:t>
      </w:r>
      <w:r w:rsidRPr="00E14858">
        <w:rPr>
          <w:iCs/>
          <w:lang w:eastAsia="en-US"/>
        </w:rPr>
        <w:t>) и у</w:t>
      </w:r>
      <w:r>
        <w:rPr>
          <w:iCs/>
          <w:lang w:eastAsia="en-US"/>
        </w:rPr>
        <w:t xml:space="preserve"> особей женского пола</w:t>
      </w:r>
      <w:r w:rsidRPr="00E14858">
        <w:rPr>
          <w:iCs/>
          <w:lang w:eastAsia="en-US"/>
        </w:rPr>
        <w:t xml:space="preserve"> при приеме</w:t>
      </w:r>
      <w:r w:rsidR="008A5E05">
        <w:rPr>
          <w:iCs/>
          <w:lang w:eastAsia="en-US"/>
        </w:rPr>
        <w:t xml:space="preserve"> доз</w:t>
      </w:r>
      <w:r w:rsidRPr="00E14858">
        <w:rPr>
          <w:iCs/>
          <w:lang w:eastAsia="en-US"/>
        </w:rPr>
        <w:t xml:space="preserve"> ≥ 30 мг/кг/сут (в 4 раза больше клинической дозы 25 мг на основе</w:t>
      </w:r>
      <w:r>
        <w:rPr>
          <w:iCs/>
          <w:lang w:eastAsia="en-US"/>
        </w:rPr>
        <w:t xml:space="preserve"> </w:t>
      </w:r>
      <w:r w:rsidRPr="00E14858">
        <w:rPr>
          <w:iCs/>
          <w:lang w:eastAsia="en-US"/>
        </w:rPr>
        <w:t xml:space="preserve">сравнения </w:t>
      </w:r>
      <w:r>
        <w:rPr>
          <w:iCs/>
          <w:lang w:val="en-US" w:eastAsia="en-US"/>
        </w:rPr>
        <w:t>AUC</w:t>
      </w:r>
      <w:r w:rsidRPr="00E14858">
        <w:rPr>
          <w:iCs/>
          <w:lang w:eastAsia="en-US"/>
        </w:rPr>
        <w:t>). Минимальное или умеренное расширение почечных канальцев и лоханок наблюдалось при приеме 100 мг/кг/сут, что</w:t>
      </w:r>
      <w:r>
        <w:rPr>
          <w:iCs/>
          <w:lang w:eastAsia="en-US"/>
        </w:rPr>
        <w:t xml:space="preserve"> </w:t>
      </w:r>
      <w:r w:rsidRPr="00E14858">
        <w:rPr>
          <w:iCs/>
          <w:lang w:eastAsia="en-US"/>
        </w:rPr>
        <w:t xml:space="preserve">приблизительно в 11 раз превышает клиническую дозу 25 мг, основанную на сравнении </w:t>
      </w:r>
      <w:r>
        <w:rPr>
          <w:iCs/>
          <w:lang w:val="en-US" w:eastAsia="en-US"/>
        </w:rPr>
        <w:t>AUC</w:t>
      </w:r>
      <w:r w:rsidRPr="00E14858">
        <w:rPr>
          <w:iCs/>
          <w:lang w:eastAsia="en-US"/>
        </w:rPr>
        <w:t xml:space="preserve">. </w:t>
      </w:r>
      <w:r>
        <w:rPr>
          <w:iCs/>
          <w:lang w:eastAsia="en-US"/>
        </w:rPr>
        <w:t>Данные изменения</w:t>
      </w:r>
      <w:r w:rsidRPr="00E14858">
        <w:rPr>
          <w:iCs/>
          <w:lang w:eastAsia="en-US"/>
        </w:rPr>
        <w:t xml:space="preserve"> отсутствовали</w:t>
      </w:r>
      <w:r>
        <w:rPr>
          <w:iCs/>
          <w:lang w:eastAsia="en-US"/>
        </w:rPr>
        <w:t xml:space="preserve"> </w:t>
      </w:r>
      <w:r w:rsidRPr="00E14858">
        <w:rPr>
          <w:iCs/>
          <w:lang w:eastAsia="en-US"/>
        </w:rPr>
        <w:t xml:space="preserve">после 13-недельного периода восстановления без </w:t>
      </w:r>
      <w:r w:rsidRPr="00C72464">
        <w:rPr>
          <w:iCs/>
          <w:lang w:eastAsia="en-US"/>
        </w:rPr>
        <w:t>лекарств [6</w:t>
      </w:r>
      <w:r w:rsidR="00C649F4">
        <w:rPr>
          <w:iCs/>
          <w:lang w:eastAsia="en-US"/>
        </w:rPr>
        <w:t>6</w:t>
      </w:r>
      <w:r w:rsidRPr="00C72464">
        <w:rPr>
          <w:iCs/>
          <w:lang w:eastAsia="en-US"/>
        </w:rPr>
        <w:t>].</w:t>
      </w:r>
    </w:p>
    <w:p w14:paraId="5158DC06" w14:textId="77777777" w:rsidR="00C035FA" w:rsidRDefault="008D5756">
      <w:pPr>
        <w:pStyle w:val="Heading3"/>
        <w:spacing w:after="240" w:line="240" w:lineRule="auto"/>
        <w:rPr>
          <w:rFonts w:ascii="Times New Roman" w:hAnsi="Times New Roman"/>
          <w:color w:val="000000" w:themeColor="text1"/>
          <w:szCs w:val="24"/>
        </w:rPr>
      </w:pPr>
      <w:bookmarkStart w:id="108" w:name="_Toc139366868"/>
      <w:r>
        <w:rPr>
          <w:rFonts w:ascii="Times New Roman" w:hAnsi="Times New Roman"/>
          <w:color w:val="000000" w:themeColor="text1"/>
          <w:szCs w:val="24"/>
        </w:rPr>
        <w:t>3.3.6. Местная переносимость</w:t>
      </w:r>
      <w:bookmarkEnd w:id="108"/>
    </w:p>
    <w:p w14:paraId="58FDBE9A" w14:textId="77777777" w:rsidR="00C035FA" w:rsidRPr="00B47330" w:rsidRDefault="008D5756">
      <w:pPr>
        <w:spacing w:after="0" w:line="240" w:lineRule="auto"/>
        <w:rPr>
          <w:b/>
        </w:rPr>
      </w:pPr>
      <w:r w:rsidRPr="00B47330">
        <w:rPr>
          <w:b/>
          <w:i/>
        </w:rPr>
        <w:t>Кожные исследования</w:t>
      </w:r>
    </w:p>
    <w:p w14:paraId="1985ED6B" w14:textId="77777777" w:rsidR="00C035FA" w:rsidRDefault="008D5756">
      <w:pPr>
        <w:spacing w:after="0" w:line="240" w:lineRule="auto"/>
        <w:ind w:firstLine="720"/>
      </w:pPr>
      <w:r>
        <w:t>Потенциальное влияние эмпаглифлозина на кожную чувствительность оценивалось в анализе лимфатических узлов у мышей. Эмпаглифлозин не оказывал влияния на этот анализ в концентрациях до 25%, поэтому маловероятно, что эмпаглифлозин вызывает кожную сенсибилизацию.</w:t>
      </w:r>
    </w:p>
    <w:p w14:paraId="41F1E2AF" w14:textId="3D7EEB59" w:rsidR="00C035FA" w:rsidRDefault="008D5756">
      <w:pPr>
        <w:spacing w:after="0" w:line="240" w:lineRule="auto"/>
        <w:ind w:firstLine="720"/>
      </w:pPr>
      <w:r>
        <w:t>Способность эмпаглифлозина вызывать раздражение кожи оценивалась у новозеландских белых кроликов, которым разведенную в воде пасту с эмпаглифлозином (500 мг), наносили на выбритую кожу под закрытый пластырь на 4 часа. Участок промывали и в течение 72 часов после обработки наблюдали клинические признаки раздражения кожи (эритема и отек). Эмпаглифлозин, по-видимому, не раздражал выбритую кожу кроликов, что позволяет предположить, что эмпаглифлозин не может вызывать раздражение кожи у людей [</w:t>
      </w:r>
      <w:r w:rsidR="00C649F4">
        <w:t>46</w:t>
      </w:r>
      <w:r>
        <w:t>].</w:t>
      </w:r>
    </w:p>
    <w:p w14:paraId="779231FB" w14:textId="77777777" w:rsidR="00C035FA" w:rsidRDefault="00C035FA">
      <w:pPr>
        <w:spacing w:after="0" w:line="240" w:lineRule="auto"/>
      </w:pPr>
    </w:p>
    <w:p w14:paraId="3E94654B" w14:textId="77777777" w:rsidR="00C035FA" w:rsidRPr="00B47330" w:rsidRDefault="008D5756">
      <w:pPr>
        <w:spacing w:after="0" w:line="240" w:lineRule="auto"/>
        <w:rPr>
          <w:b/>
          <w:i/>
        </w:rPr>
      </w:pPr>
      <w:r w:rsidRPr="00B47330">
        <w:rPr>
          <w:b/>
          <w:i/>
        </w:rPr>
        <w:t>Раздражение глаз</w:t>
      </w:r>
    </w:p>
    <w:p w14:paraId="5DFEB281" w14:textId="033ED9BE" w:rsidR="00C035FA" w:rsidRDefault="008D5756">
      <w:pPr>
        <w:spacing w:after="0" w:line="240" w:lineRule="auto"/>
        <w:ind w:firstLine="720"/>
      </w:pPr>
      <w:r>
        <w:t xml:space="preserve">Небольшое количество эмпаглифлозина (10 мг) наносили на поверхность роговицы анестезированного правого глаза кроликов. Глаз промывали через 24 часа после </w:t>
      </w:r>
      <w:r>
        <w:lastRenderedPageBreak/>
        <w:t>закапывания испытуемого препарата и осматривали через 1, 24, 48 и 72 часа после закапывания и оценивали на предмет поражения роговицы, раздражения радужной оболочки и покраснения конъюнктивы, хемоза и раздражения. В условиях данного исследования эмпаглифлозин не оказывал раздражающего действия на глаза кроликов [</w:t>
      </w:r>
      <w:r w:rsidR="00C649F4">
        <w:t>46</w:t>
      </w:r>
      <w:r>
        <w:t>].</w:t>
      </w:r>
    </w:p>
    <w:p w14:paraId="0F12EAEA" w14:textId="77777777" w:rsidR="00C035FA" w:rsidRDefault="008D5756">
      <w:pPr>
        <w:pStyle w:val="Heading3"/>
        <w:spacing w:after="240" w:line="240" w:lineRule="auto"/>
        <w:rPr>
          <w:rFonts w:ascii="Times New Roman" w:hAnsi="Times New Roman"/>
          <w:color w:val="000000" w:themeColor="text1"/>
          <w:szCs w:val="24"/>
        </w:rPr>
      </w:pPr>
      <w:bookmarkStart w:id="109" w:name="_Toc139366869"/>
      <w:r>
        <w:rPr>
          <w:rFonts w:ascii="Times New Roman" w:hAnsi="Times New Roman"/>
          <w:color w:val="000000" w:themeColor="text1"/>
          <w:szCs w:val="24"/>
        </w:rPr>
        <w:t>3.3.7. Токсикокинетика</w:t>
      </w:r>
      <w:bookmarkEnd w:id="109"/>
    </w:p>
    <w:p w14:paraId="63CAC3A2" w14:textId="1E3F37FC" w:rsidR="00C035FA" w:rsidRDefault="008D5756">
      <w:pPr>
        <w:spacing w:after="0" w:line="240" w:lineRule="auto"/>
        <w:ind w:firstLine="708"/>
      </w:pPr>
      <w:r>
        <w:t>Токсикокинетические данные представлены в таблице ниже [</w:t>
      </w:r>
      <w:r w:rsidR="00C649F4">
        <w:t>43</w:t>
      </w:r>
      <w:r>
        <w:t>].</w:t>
      </w:r>
    </w:p>
    <w:p w14:paraId="74C019A1" w14:textId="77777777" w:rsidR="00C035FA" w:rsidRDefault="00C035FA">
      <w:pPr>
        <w:spacing w:after="0" w:line="240" w:lineRule="auto"/>
        <w:ind w:firstLine="708"/>
        <w:rPr>
          <w:highlight w:val="yellow"/>
        </w:rPr>
      </w:pPr>
    </w:p>
    <w:p w14:paraId="08A43864" w14:textId="36D11035" w:rsidR="00C035FA" w:rsidRDefault="008D5756">
      <w:pPr>
        <w:spacing w:after="0" w:line="240" w:lineRule="auto"/>
        <w:rPr>
          <w:highlight w:val="yellow"/>
        </w:rPr>
      </w:pPr>
      <w:r>
        <w:rPr>
          <w:b/>
        </w:rPr>
        <w:t>Таблица 3-3.</w:t>
      </w:r>
      <w:r>
        <w:t xml:space="preserve"> Обобщенные основные результаты и токсикокинетические данные основных исследований общей токсикологии эмпаглифлозина.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3"/>
        <w:gridCol w:w="664"/>
        <w:gridCol w:w="2586"/>
        <w:gridCol w:w="375"/>
        <w:gridCol w:w="768"/>
        <w:gridCol w:w="768"/>
        <w:gridCol w:w="768"/>
        <w:gridCol w:w="768"/>
        <w:gridCol w:w="1354"/>
      </w:tblGrid>
      <w:tr w:rsidR="00C035FA" w14:paraId="3C46DE76" w14:textId="77777777">
        <w:trPr>
          <w:trHeight w:val="567"/>
          <w:tblHeader/>
          <w:jc w:val="center"/>
        </w:trPr>
        <w:tc>
          <w:tcPr>
            <w:tcW w:w="0" w:type="auto"/>
            <w:vMerge w:val="restart"/>
            <w:shd w:val="clear" w:color="auto" w:fill="D9D9D9" w:themeFill="background1" w:themeFillShade="D9"/>
            <w:vAlign w:val="center"/>
          </w:tcPr>
          <w:p w14:paraId="1F141465" w14:textId="77777777" w:rsidR="00C035FA" w:rsidRPr="00855755" w:rsidRDefault="008D5756">
            <w:pPr>
              <w:spacing w:after="0" w:line="240" w:lineRule="auto"/>
              <w:jc w:val="center"/>
              <w:rPr>
                <w:rFonts w:eastAsia="Times New Roman"/>
                <w:b/>
                <w:bCs/>
                <w:sz w:val="20"/>
                <w:szCs w:val="20"/>
                <w:lang w:eastAsia="ru-RU"/>
              </w:rPr>
            </w:pPr>
            <w:bookmarkStart w:id="110" w:name="Reproductive_toxicity"/>
            <w:bookmarkEnd w:id="110"/>
            <w:r w:rsidRPr="00855755">
              <w:rPr>
                <w:rFonts w:eastAsia="Times New Roman"/>
                <w:b/>
                <w:bCs/>
                <w:sz w:val="20"/>
                <w:szCs w:val="20"/>
                <w:lang w:eastAsia="ru-RU"/>
              </w:rPr>
              <w:t>Исследование</w:t>
            </w:r>
          </w:p>
        </w:tc>
        <w:tc>
          <w:tcPr>
            <w:tcW w:w="0" w:type="auto"/>
            <w:vMerge w:val="restart"/>
            <w:shd w:val="clear" w:color="auto" w:fill="D9D9D9" w:themeFill="background1" w:themeFillShade="D9"/>
            <w:vAlign w:val="center"/>
          </w:tcPr>
          <w:p w14:paraId="605F25C8"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Доза</w:t>
            </w:r>
            <w:r w:rsidRPr="00855755">
              <w:rPr>
                <w:rFonts w:eastAsia="Times New Roman"/>
                <w:b/>
                <w:bCs/>
                <w:sz w:val="20"/>
                <w:szCs w:val="20"/>
                <w:lang w:val="en-US" w:eastAsia="ru-RU"/>
              </w:rPr>
              <w:t xml:space="preserve">, </w:t>
            </w:r>
            <w:r w:rsidRPr="00855755">
              <w:rPr>
                <w:rFonts w:eastAsia="Times New Roman"/>
                <w:b/>
                <w:bCs/>
                <w:sz w:val="20"/>
                <w:szCs w:val="20"/>
                <w:lang w:eastAsia="ru-RU"/>
              </w:rPr>
              <w:t>мг</w:t>
            </w:r>
            <w:r w:rsidRPr="00855755">
              <w:rPr>
                <w:rFonts w:eastAsia="Times New Roman"/>
                <w:b/>
                <w:bCs/>
                <w:sz w:val="20"/>
                <w:szCs w:val="20"/>
                <w:lang w:val="en-US" w:eastAsia="ru-RU"/>
              </w:rPr>
              <w:t>/</w:t>
            </w:r>
            <w:r w:rsidRPr="00855755">
              <w:rPr>
                <w:rFonts w:eastAsia="Times New Roman"/>
                <w:b/>
                <w:bCs/>
                <w:sz w:val="20"/>
                <w:szCs w:val="20"/>
                <w:lang w:eastAsia="ru-RU"/>
              </w:rPr>
              <w:t>кг</w:t>
            </w:r>
            <w:r w:rsidRPr="00855755">
              <w:rPr>
                <w:rFonts w:eastAsia="Times New Roman"/>
                <w:b/>
                <w:bCs/>
                <w:sz w:val="20"/>
                <w:szCs w:val="20"/>
                <w:lang w:val="en-US" w:eastAsia="ru-RU"/>
              </w:rPr>
              <w:t>/</w:t>
            </w:r>
            <w:r w:rsidRPr="00855755">
              <w:rPr>
                <w:rFonts w:eastAsia="Times New Roman"/>
                <w:b/>
                <w:bCs/>
                <w:sz w:val="20"/>
                <w:szCs w:val="20"/>
                <w:lang w:eastAsia="ru-RU"/>
              </w:rPr>
              <w:t>с</w:t>
            </w:r>
          </w:p>
        </w:tc>
        <w:tc>
          <w:tcPr>
            <w:tcW w:w="3550" w:type="dxa"/>
            <w:gridSpan w:val="2"/>
            <w:vMerge w:val="restart"/>
            <w:shd w:val="clear" w:color="auto" w:fill="D9D9D9" w:themeFill="background1" w:themeFillShade="D9"/>
            <w:vAlign w:val="center"/>
          </w:tcPr>
          <w:p w14:paraId="3D39413F"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Ключевые имзенения</w:t>
            </w:r>
          </w:p>
          <w:p w14:paraId="5888F4B0" w14:textId="77777777" w:rsidR="00C035FA" w:rsidRPr="00855755" w:rsidRDefault="00C035FA">
            <w:pPr>
              <w:spacing w:after="0" w:line="240" w:lineRule="auto"/>
              <w:jc w:val="center"/>
              <w:rPr>
                <w:rFonts w:eastAsia="Times New Roman"/>
                <w:sz w:val="20"/>
                <w:szCs w:val="20"/>
                <w:lang w:eastAsia="ru-RU"/>
              </w:rPr>
            </w:pPr>
          </w:p>
        </w:tc>
        <w:tc>
          <w:tcPr>
            <w:tcW w:w="0" w:type="auto"/>
            <w:gridSpan w:val="2"/>
            <w:shd w:val="clear" w:color="auto" w:fill="D9D9D9" w:themeFill="background1" w:themeFillShade="D9"/>
            <w:vAlign w:val="center"/>
          </w:tcPr>
          <w:p w14:paraId="191FE5DF"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LOAEL exposures</w:t>
            </w:r>
          </w:p>
        </w:tc>
        <w:tc>
          <w:tcPr>
            <w:tcW w:w="0" w:type="auto"/>
            <w:gridSpan w:val="2"/>
            <w:shd w:val="clear" w:color="auto" w:fill="D9D9D9" w:themeFill="background1" w:themeFillShade="D9"/>
            <w:vAlign w:val="center"/>
          </w:tcPr>
          <w:p w14:paraId="77C25EFF"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NOAEL exposures</w:t>
            </w:r>
          </w:p>
        </w:tc>
        <w:tc>
          <w:tcPr>
            <w:tcW w:w="1354" w:type="dxa"/>
            <w:vMerge w:val="restart"/>
            <w:shd w:val="clear" w:color="auto" w:fill="D9D9D9" w:themeFill="background1" w:themeFillShade="D9"/>
            <w:vAlign w:val="center"/>
          </w:tcPr>
          <w:p w14:paraId="76C3454F" w14:textId="77777777" w:rsidR="00C035FA" w:rsidRDefault="008D5756">
            <w:pPr>
              <w:spacing w:after="0" w:line="240" w:lineRule="auto"/>
              <w:jc w:val="center"/>
              <w:rPr>
                <w:rFonts w:eastAsia="Times New Roman"/>
                <w:b/>
                <w:bCs/>
                <w:color w:val="000000"/>
                <w:sz w:val="20"/>
                <w:szCs w:val="20"/>
                <w:lang w:val="en-US" w:eastAsia="ru-RU"/>
              </w:rPr>
            </w:pPr>
            <w:proofErr w:type="spellStart"/>
            <w:r>
              <w:rPr>
                <w:rFonts w:eastAsia="Times New Roman"/>
                <w:b/>
                <w:bCs/>
                <w:color w:val="000000"/>
                <w:sz w:val="20"/>
                <w:szCs w:val="20"/>
                <w:lang w:val="en-US" w:eastAsia="ru-RU"/>
              </w:rPr>
              <w:t>Многократное</w:t>
            </w:r>
            <w:proofErr w:type="spellEnd"/>
            <w:r>
              <w:rPr>
                <w:rFonts w:eastAsia="Times New Roman"/>
                <w:b/>
                <w:bCs/>
                <w:color w:val="000000"/>
                <w:sz w:val="20"/>
                <w:szCs w:val="20"/>
                <w:lang w:val="en-US" w:eastAsia="ru-RU"/>
              </w:rPr>
              <w:t xml:space="preserve"> </w:t>
            </w:r>
            <w:proofErr w:type="spellStart"/>
            <w:r>
              <w:rPr>
                <w:rFonts w:eastAsia="Times New Roman"/>
                <w:b/>
                <w:bCs/>
                <w:color w:val="000000"/>
                <w:sz w:val="20"/>
                <w:szCs w:val="20"/>
                <w:lang w:val="en-US" w:eastAsia="ru-RU"/>
              </w:rPr>
              <w:t>воздействие</w:t>
            </w:r>
            <w:proofErr w:type="spellEnd"/>
            <w:r>
              <w:rPr>
                <w:rFonts w:eastAsia="Times New Roman"/>
                <w:b/>
                <w:bCs/>
                <w:color w:val="000000"/>
                <w:sz w:val="20"/>
                <w:szCs w:val="20"/>
                <w:lang w:val="en-US" w:eastAsia="ru-RU"/>
              </w:rPr>
              <w:t xml:space="preserve"> </w:t>
            </w:r>
            <w:proofErr w:type="spellStart"/>
            <w:r>
              <w:rPr>
                <w:rFonts w:eastAsia="Times New Roman"/>
                <w:b/>
                <w:bCs/>
                <w:color w:val="000000"/>
                <w:sz w:val="20"/>
                <w:szCs w:val="20"/>
                <w:lang w:val="en-US" w:eastAsia="ru-RU"/>
              </w:rPr>
              <w:t>относительно</w:t>
            </w:r>
            <w:proofErr w:type="spellEnd"/>
            <w:r>
              <w:rPr>
                <w:rFonts w:eastAsia="Times New Roman"/>
                <w:b/>
                <w:bCs/>
                <w:color w:val="000000"/>
                <w:sz w:val="20"/>
                <w:szCs w:val="20"/>
                <w:lang w:val="en-US" w:eastAsia="ru-RU"/>
              </w:rPr>
              <w:t xml:space="preserve"> NOAEL</w:t>
            </w:r>
          </w:p>
        </w:tc>
      </w:tr>
      <w:tr w:rsidR="00C035FA" w14:paraId="7BCCDA3B" w14:textId="77777777">
        <w:trPr>
          <w:trHeight w:val="567"/>
          <w:tblHeader/>
          <w:jc w:val="center"/>
        </w:trPr>
        <w:tc>
          <w:tcPr>
            <w:tcW w:w="0" w:type="auto"/>
            <w:vMerge/>
            <w:shd w:val="clear" w:color="auto" w:fill="auto"/>
            <w:vAlign w:val="center"/>
          </w:tcPr>
          <w:p w14:paraId="05D12AF7" w14:textId="77777777" w:rsidR="00C035FA" w:rsidRPr="00855755" w:rsidRDefault="00C035FA">
            <w:pPr>
              <w:spacing w:after="0" w:line="240" w:lineRule="auto"/>
              <w:jc w:val="center"/>
              <w:rPr>
                <w:rFonts w:eastAsia="Times New Roman"/>
                <w:b/>
                <w:bCs/>
                <w:sz w:val="20"/>
                <w:szCs w:val="20"/>
                <w:lang w:val="en-US" w:eastAsia="ru-RU"/>
              </w:rPr>
            </w:pPr>
          </w:p>
        </w:tc>
        <w:tc>
          <w:tcPr>
            <w:tcW w:w="0" w:type="auto"/>
            <w:vMerge/>
            <w:shd w:val="clear" w:color="auto" w:fill="auto"/>
            <w:vAlign w:val="center"/>
          </w:tcPr>
          <w:p w14:paraId="4469EDE4" w14:textId="77777777" w:rsidR="00C035FA" w:rsidRPr="00855755" w:rsidRDefault="00C035FA">
            <w:pPr>
              <w:spacing w:after="0" w:line="240" w:lineRule="auto"/>
              <w:jc w:val="center"/>
              <w:rPr>
                <w:rFonts w:eastAsia="Times New Roman"/>
                <w:b/>
                <w:bCs/>
                <w:sz w:val="20"/>
                <w:szCs w:val="20"/>
                <w:lang w:val="en-US" w:eastAsia="ru-RU"/>
              </w:rPr>
            </w:pPr>
          </w:p>
        </w:tc>
        <w:tc>
          <w:tcPr>
            <w:tcW w:w="3550" w:type="dxa"/>
            <w:gridSpan w:val="2"/>
            <w:vMerge/>
            <w:shd w:val="clear" w:color="auto" w:fill="auto"/>
            <w:vAlign w:val="center"/>
          </w:tcPr>
          <w:p w14:paraId="2ED82B75" w14:textId="77777777" w:rsidR="00C035FA" w:rsidRPr="00855755" w:rsidRDefault="00C035FA">
            <w:pPr>
              <w:spacing w:after="0" w:line="240" w:lineRule="auto"/>
              <w:jc w:val="center"/>
              <w:rPr>
                <w:rFonts w:eastAsia="Times New Roman"/>
                <w:sz w:val="20"/>
                <w:szCs w:val="20"/>
                <w:lang w:val="en-US" w:eastAsia="ru-RU"/>
              </w:rPr>
            </w:pPr>
          </w:p>
        </w:tc>
        <w:tc>
          <w:tcPr>
            <w:tcW w:w="0" w:type="auto"/>
            <w:shd w:val="clear" w:color="auto" w:fill="D9D9D9" w:themeFill="background1" w:themeFillShade="D9"/>
            <w:vAlign w:val="center"/>
          </w:tcPr>
          <w:p w14:paraId="3607E2FF"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C</w:t>
            </w:r>
            <w:r w:rsidRPr="00855755">
              <w:rPr>
                <w:rFonts w:eastAsia="Times New Roman"/>
                <w:b/>
                <w:bCs/>
                <w:sz w:val="20"/>
                <w:szCs w:val="20"/>
                <w:vertAlign w:val="subscript"/>
                <w:lang w:eastAsia="ru-RU"/>
              </w:rPr>
              <w:t>max</w:t>
            </w:r>
            <w:r w:rsidRPr="00855755">
              <w:rPr>
                <w:rFonts w:eastAsia="Times New Roman"/>
                <w:b/>
                <w:bCs/>
                <w:sz w:val="20"/>
                <w:szCs w:val="20"/>
                <w:lang w:eastAsia="ru-RU"/>
              </w:rPr>
              <w:t>, нмоль/л</w:t>
            </w:r>
          </w:p>
        </w:tc>
        <w:tc>
          <w:tcPr>
            <w:tcW w:w="0" w:type="auto"/>
            <w:shd w:val="clear" w:color="auto" w:fill="D9D9D9" w:themeFill="background1" w:themeFillShade="D9"/>
            <w:vAlign w:val="center"/>
          </w:tcPr>
          <w:p w14:paraId="679C3304"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AUC, нмоль/л ч</w:t>
            </w:r>
          </w:p>
        </w:tc>
        <w:tc>
          <w:tcPr>
            <w:tcW w:w="0" w:type="auto"/>
            <w:shd w:val="clear" w:color="auto" w:fill="D9D9D9" w:themeFill="background1" w:themeFillShade="D9"/>
            <w:vAlign w:val="center"/>
          </w:tcPr>
          <w:p w14:paraId="6E5E0D3F"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C</w:t>
            </w:r>
            <w:r w:rsidRPr="00855755">
              <w:rPr>
                <w:rFonts w:eastAsia="Times New Roman"/>
                <w:b/>
                <w:bCs/>
                <w:sz w:val="20"/>
                <w:szCs w:val="20"/>
                <w:vertAlign w:val="subscript"/>
                <w:lang w:eastAsia="ru-RU"/>
              </w:rPr>
              <w:t>max</w:t>
            </w:r>
            <w:r w:rsidRPr="00855755">
              <w:rPr>
                <w:rFonts w:eastAsia="Times New Roman"/>
                <w:b/>
                <w:bCs/>
                <w:sz w:val="20"/>
                <w:szCs w:val="20"/>
                <w:lang w:eastAsia="ru-RU"/>
              </w:rPr>
              <w:t>, нмоль/л</w:t>
            </w:r>
          </w:p>
        </w:tc>
        <w:tc>
          <w:tcPr>
            <w:tcW w:w="0" w:type="auto"/>
            <w:shd w:val="clear" w:color="auto" w:fill="D9D9D9" w:themeFill="background1" w:themeFillShade="D9"/>
            <w:vAlign w:val="center"/>
          </w:tcPr>
          <w:p w14:paraId="292F2033" w14:textId="77777777" w:rsidR="00C035FA" w:rsidRPr="00855755" w:rsidRDefault="008D5756">
            <w:pPr>
              <w:spacing w:after="0" w:line="240" w:lineRule="auto"/>
              <w:jc w:val="center"/>
              <w:rPr>
                <w:rFonts w:eastAsia="Times New Roman"/>
                <w:b/>
                <w:bCs/>
                <w:sz w:val="20"/>
                <w:szCs w:val="20"/>
                <w:lang w:eastAsia="ru-RU"/>
              </w:rPr>
            </w:pPr>
            <w:r w:rsidRPr="00855755">
              <w:rPr>
                <w:rFonts w:eastAsia="Times New Roman"/>
                <w:b/>
                <w:bCs/>
                <w:sz w:val="20"/>
                <w:szCs w:val="20"/>
                <w:lang w:eastAsia="ru-RU"/>
              </w:rPr>
              <w:t>AUC, нмоль/л ч</w:t>
            </w:r>
          </w:p>
        </w:tc>
        <w:tc>
          <w:tcPr>
            <w:tcW w:w="1354" w:type="dxa"/>
            <w:vMerge/>
            <w:shd w:val="clear" w:color="auto" w:fill="auto"/>
            <w:vAlign w:val="center"/>
          </w:tcPr>
          <w:p w14:paraId="0FF3172D" w14:textId="77777777" w:rsidR="00C035FA" w:rsidRDefault="00C035FA">
            <w:pPr>
              <w:spacing w:after="0" w:line="240" w:lineRule="auto"/>
              <w:jc w:val="center"/>
              <w:rPr>
                <w:rFonts w:eastAsia="Times New Roman"/>
                <w:b/>
                <w:bCs/>
                <w:color w:val="000000"/>
                <w:sz w:val="20"/>
                <w:szCs w:val="20"/>
                <w:lang w:eastAsia="ru-RU"/>
              </w:rPr>
            </w:pPr>
          </w:p>
        </w:tc>
      </w:tr>
      <w:tr w:rsidR="00C035FA" w14:paraId="4F4C3C91" w14:textId="77777777" w:rsidTr="006F5C46">
        <w:trPr>
          <w:trHeight w:val="1848"/>
          <w:jc w:val="center"/>
        </w:trPr>
        <w:tc>
          <w:tcPr>
            <w:tcW w:w="0" w:type="auto"/>
            <w:vMerge w:val="restart"/>
            <w:shd w:val="clear" w:color="auto" w:fill="auto"/>
            <w:vAlign w:val="center"/>
          </w:tcPr>
          <w:p w14:paraId="7CDD152C"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13-недельное, мыши</w:t>
            </w:r>
          </w:p>
        </w:tc>
        <w:tc>
          <w:tcPr>
            <w:tcW w:w="0" w:type="auto"/>
            <w:vMerge w:val="restart"/>
            <w:shd w:val="clear" w:color="auto" w:fill="auto"/>
            <w:vAlign w:val="center"/>
          </w:tcPr>
          <w:p w14:paraId="4882300C"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0, 500, 750, 1000</w:t>
            </w:r>
          </w:p>
        </w:tc>
        <w:tc>
          <w:tcPr>
            <w:tcW w:w="3175" w:type="dxa"/>
            <w:vMerge w:val="restart"/>
            <w:shd w:val="clear" w:color="auto" w:fill="auto"/>
            <w:vAlign w:val="center"/>
          </w:tcPr>
          <w:p w14:paraId="457A07F6"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val="en-US" w:eastAsia="ru-RU"/>
              </w:rPr>
              <w:t>NOAEL</w:t>
            </w:r>
            <w:r w:rsidRPr="00855755">
              <w:rPr>
                <w:rFonts w:eastAsia="Times New Roman"/>
                <w:sz w:val="20"/>
                <w:szCs w:val="20"/>
                <w:lang w:eastAsia="ru-RU"/>
              </w:rPr>
              <w:t xml:space="preserve"> = 750 мг/кг/сутки ≥500 мг/кг/сутки: ↑потребление пищи, ↑масса печени и почек. Некроз одиночных клеток и гипертрофия канальцев (М). Повышенная кариомегалия почечных канальцев (</w:t>
            </w:r>
            <w:r w:rsidRPr="00855755">
              <w:rPr>
                <w:rFonts w:eastAsia="Times New Roman"/>
                <w:sz w:val="20"/>
                <w:szCs w:val="20"/>
                <w:lang w:val="en-US" w:eastAsia="ru-RU"/>
              </w:rPr>
              <w:t>M</w:t>
            </w:r>
            <w:r w:rsidRPr="00855755">
              <w:rPr>
                <w:rFonts w:eastAsia="Times New Roman"/>
                <w:sz w:val="20"/>
                <w:szCs w:val="20"/>
                <w:lang w:eastAsia="ru-RU"/>
              </w:rPr>
              <w:t>), кистозная гиперплазия почечных канальцев (</w:t>
            </w:r>
            <w:r w:rsidRPr="00855755">
              <w:rPr>
                <w:rFonts w:eastAsia="Times New Roman"/>
                <w:sz w:val="20"/>
                <w:szCs w:val="20"/>
                <w:lang w:val="en-US" w:eastAsia="ru-RU"/>
              </w:rPr>
              <w:t>F</w:t>
            </w:r>
            <w:r w:rsidRPr="00855755">
              <w:rPr>
                <w:rFonts w:eastAsia="Times New Roman"/>
                <w:sz w:val="20"/>
                <w:szCs w:val="20"/>
                <w:lang w:eastAsia="ru-RU"/>
              </w:rPr>
              <w:t>) и гидропические изменения средней зоны печени (</w:t>
            </w:r>
            <w:r w:rsidRPr="00855755">
              <w:rPr>
                <w:rFonts w:eastAsia="Times New Roman"/>
                <w:sz w:val="20"/>
                <w:szCs w:val="20"/>
                <w:lang w:val="en-US" w:eastAsia="ru-RU"/>
              </w:rPr>
              <w:t>M</w:t>
            </w:r>
            <w:r w:rsidRPr="00855755">
              <w:rPr>
                <w:rFonts w:eastAsia="Times New Roman"/>
                <w:sz w:val="20"/>
                <w:szCs w:val="20"/>
                <w:lang w:eastAsia="ru-RU"/>
              </w:rPr>
              <w:t xml:space="preserve"> и </w:t>
            </w:r>
            <w:r w:rsidRPr="00855755">
              <w:rPr>
                <w:rFonts w:eastAsia="Times New Roman"/>
                <w:sz w:val="20"/>
                <w:szCs w:val="20"/>
                <w:lang w:val="en-US" w:eastAsia="ru-RU"/>
              </w:rPr>
              <w:t>F</w:t>
            </w:r>
            <w:r w:rsidRPr="00855755">
              <w:rPr>
                <w:rFonts w:eastAsia="Times New Roman"/>
                <w:sz w:val="20"/>
                <w:szCs w:val="20"/>
                <w:lang w:eastAsia="ru-RU"/>
              </w:rPr>
              <w:t xml:space="preserve">). ≥750 мг/кг/сут: кистозная гиперплазия почечных канальцев (М), повышенное окрашивание </w:t>
            </w:r>
            <w:r w:rsidRPr="00855755">
              <w:rPr>
                <w:rFonts w:eastAsia="Times New Roman"/>
                <w:sz w:val="20"/>
                <w:szCs w:val="20"/>
                <w:lang w:val="en-US" w:eastAsia="ru-RU"/>
              </w:rPr>
              <w:t>Ki</w:t>
            </w:r>
            <w:r w:rsidRPr="00855755">
              <w:rPr>
                <w:rFonts w:eastAsia="Times New Roman"/>
                <w:sz w:val="20"/>
                <w:szCs w:val="20"/>
                <w:lang w:eastAsia="ru-RU"/>
              </w:rPr>
              <w:t>-67 (М)</w:t>
            </w:r>
          </w:p>
        </w:tc>
        <w:tc>
          <w:tcPr>
            <w:tcW w:w="0" w:type="auto"/>
            <w:shd w:val="clear" w:color="auto" w:fill="auto"/>
            <w:vAlign w:val="center"/>
          </w:tcPr>
          <w:p w14:paraId="75904CC5"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M</w:t>
            </w:r>
          </w:p>
        </w:tc>
        <w:tc>
          <w:tcPr>
            <w:tcW w:w="0" w:type="auto"/>
            <w:shd w:val="clear" w:color="auto" w:fill="auto"/>
            <w:vAlign w:val="center"/>
          </w:tcPr>
          <w:p w14:paraId="3BDE0AB1"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45,300</w:t>
            </w:r>
          </w:p>
        </w:tc>
        <w:tc>
          <w:tcPr>
            <w:tcW w:w="0" w:type="auto"/>
            <w:shd w:val="clear" w:color="auto" w:fill="auto"/>
            <w:vAlign w:val="center"/>
          </w:tcPr>
          <w:p w14:paraId="504CFC25"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225,000</w:t>
            </w:r>
          </w:p>
        </w:tc>
        <w:tc>
          <w:tcPr>
            <w:tcW w:w="0" w:type="auto"/>
            <w:shd w:val="clear" w:color="auto" w:fill="auto"/>
            <w:vAlign w:val="center"/>
          </w:tcPr>
          <w:p w14:paraId="3471FB19"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32,400</w:t>
            </w:r>
          </w:p>
        </w:tc>
        <w:tc>
          <w:tcPr>
            <w:tcW w:w="0" w:type="auto"/>
            <w:shd w:val="clear" w:color="auto" w:fill="auto"/>
            <w:vAlign w:val="center"/>
          </w:tcPr>
          <w:p w14:paraId="13BAB7E4"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130,000</w:t>
            </w:r>
          </w:p>
        </w:tc>
        <w:tc>
          <w:tcPr>
            <w:tcW w:w="1354" w:type="dxa"/>
            <w:vMerge w:val="restart"/>
            <w:shd w:val="clear" w:color="auto" w:fill="auto"/>
            <w:vAlign w:val="center"/>
          </w:tcPr>
          <w:p w14:paraId="7D2D5614"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47</w:t>
            </w:r>
          </w:p>
        </w:tc>
      </w:tr>
      <w:tr w:rsidR="00C035FA" w14:paraId="43EC0FF8" w14:textId="77777777">
        <w:trPr>
          <w:trHeight w:val="567"/>
          <w:jc w:val="center"/>
        </w:trPr>
        <w:tc>
          <w:tcPr>
            <w:tcW w:w="0" w:type="auto"/>
            <w:vMerge/>
            <w:shd w:val="clear" w:color="auto" w:fill="auto"/>
            <w:vAlign w:val="center"/>
          </w:tcPr>
          <w:p w14:paraId="3ABC77E5" w14:textId="77777777" w:rsidR="00C035FA" w:rsidRPr="00855755" w:rsidRDefault="00C035FA">
            <w:pPr>
              <w:spacing w:after="0" w:line="240" w:lineRule="auto"/>
              <w:jc w:val="center"/>
              <w:rPr>
                <w:rFonts w:eastAsia="Times New Roman"/>
                <w:sz w:val="20"/>
                <w:szCs w:val="20"/>
                <w:lang w:eastAsia="ru-RU"/>
              </w:rPr>
            </w:pPr>
          </w:p>
        </w:tc>
        <w:tc>
          <w:tcPr>
            <w:tcW w:w="0" w:type="auto"/>
            <w:vMerge/>
            <w:shd w:val="clear" w:color="auto" w:fill="auto"/>
            <w:vAlign w:val="center"/>
          </w:tcPr>
          <w:p w14:paraId="6B505146" w14:textId="77777777" w:rsidR="00C035FA" w:rsidRPr="00855755" w:rsidRDefault="00C035FA">
            <w:pPr>
              <w:spacing w:after="0" w:line="240" w:lineRule="auto"/>
              <w:jc w:val="center"/>
              <w:rPr>
                <w:rFonts w:eastAsia="Times New Roman"/>
                <w:sz w:val="20"/>
                <w:szCs w:val="20"/>
                <w:lang w:eastAsia="ru-RU"/>
              </w:rPr>
            </w:pPr>
          </w:p>
        </w:tc>
        <w:tc>
          <w:tcPr>
            <w:tcW w:w="3175" w:type="dxa"/>
            <w:vMerge/>
            <w:shd w:val="clear" w:color="auto" w:fill="auto"/>
            <w:vAlign w:val="center"/>
          </w:tcPr>
          <w:p w14:paraId="034AD668" w14:textId="77777777" w:rsidR="00C035FA" w:rsidRPr="00855755" w:rsidRDefault="00C035FA">
            <w:pPr>
              <w:spacing w:after="0" w:line="240" w:lineRule="auto"/>
              <w:jc w:val="center"/>
              <w:rPr>
                <w:rFonts w:eastAsia="Times New Roman"/>
                <w:sz w:val="20"/>
                <w:szCs w:val="20"/>
                <w:lang w:eastAsia="ru-RU"/>
              </w:rPr>
            </w:pPr>
          </w:p>
        </w:tc>
        <w:tc>
          <w:tcPr>
            <w:tcW w:w="0" w:type="auto"/>
            <w:shd w:val="clear" w:color="auto" w:fill="auto"/>
            <w:vAlign w:val="center"/>
          </w:tcPr>
          <w:p w14:paraId="690FFD84"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F</w:t>
            </w:r>
          </w:p>
        </w:tc>
        <w:tc>
          <w:tcPr>
            <w:tcW w:w="0" w:type="auto"/>
            <w:shd w:val="clear" w:color="auto" w:fill="auto"/>
            <w:vAlign w:val="center"/>
          </w:tcPr>
          <w:p w14:paraId="257D9177"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47,400</w:t>
            </w:r>
          </w:p>
        </w:tc>
        <w:tc>
          <w:tcPr>
            <w:tcW w:w="0" w:type="auto"/>
            <w:shd w:val="clear" w:color="auto" w:fill="auto"/>
            <w:vAlign w:val="center"/>
          </w:tcPr>
          <w:p w14:paraId="5D424AE9"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320,000</w:t>
            </w:r>
          </w:p>
        </w:tc>
        <w:tc>
          <w:tcPr>
            <w:tcW w:w="0" w:type="auto"/>
            <w:shd w:val="clear" w:color="auto" w:fill="auto"/>
            <w:vAlign w:val="center"/>
          </w:tcPr>
          <w:p w14:paraId="5340ADD3"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37,200</w:t>
            </w:r>
          </w:p>
        </w:tc>
        <w:tc>
          <w:tcPr>
            <w:tcW w:w="0" w:type="auto"/>
            <w:shd w:val="clear" w:color="auto" w:fill="auto"/>
            <w:vAlign w:val="center"/>
          </w:tcPr>
          <w:p w14:paraId="7359680B"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364,000</w:t>
            </w:r>
          </w:p>
        </w:tc>
        <w:tc>
          <w:tcPr>
            <w:tcW w:w="1354" w:type="dxa"/>
            <w:vMerge/>
            <w:shd w:val="clear" w:color="auto" w:fill="auto"/>
            <w:vAlign w:val="center"/>
          </w:tcPr>
          <w:p w14:paraId="47F95985" w14:textId="77777777" w:rsidR="00C035FA" w:rsidRPr="00855755" w:rsidRDefault="00C035FA">
            <w:pPr>
              <w:spacing w:after="0" w:line="240" w:lineRule="auto"/>
              <w:jc w:val="center"/>
              <w:rPr>
                <w:rFonts w:eastAsia="Times New Roman"/>
                <w:sz w:val="20"/>
                <w:szCs w:val="20"/>
                <w:lang w:eastAsia="ru-RU"/>
              </w:rPr>
            </w:pPr>
          </w:p>
        </w:tc>
      </w:tr>
      <w:tr w:rsidR="00C035FA" w14:paraId="59DCB5E6" w14:textId="77777777" w:rsidTr="006F5C46">
        <w:trPr>
          <w:trHeight w:val="2524"/>
          <w:jc w:val="center"/>
        </w:trPr>
        <w:tc>
          <w:tcPr>
            <w:tcW w:w="0" w:type="auto"/>
            <w:vMerge w:val="restart"/>
            <w:shd w:val="clear" w:color="auto" w:fill="auto"/>
            <w:vAlign w:val="center"/>
          </w:tcPr>
          <w:p w14:paraId="522D6FF7"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26-недельное, крысы</w:t>
            </w:r>
          </w:p>
        </w:tc>
        <w:tc>
          <w:tcPr>
            <w:tcW w:w="0" w:type="auto"/>
            <w:vMerge w:val="restart"/>
            <w:shd w:val="clear" w:color="auto" w:fill="auto"/>
            <w:vAlign w:val="center"/>
          </w:tcPr>
          <w:p w14:paraId="342D2C86"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0, 30, 100, 700</w:t>
            </w:r>
          </w:p>
        </w:tc>
        <w:tc>
          <w:tcPr>
            <w:tcW w:w="3175" w:type="dxa"/>
            <w:vMerge w:val="restart"/>
            <w:shd w:val="clear" w:color="auto" w:fill="auto"/>
            <w:vAlign w:val="center"/>
          </w:tcPr>
          <w:p w14:paraId="4411E9B2" w14:textId="72E3DC95"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val="en-US" w:eastAsia="ru-RU"/>
              </w:rPr>
              <w:t>NOAEL</w:t>
            </w:r>
            <w:r w:rsidRPr="00855755">
              <w:rPr>
                <w:rFonts w:eastAsia="Times New Roman"/>
                <w:sz w:val="20"/>
                <w:szCs w:val="20"/>
                <w:lang w:eastAsia="ru-RU"/>
              </w:rPr>
              <w:t xml:space="preserve"> = 100 мг/кг/сут ≥30 мг/кг/сут (неблагоприятные изменения): ↑потребление пищи, ↓масса тела, ↓эритроциты (</w:t>
            </w:r>
            <w:r w:rsidRPr="00855755">
              <w:rPr>
                <w:rFonts w:eastAsia="Times New Roman"/>
                <w:sz w:val="20"/>
                <w:szCs w:val="20"/>
                <w:lang w:val="en-US" w:eastAsia="ru-RU"/>
              </w:rPr>
              <w:t>F</w:t>
            </w:r>
            <w:r w:rsidRPr="00855755">
              <w:rPr>
                <w:rFonts w:eastAsia="Times New Roman"/>
                <w:sz w:val="20"/>
                <w:szCs w:val="20"/>
                <w:lang w:eastAsia="ru-RU"/>
              </w:rPr>
              <w:t>), ↓глюкоза сыворотки, ↑АМК, полиурия, глюкозурия, ↑масса почек, ↓ масса легких (</w:t>
            </w:r>
            <w:r w:rsidRPr="00855755">
              <w:rPr>
                <w:rFonts w:eastAsia="Times New Roman"/>
                <w:sz w:val="20"/>
                <w:szCs w:val="20"/>
                <w:lang w:val="en-US" w:eastAsia="ru-RU"/>
              </w:rPr>
              <w:t>F</w:t>
            </w:r>
            <w:r w:rsidRPr="00855755">
              <w:rPr>
                <w:rFonts w:eastAsia="Times New Roman"/>
                <w:sz w:val="20"/>
                <w:szCs w:val="20"/>
                <w:lang w:eastAsia="ru-RU"/>
              </w:rPr>
              <w:t>), масса ↓тимуса, гипертрофия и вакуолизация надпочечников, повышенная минерализация почечных канальцев, гепатоцеллюлярная вакуолизация. ≥100 мг/кг/сут: ↑альбумин сыворотки (М), ↓хлорид, ↑альбумин и общий белок сыворотки (</w:t>
            </w:r>
            <w:r w:rsidRPr="00855755">
              <w:rPr>
                <w:rFonts w:eastAsia="Times New Roman"/>
                <w:sz w:val="20"/>
                <w:szCs w:val="20"/>
                <w:lang w:val="en-US" w:eastAsia="ru-RU"/>
              </w:rPr>
              <w:t>F</w:t>
            </w:r>
            <w:r w:rsidRPr="00855755">
              <w:rPr>
                <w:rFonts w:eastAsia="Times New Roman"/>
                <w:sz w:val="20"/>
                <w:szCs w:val="20"/>
                <w:lang w:eastAsia="ru-RU"/>
              </w:rPr>
              <w:t>), ↑объем мочи, кетонурия, кристаллурия (</w:t>
            </w:r>
            <w:r w:rsidRPr="00855755">
              <w:rPr>
                <w:rFonts w:eastAsia="Times New Roman"/>
                <w:sz w:val="20"/>
                <w:szCs w:val="20"/>
                <w:lang w:val="en-US" w:eastAsia="ru-RU"/>
              </w:rPr>
              <w:t>F</w:t>
            </w:r>
            <w:r w:rsidRPr="00855755">
              <w:rPr>
                <w:rFonts w:eastAsia="Times New Roman"/>
                <w:sz w:val="20"/>
                <w:szCs w:val="20"/>
                <w:lang w:eastAsia="ru-RU"/>
              </w:rPr>
              <w:t>), ↓лимфоциты</w:t>
            </w:r>
            <w:r w:rsidR="006F5C46">
              <w:rPr>
                <w:rFonts w:eastAsia="Times New Roman"/>
                <w:sz w:val="20"/>
                <w:szCs w:val="20"/>
                <w:lang w:eastAsia="ru-RU"/>
              </w:rPr>
              <w:t xml:space="preserve"> и лейкоциты (М), ↑масса печени</w:t>
            </w:r>
            <w:r w:rsidRPr="00855755">
              <w:rPr>
                <w:rFonts w:eastAsia="Times New Roman"/>
                <w:sz w:val="20"/>
                <w:szCs w:val="20"/>
                <w:lang w:eastAsia="ru-RU"/>
              </w:rPr>
              <w:t xml:space="preserve">, </w:t>
            </w:r>
            <w:r w:rsidRPr="00855755">
              <w:rPr>
                <w:rFonts w:eastAsia="Times New Roman"/>
                <w:sz w:val="20"/>
                <w:szCs w:val="20"/>
                <w:lang w:eastAsia="ru-RU"/>
              </w:rPr>
              <w:lastRenderedPageBreak/>
              <w:t>вакуолизация поджелудочной железы (М), гипертрофия фолликулов щитовидной железы (</w:t>
            </w:r>
            <w:r w:rsidRPr="00855755">
              <w:rPr>
                <w:rFonts w:eastAsia="Times New Roman"/>
                <w:sz w:val="20"/>
                <w:szCs w:val="20"/>
                <w:lang w:val="en-US" w:eastAsia="ru-RU"/>
              </w:rPr>
              <w:t>F</w:t>
            </w:r>
            <w:r w:rsidRPr="00855755">
              <w:rPr>
                <w:rFonts w:eastAsia="Times New Roman"/>
                <w:sz w:val="20"/>
                <w:szCs w:val="20"/>
                <w:lang w:eastAsia="ru-RU"/>
              </w:rPr>
              <w:t xml:space="preserve">). 700 мг/кг/сутки: 1 </w:t>
            </w:r>
            <w:r w:rsidRPr="00855755">
              <w:rPr>
                <w:rFonts w:eastAsia="Times New Roman"/>
                <w:sz w:val="20"/>
                <w:szCs w:val="20"/>
                <w:lang w:val="en-US" w:eastAsia="ru-RU"/>
              </w:rPr>
              <w:t>M</w:t>
            </w:r>
            <w:r w:rsidRPr="00855755">
              <w:rPr>
                <w:rFonts w:eastAsia="Times New Roman"/>
                <w:sz w:val="20"/>
                <w:szCs w:val="20"/>
                <w:lang w:eastAsia="ru-RU"/>
              </w:rPr>
              <w:t xml:space="preserve"> и 1 </w:t>
            </w:r>
            <w:r w:rsidRPr="00855755">
              <w:rPr>
                <w:rFonts w:eastAsia="Times New Roman"/>
                <w:sz w:val="20"/>
                <w:szCs w:val="20"/>
                <w:lang w:val="en-US" w:eastAsia="ru-RU"/>
              </w:rPr>
              <w:t>F</w:t>
            </w:r>
            <w:r w:rsidRPr="00855755">
              <w:rPr>
                <w:rFonts w:eastAsia="Times New Roman"/>
                <w:sz w:val="20"/>
                <w:szCs w:val="20"/>
                <w:lang w:eastAsia="ru-RU"/>
              </w:rPr>
              <w:t xml:space="preserve"> умерли на 8-й и 38-й дни соответственно. Окрашивание шерсти, мягкий стул, вздутие живота (М), ↓гематокрит (</w:t>
            </w:r>
            <w:r w:rsidRPr="00855755">
              <w:rPr>
                <w:rFonts w:eastAsia="Times New Roman"/>
                <w:sz w:val="20"/>
                <w:szCs w:val="20"/>
                <w:lang w:val="en-US" w:eastAsia="ru-RU"/>
              </w:rPr>
              <w:t>F</w:t>
            </w:r>
            <w:r w:rsidRPr="00855755">
              <w:rPr>
                <w:rFonts w:eastAsia="Times New Roman"/>
                <w:sz w:val="20"/>
                <w:szCs w:val="20"/>
                <w:lang w:eastAsia="ru-RU"/>
              </w:rPr>
              <w:t>), ↓эритроцитов (</w:t>
            </w:r>
            <w:r w:rsidRPr="00855755">
              <w:rPr>
                <w:rFonts w:eastAsia="Times New Roman"/>
                <w:sz w:val="20"/>
                <w:szCs w:val="20"/>
                <w:lang w:val="en-US" w:eastAsia="ru-RU"/>
              </w:rPr>
              <w:t>F</w:t>
            </w:r>
            <w:r w:rsidRPr="00855755">
              <w:rPr>
                <w:rFonts w:eastAsia="Times New Roman"/>
                <w:sz w:val="20"/>
                <w:szCs w:val="20"/>
                <w:lang w:eastAsia="ru-RU"/>
              </w:rPr>
              <w:t>), ↑АЛТ и АСТ (</w:t>
            </w:r>
            <w:r w:rsidRPr="00855755">
              <w:rPr>
                <w:rFonts w:eastAsia="Times New Roman"/>
                <w:sz w:val="20"/>
                <w:szCs w:val="20"/>
                <w:lang w:val="en-US" w:eastAsia="ru-RU"/>
              </w:rPr>
              <w:t>F</w:t>
            </w:r>
            <w:r w:rsidRPr="00855755">
              <w:rPr>
                <w:rFonts w:eastAsia="Times New Roman"/>
                <w:sz w:val="20"/>
                <w:szCs w:val="20"/>
                <w:lang w:eastAsia="ru-RU"/>
              </w:rPr>
              <w:t xml:space="preserve">), ↓креатинин, ↓сывороточный натрий и ↑фосфор. Период восстановления: сохранялась повышенная минерализация почечных канальцев, а также снижение массы тела </w:t>
            </w:r>
            <w:r w:rsidRPr="00855755">
              <w:rPr>
                <w:rFonts w:eastAsia="Times New Roman"/>
                <w:sz w:val="20"/>
                <w:szCs w:val="20"/>
                <w:lang w:val="en-US" w:eastAsia="ru-RU"/>
              </w:rPr>
              <w:t>F</w:t>
            </w:r>
            <w:r w:rsidRPr="00855755">
              <w:rPr>
                <w:rFonts w:eastAsia="Times New Roman"/>
                <w:sz w:val="20"/>
                <w:szCs w:val="20"/>
                <w:lang w:eastAsia="ru-RU"/>
              </w:rPr>
              <w:t>. ↓ лимфоцитов (</w:t>
            </w:r>
            <w:r w:rsidRPr="00855755">
              <w:rPr>
                <w:rFonts w:eastAsia="Times New Roman"/>
                <w:sz w:val="20"/>
                <w:szCs w:val="20"/>
                <w:lang w:val="en-US" w:eastAsia="ru-RU"/>
              </w:rPr>
              <w:t>F</w:t>
            </w:r>
            <w:r w:rsidRPr="00855755">
              <w:rPr>
                <w:rFonts w:eastAsia="Times New Roman"/>
                <w:sz w:val="20"/>
                <w:szCs w:val="20"/>
                <w:lang w:eastAsia="ru-RU"/>
              </w:rPr>
              <w:t>) и лейкоцитов (</w:t>
            </w:r>
            <w:r w:rsidRPr="00855755">
              <w:rPr>
                <w:rFonts w:eastAsia="Times New Roman"/>
                <w:sz w:val="20"/>
                <w:szCs w:val="20"/>
                <w:lang w:val="en-US" w:eastAsia="ru-RU"/>
              </w:rPr>
              <w:t>M</w:t>
            </w:r>
            <w:r w:rsidRPr="00855755">
              <w:rPr>
                <w:rFonts w:eastAsia="Times New Roman"/>
                <w:sz w:val="20"/>
                <w:szCs w:val="20"/>
                <w:lang w:eastAsia="ru-RU"/>
              </w:rPr>
              <w:t xml:space="preserve">). </w:t>
            </w:r>
            <w:proofErr w:type="spellStart"/>
            <w:r w:rsidRPr="00855755">
              <w:rPr>
                <w:rFonts w:eastAsia="Times New Roman"/>
                <w:sz w:val="20"/>
                <w:szCs w:val="20"/>
                <w:lang w:val="en-US" w:eastAsia="ru-RU"/>
              </w:rPr>
              <w:t>Все</w:t>
            </w:r>
            <w:proofErr w:type="spellEnd"/>
            <w:r w:rsidRPr="00855755">
              <w:rPr>
                <w:rFonts w:eastAsia="Times New Roman"/>
                <w:sz w:val="20"/>
                <w:szCs w:val="20"/>
                <w:lang w:val="en-US" w:eastAsia="ru-RU"/>
              </w:rPr>
              <w:t xml:space="preserve"> </w:t>
            </w:r>
            <w:proofErr w:type="spellStart"/>
            <w:r w:rsidRPr="00855755">
              <w:rPr>
                <w:rFonts w:eastAsia="Times New Roman"/>
                <w:sz w:val="20"/>
                <w:szCs w:val="20"/>
                <w:lang w:val="en-US" w:eastAsia="ru-RU"/>
              </w:rPr>
              <w:t>другие</w:t>
            </w:r>
            <w:proofErr w:type="spellEnd"/>
            <w:r w:rsidRPr="00855755">
              <w:rPr>
                <w:rFonts w:eastAsia="Times New Roman"/>
                <w:sz w:val="20"/>
                <w:szCs w:val="20"/>
                <w:lang w:val="en-US" w:eastAsia="ru-RU"/>
              </w:rPr>
              <w:t xml:space="preserve"> </w:t>
            </w:r>
            <w:proofErr w:type="spellStart"/>
            <w:r w:rsidRPr="00855755">
              <w:rPr>
                <w:rFonts w:eastAsia="Times New Roman"/>
                <w:sz w:val="20"/>
                <w:szCs w:val="20"/>
                <w:lang w:val="en-US" w:eastAsia="ru-RU"/>
              </w:rPr>
              <w:t>изменения</w:t>
            </w:r>
            <w:proofErr w:type="spellEnd"/>
            <w:r w:rsidRPr="00855755">
              <w:rPr>
                <w:rFonts w:eastAsia="Times New Roman"/>
                <w:sz w:val="20"/>
                <w:szCs w:val="20"/>
                <w:lang w:val="en-US" w:eastAsia="ru-RU"/>
              </w:rPr>
              <w:t xml:space="preserve">, </w:t>
            </w:r>
            <w:proofErr w:type="spellStart"/>
            <w:r w:rsidRPr="00855755">
              <w:rPr>
                <w:rFonts w:eastAsia="Times New Roman"/>
                <w:sz w:val="20"/>
                <w:szCs w:val="20"/>
                <w:lang w:val="en-US" w:eastAsia="ru-RU"/>
              </w:rPr>
              <w:t>связанные</w:t>
            </w:r>
            <w:proofErr w:type="spellEnd"/>
            <w:r w:rsidRPr="00855755">
              <w:rPr>
                <w:rFonts w:eastAsia="Times New Roman"/>
                <w:sz w:val="20"/>
                <w:szCs w:val="20"/>
                <w:lang w:val="en-US" w:eastAsia="ru-RU"/>
              </w:rPr>
              <w:t xml:space="preserve"> с </w:t>
            </w:r>
            <w:proofErr w:type="spellStart"/>
            <w:r w:rsidRPr="00855755">
              <w:rPr>
                <w:rFonts w:eastAsia="Times New Roman"/>
                <w:sz w:val="20"/>
                <w:szCs w:val="20"/>
                <w:lang w:val="en-US" w:eastAsia="ru-RU"/>
              </w:rPr>
              <w:t>лечением</w:t>
            </w:r>
            <w:proofErr w:type="spellEnd"/>
            <w:r w:rsidRPr="00855755">
              <w:rPr>
                <w:rFonts w:eastAsia="Times New Roman"/>
                <w:sz w:val="20"/>
                <w:szCs w:val="20"/>
                <w:lang w:val="en-US" w:eastAsia="ru-RU"/>
              </w:rPr>
              <w:t xml:space="preserve">, </w:t>
            </w:r>
            <w:proofErr w:type="spellStart"/>
            <w:r w:rsidRPr="00855755">
              <w:rPr>
                <w:rFonts w:eastAsia="Times New Roman"/>
                <w:sz w:val="20"/>
                <w:szCs w:val="20"/>
                <w:lang w:val="en-US" w:eastAsia="ru-RU"/>
              </w:rPr>
              <w:t>разрешились</w:t>
            </w:r>
            <w:proofErr w:type="spellEnd"/>
            <w:r w:rsidRPr="00855755">
              <w:rPr>
                <w:rFonts w:eastAsia="Times New Roman"/>
                <w:sz w:val="20"/>
                <w:szCs w:val="20"/>
                <w:lang w:val="en-US" w:eastAsia="ru-RU"/>
              </w:rPr>
              <w:t>.</w:t>
            </w:r>
          </w:p>
        </w:tc>
        <w:tc>
          <w:tcPr>
            <w:tcW w:w="0" w:type="auto"/>
            <w:shd w:val="clear" w:color="auto" w:fill="auto"/>
            <w:vAlign w:val="center"/>
          </w:tcPr>
          <w:p w14:paraId="7E3F2368"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lastRenderedPageBreak/>
              <w:t>M</w:t>
            </w:r>
          </w:p>
        </w:tc>
        <w:tc>
          <w:tcPr>
            <w:tcW w:w="0" w:type="auto"/>
            <w:shd w:val="clear" w:color="auto" w:fill="auto"/>
            <w:vAlign w:val="center"/>
          </w:tcPr>
          <w:p w14:paraId="573E5380"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14,000</w:t>
            </w:r>
          </w:p>
        </w:tc>
        <w:tc>
          <w:tcPr>
            <w:tcW w:w="0" w:type="auto"/>
            <w:shd w:val="clear" w:color="auto" w:fill="auto"/>
            <w:vAlign w:val="center"/>
          </w:tcPr>
          <w:p w14:paraId="0D16461F"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166,000</w:t>
            </w:r>
          </w:p>
        </w:tc>
        <w:tc>
          <w:tcPr>
            <w:tcW w:w="0" w:type="auto"/>
            <w:shd w:val="clear" w:color="auto" w:fill="auto"/>
            <w:vAlign w:val="center"/>
          </w:tcPr>
          <w:p w14:paraId="2A8CC6F7"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9200</w:t>
            </w:r>
          </w:p>
        </w:tc>
        <w:tc>
          <w:tcPr>
            <w:tcW w:w="0" w:type="auto"/>
            <w:shd w:val="clear" w:color="auto" w:fill="auto"/>
            <w:vAlign w:val="center"/>
          </w:tcPr>
          <w:p w14:paraId="75B9B1F1"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47,400</w:t>
            </w:r>
          </w:p>
        </w:tc>
        <w:tc>
          <w:tcPr>
            <w:tcW w:w="1354" w:type="dxa"/>
            <w:vMerge w:val="restart"/>
            <w:shd w:val="clear" w:color="auto" w:fill="auto"/>
            <w:vAlign w:val="center"/>
          </w:tcPr>
          <w:p w14:paraId="6FEC5DF0"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10</w:t>
            </w:r>
          </w:p>
        </w:tc>
      </w:tr>
      <w:tr w:rsidR="00C035FA" w14:paraId="103CF1CC" w14:textId="77777777">
        <w:trPr>
          <w:trHeight w:val="567"/>
          <w:jc w:val="center"/>
        </w:trPr>
        <w:tc>
          <w:tcPr>
            <w:tcW w:w="0" w:type="auto"/>
            <w:vMerge/>
            <w:shd w:val="clear" w:color="auto" w:fill="auto"/>
            <w:vAlign w:val="center"/>
          </w:tcPr>
          <w:p w14:paraId="033B202F" w14:textId="77777777" w:rsidR="00C035FA" w:rsidRPr="00855755" w:rsidRDefault="00C035FA">
            <w:pPr>
              <w:spacing w:after="0" w:line="240" w:lineRule="auto"/>
              <w:jc w:val="center"/>
              <w:rPr>
                <w:rFonts w:eastAsia="Times New Roman"/>
                <w:sz w:val="20"/>
                <w:szCs w:val="20"/>
                <w:lang w:eastAsia="ru-RU"/>
              </w:rPr>
            </w:pPr>
          </w:p>
        </w:tc>
        <w:tc>
          <w:tcPr>
            <w:tcW w:w="0" w:type="auto"/>
            <w:vMerge/>
            <w:shd w:val="clear" w:color="auto" w:fill="auto"/>
            <w:vAlign w:val="center"/>
          </w:tcPr>
          <w:p w14:paraId="0E4E6692" w14:textId="77777777" w:rsidR="00C035FA" w:rsidRPr="00855755" w:rsidRDefault="00C035FA">
            <w:pPr>
              <w:spacing w:after="0" w:line="240" w:lineRule="auto"/>
              <w:jc w:val="center"/>
              <w:rPr>
                <w:rFonts w:eastAsia="Times New Roman"/>
                <w:sz w:val="20"/>
                <w:szCs w:val="20"/>
                <w:lang w:eastAsia="ru-RU"/>
              </w:rPr>
            </w:pPr>
          </w:p>
        </w:tc>
        <w:tc>
          <w:tcPr>
            <w:tcW w:w="3175" w:type="dxa"/>
            <w:vMerge/>
            <w:shd w:val="clear" w:color="auto" w:fill="auto"/>
            <w:vAlign w:val="center"/>
          </w:tcPr>
          <w:p w14:paraId="70C1AB0E" w14:textId="77777777" w:rsidR="00C035FA" w:rsidRPr="00855755" w:rsidRDefault="00C035FA">
            <w:pPr>
              <w:spacing w:after="0" w:line="240" w:lineRule="auto"/>
              <w:jc w:val="center"/>
              <w:rPr>
                <w:rFonts w:eastAsia="Times New Roman"/>
                <w:sz w:val="20"/>
                <w:szCs w:val="20"/>
                <w:lang w:eastAsia="ru-RU"/>
              </w:rPr>
            </w:pPr>
          </w:p>
        </w:tc>
        <w:tc>
          <w:tcPr>
            <w:tcW w:w="0" w:type="auto"/>
            <w:shd w:val="clear" w:color="auto" w:fill="auto"/>
            <w:vAlign w:val="center"/>
          </w:tcPr>
          <w:p w14:paraId="50CC3BE2"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F</w:t>
            </w:r>
          </w:p>
        </w:tc>
        <w:tc>
          <w:tcPr>
            <w:tcW w:w="0" w:type="auto"/>
            <w:shd w:val="clear" w:color="auto" w:fill="auto"/>
            <w:vAlign w:val="center"/>
          </w:tcPr>
          <w:p w14:paraId="46223A6C"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40,400</w:t>
            </w:r>
          </w:p>
        </w:tc>
        <w:tc>
          <w:tcPr>
            <w:tcW w:w="0" w:type="auto"/>
            <w:shd w:val="clear" w:color="auto" w:fill="auto"/>
            <w:vAlign w:val="center"/>
          </w:tcPr>
          <w:p w14:paraId="2A281B99"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372,000</w:t>
            </w:r>
          </w:p>
        </w:tc>
        <w:tc>
          <w:tcPr>
            <w:tcW w:w="0" w:type="auto"/>
            <w:shd w:val="clear" w:color="auto" w:fill="auto"/>
            <w:vAlign w:val="center"/>
          </w:tcPr>
          <w:p w14:paraId="5FB798AB"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20,200</w:t>
            </w:r>
          </w:p>
        </w:tc>
        <w:tc>
          <w:tcPr>
            <w:tcW w:w="0" w:type="auto"/>
            <w:shd w:val="clear" w:color="auto" w:fill="auto"/>
            <w:vAlign w:val="center"/>
          </w:tcPr>
          <w:p w14:paraId="2168BB07"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87,800</w:t>
            </w:r>
          </w:p>
        </w:tc>
        <w:tc>
          <w:tcPr>
            <w:tcW w:w="1354" w:type="dxa"/>
            <w:vMerge/>
            <w:shd w:val="clear" w:color="auto" w:fill="auto"/>
            <w:vAlign w:val="center"/>
          </w:tcPr>
          <w:p w14:paraId="49DBCC64" w14:textId="77777777" w:rsidR="00C035FA" w:rsidRPr="00855755" w:rsidRDefault="00C035FA">
            <w:pPr>
              <w:spacing w:after="0" w:line="240" w:lineRule="auto"/>
              <w:jc w:val="center"/>
              <w:rPr>
                <w:rFonts w:eastAsia="Times New Roman"/>
                <w:sz w:val="20"/>
                <w:szCs w:val="20"/>
                <w:lang w:eastAsia="ru-RU"/>
              </w:rPr>
            </w:pPr>
          </w:p>
        </w:tc>
      </w:tr>
      <w:tr w:rsidR="00C035FA" w14:paraId="1D1D8998" w14:textId="77777777">
        <w:trPr>
          <w:trHeight w:val="567"/>
          <w:jc w:val="center"/>
        </w:trPr>
        <w:tc>
          <w:tcPr>
            <w:tcW w:w="0" w:type="auto"/>
            <w:shd w:val="clear" w:color="auto" w:fill="auto"/>
            <w:vAlign w:val="center"/>
          </w:tcPr>
          <w:p w14:paraId="0D14CDF1"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52-недельное, собаки</w:t>
            </w:r>
          </w:p>
        </w:tc>
        <w:tc>
          <w:tcPr>
            <w:tcW w:w="0" w:type="auto"/>
            <w:shd w:val="clear" w:color="auto" w:fill="auto"/>
            <w:vAlign w:val="center"/>
          </w:tcPr>
          <w:p w14:paraId="722D5E2E"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0, 10, 30, 100</w:t>
            </w:r>
          </w:p>
        </w:tc>
        <w:tc>
          <w:tcPr>
            <w:tcW w:w="3175" w:type="dxa"/>
            <w:shd w:val="clear" w:color="auto" w:fill="auto"/>
            <w:vAlign w:val="center"/>
          </w:tcPr>
          <w:p w14:paraId="5182FD6D"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val="en-US" w:eastAsia="ru-RU"/>
              </w:rPr>
              <w:t>NOAEL</w:t>
            </w:r>
            <w:r w:rsidRPr="00855755">
              <w:rPr>
                <w:rFonts w:eastAsia="Times New Roman"/>
                <w:sz w:val="20"/>
                <w:szCs w:val="20"/>
                <w:lang w:eastAsia="ru-RU"/>
              </w:rPr>
              <w:t xml:space="preserve"> = 10 мг/кг/сутки ≥10 мг/кг/сутки: мягкий стул, ↓масса тела, ↑потребление пищи. ≥30 мг/кг/сут: обострение вакуолизации клубочковой зоны надпочечников. 100 мг/кг/сутки: обезвоживание, худой внешний вид, ↓потребление пищи (</w:t>
            </w:r>
            <w:r w:rsidRPr="00855755">
              <w:rPr>
                <w:rFonts w:eastAsia="Times New Roman"/>
                <w:sz w:val="20"/>
                <w:szCs w:val="20"/>
                <w:lang w:val="en-US" w:eastAsia="ru-RU"/>
              </w:rPr>
              <w:t>F</w:t>
            </w:r>
            <w:r w:rsidRPr="00855755">
              <w:rPr>
                <w:rFonts w:eastAsia="Times New Roman"/>
                <w:sz w:val="20"/>
                <w:szCs w:val="20"/>
                <w:lang w:eastAsia="ru-RU"/>
              </w:rPr>
              <w:t>), ↓масса тела,↓натрий и хлорид, ↑ЩФ, ↑ГГТ, ↓глюкоза, ↑калий, ↓натрий и хлорид, хронический интерстициальный нефрит и корковая тубулярная нефропатия. Восстановительный период: в конце восстановительного периода изменений, связанных с лечением, нет.</w:t>
            </w:r>
          </w:p>
        </w:tc>
        <w:tc>
          <w:tcPr>
            <w:tcW w:w="0" w:type="auto"/>
            <w:shd w:val="clear" w:color="auto" w:fill="auto"/>
            <w:vAlign w:val="center"/>
          </w:tcPr>
          <w:p w14:paraId="29411C09"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M/F</w:t>
            </w:r>
          </w:p>
        </w:tc>
        <w:tc>
          <w:tcPr>
            <w:tcW w:w="0" w:type="auto"/>
            <w:shd w:val="clear" w:color="auto" w:fill="auto"/>
            <w:vAlign w:val="center"/>
          </w:tcPr>
          <w:p w14:paraId="41DD4C27"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29,500</w:t>
            </w:r>
          </w:p>
        </w:tc>
        <w:tc>
          <w:tcPr>
            <w:tcW w:w="0" w:type="auto"/>
            <w:shd w:val="clear" w:color="auto" w:fill="auto"/>
            <w:vAlign w:val="center"/>
          </w:tcPr>
          <w:p w14:paraId="61BF4790"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250,000</w:t>
            </w:r>
          </w:p>
        </w:tc>
        <w:tc>
          <w:tcPr>
            <w:tcW w:w="0" w:type="auto"/>
            <w:shd w:val="clear" w:color="auto" w:fill="auto"/>
            <w:vAlign w:val="center"/>
          </w:tcPr>
          <w:p w14:paraId="02293F86"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10,245</w:t>
            </w:r>
          </w:p>
        </w:tc>
        <w:tc>
          <w:tcPr>
            <w:tcW w:w="0" w:type="auto"/>
            <w:shd w:val="clear" w:color="auto" w:fill="auto"/>
            <w:vAlign w:val="center"/>
          </w:tcPr>
          <w:p w14:paraId="0376B3DA"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85,850</w:t>
            </w:r>
          </w:p>
        </w:tc>
        <w:tc>
          <w:tcPr>
            <w:tcW w:w="1354" w:type="dxa"/>
            <w:shd w:val="clear" w:color="auto" w:fill="auto"/>
            <w:vAlign w:val="center"/>
          </w:tcPr>
          <w:p w14:paraId="7BDE6033" w14:textId="77777777" w:rsidR="00C035FA" w:rsidRPr="00855755" w:rsidRDefault="008D5756">
            <w:pPr>
              <w:spacing w:after="0" w:line="240" w:lineRule="auto"/>
              <w:jc w:val="center"/>
              <w:rPr>
                <w:rFonts w:eastAsia="Times New Roman"/>
                <w:sz w:val="20"/>
                <w:szCs w:val="20"/>
                <w:lang w:eastAsia="ru-RU"/>
              </w:rPr>
            </w:pPr>
            <w:r w:rsidRPr="00855755">
              <w:rPr>
                <w:rFonts w:eastAsia="Times New Roman"/>
                <w:sz w:val="20"/>
                <w:szCs w:val="20"/>
                <w:lang w:eastAsia="ru-RU"/>
              </w:rPr>
              <w:t>14</w:t>
            </w:r>
          </w:p>
        </w:tc>
      </w:tr>
    </w:tbl>
    <w:p w14:paraId="11344757" w14:textId="77777777" w:rsidR="00C035FA" w:rsidRDefault="00C035FA">
      <w:pPr>
        <w:rPr>
          <w:color w:val="000000" w:themeColor="text1"/>
          <w:highlight w:val="yellow"/>
        </w:rPr>
      </w:pPr>
    </w:p>
    <w:p w14:paraId="1DA19426" w14:textId="77777777" w:rsidR="00C035FA" w:rsidRDefault="008D5756">
      <w:pPr>
        <w:pStyle w:val="Heading3"/>
        <w:spacing w:after="240" w:line="240" w:lineRule="auto"/>
        <w:rPr>
          <w:rFonts w:ascii="Times New Roman" w:hAnsi="Times New Roman"/>
          <w:color w:val="000000" w:themeColor="text1"/>
          <w:szCs w:val="24"/>
        </w:rPr>
      </w:pPr>
      <w:bookmarkStart w:id="111" w:name="_Toc139366870"/>
      <w:r>
        <w:rPr>
          <w:rFonts w:ascii="Times New Roman" w:hAnsi="Times New Roman"/>
          <w:color w:val="000000" w:themeColor="text1"/>
          <w:szCs w:val="24"/>
        </w:rPr>
        <w:lastRenderedPageBreak/>
        <w:t>3.3.8. Прочие исследования</w:t>
      </w:r>
      <w:bookmarkEnd w:id="111"/>
    </w:p>
    <w:p w14:paraId="5ABD2A7A" w14:textId="77777777" w:rsidR="00C035FA" w:rsidRDefault="008D5756">
      <w:pPr>
        <w:pStyle w:val="Heading4"/>
        <w:spacing w:after="240" w:line="240" w:lineRule="auto"/>
        <w:rPr>
          <w:rFonts w:ascii="Times New Roman" w:hAnsi="Times New Roman"/>
          <w:color w:val="000000" w:themeColor="text1"/>
          <w:sz w:val="24"/>
          <w:szCs w:val="24"/>
        </w:rPr>
      </w:pPr>
      <w:bookmarkStart w:id="112" w:name="_Toc139366871"/>
      <w:r>
        <w:rPr>
          <w:rFonts w:ascii="Times New Roman" w:hAnsi="Times New Roman"/>
          <w:color w:val="000000" w:themeColor="text1"/>
          <w:sz w:val="24"/>
          <w:szCs w:val="24"/>
        </w:rPr>
        <w:t>3.3.8.1. Токсичность метаболитов</w:t>
      </w:r>
      <w:bookmarkEnd w:id="112"/>
    </w:p>
    <w:p w14:paraId="26137EC3" w14:textId="05525A27" w:rsidR="00C035FA" w:rsidRDefault="00414BD1">
      <w:pPr>
        <w:spacing w:after="0" w:line="240" w:lineRule="auto"/>
        <w:ind w:firstLine="709"/>
      </w:pPr>
      <w:r>
        <w:rPr>
          <w:szCs w:val="28"/>
        </w:rPr>
        <w:t>П</w:t>
      </w:r>
      <w:r w:rsidR="008D5756">
        <w:rPr>
          <w:szCs w:val="28"/>
        </w:rPr>
        <w:t xml:space="preserve">осле перорального введения интактный эмпаглифлозин был преобладающим компонентом в плазме у мышей (36-87%), крыс (63-86%) и собак (69-87%). У добровольцев однократное </w:t>
      </w:r>
      <w:r w:rsidR="00F92600">
        <w:rPr>
          <w:szCs w:val="28"/>
        </w:rPr>
        <w:t xml:space="preserve">пероральное </w:t>
      </w:r>
      <w:r w:rsidR="008D5756">
        <w:rPr>
          <w:szCs w:val="28"/>
        </w:rPr>
        <w:t>введение [</w:t>
      </w:r>
      <w:r w:rsidR="008D5756">
        <w:rPr>
          <w:szCs w:val="28"/>
          <w:vertAlign w:val="superscript"/>
        </w:rPr>
        <w:t>14</w:t>
      </w:r>
      <w:r w:rsidR="008D5756">
        <w:rPr>
          <w:szCs w:val="28"/>
        </w:rPr>
        <w:t>C]-эмпаглифлозина в дозе 50 мг показало, что большая часть эмпаглифлозина в плазме является неизмененным исходным веществом (около 76%). Анализ плазмы в этом исследовании человека показал, что наиболее распространенными метаболитами плазмы были три глюкуронида эмпаглифлозина (M626/1 (CD00006135), M626/2 (CD00006134) и M626/3 (CD00006136)), представляющие 3,3-7,4% радиоактивности плазмы. Напротив, основным метаболитом в плазме мыши (10-65%), крысы (6-29%) и собаки (2-17%) является окислительный метаболит М482/1. Кроме того, у людей отсутствуют основные циркулирующие метаболиты в концентрации &gt;10%, и все метаболиты человека обнаруживаются у доклинических видов. В связи с чем токсичности метаболитов не ожидается</w:t>
      </w:r>
      <w:r w:rsidR="008D5756">
        <w:t xml:space="preserve"> [</w:t>
      </w:r>
      <w:r w:rsidR="00C649F4">
        <w:t>44</w:t>
      </w:r>
      <w:r w:rsidR="008D5756">
        <w:t>].</w:t>
      </w:r>
    </w:p>
    <w:p w14:paraId="54F2BCA8" w14:textId="77777777" w:rsidR="00C035FA" w:rsidRDefault="008D5756">
      <w:pPr>
        <w:pStyle w:val="Heading4"/>
        <w:spacing w:after="240" w:line="240" w:lineRule="auto"/>
        <w:rPr>
          <w:rFonts w:ascii="Times New Roman" w:hAnsi="Times New Roman"/>
          <w:color w:val="000000" w:themeColor="text1"/>
          <w:sz w:val="24"/>
          <w:szCs w:val="24"/>
        </w:rPr>
      </w:pPr>
      <w:bookmarkStart w:id="113" w:name="_Toc139366872"/>
      <w:r>
        <w:rPr>
          <w:rFonts w:ascii="Times New Roman" w:hAnsi="Times New Roman"/>
          <w:color w:val="000000" w:themeColor="text1"/>
          <w:sz w:val="24"/>
          <w:szCs w:val="24"/>
        </w:rPr>
        <w:t>3.3.8.2. Токсичность примесей</w:t>
      </w:r>
      <w:bookmarkEnd w:id="113"/>
    </w:p>
    <w:p w14:paraId="32170CFC" w14:textId="18F75CE5" w:rsidR="008A5E05" w:rsidRDefault="008D5756" w:rsidP="00C54D0D">
      <w:pPr>
        <w:spacing w:after="0" w:line="240" w:lineRule="auto"/>
        <w:ind w:firstLine="709"/>
        <w:rPr>
          <w:bCs/>
          <w:iCs/>
          <w:lang w:eastAsia="en-US"/>
        </w:rPr>
      </w:pPr>
      <w:r>
        <w:rPr>
          <w:bCs/>
          <w:iCs/>
          <w:lang w:eastAsia="en-US"/>
        </w:rPr>
        <w:t>Нет данных.</w:t>
      </w:r>
    </w:p>
    <w:p w14:paraId="476C7062" w14:textId="2EE50217" w:rsidR="00C035FA" w:rsidRPr="00C649F4" w:rsidRDefault="008D5756" w:rsidP="00C649F4">
      <w:pPr>
        <w:pStyle w:val="Heading2"/>
        <w:spacing w:line="240" w:lineRule="auto"/>
        <w:contextualSpacing/>
        <w:rPr>
          <w:color w:val="000000" w:themeColor="text1"/>
          <w:szCs w:val="24"/>
        </w:rPr>
      </w:pPr>
      <w:bookmarkStart w:id="114" w:name="_Toc139366873"/>
      <w:r w:rsidRPr="00C649F4">
        <w:rPr>
          <w:color w:val="000000" w:themeColor="text1"/>
          <w:szCs w:val="24"/>
        </w:rPr>
        <w:t>Список литературы</w:t>
      </w:r>
      <w:bookmarkEnd w:id="114"/>
      <w:r w:rsidR="00C72464" w:rsidRPr="00C649F4">
        <w:rPr>
          <w:color w:val="000000" w:themeColor="text1"/>
          <w:szCs w:val="24"/>
        </w:rPr>
        <w:t xml:space="preserve"> </w:t>
      </w:r>
    </w:p>
    <w:p w14:paraId="2A82F380" w14:textId="042BD07D" w:rsidR="00C649F4" w:rsidRDefault="00C649F4" w:rsidP="00C54D0D">
      <w:pPr>
        <w:pStyle w:val="ListParagraph"/>
        <w:keepNext/>
        <w:numPr>
          <w:ilvl w:val="0"/>
          <w:numId w:val="12"/>
        </w:numPr>
        <w:tabs>
          <w:tab w:val="left" w:pos="426"/>
        </w:tabs>
        <w:suppressAutoHyphens/>
        <w:spacing w:after="0" w:line="240" w:lineRule="auto"/>
        <w:ind w:left="426" w:hanging="426"/>
        <w:contextualSpacing w:val="0"/>
        <w:rPr>
          <w:color w:val="000000" w:themeColor="text1"/>
          <w:kern w:val="28"/>
        </w:rPr>
      </w:pPr>
      <w:proofErr w:type="spellStart"/>
      <w:r>
        <w:rPr>
          <w:color w:val="000000" w:themeColor="text1"/>
          <w:lang w:val="en-US"/>
        </w:rPr>
        <w:t>Nauck</w:t>
      </w:r>
      <w:proofErr w:type="spellEnd"/>
      <w:r>
        <w:rPr>
          <w:color w:val="000000" w:themeColor="text1"/>
          <w:lang w:val="en-US"/>
        </w:rPr>
        <w:t xml:space="preserve"> MA. Update on developments with SGLT2 inhibitors in the management of type 2 diabetes. </w:t>
      </w:r>
      <w:r>
        <w:rPr>
          <w:color w:val="000000" w:themeColor="text1"/>
        </w:rPr>
        <w:t>Drug Des Devel Ther 2014;</w:t>
      </w:r>
      <w:r w:rsidR="000417FF">
        <w:rPr>
          <w:color w:val="000000" w:themeColor="text1"/>
        </w:rPr>
        <w:t xml:space="preserve"> </w:t>
      </w:r>
      <w:r>
        <w:rPr>
          <w:color w:val="000000" w:themeColor="text1"/>
        </w:rPr>
        <w:t>8:1335-80.</w:t>
      </w:r>
    </w:p>
    <w:p w14:paraId="7CC45182" w14:textId="77777777" w:rsidR="00C649F4" w:rsidRPr="001F2B64" w:rsidRDefault="00C649F4" w:rsidP="00C54D0D">
      <w:pPr>
        <w:pStyle w:val="ListParagraph"/>
        <w:keepNext/>
        <w:numPr>
          <w:ilvl w:val="0"/>
          <w:numId w:val="12"/>
        </w:numPr>
        <w:tabs>
          <w:tab w:val="left" w:pos="426"/>
        </w:tabs>
        <w:suppressAutoHyphens/>
        <w:spacing w:after="0" w:line="240" w:lineRule="auto"/>
        <w:ind w:left="426" w:hanging="426"/>
        <w:contextualSpacing w:val="0"/>
        <w:rPr>
          <w:color w:val="000000" w:themeColor="text1"/>
          <w:kern w:val="28"/>
        </w:rPr>
      </w:pPr>
      <w:r>
        <w:rPr>
          <w:color w:val="000000" w:themeColor="text1"/>
          <w:lang w:val="en-US"/>
        </w:rPr>
        <w:t xml:space="preserve">Liu JJ, Lee T, </w:t>
      </w:r>
      <w:proofErr w:type="spellStart"/>
      <w:r>
        <w:rPr>
          <w:color w:val="000000" w:themeColor="text1"/>
          <w:lang w:val="en-US"/>
        </w:rPr>
        <w:t>DeFronzo</w:t>
      </w:r>
      <w:proofErr w:type="spellEnd"/>
      <w:r>
        <w:rPr>
          <w:color w:val="000000" w:themeColor="text1"/>
          <w:lang w:val="en-US"/>
        </w:rPr>
        <w:t xml:space="preserve"> RA. Why Do SGLT2 inhibitors inhibit only 30-50% of renal glucose reabsorption in humans? </w:t>
      </w:r>
      <w:r>
        <w:rPr>
          <w:color w:val="000000" w:themeColor="text1"/>
        </w:rPr>
        <w:t>Diabetes 2012;61(9):2199-204.</w:t>
      </w:r>
    </w:p>
    <w:p w14:paraId="1277EA88" w14:textId="064CDE8B" w:rsidR="00C649F4" w:rsidRPr="000C7F59" w:rsidRDefault="00C649F4" w:rsidP="00C54D0D">
      <w:pPr>
        <w:numPr>
          <w:ilvl w:val="0"/>
          <w:numId w:val="12"/>
        </w:numPr>
        <w:tabs>
          <w:tab w:val="left" w:pos="426"/>
        </w:tabs>
        <w:spacing w:after="0" w:line="240" w:lineRule="auto"/>
        <w:ind w:left="426" w:hanging="426"/>
        <w:rPr>
          <w:color w:val="000000" w:themeColor="text1"/>
          <w:lang w:val="en-US"/>
        </w:rPr>
      </w:pPr>
      <w:r w:rsidRPr="000C7F59">
        <w:rPr>
          <w:color w:val="000000" w:themeColor="text1"/>
          <w:shd w:val="clear" w:color="auto" w:fill="FFFFFF"/>
          <w:lang w:val="en-US"/>
        </w:rPr>
        <w:t xml:space="preserve">PubChem. Empagliflozin. </w:t>
      </w:r>
      <w:r w:rsidR="004276B7">
        <w:fldChar w:fldCharType="begin"/>
      </w:r>
      <w:r w:rsidR="004276B7" w:rsidRPr="00677CFF">
        <w:rPr>
          <w:lang w:val="en-US"/>
        </w:rPr>
        <w:instrText xml:space="preserve"> HYPERLINK "https://pubchem.ncbi.nlm.nih.gov/compound/Empagliflozin" </w:instrText>
      </w:r>
      <w:r w:rsidR="004276B7">
        <w:fldChar w:fldCharType="separate"/>
      </w:r>
      <w:r w:rsidRPr="000C7F59">
        <w:rPr>
          <w:color w:val="000000" w:themeColor="text1"/>
          <w:u w:val="single"/>
          <w:shd w:val="clear" w:color="auto" w:fill="FFFFFF"/>
          <w:lang w:val="en-US"/>
        </w:rPr>
        <w:t>https://pubchem.ncbi.nlm.nih.gov/compound/Empagliflozin</w:t>
      </w:r>
      <w:r w:rsidR="004276B7">
        <w:rPr>
          <w:color w:val="000000" w:themeColor="text1"/>
          <w:u w:val="single"/>
          <w:shd w:val="clear" w:color="auto" w:fill="FFFFFF"/>
          <w:lang w:val="en-US"/>
        </w:rPr>
        <w:fldChar w:fldCharType="end"/>
      </w:r>
    </w:p>
    <w:p w14:paraId="1D6D1217" w14:textId="501A7D50" w:rsidR="00C649F4" w:rsidRPr="000C7F59" w:rsidRDefault="00C649F4" w:rsidP="00C54D0D">
      <w:pPr>
        <w:numPr>
          <w:ilvl w:val="0"/>
          <w:numId w:val="12"/>
        </w:numPr>
        <w:tabs>
          <w:tab w:val="left" w:pos="426"/>
        </w:tabs>
        <w:spacing w:after="0" w:line="240" w:lineRule="auto"/>
        <w:ind w:left="426" w:hanging="426"/>
        <w:rPr>
          <w:color w:val="000000" w:themeColor="text1"/>
          <w:lang w:val="en-US"/>
        </w:rPr>
      </w:pPr>
      <w:proofErr w:type="spellStart"/>
      <w:r w:rsidRPr="000C7F59">
        <w:rPr>
          <w:color w:val="000000" w:themeColor="text1"/>
          <w:lang w:val="en-US"/>
        </w:rPr>
        <w:t>DrugBank</w:t>
      </w:r>
      <w:proofErr w:type="spellEnd"/>
      <w:r w:rsidRPr="000C7F59">
        <w:rPr>
          <w:color w:val="000000" w:themeColor="text1"/>
          <w:lang w:val="en-US"/>
        </w:rPr>
        <w:t xml:space="preserve">. Empagliflozin. </w:t>
      </w:r>
      <w:r w:rsidR="004276B7">
        <w:fldChar w:fldCharType="begin"/>
      </w:r>
      <w:r w:rsidR="004276B7" w:rsidRPr="00677CFF">
        <w:rPr>
          <w:lang w:val="en-US"/>
        </w:rPr>
        <w:instrText xml:space="preserve"> HYPERLINK "https://go.drugbank.com/drugs/DB09038" </w:instrText>
      </w:r>
      <w:r w:rsidR="004276B7">
        <w:fldChar w:fldCharType="separate"/>
      </w:r>
      <w:r w:rsidRPr="000C7F59">
        <w:rPr>
          <w:color w:val="000000" w:themeColor="text1"/>
          <w:u w:val="single"/>
          <w:lang w:val="en-US"/>
        </w:rPr>
        <w:t>https://go.drugbank.com/drugs/DB09038</w:t>
      </w:r>
      <w:r w:rsidR="004276B7">
        <w:rPr>
          <w:color w:val="000000" w:themeColor="text1"/>
          <w:u w:val="single"/>
          <w:lang w:val="en-US"/>
        </w:rPr>
        <w:fldChar w:fldCharType="end"/>
      </w:r>
    </w:p>
    <w:p w14:paraId="7C5BB60C" w14:textId="32C3C562"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Vallon</w:t>
      </w:r>
      <w:proofErr w:type="spellEnd"/>
      <w:r>
        <w:rPr>
          <w:color w:val="000000" w:themeColor="text1"/>
          <w:lang w:val="en-US"/>
        </w:rPr>
        <w:t xml:space="preserve"> V, </w:t>
      </w:r>
      <w:proofErr w:type="spellStart"/>
      <w:r>
        <w:rPr>
          <w:color w:val="000000" w:themeColor="text1"/>
          <w:lang w:val="en-US"/>
        </w:rPr>
        <w:t>Gerasimova</w:t>
      </w:r>
      <w:proofErr w:type="spellEnd"/>
      <w:r>
        <w:rPr>
          <w:color w:val="000000" w:themeColor="text1"/>
          <w:lang w:val="en-US"/>
        </w:rPr>
        <w:t xml:space="preserve"> M, Rose MA, et al. SGLT2 inhibitor empagliflozin reduces renal growth and albuminuria in proportion to hyperglycemia and prevents glomerular hyperfiltration in diabetic Akita mice. Am J </w:t>
      </w:r>
      <w:proofErr w:type="spellStart"/>
      <w:r>
        <w:rPr>
          <w:color w:val="000000" w:themeColor="text1"/>
          <w:lang w:val="en-US"/>
        </w:rPr>
        <w:t>Physiol</w:t>
      </w:r>
      <w:proofErr w:type="spellEnd"/>
      <w:r>
        <w:rPr>
          <w:color w:val="000000" w:themeColor="text1"/>
          <w:lang w:val="en-US"/>
        </w:rPr>
        <w:t xml:space="preserve"> Renal Physiol. 2014;</w:t>
      </w:r>
      <w:r w:rsidR="000417FF" w:rsidRPr="00421FA2">
        <w:rPr>
          <w:color w:val="000000" w:themeColor="text1"/>
          <w:lang w:val="en-US"/>
        </w:rPr>
        <w:t xml:space="preserve"> </w:t>
      </w:r>
      <w:r>
        <w:rPr>
          <w:color w:val="000000" w:themeColor="text1"/>
          <w:lang w:val="en-US"/>
        </w:rPr>
        <w:t>306(2</w:t>
      </w:r>
      <w:proofErr w:type="gramStart"/>
      <w:r>
        <w:rPr>
          <w:color w:val="000000" w:themeColor="text1"/>
          <w:lang w:val="en-US"/>
        </w:rPr>
        <w:t>):F</w:t>
      </w:r>
      <w:proofErr w:type="gramEnd"/>
      <w:r>
        <w:rPr>
          <w:color w:val="000000" w:themeColor="text1"/>
          <w:lang w:val="en-US"/>
        </w:rPr>
        <w:t xml:space="preserve">194-204. </w:t>
      </w:r>
      <w:proofErr w:type="spellStart"/>
      <w:r>
        <w:rPr>
          <w:color w:val="000000" w:themeColor="text1"/>
          <w:lang w:val="en-US"/>
        </w:rPr>
        <w:t>doi</w:t>
      </w:r>
      <w:proofErr w:type="spellEnd"/>
      <w:r>
        <w:rPr>
          <w:color w:val="000000" w:themeColor="text1"/>
          <w:lang w:val="en-US"/>
        </w:rPr>
        <w:t>: 10.1152/ajprenal.00520.2013</w:t>
      </w:r>
    </w:p>
    <w:p w14:paraId="6563E551" w14:textId="59FA11B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Abassi</w:t>
      </w:r>
      <w:proofErr w:type="spellEnd"/>
      <w:r>
        <w:rPr>
          <w:color w:val="000000" w:themeColor="text1"/>
          <w:lang w:val="en-US"/>
        </w:rPr>
        <w:t xml:space="preserve"> Z, Leor J, </w:t>
      </w:r>
      <w:proofErr w:type="spellStart"/>
      <w:r>
        <w:rPr>
          <w:color w:val="000000" w:themeColor="text1"/>
          <w:lang w:val="en-US"/>
        </w:rPr>
        <w:t>Landa</w:t>
      </w:r>
      <w:proofErr w:type="spellEnd"/>
      <w:r>
        <w:rPr>
          <w:color w:val="000000" w:themeColor="text1"/>
          <w:lang w:val="en-US"/>
        </w:rPr>
        <w:t xml:space="preserve"> N, et al. OS 05-04 Empagliflozin exerts cardio-and </w:t>
      </w:r>
      <w:proofErr w:type="spellStart"/>
      <w:r>
        <w:rPr>
          <w:color w:val="000000" w:themeColor="text1"/>
          <w:lang w:val="en-US"/>
        </w:rPr>
        <w:t>nephro</w:t>
      </w:r>
      <w:proofErr w:type="spellEnd"/>
      <w:r>
        <w:rPr>
          <w:color w:val="000000" w:themeColor="text1"/>
          <w:lang w:val="en-US"/>
        </w:rPr>
        <w:t xml:space="preserve">-protective effects in </w:t>
      </w:r>
      <w:proofErr w:type="spellStart"/>
      <w:r>
        <w:rPr>
          <w:color w:val="000000" w:themeColor="text1"/>
          <w:lang w:val="en-US"/>
        </w:rPr>
        <w:t>cohen-rosenthal</w:t>
      </w:r>
      <w:proofErr w:type="spellEnd"/>
      <w:r>
        <w:rPr>
          <w:color w:val="000000" w:themeColor="text1"/>
          <w:lang w:val="en-US"/>
        </w:rPr>
        <w:t xml:space="preserve"> diabetic hypertensive rats. J </w:t>
      </w:r>
      <w:proofErr w:type="spellStart"/>
      <w:r>
        <w:rPr>
          <w:color w:val="000000" w:themeColor="text1"/>
          <w:lang w:val="en-US"/>
        </w:rPr>
        <w:t>hypertens</w:t>
      </w:r>
      <w:proofErr w:type="spellEnd"/>
      <w:r>
        <w:rPr>
          <w:color w:val="000000" w:themeColor="text1"/>
          <w:lang w:val="en-US"/>
        </w:rPr>
        <w:t>. 2016;</w:t>
      </w:r>
      <w:r w:rsidR="000417FF" w:rsidRPr="00421FA2">
        <w:rPr>
          <w:color w:val="000000" w:themeColor="text1"/>
          <w:lang w:val="en-US"/>
        </w:rPr>
        <w:t xml:space="preserve"> </w:t>
      </w:r>
      <w:proofErr w:type="gramStart"/>
      <w:r>
        <w:rPr>
          <w:color w:val="000000" w:themeColor="text1"/>
          <w:lang w:val="en-US"/>
        </w:rPr>
        <w:t>34:e</w:t>
      </w:r>
      <w:proofErr w:type="gramEnd"/>
      <w:r>
        <w:rPr>
          <w:color w:val="000000" w:themeColor="text1"/>
          <w:lang w:val="en-US"/>
        </w:rPr>
        <w:t>58-e59.</w:t>
      </w:r>
    </w:p>
    <w:p w14:paraId="4461311D"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lang w:val="en-US"/>
        </w:rPr>
        <w:t xml:space="preserve">Kern M, </w:t>
      </w:r>
      <w:proofErr w:type="spellStart"/>
      <w:r>
        <w:rPr>
          <w:color w:val="000000" w:themeColor="text1"/>
          <w:lang w:val="en-US"/>
        </w:rPr>
        <w:t>Kloting</w:t>
      </w:r>
      <w:proofErr w:type="spellEnd"/>
      <w:r>
        <w:rPr>
          <w:color w:val="000000" w:themeColor="text1"/>
          <w:lang w:val="en-US"/>
        </w:rPr>
        <w:t xml:space="preserve"> N, Mark M, et al. The SGLT2 inhibitor empagliflozin improves insulin sensitivity in </w:t>
      </w:r>
      <w:proofErr w:type="spellStart"/>
      <w:r>
        <w:rPr>
          <w:color w:val="000000" w:themeColor="text1"/>
          <w:lang w:val="en-US"/>
        </w:rPr>
        <w:t>db</w:t>
      </w:r>
      <w:proofErr w:type="spellEnd"/>
      <w:r>
        <w:rPr>
          <w:color w:val="000000" w:themeColor="text1"/>
          <w:lang w:val="en-US"/>
        </w:rPr>
        <w:t>/</w:t>
      </w:r>
      <w:proofErr w:type="spellStart"/>
      <w:r>
        <w:rPr>
          <w:color w:val="000000" w:themeColor="text1"/>
          <w:lang w:val="en-US"/>
        </w:rPr>
        <w:t>db</w:t>
      </w:r>
      <w:proofErr w:type="spellEnd"/>
      <w:r>
        <w:rPr>
          <w:color w:val="000000" w:themeColor="text1"/>
          <w:lang w:val="en-US"/>
        </w:rPr>
        <w:t xml:space="preserve"> mice both as monotherapy and in combination with linagliptin. </w:t>
      </w:r>
      <w:r>
        <w:rPr>
          <w:color w:val="000000" w:themeColor="text1"/>
        </w:rPr>
        <w:t xml:space="preserve">Metabolism. 2016;65(2):114-123. doi: 10.1016/j. metabol.2015.10.010 </w:t>
      </w:r>
    </w:p>
    <w:p w14:paraId="5FA5F375"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rPr>
        <w:t>Корбут А.И., Климонтов В.В. Эмпаглифлозин: новая стратегия нефропротекции при сахарном диабете // Сахарный диабет. — 2017. — Т.20. — №1. — С. 75-84. doi: 10.14341/DM8005.</w:t>
      </w:r>
    </w:p>
    <w:p w14:paraId="7C79CC1B" w14:textId="4E477A04"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Taub ME, Ludwig-</w:t>
      </w:r>
      <w:proofErr w:type="spellStart"/>
      <w:r>
        <w:rPr>
          <w:color w:val="000000" w:themeColor="text1"/>
          <w:lang w:val="en-US"/>
        </w:rPr>
        <w:t>Schwellinger</w:t>
      </w:r>
      <w:proofErr w:type="spellEnd"/>
      <w:r>
        <w:rPr>
          <w:color w:val="000000" w:themeColor="text1"/>
          <w:lang w:val="en-US"/>
        </w:rPr>
        <w:t xml:space="preserve"> E, Ishiguro N, et al. Sex-, Species-, and Tissue-Specific Metabolism of Empagliflozin in Male Mouse Kidney Forms an Unstable Hemiacetal Metabolite (M466/2) That Degrades to 4-Hydroxycrotonaldehyde, a Reactive and Cytotoxic Species. Chem Res </w:t>
      </w:r>
      <w:proofErr w:type="spellStart"/>
      <w:r>
        <w:rPr>
          <w:color w:val="000000" w:themeColor="text1"/>
          <w:lang w:val="en-US"/>
        </w:rPr>
        <w:t>Toxicol</w:t>
      </w:r>
      <w:proofErr w:type="spellEnd"/>
      <w:r>
        <w:rPr>
          <w:color w:val="000000" w:themeColor="text1"/>
          <w:lang w:val="en-US"/>
        </w:rPr>
        <w:t>. 2015;</w:t>
      </w:r>
      <w:r w:rsidR="000417FF" w:rsidRPr="00421FA2">
        <w:rPr>
          <w:color w:val="000000" w:themeColor="text1"/>
          <w:lang w:val="en-US"/>
        </w:rPr>
        <w:t xml:space="preserve"> </w:t>
      </w:r>
      <w:r>
        <w:rPr>
          <w:color w:val="000000" w:themeColor="text1"/>
          <w:lang w:val="en-US"/>
        </w:rPr>
        <w:t xml:space="preserve">28(1):103-115. </w:t>
      </w:r>
      <w:proofErr w:type="spellStart"/>
      <w:r>
        <w:rPr>
          <w:color w:val="000000" w:themeColor="text1"/>
          <w:lang w:val="en-US"/>
        </w:rPr>
        <w:t>doi</w:t>
      </w:r>
      <w:proofErr w:type="spellEnd"/>
      <w:r>
        <w:rPr>
          <w:color w:val="000000" w:themeColor="text1"/>
          <w:lang w:val="en-US"/>
        </w:rPr>
        <w:t>: 10.1021/tx500380t</w:t>
      </w:r>
    </w:p>
    <w:p w14:paraId="67982AA2" w14:textId="5FA6615F"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Panchapakesan U, </w:t>
      </w:r>
      <w:proofErr w:type="spellStart"/>
      <w:r>
        <w:rPr>
          <w:color w:val="000000" w:themeColor="text1"/>
          <w:lang w:val="en-US"/>
        </w:rPr>
        <w:t>Pegg</w:t>
      </w:r>
      <w:proofErr w:type="spellEnd"/>
      <w:r>
        <w:rPr>
          <w:color w:val="000000" w:themeColor="text1"/>
          <w:lang w:val="en-US"/>
        </w:rPr>
        <w:t xml:space="preserve"> K, Gross S, et al. Effects of SGLT2 inhibition in human kidney proximal tubular cells--renoprotection in diabetic nephropathy? </w:t>
      </w:r>
      <w:proofErr w:type="spellStart"/>
      <w:r>
        <w:rPr>
          <w:color w:val="000000" w:themeColor="text1"/>
          <w:lang w:val="en-US"/>
        </w:rPr>
        <w:t>PLoS</w:t>
      </w:r>
      <w:proofErr w:type="spellEnd"/>
      <w:r>
        <w:rPr>
          <w:color w:val="000000" w:themeColor="text1"/>
          <w:lang w:val="en-US"/>
        </w:rPr>
        <w:t xml:space="preserve"> One. 2013;8(2</w:t>
      </w:r>
      <w:proofErr w:type="gramStart"/>
      <w:r>
        <w:rPr>
          <w:color w:val="000000" w:themeColor="text1"/>
          <w:lang w:val="en-US"/>
        </w:rPr>
        <w:t>):e</w:t>
      </w:r>
      <w:proofErr w:type="gramEnd"/>
      <w:r>
        <w:rPr>
          <w:color w:val="000000" w:themeColor="text1"/>
          <w:lang w:val="en-US"/>
        </w:rPr>
        <w:t xml:space="preserve">54442. </w:t>
      </w:r>
      <w:proofErr w:type="spellStart"/>
      <w:r>
        <w:rPr>
          <w:color w:val="000000" w:themeColor="text1"/>
          <w:lang w:val="en-US"/>
        </w:rPr>
        <w:t>doi</w:t>
      </w:r>
      <w:proofErr w:type="spellEnd"/>
      <w:r>
        <w:rPr>
          <w:color w:val="000000" w:themeColor="text1"/>
          <w:lang w:val="en-US"/>
        </w:rPr>
        <w:t>: 10.1371/journal.pone.0054442</w:t>
      </w:r>
    </w:p>
    <w:p w14:paraId="53A86862" w14:textId="7BD8065E"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lastRenderedPageBreak/>
        <w:t>Gembardt</w:t>
      </w:r>
      <w:proofErr w:type="spellEnd"/>
      <w:r>
        <w:rPr>
          <w:color w:val="000000" w:themeColor="text1"/>
          <w:lang w:val="en-US"/>
        </w:rPr>
        <w:t xml:space="preserve"> F, </w:t>
      </w:r>
      <w:proofErr w:type="spellStart"/>
      <w:r>
        <w:rPr>
          <w:color w:val="000000" w:themeColor="text1"/>
          <w:lang w:val="en-US"/>
        </w:rPr>
        <w:t>Bartaun</w:t>
      </w:r>
      <w:proofErr w:type="spellEnd"/>
      <w:r>
        <w:rPr>
          <w:color w:val="000000" w:themeColor="text1"/>
          <w:lang w:val="en-US"/>
        </w:rPr>
        <w:t xml:space="preserve"> C, </w:t>
      </w:r>
      <w:proofErr w:type="spellStart"/>
      <w:r>
        <w:rPr>
          <w:color w:val="000000" w:themeColor="text1"/>
          <w:lang w:val="en-US"/>
        </w:rPr>
        <w:t>Jarzebska</w:t>
      </w:r>
      <w:proofErr w:type="spellEnd"/>
      <w:r>
        <w:rPr>
          <w:color w:val="000000" w:themeColor="text1"/>
          <w:lang w:val="en-US"/>
        </w:rPr>
        <w:t xml:space="preserve"> N, et al. The SGLT2 inhibitor empagliflozin ameliorates early features of diabetic nephropathy in BTBR </w:t>
      </w:r>
      <w:proofErr w:type="spellStart"/>
      <w:r>
        <w:rPr>
          <w:color w:val="000000" w:themeColor="text1"/>
          <w:lang w:val="en-US"/>
        </w:rPr>
        <w:t>ob</w:t>
      </w:r>
      <w:proofErr w:type="spellEnd"/>
      <w:r>
        <w:rPr>
          <w:color w:val="000000" w:themeColor="text1"/>
          <w:lang w:val="en-US"/>
        </w:rPr>
        <w:t>/</w:t>
      </w:r>
      <w:proofErr w:type="spellStart"/>
      <w:r>
        <w:rPr>
          <w:color w:val="000000" w:themeColor="text1"/>
          <w:lang w:val="en-US"/>
        </w:rPr>
        <w:t>ob</w:t>
      </w:r>
      <w:proofErr w:type="spellEnd"/>
      <w:r>
        <w:rPr>
          <w:color w:val="000000" w:themeColor="text1"/>
          <w:lang w:val="en-US"/>
        </w:rPr>
        <w:t xml:space="preserve"> type 2 diabetic mice with and without hypertension. Am J </w:t>
      </w:r>
      <w:proofErr w:type="spellStart"/>
      <w:r>
        <w:rPr>
          <w:color w:val="000000" w:themeColor="text1"/>
          <w:lang w:val="en-US"/>
        </w:rPr>
        <w:t>Physiol</w:t>
      </w:r>
      <w:proofErr w:type="spellEnd"/>
      <w:r>
        <w:rPr>
          <w:color w:val="000000" w:themeColor="text1"/>
          <w:lang w:val="en-US"/>
        </w:rPr>
        <w:t xml:space="preserve"> Renal Physiol. 2014;307(3</w:t>
      </w:r>
      <w:proofErr w:type="gramStart"/>
      <w:r>
        <w:rPr>
          <w:color w:val="000000" w:themeColor="text1"/>
          <w:lang w:val="en-US"/>
        </w:rPr>
        <w:t>):F</w:t>
      </w:r>
      <w:proofErr w:type="gramEnd"/>
      <w:r>
        <w:rPr>
          <w:color w:val="000000" w:themeColor="text1"/>
          <w:lang w:val="en-US"/>
        </w:rPr>
        <w:t xml:space="preserve">317-325. </w:t>
      </w:r>
      <w:proofErr w:type="spellStart"/>
      <w:r>
        <w:rPr>
          <w:color w:val="000000" w:themeColor="text1"/>
          <w:lang w:val="en-US"/>
        </w:rPr>
        <w:t>doi</w:t>
      </w:r>
      <w:proofErr w:type="spellEnd"/>
      <w:r>
        <w:rPr>
          <w:color w:val="000000" w:themeColor="text1"/>
          <w:lang w:val="en-US"/>
        </w:rPr>
        <w:t>: 10.1152/ajprenal.00145.2014</w:t>
      </w:r>
    </w:p>
    <w:p w14:paraId="7EB96824" w14:textId="32CBE728"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Benetti E, </w:t>
      </w:r>
      <w:proofErr w:type="spellStart"/>
      <w:r>
        <w:rPr>
          <w:color w:val="000000" w:themeColor="text1"/>
          <w:lang w:val="en-US"/>
        </w:rPr>
        <w:t>Mastrocola</w:t>
      </w:r>
      <w:proofErr w:type="spellEnd"/>
      <w:r>
        <w:rPr>
          <w:color w:val="000000" w:themeColor="text1"/>
          <w:lang w:val="en-US"/>
        </w:rPr>
        <w:t xml:space="preserve"> R, </w:t>
      </w:r>
      <w:proofErr w:type="spellStart"/>
      <w:r>
        <w:rPr>
          <w:color w:val="000000" w:themeColor="text1"/>
          <w:lang w:val="en-US"/>
        </w:rPr>
        <w:t>Vitarelli</w:t>
      </w:r>
      <w:proofErr w:type="spellEnd"/>
      <w:r>
        <w:rPr>
          <w:color w:val="000000" w:themeColor="text1"/>
          <w:lang w:val="en-US"/>
        </w:rPr>
        <w:t xml:space="preserve"> G, et al. Empagliflozin Protects against Diet-Induced NLRP-3 Inflammasome Activation and Lipid Accumulation. J </w:t>
      </w:r>
      <w:proofErr w:type="spellStart"/>
      <w:r>
        <w:rPr>
          <w:color w:val="000000" w:themeColor="text1"/>
          <w:lang w:val="en-US"/>
        </w:rPr>
        <w:t>Pharmacol</w:t>
      </w:r>
      <w:proofErr w:type="spellEnd"/>
      <w:r>
        <w:rPr>
          <w:color w:val="000000" w:themeColor="text1"/>
          <w:lang w:val="en-US"/>
        </w:rPr>
        <w:t xml:space="preserve"> Exp </w:t>
      </w:r>
      <w:proofErr w:type="spellStart"/>
      <w:r>
        <w:rPr>
          <w:color w:val="000000" w:themeColor="text1"/>
          <w:lang w:val="en-US"/>
        </w:rPr>
        <w:t>Ther</w:t>
      </w:r>
      <w:proofErr w:type="spellEnd"/>
      <w:r>
        <w:rPr>
          <w:color w:val="000000" w:themeColor="text1"/>
          <w:lang w:val="en-US"/>
        </w:rPr>
        <w:t>. 2016;</w:t>
      </w:r>
      <w:r w:rsidR="000417FF" w:rsidRPr="00421FA2">
        <w:rPr>
          <w:color w:val="000000" w:themeColor="text1"/>
          <w:lang w:val="en-US"/>
        </w:rPr>
        <w:t xml:space="preserve"> </w:t>
      </w:r>
      <w:r>
        <w:rPr>
          <w:color w:val="000000" w:themeColor="text1"/>
          <w:lang w:val="en-US"/>
        </w:rPr>
        <w:t xml:space="preserve">359(1):45-53. </w:t>
      </w:r>
      <w:proofErr w:type="spellStart"/>
      <w:r>
        <w:rPr>
          <w:color w:val="000000" w:themeColor="text1"/>
          <w:lang w:val="en-US"/>
        </w:rPr>
        <w:t>doi</w:t>
      </w:r>
      <w:proofErr w:type="spellEnd"/>
      <w:r>
        <w:rPr>
          <w:color w:val="000000" w:themeColor="text1"/>
          <w:lang w:val="en-US"/>
        </w:rPr>
        <w:t>: 10.1124/jpet.116.235069.</w:t>
      </w:r>
    </w:p>
    <w:p w14:paraId="29DD268A" w14:textId="1ABA951B"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Gallo LA, Ward MS, Fotheringham AK, et al. Once daily administration of the SGLT2 inhibitor, empagliflozin, attenuates markers of renal fibrosis without improving albuminuria in diabetic </w:t>
      </w:r>
      <w:proofErr w:type="spellStart"/>
      <w:r>
        <w:rPr>
          <w:color w:val="000000" w:themeColor="text1"/>
          <w:lang w:val="en-US"/>
        </w:rPr>
        <w:t>db</w:t>
      </w:r>
      <w:proofErr w:type="spellEnd"/>
      <w:r>
        <w:rPr>
          <w:color w:val="000000" w:themeColor="text1"/>
          <w:lang w:val="en-US"/>
        </w:rPr>
        <w:t>/</w:t>
      </w:r>
      <w:proofErr w:type="spellStart"/>
      <w:r>
        <w:rPr>
          <w:color w:val="000000" w:themeColor="text1"/>
          <w:lang w:val="en-US"/>
        </w:rPr>
        <w:t>db</w:t>
      </w:r>
      <w:proofErr w:type="spellEnd"/>
      <w:r>
        <w:rPr>
          <w:color w:val="000000" w:themeColor="text1"/>
          <w:lang w:val="en-US"/>
        </w:rPr>
        <w:t xml:space="preserve"> mice. Sci Rep. 2016;</w:t>
      </w:r>
      <w:r w:rsidR="000417FF">
        <w:rPr>
          <w:color w:val="000000" w:themeColor="text1"/>
        </w:rPr>
        <w:t xml:space="preserve"> </w:t>
      </w:r>
      <w:r>
        <w:rPr>
          <w:color w:val="000000" w:themeColor="text1"/>
          <w:lang w:val="en-US"/>
        </w:rPr>
        <w:t xml:space="preserve">6:26428. </w:t>
      </w:r>
      <w:proofErr w:type="spellStart"/>
      <w:r>
        <w:rPr>
          <w:color w:val="000000" w:themeColor="text1"/>
          <w:lang w:val="en-US"/>
        </w:rPr>
        <w:t>doi</w:t>
      </w:r>
      <w:proofErr w:type="spellEnd"/>
      <w:r>
        <w:rPr>
          <w:color w:val="000000" w:themeColor="text1"/>
          <w:lang w:val="en-US"/>
        </w:rPr>
        <w:t>: 10.1038/srep26428.</w:t>
      </w:r>
    </w:p>
    <w:p w14:paraId="241C408B" w14:textId="4C3F3FFF"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Gangadharan</w:t>
      </w:r>
      <w:proofErr w:type="spellEnd"/>
      <w:r>
        <w:rPr>
          <w:color w:val="000000" w:themeColor="text1"/>
          <w:lang w:val="en-US"/>
        </w:rPr>
        <w:t xml:space="preserve"> </w:t>
      </w:r>
      <w:proofErr w:type="spellStart"/>
      <w:r>
        <w:rPr>
          <w:color w:val="000000" w:themeColor="text1"/>
          <w:lang w:val="en-US"/>
        </w:rPr>
        <w:t>Komala</w:t>
      </w:r>
      <w:proofErr w:type="spellEnd"/>
      <w:r>
        <w:rPr>
          <w:color w:val="000000" w:themeColor="text1"/>
          <w:lang w:val="en-US"/>
        </w:rPr>
        <w:t xml:space="preserve"> M, Gross S, </w:t>
      </w:r>
      <w:proofErr w:type="spellStart"/>
      <w:r>
        <w:rPr>
          <w:color w:val="000000" w:themeColor="text1"/>
          <w:lang w:val="en-US"/>
        </w:rPr>
        <w:t>Mudaliar</w:t>
      </w:r>
      <w:proofErr w:type="spellEnd"/>
      <w:r>
        <w:rPr>
          <w:color w:val="000000" w:themeColor="text1"/>
          <w:lang w:val="en-US"/>
        </w:rPr>
        <w:t xml:space="preserve"> H, et al. Inhibition of kidney proximal tubular glucose reabsorption does not prevent against diabetic nephropathy in type 1 diabetic </w:t>
      </w:r>
      <w:proofErr w:type="spellStart"/>
      <w:r>
        <w:rPr>
          <w:color w:val="000000" w:themeColor="text1"/>
          <w:lang w:val="en-US"/>
        </w:rPr>
        <w:t>eNOS</w:t>
      </w:r>
      <w:proofErr w:type="spellEnd"/>
      <w:r>
        <w:rPr>
          <w:color w:val="000000" w:themeColor="text1"/>
          <w:lang w:val="en-US"/>
        </w:rPr>
        <w:t xml:space="preserve"> knockout mice. </w:t>
      </w:r>
      <w:proofErr w:type="spellStart"/>
      <w:r>
        <w:rPr>
          <w:color w:val="000000" w:themeColor="text1"/>
          <w:lang w:val="en-US"/>
        </w:rPr>
        <w:t>PLoS</w:t>
      </w:r>
      <w:proofErr w:type="spellEnd"/>
      <w:r>
        <w:rPr>
          <w:color w:val="000000" w:themeColor="text1"/>
          <w:lang w:val="en-US"/>
        </w:rPr>
        <w:t xml:space="preserve"> One. 2014;9(11</w:t>
      </w:r>
      <w:proofErr w:type="gramStart"/>
      <w:r>
        <w:rPr>
          <w:color w:val="000000" w:themeColor="text1"/>
          <w:lang w:val="en-US"/>
        </w:rPr>
        <w:t>):e</w:t>
      </w:r>
      <w:proofErr w:type="gramEnd"/>
      <w:r>
        <w:rPr>
          <w:color w:val="000000" w:themeColor="text1"/>
          <w:lang w:val="en-US"/>
        </w:rPr>
        <w:t xml:space="preserve">108994. </w:t>
      </w:r>
      <w:proofErr w:type="spellStart"/>
      <w:r>
        <w:rPr>
          <w:color w:val="000000" w:themeColor="text1"/>
          <w:lang w:val="en-US"/>
        </w:rPr>
        <w:t>doi</w:t>
      </w:r>
      <w:proofErr w:type="spellEnd"/>
      <w:r>
        <w:rPr>
          <w:color w:val="000000" w:themeColor="text1"/>
          <w:lang w:val="en-US"/>
        </w:rPr>
        <w:t>: 10.1371/journal.pone.0108994.</w:t>
      </w:r>
    </w:p>
    <w:p w14:paraId="6AE4E81D" w14:textId="3186FDD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Ojima</w:t>
      </w:r>
      <w:proofErr w:type="spellEnd"/>
      <w:r>
        <w:rPr>
          <w:color w:val="000000" w:themeColor="text1"/>
          <w:lang w:val="en-US"/>
        </w:rPr>
        <w:t xml:space="preserve"> A, Matsui T, Nishino Y, et al. Empagliflozin, an Inhibitor of </w:t>
      </w:r>
      <w:proofErr w:type="spellStart"/>
      <w:r>
        <w:rPr>
          <w:color w:val="000000" w:themeColor="text1"/>
          <w:lang w:val="en-US"/>
        </w:rPr>
        <w:t>SodiumGlucose</w:t>
      </w:r>
      <w:proofErr w:type="spellEnd"/>
      <w:r>
        <w:rPr>
          <w:color w:val="000000" w:themeColor="text1"/>
          <w:lang w:val="en-US"/>
        </w:rPr>
        <w:t xml:space="preserve"> Cotransporter 2 Exerts Anti-Inflammatory and Antifibrotic Effects on Experimental Diabetic Nephropathy Partly by Suppressing AGEs-Receptor Axis. </w:t>
      </w:r>
      <w:proofErr w:type="spellStart"/>
      <w:r>
        <w:rPr>
          <w:color w:val="000000" w:themeColor="text1"/>
          <w:lang w:val="en-US"/>
        </w:rPr>
        <w:t>Horm</w:t>
      </w:r>
      <w:proofErr w:type="spellEnd"/>
      <w:r>
        <w:rPr>
          <w:color w:val="000000" w:themeColor="text1"/>
          <w:lang w:val="en-US"/>
        </w:rPr>
        <w:t xml:space="preserve"> </w:t>
      </w:r>
      <w:proofErr w:type="spellStart"/>
      <w:r>
        <w:rPr>
          <w:color w:val="000000" w:themeColor="text1"/>
          <w:lang w:val="en-US"/>
        </w:rPr>
        <w:t>Metab</w:t>
      </w:r>
      <w:proofErr w:type="spellEnd"/>
      <w:r>
        <w:rPr>
          <w:color w:val="000000" w:themeColor="text1"/>
          <w:lang w:val="en-US"/>
        </w:rPr>
        <w:t xml:space="preserve"> Res. 2015;47(9):686-692. </w:t>
      </w:r>
      <w:proofErr w:type="spellStart"/>
      <w:r>
        <w:rPr>
          <w:color w:val="000000" w:themeColor="text1"/>
          <w:lang w:val="en-US"/>
        </w:rPr>
        <w:t>doi</w:t>
      </w:r>
      <w:proofErr w:type="spellEnd"/>
      <w:r>
        <w:rPr>
          <w:color w:val="000000" w:themeColor="text1"/>
          <w:lang w:val="en-US"/>
        </w:rPr>
        <w:t>: 10.1055/s-0034-1395609</w:t>
      </w:r>
    </w:p>
    <w:p w14:paraId="6AA995A5"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rPr>
        <w:t>Хасанов Н.Р. Эмпаглифлозин: путь от контроля гликемии к снижению сердечно-сосудистой смертности и госпитализаций по причине сердечной недостаточности. Российский кардиологический журнал. 2021;26(S4):4807. doi:10.15829/1560-4071-2021-4807.</w:t>
      </w:r>
    </w:p>
    <w:p w14:paraId="06DED78D" w14:textId="5E8910CA"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lang w:val="en-US"/>
        </w:rPr>
        <w:t xml:space="preserve">Verma S, McMurray JJV. SGLT2 inhibitors and mechanisms of cardiovascular </w:t>
      </w:r>
      <w:proofErr w:type="spellStart"/>
      <w:r>
        <w:rPr>
          <w:color w:val="000000" w:themeColor="text1"/>
          <w:lang w:val="en-US"/>
        </w:rPr>
        <w:t>benef</w:t>
      </w:r>
      <w:proofErr w:type="spellEnd"/>
      <w:r>
        <w:rPr>
          <w:color w:val="000000" w:themeColor="text1"/>
          <w:lang w:val="en-US"/>
        </w:rPr>
        <w:t xml:space="preserve"> it: a state-of-the-art review. </w:t>
      </w:r>
      <w:r>
        <w:rPr>
          <w:color w:val="000000" w:themeColor="text1"/>
        </w:rPr>
        <w:t>Diabetologia. 2018;</w:t>
      </w:r>
      <w:r w:rsidR="000417FF">
        <w:rPr>
          <w:color w:val="000000" w:themeColor="text1"/>
        </w:rPr>
        <w:t xml:space="preserve"> </w:t>
      </w:r>
      <w:r>
        <w:rPr>
          <w:color w:val="000000" w:themeColor="text1"/>
        </w:rPr>
        <w:t>61:2108-17. doi:10.1007/s00125-018-4670-7</w:t>
      </w:r>
    </w:p>
    <w:p w14:paraId="2DFFF253" w14:textId="1F3B0249"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Packer M. Activation and inhibition of sodium-hydrogen exchanger is a mechanism that links the pathophysiology and treatment of diabetes mellitus with that of heart failure. </w:t>
      </w:r>
      <w:r w:rsidRPr="00C649F4">
        <w:rPr>
          <w:color w:val="000000" w:themeColor="text1"/>
          <w:lang w:val="en-US"/>
        </w:rPr>
        <w:t>Circulation. 2017;</w:t>
      </w:r>
      <w:r w:rsidR="000417FF">
        <w:rPr>
          <w:color w:val="000000" w:themeColor="text1"/>
        </w:rPr>
        <w:t xml:space="preserve"> </w:t>
      </w:r>
      <w:r w:rsidRPr="00C649F4">
        <w:rPr>
          <w:color w:val="000000" w:themeColor="text1"/>
          <w:lang w:val="en-US"/>
        </w:rPr>
        <w:t>136:1548-59. doi:10.1161/CIRCUATIONAHA117.030418</w:t>
      </w:r>
    </w:p>
    <w:p w14:paraId="4F00132C" w14:textId="7E16F25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Baartscheer</w:t>
      </w:r>
      <w:proofErr w:type="spellEnd"/>
      <w:r>
        <w:rPr>
          <w:color w:val="000000" w:themeColor="text1"/>
          <w:lang w:val="en-US"/>
        </w:rPr>
        <w:t xml:space="preserve"> A, Schumacher CA, Wust RC, et al. Empagliflozin decreases myocardial cytoplasmic Na+ through inhibition of the cardiac Na+/H+ exchanger in rats and rabbits. </w:t>
      </w:r>
      <w:proofErr w:type="spellStart"/>
      <w:r>
        <w:rPr>
          <w:color w:val="000000" w:themeColor="text1"/>
          <w:lang w:val="en-US"/>
        </w:rPr>
        <w:t>Diabetologia</w:t>
      </w:r>
      <w:proofErr w:type="spellEnd"/>
      <w:r>
        <w:rPr>
          <w:color w:val="000000" w:themeColor="text1"/>
          <w:lang w:val="en-US"/>
        </w:rPr>
        <w:t>. 2017;</w:t>
      </w:r>
      <w:r w:rsidR="000417FF" w:rsidRPr="00421FA2">
        <w:rPr>
          <w:color w:val="000000" w:themeColor="text1"/>
          <w:lang w:val="en-US"/>
        </w:rPr>
        <w:t xml:space="preserve"> </w:t>
      </w:r>
      <w:r>
        <w:rPr>
          <w:color w:val="000000" w:themeColor="text1"/>
          <w:lang w:val="en-US"/>
        </w:rPr>
        <w:t>60:568-73. doi:10.1007/s00125-016-4134-x</w:t>
      </w:r>
    </w:p>
    <w:p w14:paraId="50EC6197" w14:textId="687A1C3B"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Iborra-Egea</w:t>
      </w:r>
      <w:proofErr w:type="spellEnd"/>
      <w:r>
        <w:rPr>
          <w:color w:val="000000" w:themeColor="text1"/>
          <w:lang w:val="en-US"/>
        </w:rPr>
        <w:t xml:space="preserve"> O, Santiago-</w:t>
      </w:r>
      <w:proofErr w:type="spellStart"/>
      <w:r>
        <w:rPr>
          <w:color w:val="000000" w:themeColor="text1"/>
          <w:lang w:val="en-US"/>
        </w:rPr>
        <w:t>Vacas</w:t>
      </w:r>
      <w:proofErr w:type="spellEnd"/>
      <w:r>
        <w:rPr>
          <w:color w:val="000000" w:themeColor="text1"/>
          <w:lang w:val="en-US"/>
        </w:rPr>
        <w:t xml:space="preserve"> E, </w:t>
      </w:r>
      <w:proofErr w:type="spellStart"/>
      <w:r>
        <w:rPr>
          <w:color w:val="000000" w:themeColor="text1"/>
          <w:lang w:val="en-US"/>
        </w:rPr>
        <w:t>Yurista</w:t>
      </w:r>
      <w:proofErr w:type="spellEnd"/>
      <w:r>
        <w:rPr>
          <w:color w:val="000000" w:themeColor="text1"/>
          <w:lang w:val="en-US"/>
        </w:rPr>
        <w:t xml:space="preserve"> SR, et al. Unraveling the molecular mechanism of action of Empagliflozin in heart failure with reduced ejection fraction with or without diabetes. JACC Basic </w:t>
      </w:r>
      <w:proofErr w:type="spellStart"/>
      <w:r>
        <w:rPr>
          <w:color w:val="000000" w:themeColor="text1"/>
          <w:lang w:val="en-US"/>
        </w:rPr>
        <w:t>Transl</w:t>
      </w:r>
      <w:proofErr w:type="spellEnd"/>
      <w:r>
        <w:rPr>
          <w:color w:val="000000" w:themeColor="text1"/>
          <w:lang w:val="en-US"/>
        </w:rPr>
        <w:t xml:space="preserve"> Sci. </w:t>
      </w:r>
      <w:proofErr w:type="gramStart"/>
      <w:r>
        <w:rPr>
          <w:color w:val="000000" w:themeColor="text1"/>
          <w:lang w:val="en-US"/>
        </w:rPr>
        <w:t>2019;4:831</w:t>
      </w:r>
      <w:proofErr w:type="gramEnd"/>
      <w:r>
        <w:rPr>
          <w:color w:val="000000" w:themeColor="text1"/>
          <w:lang w:val="en-US"/>
        </w:rPr>
        <w:t xml:space="preserve">-40. </w:t>
      </w:r>
      <w:proofErr w:type="gramStart"/>
      <w:r>
        <w:rPr>
          <w:color w:val="000000" w:themeColor="text1"/>
          <w:lang w:val="en-US"/>
        </w:rPr>
        <w:t>doi:10.1016/j.jacbts</w:t>
      </w:r>
      <w:proofErr w:type="gramEnd"/>
      <w:r>
        <w:rPr>
          <w:color w:val="000000" w:themeColor="text1"/>
          <w:lang w:val="en-US"/>
        </w:rPr>
        <w:t>.2019.07.010.</w:t>
      </w:r>
    </w:p>
    <w:p w14:paraId="1768B932" w14:textId="4420F164"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Hammoudi</w:t>
      </w:r>
      <w:proofErr w:type="spellEnd"/>
      <w:r>
        <w:rPr>
          <w:color w:val="000000" w:themeColor="text1"/>
          <w:lang w:val="en-US"/>
        </w:rPr>
        <w:t xml:space="preserve"> N, </w:t>
      </w:r>
      <w:proofErr w:type="spellStart"/>
      <w:r>
        <w:rPr>
          <w:color w:val="000000" w:themeColor="text1"/>
          <w:lang w:val="en-US"/>
        </w:rPr>
        <w:t>Jeong</w:t>
      </w:r>
      <w:proofErr w:type="spellEnd"/>
      <w:r>
        <w:rPr>
          <w:color w:val="000000" w:themeColor="text1"/>
          <w:lang w:val="en-US"/>
        </w:rPr>
        <w:t xml:space="preserve"> D, Singh R, et al. Empagliflozin improves left ventricular diastolic dysfunction in a genetic model of type 2 diabetes. Cardiovasc Drugs </w:t>
      </w:r>
      <w:proofErr w:type="spellStart"/>
      <w:r>
        <w:rPr>
          <w:color w:val="000000" w:themeColor="text1"/>
          <w:lang w:val="en-US"/>
        </w:rPr>
        <w:t>Ther</w:t>
      </w:r>
      <w:proofErr w:type="spellEnd"/>
      <w:r>
        <w:rPr>
          <w:color w:val="000000" w:themeColor="text1"/>
          <w:lang w:val="en-US"/>
        </w:rPr>
        <w:t>. 2017;</w:t>
      </w:r>
      <w:r w:rsidR="000417FF" w:rsidRPr="00421FA2">
        <w:rPr>
          <w:color w:val="000000" w:themeColor="text1"/>
          <w:lang w:val="en-US"/>
        </w:rPr>
        <w:t xml:space="preserve"> </w:t>
      </w:r>
      <w:r>
        <w:rPr>
          <w:color w:val="000000" w:themeColor="text1"/>
          <w:lang w:val="en-US"/>
        </w:rPr>
        <w:t>31:233- 46. doi:10.1007/s10557-017-6734-1</w:t>
      </w:r>
    </w:p>
    <w:p w14:paraId="279576C0" w14:textId="780EECCE"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Stowe KA, Burgess SC, Merritt M, et al. Storage and oxidation of long-chain fatty acids in the C57/BL6 mouse heart as measured by NMR spectroscopy. FEBS Lett. 2006;</w:t>
      </w:r>
      <w:r w:rsidR="000417FF" w:rsidRPr="00421FA2">
        <w:rPr>
          <w:color w:val="000000" w:themeColor="text1"/>
          <w:lang w:val="en-US"/>
        </w:rPr>
        <w:t xml:space="preserve"> </w:t>
      </w:r>
      <w:r>
        <w:rPr>
          <w:color w:val="000000" w:themeColor="text1"/>
          <w:lang w:val="en-US"/>
        </w:rPr>
        <w:t xml:space="preserve">580:4282-7. </w:t>
      </w:r>
      <w:proofErr w:type="gramStart"/>
      <w:r>
        <w:rPr>
          <w:color w:val="000000" w:themeColor="text1"/>
          <w:lang w:val="en-US"/>
        </w:rPr>
        <w:t>doi:10.1016/j.febslet</w:t>
      </w:r>
      <w:proofErr w:type="gramEnd"/>
      <w:r>
        <w:rPr>
          <w:color w:val="000000" w:themeColor="text1"/>
          <w:lang w:val="en-US"/>
        </w:rPr>
        <w:t>.2006.06.068</w:t>
      </w:r>
    </w:p>
    <w:p w14:paraId="2BF97772" w14:textId="33858DAE"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Mizuno Y, Harada E, Nakagawa H, et al. The diabetic heart utilizes ketone bodies as an energy source. Metabolism. 2017;</w:t>
      </w:r>
      <w:r w:rsidR="000417FF">
        <w:rPr>
          <w:color w:val="000000" w:themeColor="text1"/>
        </w:rPr>
        <w:t xml:space="preserve"> </w:t>
      </w:r>
      <w:r>
        <w:rPr>
          <w:color w:val="000000" w:themeColor="text1"/>
          <w:lang w:val="en-US"/>
        </w:rPr>
        <w:t xml:space="preserve">77:65-72. </w:t>
      </w:r>
      <w:proofErr w:type="gramStart"/>
      <w:r>
        <w:rPr>
          <w:color w:val="000000" w:themeColor="text1"/>
          <w:lang w:val="en-US"/>
        </w:rPr>
        <w:t>doi:10.1016/j.metabol</w:t>
      </w:r>
      <w:proofErr w:type="gramEnd"/>
      <w:r>
        <w:rPr>
          <w:color w:val="000000" w:themeColor="text1"/>
          <w:lang w:val="en-US"/>
        </w:rPr>
        <w:t>.2017.08.005</w:t>
      </w:r>
    </w:p>
    <w:p w14:paraId="1C682622" w14:textId="154EFFF0"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Gormsen</w:t>
      </w:r>
      <w:proofErr w:type="spellEnd"/>
      <w:r>
        <w:rPr>
          <w:color w:val="000000" w:themeColor="text1"/>
          <w:lang w:val="en-US"/>
        </w:rPr>
        <w:t xml:space="preserve"> LC, </w:t>
      </w:r>
      <w:proofErr w:type="spellStart"/>
      <w:r>
        <w:rPr>
          <w:color w:val="000000" w:themeColor="text1"/>
          <w:lang w:val="en-US"/>
        </w:rPr>
        <w:t>Svart</w:t>
      </w:r>
      <w:proofErr w:type="spellEnd"/>
      <w:r>
        <w:rPr>
          <w:color w:val="000000" w:themeColor="text1"/>
          <w:lang w:val="en-US"/>
        </w:rPr>
        <w:t xml:space="preserve"> M, Thomsen HH, et al. Ketone body infusion with 3-hydroxybutyrate reduces myocardial glucose uptake and increases blood flow in humans: a positron emission tomography study. J Am Heart Assoc. 2017;6(3</w:t>
      </w:r>
      <w:proofErr w:type="gramStart"/>
      <w:r>
        <w:rPr>
          <w:color w:val="000000" w:themeColor="text1"/>
          <w:lang w:val="en-US"/>
        </w:rPr>
        <w:t>):e</w:t>
      </w:r>
      <w:proofErr w:type="gramEnd"/>
      <w:r>
        <w:rPr>
          <w:color w:val="000000" w:themeColor="text1"/>
          <w:lang w:val="en-US"/>
        </w:rPr>
        <w:t>005066. doi:10.1161/ JAHA.116.005066</w:t>
      </w:r>
    </w:p>
    <w:p w14:paraId="628BB865" w14:textId="74DC1D50"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Santos-Gallego CG, </w:t>
      </w:r>
      <w:proofErr w:type="spellStart"/>
      <w:r>
        <w:rPr>
          <w:color w:val="000000" w:themeColor="text1"/>
          <w:lang w:val="en-US"/>
        </w:rPr>
        <w:t>Requena</w:t>
      </w:r>
      <w:proofErr w:type="spellEnd"/>
      <w:r>
        <w:rPr>
          <w:color w:val="000000" w:themeColor="text1"/>
          <w:lang w:val="en-US"/>
        </w:rPr>
        <w:t xml:space="preserve">-Ibanez JA, San Antonio R, et al. Empagliflozin ameliorates adverse left ventricular remodeling in nondiabetic heart failure by enhancing myocardial energetics. J Am Coll </w:t>
      </w:r>
      <w:proofErr w:type="spellStart"/>
      <w:r>
        <w:rPr>
          <w:color w:val="000000" w:themeColor="text1"/>
          <w:lang w:val="en-US"/>
        </w:rPr>
        <w:t>Cardiol</w:t>
      </w:r>
      <w:proofErr w:type="spellEnd"/>
      <w:r>
        <w:rPr>
          <w:color w:val="000000" w:themeColor="text1"/>
          <w:lang w:val="en-US"/>
        </w:rPr>
        <w:t>. 2019;</w:t>
      </w:r>
      <w:r w:rsidR="000417FF" w:rsidRPr="00421FA2">
        <w:rPr>
          <w:color w:val="000000" w:themeColor="text1"/>
          <w:lang w:val="en-US"/>
        </w:rPr>
        <w:t xml:space="preserve"> </w:t>
      </w:r>
      <w:r>
        <w:rPr>
          <w:color w:val="000000" w:themeColor="text1"/>
          <w:lang w:val="en-US"/>
        </w:rPr>
        <w:t xml:space="preserve">73:1931-44. </w:t>
      </w:r>
      <w:proofErr w:type="gramStart"/>
      <w:r>
        <w:rPr>
          <w:color w:val="000000" w:themeColor="text1"/>
          <w:lang w:val="en-US"/>
        </w:rPr>
        <w:t>doi:10.1016/j.jacc</w:t>
      </w:r>
      <w:proofErr w:type="gramEnd"/>
      <w:r>
        <w:rPr>
          <w:color w:val="000000" w:themeColor="text1"/>
          <w:lang w:val="en-US"/>
        </w:rPr>
        <w:t>.2019.01.056</w:t>
      </w:r>
    </w:p>
    <w:p w14:paraId="252DF6ED" w14:textId="2DF78952"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Ferrannini</w:t>
      </w:r>
      <w:proofErr w:type="spellEnd"/>
      <w:r>
        <w:rPr>
          <w:color w:val="000000" w:themeColor="text1"/>
          <w:lang w:val="en-US"/>
        </w:rPr>
        <w:t xml:space="preserve"> E, Mark M, </w:t>
      </w:r>
      <w:proofErr w:type="spellStart"/>
      <w:r>
        <w:rPr>
          <w:color w:val="000000" w:themeColor="text1"/>
          <w:lang w:val="en-US"/>
        </w:rPr>
        <w:t>Mayoux</w:t>
      </w:r>
      <w:proofErr w:type="spellEnd"/>
      <w:r>
        <w:rPr>
          <w:color w:val="000000" w:themeColor="text1"/>
          <w:lang w:val="en-US"/>
        </w:rPr>
        <w:t xml:space="preserve"> E. CV protection in the EMPA-REG OUTCOME trial: a “thrifty substrate” hypothesis. Diabetes Care. 2016;</w:t>
      </w:r>
      <w:r w:rsidR="000417FF">
        <w:rPr>
          <w:color w:val="000000" w:themeColor="text1"/>
        </w:rPr>
        <w:t xml:space="preserve"> </w:t>
      </w:r>
      <w:r>
        <w:rPr>
          <w:color w:val="000000" w:themeColor="text1"/>
          <w:lang w:val="en-US"/>
        </w:rPr>
        <w:t>39:1108-14. doi:10.2337/dc16-0330</w:t>
      </w:r>
    </w:p>
    <w:p w14:paraId="6F669BB7" w14:textId="15A31613"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lastRenderedPageBreak/>
        <w:t xml:space="preserve">Vickers SP, Cheetham SC, Headland KR, Dickinson K, </w:t>
      </w:r>
      <w:proofErr w:type="spellStart"/>
      <w:r>
        <w:rPr>
          <w:color w:val="000000" w:themeColor="text1"/>
          <w:lang w:val="en-US"/>
        </w:rPr>
        <w:t>Grempler</w:t>
      </w:r>
      <w:proofErr w:type="spellEnd"/>
      <w:r>
        <w:rPr>
          <w:color w:val="000000" w:themeColor="text1"/>
          <w:lang w:val="en-US"/>
        </w:rPr>
        <w:t xml:space="preserve"> R, </w:t>
      </w:r>
      <w:proofErr w:type="spellStart"/>
      <w:r>
        <w:rPr>
          <w:color w:val="000000" w:themeColor="text1"/>
          <w:lang w:val="en-US"/>
        </w:rPr>
        <w:t>Mayoux</w:t>
      </w:r>
      <w:proofErr w:type="spellEnd"/>
      <w:r>
        <w:rPr>
          <w:color w:val="000000" w:themeColor="text1"/>
          <w:lang w:val="en-US"/>
        </w:rPr>
        <w:t xml:space="preserve"> E, Mark M, Klein T. Combination of the sodium–glucose cotransporter-2 inhibitor </w:t>
      </w:r>
      <w:proofErr w:type="spellStart"/>
      <w:r>
        <w:rPr>
          <w:color w:val="000000" w:themeColor="text1"/>
          <w:lang w:val="en-US"/>
        </w:rPr>
        <w:t>empaglifozin</w:t>
      </w:r>
      <w:proofErr w:type="spellEnd"/>
      <w:r>
        <w:rPr>
          <w:color w:val="000000" w:themeColor="text1"/>
          <w:lang w:val="en-US"/>
        </w:rPr>
        <w:t xml:space="preserve"> with orlistat or sibutramine further improves the body-weight reduction and glucose homeostasis of obese rats fed a cafeteria diet. Diabetes </w:t>
      </w:r>
      <w:proofErr w:type="spellStart"/>
      <w:r>
        <w:rPr>
          <w:color w:val="000000" w:themeColor="text1"/>
          <w:lang w:val="en-US"/>
        </w:rPr>
        <w:t>Metab</w:t>
      </w:r>
      <w:proofErr w:type="spellEnd"/>
      <w:r>
        <w:rPr>
          <w:color w:val="000000" w:themeColor="text1"/>
          <w:lang w:val="en-US"/>
        </w:rPr>
        <w:t xml:space="preserve"> </w:t>
      </w:r>
      <w:proofErr w:type="spellStart"/>
      <w:r>
        <w:rPr>
          <w:color w:val="000000" w:themeColor="text1"/>
          <w:lang w:val="en-US"/>
        </w:rPr>
        <w:t>Syndr</w:t>
      </w:r>
      <w:proofErr w:type="spellEnd"/>
      <w:r>
        <w:rPr>
          <w:color w:val="000000" w:themeColor="text1"/>
          <w:lang w:val="en-US"/>
        </w:rPr>
        <w:t xml:space="preserve"> </w:t>
      </w:r>
      <w:proofErr w:type="spellStart"/>
      <w:r>
        <w:rPr>
          <w:color w:val="000000" w:themeColor="text1"/>
          <w:lang w:val="en-US"/>
        </w:rPr>
        <w:t>Obes</w:t>
      </w:r>
      <w:proofErr w:type="spellEnd"/>
      <w:r>
        <w:rPr>
          <w:color w:val="000000" w:themeColor="text1"/>
          <w:lang w:val="en-US"/>
        </w:rPr>
        <w:t xml:space="preserve"> Targets </w:t>
      </w:r>
      <w:proofErr w:type="spellStart"/>
      <w:r>
        <w:rPr>
          <w:color w:val="000000" w:themeColor="text1"/>
          <w:lang w:val="en-US"/>
        </w:rPr>
        <w:t>Ther</w:t>
      </w:r>
      <w:proofErr w:type="spellEnd"/>
      <w:r>
        <w:rPr>
          <w:color w:val="000000" w:themeColor="text1"/>
          <w:lang w:val="en-US"/>
        </w:rPr>
        <w:t xml:space="preserve">. </w:t>
      </w:r>
      <w:proofErr w:type="gramStart"/>
      <w:r>
        <w:rPr>
          <w:color w:val="000000" w:themeColor="text1"/>
          <w:lang w:val="en-US"/>
        </w:rPr>
        <w:t>2014;7:265</w:t>
      </w:r>
      <w:proofErr w:type="gramEnd"/>
      <w:r>
        <w:rPr>
          <w:color w:val="000000" w:themeColor="text1"/>
          <w:lang w:val="en-US"/>
        </w:rPr>
        <w:t>–75</w:t>
      </w:r>
    </w:p>
    <w:p w14:paraId="4E70AF78" w14:textId="3FBAF53A" w:rsidR="00C649F4" w:rsidRPr="00F23A9C"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Adingupu</w:t>
      </w:r>
      <w:proofErr w:type="spellEnd"/>
      <w:r>
        <w:rPr>
          <w:color w:val="000000" w:themeColor="text1"/>
          <w:lang w:val="en-US"/>
        </w:rPr>
        <w:t xml:space="preserve"> DD, </w:t>
      </w:r>
      <w:proofErr w:type="spellStart"/>
      <w:r>
        <w:rPr>
          <w:color w:val="000000" w:themeColor="text1"/>
          <w:lang w:val="en-US"/>
        </w:rPr>
        <w:t>Göpel</w:t>
      </w:r>
      <w:proofErr w:type="spellEnd"/>
      <w:r>
        <w:rPr>
          <w:color w:val="000000" w:themeColor="text1"/>
          <w:lang w:val="en-US"/>
        </w:rPr>
        <w:t xml:space="preserve"> SO, </w:t>
      </w:r>
      <w:proofErr w:type="spellStart"/>
      <w:r>
        <w:rPr>
          <w:color w:val="000000" w:themeColor="text1"/>
          <w:lang w:val="en-US"/>
        </w:rPr>
        <w:t>Grönros</w:t>
      </w:r>
      <w:proofErr w:type="spellEnd"/>
      <w:r>
        <w:rPr>
          <w:color w:val="000000" w:themeColor="text1"/>
          <w:lang w:val="en-US"/>
        </w:rPr>
        <w:t xml:space="preserve"> J, Behrendt M, </w:t>
      </w:r>
      <w:proofErr w:type="spellStart"/>
      <w:r>
        <w:rPr>
          <w:color w:val="000000" w:themeColor="text1"/>
          <w:lang w:val="en-US"/>
        </w:rPr>
        <w:t>Sotak</w:t>
      </w:r>
      <w:proofErr w:type="spellEnd"/>
      <w:r>
        <w:rPr>
          <w:color w:val="000000" w:themeColor="text1"/>
          <w:lang w:val="en-US"/>
        </w:rPr>
        <w:t xml:space="preserve"> M, </w:t>
      </w:r>
      <w:proofErr w:type="spellStart"/>
      <w:r>
        <w:rPr>
          <w:color w:val="000000" w:themeColor="text1"/>
          <w:lang w:val="en-US"/>
        </w:rPr>
        <w:t>Miliotis</w:t>
      </w:r>
      <w:proofErr w:type="spellEnd"/>
      <w:r>
        <w:rPr>
          <w:color w:val="000000" w:themeColor="text1"/>
          <w:lang w:val="en-US"/>
        </w:rPr>
        <w:t xml:space="preserve"> T, Dahl</w:t>
      </w:r>
      <w:r>
        <w:rPr>
          <w:color w:val="000000" w:themeColor="text1"/>
          <w:lang w:val="en-US"/>
        </w:rPr>
        <w:noBreakHyphen/>
        <w:t xml:space="preserve"> </w:t>
      </w:r>
      <w:proofErr w:type="spellStart"/>
      <w:r>
        <w:rPr>
          <w:color w:val="000000" w:themeColor="text1"/>
          <w:lang w:val="en-US"/>
        </w:rPr>
        <w:t>qvist</w:t>
      </w:r>
      <w:proofErr w:type="spellEnd"/>
      <w:r>
        <w:rPr>
          <w:color w:val="000000" w:themeColor="text1"/>
          <w:lang w:val="en-US"/>
        </w:rPr>
        <w:t xml:space="preserve"> U, Gan L-M, </w:t>
      </w:r>
      <w:proofErr w:type="spellStart"/>
      <w:r>
        <w:rPr>
          <w:color w:val="000000" w:themeColor="text1"/>
          <w:lang w:val="en-US"/>
        </w:rPr>
        <w:t>Jönsson</w:t>
      </w:r>
      <w:proofErr w:type="spellEnd"/>
      <w:r>
        <w:rPr>
          <w:color w:val="000000" w:themeColor="text1"/>
          <w:lang w:val="en-US"/>
        </w:rPr>
        <w:t xml:space="preserve">-Rylander A-C. SGLT2 inhibition with </w:t>
      </w:r>
      <w:proofErr w:type="spellStart"/>
      <w:r>
        <w:rPr>
          <w:color w:val="000000" w:themeColor="text1"/>
          <w:lang w:val="en-US"/>
        </w:rPr>
        <w:t>empaglifozin</w:t>
      </w:r>
      <w:proofErr w:type="spellEnd"/>
      <w:r>
        <w:rPr>
          <w:color w:val="000000" w:themeColor="text1"/>
          <w:lang w:val="en-US"/>
        </w:rPr>
        <w:t xml:space="preserve"> improves coronary microvascular function and cardiac contractility in prediabetic </w:t>
      </w:r>
      <w:proofErr w:type="spellStart"/>
      <w:r>
        <w:rPr>
          <w:color w:val="000000" w:themeColor="text1"/>
          <w:lang w:val="en-US"/>
        </w:rPr>
        <w:t>ob</w:t>
      </w:r>
      <w:proofErr w:type="spellEnd"/>
      <w:r>
        <w:rPr>
          <w:color w:val="000000" w:themeColor="text1"/>
          <w:lang w:val="en-US"/>
        </w:rPr>
        <w:t>/</w:t>
      </w:r>
      <w:proofErr w:type="spellStart"/>
      <w:r>
        <w:rPr>
          <w:color w:val="000000" w:themeColor="text1"/>
          <w:lang w:val="en-US"/>
        </w:rPr>
        <w:t>ob</w:t>
      </w:r>
      <w:proofErr w:type="spellEnd"/>
      <w:r>
        <w:rPr>
          <w:color w:val="000000" w:themeColor="text1"/>
          <w:lang w:val="en-US"/>
        </w:rPr>
        <w:t xml:space="preserve">−/−mice. Cardiovasc </w:t>
      </w:r>
      <w:proofErr w:type="spellStart"/>
      <w:r>
        <w:rPr>
          <w:color w:val="000000" w:themeColor="text1"/>
          <w:lang w:val="en-US"/>
        </w:rPr>
        <w:t>Diabetol</w:t>
      </w:r>
      <w:proofErr w:type="spellEnd"/>
      <w:r>
        <w:rPr>
          <w:color w:val="000000" w:themeColor="text1"/>
          <w:lang w:val="en-US"/>
        </w:rPr>
        <w:t>. 2019;18(1):16</w:t>
      </w:r>
    </w:p>
    <w:p w14:paraId="54086F53" w14:textId="124840B8"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Younis F, Leor J, </w:t>
      </w:r>
      <w:proofErr w:type="spellStart"/>
      <w:r>
        <w:rPr>
          <w:color w:val="000000" w:themeColor="text1"/>
          <w:lang w:val="en-US"/>
        </w:rPr>
        <w:t>Abassi</w:t>
      </w:r>
      <w:proofErr w:type="spellEnd"/>
      <w:r>
        <w:rPr>
          <w:color w:val="000000" w:themeColor="text1"/>
          <w:lang w:val="en-US"/>
        </w:rPr>
        <w:t xml:space="preserve"> Z, </w:t>
      </w:r>
      <w:proofErr w:type="spellStart"/>
      <w:r>
        <w:rPr>
          <w:color w:val="000000" w:themeColor="text1"/>
          <w:lang w:val="en-US"/>
        </w:rPr>
        <w:t>Landa</w:t>
      </w:r>
      <w:proofErr w:type="spellEnd"/>
      <w:r>
        <w:rPr>
          <w:color w:val="000000" w:themeColor="text1"/>
          <w:lang w:val="en-US"/>
        </w:rPr>
        <w:t xml:space="preserve"> N, Rath L, Hollander K, Naftali-Shani N, Rosenthal T. </w:t>
      </w:r>
      <w:proofErr w:type="spellStart"/>
      <w:r>
        <w:rPr>
          <w:color w:val="000000" w:themeColor="text1"/>
          <w:lang w:val="en-US"/>
        </w:rPr>
        <w:t>Benefcial</w:t>
      </w:r>
      <w:proofErr w:type="spellEnd"/>
      <w:r>
        <w:rPr>
          <w:color w:val="000000" w:themeColor="text1"/>
          <w:lang w:val="en-US"/>
        </w:rPr>
        <w:t xml:space="preserve"> </w:t>
      </w:r>
      <w:proofErr w:type="spellStart"/>
      <w:r>
        <w:rPr>
          <w:color w:val="000000" w:themeColor="text1"/>
          <w:lang w:val="en-US"/>
        </w:rPr>
        <w:t>efect</w:t>
      </w:r>
      <w:proofErr w:type="spellEnd"/>
      <w:r>
        <w:rPr>
          <w:color w:val="000000" w:themeColor="text1"/>
          <w:lang w:val="en-US"/>
        </w:rPr>
        <w:t xml:space="preserve"> of the SGLT2 inhibitor </w:t>
      </w:r>
      <w:proofErr w:type="spellStart"/>
      <w:r>
        <w:rPr>
          <w:color w:val="000000" w:themeColor="text1"/>
          <w:lang w:val="en-US"/>
        </w:rPr>
        <w:t>empaglifozin</w:t>
      </w:r>
      <w:proofErr w:type="spellEnd"/>
      <w:r>
        <w:rPr>
          <w:color w:val="000000" w:themeColor="text1"/>
          <w:lang w:val="en-US"/>
        </w:rPr>
        <w:t xml:space="preserve"> on glucose homeostasis and cardiovascular parameters in the </w:t>
      </w:r>
      <w:proofErr w:type="spellStart"/>
      <w:r>
        <w:rPr>
          <w:color w:val="000000" w:themeColor="text1"/>
          <w:lang w:val="en-US"/>
        </w:rPr>
        <w:t>cohen</w:t>
      </w:r>
      <w:proofErr w:type="spellEnd"/>
      <w:r>
        <w:rPr>
          <w:color w:val="000000" w:themeColor="text1"/>
          <w:lang w:val="en-US"/>
        </w:rPr>
        <w:t xml:space="preserve"> </w:t>
      </w:r>
      <w:proofErr w:type="spellStart"/>
      <w:r>
        <w:rPr>
          <w:color w:val="000000" w:themeColor="text1"/>
          <w:lang w:val="en-US"/>
        </w:rPr>
        <w:t>rosenthal</w:t>
      </w:r>
      <w:proofErr w:type="spellEnd"/>
      <w:r>
        <w:rPr>
          <w:color w:val="000000" w:themeColor="text1"/>
          <w:lang w:val="en-US"/>
        </w:rPr>
        <w:t xml:space="preserve"> diabetic hypertensive (CRDH) rat. J Cardiovasc </w:t>
      </w:r>
      <w:proofErr w:type="spellStart"/>
      <w:r>
        <w:rPr>
          <w:color w:val="000000" w:themeColor="text1"/>
          <w:lang w:val="en-US"/>
        </w:rPr>
        <w:t>Pharmacol</w:t>
      </w:r>
      <w:proofErr w:type="spellEnd"/>
      <w:r>
        <w:rPr>
          <w:color w:val="000000" w:themeColor="text1"/>
          <w:lang w:val="en-US"/>
        </w:rPr>
        <w:t xml:space="preserve"> </w:t>
      </w:r>
      <w:proofErr w:type="spellStart"/>
      <w:r>
        <w:rPr>
          <w:color w:val="000000" w:themeColor="text1"/>
          <w:lang w:val="en-US"/>
        </w:rPr>
        <w:t>Ther</w:t>
      </w:r>
      <w:proofErr w:type="spellEnd"/>
      <w:r>
        <w:rPr>
          <w:color w:val="000000" w:themeColor="text1"/>
          <w:lang w:val="en-US"/>
        </w:rPr>
        <w:t>. 2018;23(4):358–71</w:t>
      </w:r>
    </w:p>
    <w:p w14:paraId="62A3B019"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shd w:val="clear" w:color="auto" w:fill="FFFFFF"/>
          <w:lang w:val="en-US"/>
        </w:rPr>
        <w:t xml:space="preserve">Park, S.-H., Farooq, M. A., Gaertner, S., Bruckert, C., Qureshi, A. W., Lee, H.-H., … </w:t>
      </w:r>
      <w:proofErr w:type="spellStart"/>
      <w:r>
        <w:rPr>
          <w:color w:val="000000" w:themeColor="text1"/>
          <w:shd w:val="clear" w:color="auto" w:fill="FFFFFF"/>
          <w:lang w:val="en-US"/>
        </w:rPr>
        <w:t>Schini-Kerth</w:t>
      </w:r>
      <w:proofErr w:type="spellEnd"/>
      <w:r>
        <w:rPr>
          <w:color w:val="000000" w:themeColor="text1"/>
          <w:shd w:val="clear" w:color="auto" w:fill="FFFFFF"/>
          <w:lang w:val="en-US"/>
        </w:rPr>
        <w:t>, V. B. (2020). </w:t>
      </w:r>
      <w:r>
        <w:rPr>
          <w:iCs/>
          <w:color w:val="000000" w:themeColor="text1"/>
          <w:shd w:val="clear" w:color="auto" w:fill="FFFFFF"/>
          <w:lang w:val="en-US"/>
        </w:rPr>
        <w:t xml:space="preserve">Empagliflozin improved systolic blood pressure, endothelial dysfunction and heart remodeling in the metabolic syndrome ZSF1 rat. </w:t>
      </w:r>
      <w:r>
        <w:rPr>
          <w:iCs/>
          <w:color w:val="000000" w:themeColor="text1"/>
          <w:shd w:val="clear" w:color="auto" w:fill="FFFFFF"/>
        </w:rPr>
        <w:t>Cardiovascular Diabetology, 19(1).</w:t>
      </w:r>
      <w:r>
        <w:rPr>
          <w:color w:val="000000" w:themeColor="text1"/>
          <w:shd w:val="clear" w:color="auto" w:fill="FFFFFF"/>
        </w:rPr>
        <w:t> doi:10.1186/s12933-020-00997-7. </w:t>
      </w:r>
    </w:p>
    <w:p w14:paraId="3CA78CF8"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proofErr w:type="spellStart"/>
      <w:r>
        <w:rPr>
          <w:color w:val="000000" w:themeColor="text1"/>
          <w:lang w:val="en-US"/>
        </w:rPr>
        <w:t>Kusaka</w:t>
      </w:r>
      <w:proofErr w:type="spellEnd"/>
      <w:r>
        <w:rPr>
          <w:color w:val="000000" w:themeColor="text1"/>
          <w:lang w:val="en-US"/>
        </w:rPr>
        <w:t xml:space="preserve"> H, </w:t>
      </w:r>
      <w:proofErr w:type="spellStart"/>
      <w:r>
        <w:rPr>
          <w:color w:val="000000" w:themeColor="text1"/>
          <w:lang w:val="en-US"/>
        </w:rPr>
        <w:t>Koibuchi</w:t>
      </w:r>
      <w:proofErr w:type="spellEnd"/>
      <w:r>
        <w:rPr>
          <w:color w:val="000000" w:themeColor="text1"/>
          <w:lang w:val="en-US"/>
        </w:rPr>
        <w:t xml:space="preserve"> N, Hasegawa Y, Ogawa H, Kim-</w:t>
      </w:r>
      <w:proofErr w:type="spellStart"/>
      <w:r>
        <w:rPr>
          <w:color w:val="000000" w:themeColor="text1"/>
          <w:lang w:val="en-US"/>
        </w:rPr>
        <w:t>Mitsuyama</w:t>
      </w:r>
      <w:proofErr w:type="spellEnd"/>
      <w:r>
        <w:rPr>
          <w:color w:val="000000" w:themeColor="text1"/>
          <w:lang w:val="en-US"/>
        </w:rPr>
        <w:t xml:space="preserve"> S. </w:t>
      </w:r>
      <w:proofErr w:type="spellStart"/>
      <w:r>
        <w:rPr>
          <w:color w:val="000000" w:themeColor="text1"/>
          <w:lang w:val="en-US"/>
        </w:rPr>
        <w:t>Empaglifozin</w:t>
      </w:r>
      <w:proofErr w:type="spellEnd"/>
      <w:r>
        <w:rPr>
          <w:color w:val="000000" w:themeColor="text1"/>
          <w:lang w:val="en-US"/>
        </w:rPr>
        <w:t xml:space="preserve"> lessened cardiac injury and reduced visceral adipocyte hypertrophy in prediabetic rats with metabolic syndrome. </w:t>
      </w:r>
      <w:r>
        <w:rPr>
          <w:color w:val="000000" w:themeColor="text1"/>
        </w:rPr>
        <w:t xml:space="preserve">Cardiovasc Diabetol. 2016;15(1):157. </w:t>
      </w:r>
      <w:r w:rsidR="004276B7">
        <w:fldChar w:fldCharType="begin"/>
      </w:r>
      <w:r w:rsidR="004276B7">
        <w:instrText xml:space="preserve"> HYPERLINK "https://pubmed.ncbi.nlm.nih.gov/27835975/" </w:instrText>
      </w:r>
      <w:r w:rsidR="004276B7">
        <w:fldChar w:fldCharType="separate"/>
      </w:r>
      <w:r>
        <w:rPr>
          <w:rStyle w:val="Hyperlink"/>
          <w:color w:val="000000" w:themeColor="text1"/>
        </w:rPr>
        <w:t>https://pubmed.ncbi.nlm.nih.gov/27835975/</w:t>
      </w:r>
      <w:r w:rsidR="004276B7">
        <w:rPr>
          <w:rStyle w:val="Hyperlink"/>
          <w:color w:val="000000" w:themeColor="text1"/>
        </w:rPr>
        <w:fldChar w:fldCharType="end"/>
      </w:r>
    </w:p>
    <w:p w14:paraId="02D7D06D" w14:textId="0BA5CC99"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Connelly KA, Zhang Y, </w:t>
      </w:r>
      <w:proofErr w:type="spellStart"/>
      <w:r>
        <w:rPr>
          <w:color w:val="000000" w:themeColor="text1"/>
          <w:lang w:val="en-US"/>
        </w:rPr>
        <w:t>Visram</w:t>
      </w:r>
      <w:proofErr w:type="spellEnd"/>
      <w:r>
        <w:rPr>
          <w:color w:val="000000" w:themeColor="text1"/>
          <w:lang w:val="en-US"/>
        </w:rPr>
        <w:t xml:space="preserve"> A, Advani A, </w:t>
      </w:r>
      <w:proofErr w:type="spellStart"/>
      <w:r>
        <w:rPr>
          <w:color w:val="000000" w:themeColor="text1"/>
          <w:lang w:val="en-US"/>
        </w:rPr>
        <w:t>Batchu</w:t>
      </w:r>
      <w:proofErr w:type="spellEnd"/>
      <w:r>
        <w:rPr>
          <w:color w:val="000000" w:themeColor="text1"/>
          <w:lang w:val="en-US"/>
        </w:rPr>
        <w:t xml:space="preserve"> SN, Desjardins J-F, Thai K, Gilbert RE. </w:t>
      </w:r>
      <w:proofErr w:type="spellStart"/>
      <w:r>
        <w:rPr>
          <w:color w:val="000000" w:themeColor="text1"/>
          <w:lang w:val="en-US"/>
        </w:rPr>
        <w:t>Empaglifozin</w:t>
      </w:r>
      <w:proofErr w:type="spellEnd"/>
      <w:r>
        <w:rPr>
          <w:color w:val="000000" w:themeColor="text1"/>
          <w:lang w:val="en-US"/>
        </w:rPr>
        <w:t xml:space="preserve"> improves diastolic function in a nondiabetic rodent model of heart failure with preserved ejection fraction. JACC Basic </w:t>
      </w:r>
      <w:proofErr w:type="spellStart"/>
      <w:r>
        <w:rPr>
          <w:color w:val="000000" w:themeColor="text1"/>
          <w:lang w:val="en-US"/>
        </w:rPr>
        <w:t>Transl</w:t>
      </w:r>
      <w:proofErr w:type="spellEnd"/>
      <w:r>
        <w:rPr>
          <w:color w:val="000000" w:themeColor="text1"/>
          <w:lang w:val="en-US"/>
        </w:rPr>
        <w:t xml:space="preserve"> Sci. 2019;4(1):27–37</w:t>
      </w:r>
    </w:p>
    <w:p w14:paraId="2C63A045" w14:textId="7EE30AEC" w:rsidR="00C649F4" w:rsidRDefault="00C649F4" w:rsidP="00C54D0D">
      <w:pPr>
        <w:pStyle w:val="ListParagraph"/>
        <w:numPr>
          <w:ilvl w:val="0"/>
          <w:numId w:val="12"/>
        </w:numPr>
        <w:tabs>
          <w:tab w:val="left" w:pos="426"/>
        </w:tabs>
        <w:spacing w:after="0" w:line="240" w:lineRule="auto"/>
        <w:ind w:left="426" w:hanging="426"/>
        <w:rPr>
          <w:color w:val="000000" w:themeColor="text1"/>
        </w:rPr>
      </w:pPr>
      <w:proofErr w:type="spellStart"/>
      <w:r>
        <w:rPr>
          <w:color w:val="000000" w:themeColor="text1"/>
          <w:lang w:val="en-US"/>
        </w:rPr>
        <w:t>Oelze</w:t>
      </w:r>
      <w:proofErr w:type="spellEnd"/>
      <w:r>
        <w:rPr>
          <w:color w:val="000000" w:themeColor="text1"/>
          <w:lang w:val="en-US"/>
        </w:rPr>
        <w:t xml:space="preserve"> M, </w:t>
      </w:r>
      <w:proofErr w:type="spellStart"/>
      <w:r>
        <w:rPr>
          <w:color w:val="000000" w:themeColor="text1"/>
          <w:lang w:val="en-US"/>
        </w:rPr>
        <w:t>Kroller</w:t>
      </w:r>
      <w:proofErr w:type="spellEnd"/>
      <w:r>
        <w:rPr>
          <w:color w:val="000000" w:themeColor="text1"/>
          <w:lang w:val="en-US"/>
        </w:rPr>
        <w:t xml:space="preserve">-Schon S, </w:t>
      </w:r>
      <w:proofErr w:type="spellStart"/>
      <w:r>
        <w:rPr>
          <w:color w:val="000000" w:themeColor="text1"/>
          <w:lang w:val="en-US"/>
        </w:rPr>
        <w:t>Welschof</w:t>
      </w:r>
      <w:proofErr w:type="spellEnd"/>
      <w:r>
        <w:rPr>
          <w:color w:val="000000" w:themeColor="text1"/>
          <w:lang w:val="en-US"/>
        </w:rPr>
        <w:t xml:space="preserve"> P, Jansen T, </w:t>
      </w:r>
      <w:proofErr w:type="spellStart"/>
      <w:r>
        <w:rPr>
          <w:color w:val="000000" w:themeColor="text1"/>
          <w:lang w:val="en-US"/>
        </w:rPr>
        <w:t>Hausding</w:t>
      </w:r>
      <w:proofErr w:type="spellEnd"/>
      <w:r>
        <w:rPr>
          <w:color w:val="000000" w:themeColor="text1"/>
          <w:lang w:val="en-US"/>
        </w:rPr>
        <w:t xml:space="preserve"> M, </w:t>
      </w:r>
      <w:proofErr w:type="spellStart"/>
      <w:r>
        <w:rPr>
          <w:color w:val="000000" w:themeColor="text1"/>
          <w:lang w:val="en-US"/>
        </w:rPr>
        <w:t>Mikhed</w:t>
      </w:r>
      <w:proofErr w:type="spellEnd"/>
      <w:r>
        <w:rPr>
          <w:color w:val="000000" w:themeColor="text1"/>
          <w:lang w:val="en-US"/>
        </w:rPr>
        <w:t xml:space="preserve"> Y, </w:t>
      </w:r>
      <w:proofErr w:type="spellStart"/>
      <w:r>
        <w:rPr>
          <w:color w:val="000000" w:themeColor="text1"/>
          <w:lang w:val="en-US"/>
        </w:rPr>
        <w:t>Stamm</w:t>
      </w:r>
      <w:proofErr w:type="spellEnd"/>
      <w:r>
        <w:rPr>
          <w:color w:val="000000" w:themeColor="text1"/>
          <w:lang w:val="en-US"/>
        </w:rPr>
        <w:t xml:space="preserve"> P, </w:t>
      </w:r>
      <w:proofErr w:type="spellStart"/>
      <w:r>
        <w:rPr>
          <w:color w:val="000000" w:themeColor="text1"/>
          <w:lang w:val="en-US"/>
        </w:rPr>
        <w:t>Mader</w:t>
      </w:r>
      <w:proofErr w:type="spellEnd"/>
      <w:r>
        <w:rPr>
          <w:color w:val="000000" w:themeColor="text1"/>
          <w:lang w:val="en-US"/>
        </w:rPr>
        <w:t xml:space="preserve"> M, </w:t>
      </w:r>
      <w:proofErr w:type="spellStart"/>
      <w:r>
        <w:rPr>
          <w:color w:val="000000" w:themeColor="text1"/>
          <w:lang w:val="en-US"/>
        </w:rPr>
        <w:t>Zinssius</w:t>
      </w:r>
      <w:proofErr w:type="spellEnd"/>
      <w:r>
        <w:rPr>
          <w:color w:val="000000" w:themeColor="text1"/>
          <w:lang w:val="en-US"/>
        </w:rPr>
        <w:t xml:space="preserve"> E, </w:t>
      </w:r>
      <w:proofErr w:type="spellStart"/>
      <w:r>
        <w:rPr>
          <w:color w:val="000000" w:themeColor="text1"/>
          <w:lang w:val="en-US"/>
        </w:rPr>
        <w:t>Agdauletova</w:t>
      </w:r>
      <w:proofErr w:type="spellEnd"/>
      <w:r>
        <w:rPr>
          <w:color w:val="000000" w:themeColor="text1"/>
          <w:lang w:val="en-US"/>
        </w:rPr>
        <w:t xml:space="preserve"> S, et al. The sodium–glucose co-transporter 2 inhibitor </w:t>
      </w:r>
      <w:proofErr w:type="spellStart"/>
      <w:r>
        <w:rPr>
          <w:color w:val="000000" w:themeColor="text1"/>
          <w:lang w:val="en-US"/>
        </w:rPr>
        <w:t>empaglifozin</w:t>
      </w:r>
      <w:proofErr w:type="spellEnd"/>
      <w:r>
        <w:rPr>
          <w:color w:val="000000" w:themeColor="text1"/>
          <w:lang w:val="en-US"/>
        </w:rPr>
        <w:t xml:space="preserve"> improves diabetes-induced vascular dysfunction in the streptozotocin diabetes rat model by interfering with oxidative stress and glucotoxicity. </w:t>
      </w:r>
      <w:r>
        <w:rPr>
          <w:color w:val="000000" w:themeColor="text1"/>
        </w:rPr>
        <w:t>PLoS ONE. 2014;9(11):e112394</w:t>
      </w:r>
    </w:p>
    <w:p w14:paraId="0508332A" w14:textId="079595B4"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lang w:val="en-US"/>
        </w:rPr>
        <w:t xml:space="preserve">Steven S, </w:t>
      </w:r>
      <w:proofErr w:type="spellStart"/>
      <w:r>
        <w:rPr>
          <w:color w:val="000000" w:themeColor="text1"/>
          <w:lang w:val="en-US"/>
        </w:rPr>
        <w:t>Oelze</w:t>
      </w:r>
      <w:proofErr w:type="spellEnd"/>
      <w:r>
        <w:rPr>
          <w:color w:val="000000" w:themeColor="text1"/>
          <w:lang w:val="en-US"/>
        </w:rPr>
        <w:t xml:space="preserve"> M, </w:t>
      </w:r>
      <w:proofErr w:type="spellStart"/>
      <w:r>
        <w:rPr>
          <w:color w:val="000000" w:themeColor="text1"/>
          <w:lang w:val="en-US"/>
        </w:rPr>
        <w:t>Hanf</w:t>
      </w:r>
      <w:proofErr w:type="spellEnd"/>
      <w:r>
        <w:rPr>
          <w:color w:val="000000" w:themeColor="text1"/>
          <w:lang w:val="en-US"/>
        </w:rPr>
        <w:t xml:space="preserve"> A, </w:t>
      </w:r>
      <w:proofErr w:type="spellStart"/>
      <w:r>
        <w:rPr>
          <w:color w:val="000000" w:themeColor="text1"/>
          <w:lang w:val="en-US"/>
        </w:rPr>
        <w:t>Kroller</w:t>
      </w:r>
      <w:proofErr w:type="spellEnd"/>
      <w:r>
        <w:rPr>
          <w:color w:val="000000" w:themeColor="text1"/>
          <w:lang w:val="en-US"/>
        </w:rPr>
        <w:t xml:space="preserve">-Schon S, </w:t>
      </w:r>
      <w:proofErr w:type="spellStart"/>
      <w:r>
        <w:rPr>
          <w:color w:val="000000" w:themeColor="text1"/>
          <w:lang w:val="en-US"/>
        </w:rPr>
        <w:t>Kashani</w:t>
      </w:r>
      <w:proofErr w:type="spellEnd"/>
      <w:r>
        <w:rPr>
          <w:color w:val="000000" w:themeColor="text1"/>
          <w:lang w:val="en-US"/>
        </w:rPr>
        <w:t xml:space="preserve"> F, </w:t>
      </w:r>
      <w:proofErr w:type="spellStart"/>
      <w:r>
        <w:rPr>
          <w:color w:val="000000" w:themeColor="text1"/>
          <w:lang w:val="en-US"/>
        </w:rPr>
        <w:t>Roohani</w:t>
      </w:r>
      <w:proofErr w:type="spellEnd"/>
      <w:r>
        <w:rPr>
          <w:color w:val="000000" w:themeColor="text1"/>
          <w:lang w:val="en-US"/>
        </w:rPr>
        <w:t xml:space="preserve"> S, </w:t>
      </w:r>
      <w:proofErr w:type="spellStart"/>
      <w:r>
        <w:rPr>
          <w:color w:val="000000" w:themeColor="text1"/>
          <w:lang w:val="en-US"/>
        </w:rPr>
        <w:t>Welschof</w:t>
      </w:r>
      <w:proofErr w:type="spellEnd"/>
      <w:r>
        <w:rPr>
          <w:color w:val="000000" w:themeColor="text1"/>
          <w:lang w:val="en-US"/>
        </w:rPr>
        <w:t xml:space="preserve"> P, Kopp M, </w:t>
      </w:r>
      <w:proofErr w:type="spellStart"/>
      <w:r>
        <w:rPr>
          <w:color w:val="000000" w:themeColor="text1"/>
          <w:lang w:val="en-US"/>
        </w:rPr>
        <w:t>Godtel-Armbrust</w:t>
      </w:r>
      <w:proofErr w:type="spellEnd"/>
      <w:r>
        <w:rPr>
          <w:color w:val="000000" w:themeColor="text1"/>
          <w:lang w:val="en-US"/>
        </w:rPr>
        <w:t xml:space="preserve"> U, Xia N, et al. The SGLT2 inhibitor </w:t>
      </w:r>
      <w:proofErr w:type="spellStart"/>
      <w:r>
        <w:rPr>
          <w:color w:val="000000" w:themeColor="text1"/>
          <w:lang w:val="en-US"/>
        </w:rPr>
        <w:t>empagli</w:t>
      </w:r>
      <w:proofErr w:type="spellEnd"/>
      <w:r>
        <w:rPr>
          <w:color w:val="000000" w:themeColor="text1"/>
          <w:lang w:val="en-US"/>
        </w:rPr>
        <w:noBreakHyphen/>
        <w:t xml:space="preserve"> </w:t>
      </w:r>
      <w:proofErr w:type="spellStart"/>
      <w:r>
        <w:rPr>
          <w:color w:val="000000" w:themeColor="text1"/>
          <w:lang w:val="en-US"/>
        </w:rPr>
        <w:t>fozin</w:t>
      </w:r>
      <w:proofErr w:type="spellEnd"/>
      <w:r>
        <w:rPr>
          <w:color w:val="000000" w:themeColor="text1"/>
          <w:lang w:val="en-US"/>
        </w:rPr>
        <w:t xml:space="preserve"> improves the primary diabetic complications in ZDF rats. </w:t>
      </w:r>
      <w:r>
        <w:rPr>
          <w:color w:val="000000" w:themeColor="text1"/>
        </w:rPr>
        <w:t>Redox Biol. 2017;</w:t>
      </w:r>
      <w:r w:rsidR="000417FF">
        <w:rPr>
          <w:color w:val="000000" w:themeColor="text1"/>
        </w:rPr>
        <w:t xml:space="preserve"> </w:t>
      </w:r>
      <w:r>
        <w:rPr>
          <w:color w:val="000000" w:themeColor="text1"/>
        </w:rPr>
        <w:t>13:370–85</w:t>
      </w:r>
    </w:p>
    <w:p w14:paraId="269F904D" w14:textId="18424F01" w:rsidR="00C649F4" w:rsidRPr="00E14858"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Thomas L, Klein T, Mark M (2011) Combination of the dipeptidyl peptidase-4 inhibitor linagliptin with other anti-diabetic agents in rodent models. Diabetes 60(Suppl 1</w:t>
      </w:r>
      <w:proofErr w:type="gramStart"/>
      <w:r>
        <w:rPr>
          <w:color w:val="000000" w:themeColor="text1"/>
          <w:lang w:val="en-US"/>
        </w:rPr>
        <w:t>):A</w:t>
      </w:r>
      <w:proofErr w:type="gramEnd"/>
      <w:r>
        <w:rPr>
          <w:color w:val="000000" w:themeColor="text1"/>
          <w:lang w:val="en-US"/>
        </w:rPr>
        <w:t>284</w:t>
      </w:r>
    </w:p>
    <w:p w14:paraId="526F9CBC" w14:textId="78DFFD3F"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Lin B, </w:t>
      </w:r>
      <w:proofErr w:type="spellStart"/>
      <w:r>
        <w:rPr>
          <w:color w:val="000000" w:themeColor="text1"/>
          <w:lang w:val="en-US"/>
        </w:rPr>
        <w:t>Koibuchi</w:t>
      </w:r>
      <w:proofErr w:type="spellEnd"/>
      <w:r>
        <w:rPr>
          <w:color w:val="000000" w:themeColor="text1"/>
          <w:lang w:val="en-US"/>
        </w:rPr>
        <w:t xml:space="preserve"> N, Hasegawa Y, </w:t>
      </w:r>
      <w:proofErr w:type="spellStart"/>
      <w:r>
        <w:rPr>
          <w:color w:val="000000" w:themeColor="text1"/>
          <w:lang w:val="en-US"/>
        </w:rPr>
        <w:t>Sueta</w:t>
      </w:r>
      <w:proofErr w:type="spellEnd"/>
      <w:r>
        <w:rPr>
          <w:color w:val="000000" w:themeColor="text1"/>
          <w:lang w:val="en-US"/>
        </w:rPr>
        <w:t xml:space="preserve"> D, Toyama K, </w:t>
      </w:r>
      <w:proofErr w:type="spellStart"/>
      <w:r>
        <w:rPr>
          <w:color w:val="000000" w:themeColor="text1"/>
          <w:lang w:val="en-US"/>
        </w:rPr>
        <w:t>Uekawa</w:t>
      </w:r>
      <w:proofErr w:type="spellEnd"/>
      <w:r>
        <w:rPr>
          <w:color w:val="000000" w:themeColor="text1"/>
          <w:lang w:val="en-US"/>
        </w:rPr>
        <w:t xml:space="preserve"> K, Ma MJ, Nakagawa T, </w:t>
      </w:r>
      <w:proofErr w:type="spellStart"/>
      <w:r>
        <w:rPr>
          <w:color w:val="000000" w:themeColor="text1"/>
          <w:lang w:val="en-US"/>
        </w:rPr>
        <w:t>Kusaka</w:t>
      </w:r>
      <w:proofErr w:type="spellEnd"/>
      <w:r>
        <w:rPr>
          <w:color w:val="000000" w:themeColor="text1"/>
          <w:lang w:val="en-US"/>
        </w:rPr>
        <w:t xml:space="preserve"> H, Kim-</w:t>
      </w:r>
      <w:proofErr w:type="spellStart"/>
      <w:r>
        <w:rPr>
          <w:color w:val="000000" w:themeColor="text1"/>
          <w:lang w:val="en-US"/>
        </w:rPr>
        <w:t>Mitsuyama</w:t>
      </w:r>
      <w:proofErr w:type="spellEnd"/>
      <w:r>
        <w:rPr>
          <w:color w:val="000000" w:themeColor="text1"/>
          <w:lang w:val="en-US"/>
        </w:rPr>
        <w:t xml:space="preserve"> S (2014) Glycemic control with empagliflozin, a novel selective SGLT2 inhibitor, ameliorates cardiovascular injury and cognitive dysfunction in obese and type 2 diabetic mice. Cardiovasc </w:t>
      </w:r>
      <w:proofErr w:type="spellStart"/>
      <w:r>
        <w:rPr>
          <w:color w:val="000000" w:themeColor="text1"/>
          <w:lang w:val="en-US"/>
        </w:rPr>
        <w:t>Diabetol</w:t>
      </w:r>
      <w:proofErr w:type="spellEnd"/>
      <w:r>
        <w:rPr>
          <w:color w:val="000000" w:themeColor="text1"/>
          <w:lang w:val="en-US"/>
        </w:rPr>
        <w:t xml:space="preserve"> 13:148. DOI: 10.1186/s12933-014-0148-1</w:t>
      </w:r>
    </w:p>
    <w:p w14:paraId="1EDCAC12" w14:textId="043101B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Rieg</w:t>
      </w:r>
      <w:proofErr w:type="spellEnd"/>
      <w:r>
        <w:rPr>
          <w:color w:val="000000" w:themeColor="text1"/>
          <w:lang w:val="en-US"/>
        </w:rPr>
        <w:t xml:space="preserve"> T, Masuda T, </w:t>
      </w:r>
      <w:proofErr w:type="spellStart"/>
      <w:r>
        <w:rPr>
          <w:color w:val="000000" w:themeColor="text1"/>
          <w:lang w:val="en-US"/>
        </w:rPr>
        <w:t>Gerasimova</w:t>
      </w:r>
      <w:proofErr w:type="spellEnd"/>
      <w:r>
        <w:rPr>
          <w:color w:val="000000" w:themeColor="text1"/>
          <w:lang w:val="en-US"/>
        </w:rPr>
        <w:t xml:space="preserve"> M, </w:t>
      </w:r>
      <w:proofErr w:type="spellStart"/>
      <w:r>
        <w:rPr>
          <w:color w:val="000000" w:themeColor="text1"/>
          <w:lang w:val="en-US"/>
        </w:rPr>
        <w:t>Mayoux</w:t>
      </w:r>
      <w:proofErr w:type="spellEnd"/>
      <w:r>
        <w:rPr>
          <w:color w:val="000000" w:themeColor="text1"/>
          <w:lang w:val="en-US"/>
        </w:rPr>
        <w:t xml:space="preserve"> E, Platt KA, Powell DR, Thomson SC, </w:t>
      </w:r>
      <w:proofErr w:type="spellStart"/>
      <w:r>
        <w:rPr>
          <w:color w:val="000000" w:themeColor="text1"/>
          <w:lang w:val="en-US"/>
        </w:rPr>
        <w:t>Koepsell</w:t>
      </w:r>
      <w:proofErr w:type="spellEnd"/>
      <w:r>
        <w:rPr>
          <w:color w:val="000000" w:themeColor="text1"/>
          <w:lang w:val="en-US"/>
        </w:rPr>
        <w:t xml:space="preserve"> H, </w:t>
      </w:r>
      <w:proofErr w:type="spellStart"/>
      <w:r>
        <w:rPr>
          <w:color w:val="000000" w:themeColor="text1"/>
          <w:lang w:val="en-US"/>
        </w:rPr>
        <w:t>Vallon</w:t>
      </w:r>
      <w:proofErr w:type="spellEnd"/>
      <w:r>
        <w:rPr>
          <w:color w:val="000000" w:themeColor="text1"/>
          <w:lang w:val="en-US"/>
        </w:rPr>
        <w:t xml:space="preserve"> V (2014) Increase in SGLT1-mediated transport explains renal glucose reabsorption during genetic and pharmacologic SGLT2 inhibition in euglycemia. Am J </w:t>
      </w:r>
      <w:proofErr w:type="spellStart"/>
      <w:r>
        <w:rPr>
          <w:color w:val="000000" w:themeColor="text1"/>
          <w:lang w:val="en-US"/>
        </w:rPr>
        <w:t>Physiol</w:t>
      </w:r>
      <w:proofErr w:type="spellEnd"/>
      <w:r>
        <w:rPr>
          <w:color w:val="000000" w:themeColor="text1"/>
          <w:lang w:val="en-US"/>
        </w:rPr>
        <w:t xml:space="preserve"> 306(2</w:t>
      </w:r>
      <w:proofErr w:type="gramStart"/>
      <w:r>
        <w:rPr>
          <w:color w:val="000000" w:themeColor="text1"/>
          <w:lang w:val="en-US"/>
        </w:rPr>
        <w:t>):F</w:t>
      </w:r>
      <w:proofErr w:type="gramEnd"/>
      <w:r>
        <w:rPr>
          <w:color w:val="000000" w:themeColor="text1"/>
          <w:lang w:val="en-US"/>
        </w:rPr>
        <w:t>188–F193. DOI: 10.1152/ajprenal.00518.2013</w:t>
      </w:r>
    </w:p>
    <w:p w14:paraId="12C1E4DD" w14:textId="77777777" w:rsidR="00C649F4" w:rsidRDefault="00C649F4" w:rsidP="00C54D0D">
      <w:pPr>
        <w:pStyle w:val="ListParagraph"/>
        <w:numPr>
          <w:ilvl w:val="0"/>
          <w:numId w:val="12"/>
        </w:numPr>
        <w:tabs>
          <w:tab w:val="left" w:pos="426"/>
        </w:tabs>
        <w:spacing w:after="0" w:line="240" w:lineRule="auto"/>
        <w:ind w:left="426" w:hanging="426"/>
        <w:rPr>
          <w:color w:val="000000" w:themeColor="text1"/>
        </w:rPr>
      </w:pPr>
      <w:r>
        <w:rPr>
          <w:color w:val="000000" w:themeColor="text1"/>
          <w:shd w:val="clear" w:color="auto" w:fill="FFFFFF"/>
          <w:lang w:val="en-US"/>
        </w:rPr>
        <w:t xml:space="preserve">Michel, M. C., </w:t>
      </w:r>
      <w:proofErr w:type="spellStart"/>
      <w:r>
        <w:rPr>
          <w:color w:val="000000" w:themeColor="text1"/>
          <w:shd w:val="clear" w:color="auto" w:fill="FFFFFF"/>
          <w:lang w:val="en-US"/>
        </w:rPr>
        <w:t>Mayoux</w:t>
      </w:r>
      <w:proofErr w:type="spellEnd"/>
      <w:r>
        <w:rPr>
          <w:color w:val="000000" w:themeColor="text1"/>
          <w:shd w:val="clear" w:color="auto" w:fill="FFFFFF"/>
          <w:lang w:val="en-US"/>
        </w:rPr>
        <w:t xml:space="preserve">, E., &amp; </w:t>
      </w:r>
      <w:proofErr w:type="spellStart"/>
      <w:r>
        <w:rPr>
          <w:color w:val="000000" w:themeColor="text1"/>
          <w:shd w:val="clear" w:color="auto" w:fill="FFFFFF"/>
          <w:lang w:val="en-US"/>
        </w:rPr>
        <w:t>Vallon</w:t>
      </w:r>
      <w:proofErr w:type="spellEnd"/>
      <w:r>
        <w:rPr>
          <w:color w:val="000000" w:themeColor="text1"/>
          <w:shd w:val="clear" w:color="auto" w:fill="FFFFFF"/>
          <w:lang w:val="en-US"/>
        </w:rPr>
        <w:t>, V. (2015). </w:t>
      </w:r>
      <w:r>
        <w:rPr>
          <w:iCs/>
          <w:color w:val="000000" w:themeColor="text1"/>
          <w:shd w:val="clear" w:color="auto" w:fill="FFFFFF"/>
          <w:lang w:val="en-US"/>
        </w:rPr>
        <w:t xml:space="preserve">A comprehensive review of the pharmacodynamics of the SGLT2 inhibitor empagliflozin in animals and humans. </w:t>
      </w:r>
      <w:r>
        <w:rPr>
          <w:iCs/>
          <w:color w:val="000000" w:themeColor="text1"/>
          <w:shd w:val="clear" w:color="auto" w:fill="FFFFFF"/>
        </w:rPr>
        <w:t>Naunyn-Schmiedeberg’s Archives of Pharmacology, 388(8), 801–816.</w:t>
      </w:r>
      <w:r>
        <w:rPr>
          <w:color w:val="000000" w:themeColor="text1"/>
          <w:shd w:val="clear" w:color="auto" w:fill="FFFFFF"/>
        </w:rPr>
        <w:t xml:space="preserve"> doi:10.1007/s00210-015-1134-1.  </w:t>
      </w:r>
    </w:p>
    <w:p w14:paraId="3375C036" w14:textId="62A1C9E4"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Vallon</w:t>
      </w:r>
      <w:proofErr w:type="spellEnd"/>
      <w:r>
        <w:rPr>
          <w:color w:val="000000" w:themeColor="text1"/>
          <w:lang w:val="en-US"/>
        </w:rPr>
        <w:t xml:space="preserve"> V (2011) The proximal tubule in the pathophysiology of the diabetic kidney. Am J </w:t>
      </w:r>
      <w:proofErr w:type="spellStart"/>
      <w:r>
        <w:rPr>
          <w:color w:val="000000" w:themeColor="text1"/>
          <w:lang w:val="en-US"/>
        </w:rPr>
        <w:t>Physiol</w:t>
      </w:r>
      <w:proofErr w:type="spellEnd"/>
      <w:r>
        <w:rPr>
          <w:color w:val="000000" w:themeColor="text1"/>
          <w:lang w:val="en-US"/>
        </w:rPr>
        <w:t xml:space="preserve"> 300(5</w:t>
      </w:r>
      <w:proofErr w:type="gramStart"/>
      <w:r>
        <w:rPr>
          <w:color w:val="000000" w:themeColor="text1"/>
          <w:lang w:val="en-US"/>
        </w:rPr>
        <w:t>):R</w:t>
      </w:r>
      <w:proofErr w:type="gramEnd"/>
      <w:r>
        <w:rPr>
          <w:color w:val="000000" w:themeColor="text1"/>
          <w:lang w:val="en-US"/>
        </w:rPr>
        <w:t>1009–R1022. DOI: 10.1152/ajpregu.00809.2010</w:t>
      </w:r>
    </w:p>
    <w:p w14:paraId="475BADDC" w14:textId="5C0321FB"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lastRenderedPageBreak/>
        <w:t>Vallon</w:t>
      </w:r>
      <w:proofErr w:type="spellEnd"/>
      <w:r>
        <w:rPr>
          <w:color w:val="000000" w:themeColor="text1"/>
          <w:lang w:val="en-US"/>
        </w:rPr>
        <w:t xml:space="preserve"> V, Platt KA, Cunard R, </w:t>
      </w:r>
      <w:proofErr w:type="spellStart"/>
      <w:r>
        <w:rPr>
          <w:color w:val="000000" w:themeColor="text1"/>
          <w:lang w:val="en-US"/>
        </w:rPr>
        <w:t>Schroth</w:t>
      </w:r>
      <w:proofErr w:type="spellEnd"/>
      <w:r>
        <w:rPr>
          <w:color w:val="000000" w:themeColor="text1"/>
          <w:lang w:val="en-US"/>
        </w:rPr>
        <w:t xml:space="preserve"> J, Whaley J, Thomson SC, </w:t>
      </w:r>
      <w:proofErr w:type="spellStart"/>
      <w:r>
        <w:rPr>
          <w:color w:val="000000" w:themeColor="text1"/>
          <w:lang w:val="en-US"/>
        </w:rPr>
        <w:t>Koepsell</w:t>
      </w:r>
      <w:proofErr w:type="spellEnd"/>
      <w:r>
        <w:rPr>
          <w:color w:val="000000" w:themeColor="text1"/>
          <w:lang w:val="en-US"/>
        </w:rPr>
        <w:t xml:space="preserve"> H, </w:t>
      </w:r>
      <w:proofErr w:type="spellStart"/>
      <w:r>
        <w:rPr>
          <w:color w:val="000000" w:themeColor="text1"/>
          <w:lang w:val="en-US"/>
        </w:rPr>
        <w:t>Rieg</w:t>
      </w:r>
      <w:proofErr w:type="spellEnd"/>
      <w:r>
        <w:rPr>
          <w:color w:val="000000" w:themeColor="text1"/>
          <w:lang w:val="en-US"/>
        </w:rPr>
        <w:t xml:space="preserve"> T (2011) SGLT2 mediates glucose reabsorption in the early proximal </w:t>
      </w:r>
      <w:proofErr w:type="spellStart"/>
      <w:r>
        <w:rPr>
          <w:color w:val="000000" w:themeColor="text1"/>
          <w:lang w:val="en-US"/>
        </w:rPr>
        <w:t>tubulus</w:t>
      </w:r>
      <w:proofErr w:type="spellEnd"/>
      <w:r>
        <w:rPr>
          <w:color w:val="000000" w:themeColor="text1"/>
          <w:lang w:val="en-US"/>
        </w:rPr>
        <w:t>. J Am Soc Nephrol 22(1):104–112. DOI: 10.1681/ASN.2010030246</w:t>
      </w:r>
    </w:p>
    <w:p w14:paraId="2329AD63" w14:textId="4E66D95F"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Vallon</w:t>
      </w:r>
      <w:proofErr w:type="spellEnd"/>
      <w:r>
        <w:rPr>
          <w:color w:val="000000" w:themeColor="text1"/>
          <w:lang w:val="en-US"/>
        </w:rPr>
        <w:t xml:space="preserve"> V, Rose M, </w:t>
      </w:r>
      <w:proofErr w:type="spellStart"/>
      <w:r>
        <w:rPr>
          <w:color w:val="000000" w:themeColor="text1"/>
          <w:lang w:val="en-US"/>
        </w:rPr>
        <w:t>Gerasimova</w:t>
      </w:r>
      <w:proofErr w:type="spellEnd"/>
      <w:r>
        <w:rPr>
          <w:color w:val="000000" w:themeColor="text1"/>
          <w:lang w:val="en-US"/>
        </w:rPr>
        <w:t xml:space="preserve"> M, </w:t>
      </w:r>
      <w:proofErr w:type="spellStart"/>
      <w:r>
        <w:rPr>
          <w:color w:val="000000" w:themeColor="text1"/>
          <w:lang w:val="en-US"/>
        </w:rPr>
        <w:t>Satriano</w:t>
      </w:r>
      <w:proofErr w:type="spellEnd"/>
      <w:r>
        <w:rPr>
          <w:color w:val="000000" w:themeColor="text1"/>
          <w:lang w:val="en-US"/>
        </w:rPr>
        <w:t xml:space="preserve"> J, Platt KA, </w:t>
      </w:r>
      <w:proofErr w:type="spellStart"/>
      <w:r>
        <w:rPr>
          <w:color w:val="000000" w:themeColor="text1"/>
          <w:lang w:val="en-US"/>
        </w:rPr>
        <w:t>Koepsell</w:t>
      </w:r>
      <w:proofErr w:type="spellEnd"/>
      <w:r>
        <w:rPr>
          <w:color w:val="000000" w:themeColor="text1"/>
          <w:lang w:val="en-US"/>
        </w:rPr>
        <w:t xml:space="preserve"> H, Cunard R, Sharma K, Thomson SC, </w:t>
      </w:r>
      <w:proofErr w:type="spellStart"/>
      <w:r>
        <w:rPr>
          <w:color w:val="000000" w:themeColor="text1"/>
          <w:lang w:val="en-US"/>
        </w:rPr>
        <w:t>Rieg</w:t>
      </w:r>
      <w:proofErr w:type="spellEnd"/>
      <w:r>
        <w:rPr>
          <w:color w:val="000000" w:themeColor="text1"/>
          <w:lang w:val="en-US"/>
        </w:rPr>
        <w:t xml:space="preserve"> T (2013) Knockout of Na-glucose transporter SGLT2 attenuates hyperglycemia and glomerular hyperfiltration but not kidney growth or injury in diabetes mellitus. Am J </w:t>
      </w:r>
      <w:proofErr w:type="spellStart"/>
      <w:r>
        <w:rPr>
          <w:color w:val="000000" w:themeColor="text1"/>
          <w:lang w:val="en-US"/>
        </w:rPr>
        <w:t>Physiol</w:t>
      </w:r>
      <w:proofErr w:type="spellEnd"/>
      <w:r>
        <w:rPr>
          <w:color w:val="000000" w:themeColor="text1"/>
          <w:lang w:val="en-US"/>
        </w:rPr>
        <w:t xml:space="preserve"> 304(2</w:t>
      </w:r>
      <w:proofErr w:type="gramStart"/>
      <w:r>
        <w:rPr>
          <w:color w:val="000000" w:themeColor="text1"/>
          <w:lang w:val="en-US"/>
        </w:rPr>
        <w:t>):F</w:t>
      </w:r>
      <w:proofErr w:type="gramEnd"/>
      <w:r>
        <w:rPr>
          <w:color w:val="000000" w:themeColor="text1"/>
          <w:lang w:val="en-US"/>
        </w:rPr>
        <w:t>156–F167 15–1. DOI: 10.1152/ajprenal.00409.2012</w:t>
      </w:r>
    </w:p>
    <w:p w14:paraId="10ED67FD" w14:textId="769CC065"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Gorboulev</w:t>
      </w:r>
      <w:proofErr w:type="spellEnd"/>
      <w:r>
        <w:rPr>
          <w:color w:val="000000" w:themeColor="text1"/>
          <w:lang w:val="en-US"/>
        </w:rPr>
        <w:t xml:space="preserve"> V, </w:t>
      </w:r>
      <w:proofErr w:type="spellStart"/>
      <w:r>
        <w:rPr>
          <w:color w:val="000000" w:themeColor="text1"/>
          <w:lang w:val="en-US"/>
        </w:rPr>
        <w:t>Schürmann</w:t>
      </w:r>
      <w:proofErr w:type="spellEnd"/>
      <w:r>
        <w:rPr>
          <w:color w:val="000000" w:themeColor="text1"/>
          <w:lang w:val="en-US"/>
        </w:rPr>
        <w:t xml:space="preserve"> A, </w:t>
      </w:r>
      <w:proofErr w:type="spellStart"/>
      <w:r>
        <w:rPr>
          <w:color w:val="000000" w:themeColor="text1"/>
          <w:lang w:val="en-US"/>
        </w:rPr>
        <w:t>Vallon</w:t>
      </w:r>
      <w:proofErr w:type="spellEnd"/>
      <w:r>
        <w:rPr>
          <w:color w:val="000000" w:themeColor="text1"/>
          <w:lang w:val="en-US"/>
        </w:rPr>
        <w:t xml:space="preserve"> V, </w:t>
      </w:r>
      <w:proofErr w:type="spellStart"/>
      <w:r>
        <w:rPr>
          <w:color w:val="000000" w:themeColor="text1"/>
          <w:lang w:val="en-US"/>
        </w:rPr>
        <w:t>Kipp</w:t>
      </w:r>
      <w:proofErr w:type="spellEnd"/>
      <w:r>
        <w:rPr>
          <w:color w:val="000000" w:themeColor="text1"/>
          <w:lang w:val="en-US"/>
        </w:rPr>
        <w:t xml:space="preserve"> H, </w:t>
      </w:r>
      <w:proofErr w:type="spellStart"/>
      <w:r>
        <w:rPr>
          <w:color w:val="000000" w:themeColor="text1"/>
          <w:lang w:val="en-US"/>
        </w:rPr>
        <w:t>Jaschke</w:t>
      </w:r>
      <w:proofErr w:type="spellEnd"/>
      <w:r>
        <w:rPr>
          <w:color w:val="000000" w:themeColor="text1"/>
          <w:lang w:val="en-US"/>
        </w:rPr>
        <w:t xml:space="preserve"> A, </w:t>
      </w:r>
      <w:proofErr w:type="spellStart"/>
      <w:r>
        <w:rPr>
          <w:color w:val="000000" w:themeColor="text1"/>
          <w:lang w:val="en-US"/>
        </w:rPr>
        <w:t>Klessen</w:t>
      </w:r>
      <w:proofErr w:type="spellEnd"/>
      <w:r>
        <w:rPr>
          <w:color w:val="000000" w:themeColor="text1"/>
          <w:lang w:val="en-US"/>
        </w:rPr>
        <w:t xml:space="preserve"> D, </w:t>
      </w:r>
      <w:proofErr w:type="spellStart"/>
      <w:r>
        <w:rPr>
          <w:color w:val="000000" w:themeColor="text1"/>
          <w:lang w:val="en-US"/>
        </w:rPr>
        <w:t>Fridrich</w:t>
      </w:r>
      <w:proofErr w:type="spellEnd"/>
      <w:r>
        <w:rPr>
          <w:color w:val="000000" w:themeColor="text1"/>
          <w:lang w:val="en-US"/>
        </w:rPr>
        <w:t xml:space="preserve"> A, </w:t>
      </w:r>
      <w:proofErr w:type="spellStart"/>
      <w:r>
        <w:rPr>
          <w:color w:val="000000" w:themeColor="text1"/>
          <w:lang w:val="en-US"/>
        </w:rPr>
        <w:t>Scherneck</w:t>
      </w:r>
      <w:proofErr w:type="spellEnd"/>
      <w:r>
        <w:rPr>
          <w:color w:val="000000" w:themeColor="text1"/>
          <w:lang w:val="en-US"/>
        </w:rPr>
        <w:t xml:space="preserve"> S, </w:t>
      </w:r>
      <w:proofErr w:type="spellStart"/>
      <w:r>
        <w:rPr>
          <w:color w:val="000000" w:themeColor="text1"/>
          <w:lang w:val="en-US"/>
        </w:rPr>
        <w:t>Rieg</w:t>
      </w:r>
      <w:proofErr w:type="spellEnd"/>
      <w:r>
        <w:rPr>
          <w:color w:val="000000" w:themeColor="text1"/>
          <w:lang w:val="en-US"/>
        </w:rPr>
        <w:t xml:space="preserve"> T, Cunard R, </w:t>
      </w:r>
      <w:proofErr w:type="spellStart"/>
      <w:r>
        <w:rPr>
          <w:color w:val="000000" w:themeColor="text1"/>
          <w:lang w:val="en-US"/>
        </w:rPr>
        <w:t>Veyhl</w:t>
      </w:r>
      <w:proofErr w:type="spellEnd"/>
      <w:r>
        <w:rPr>
          <w:color w:val="000000" w:themeColor="text1"/>
          <w:lang w:val="en-US"/>
        </w:rPr>
        <w:t xml:space="preserve">-Wichmann M, Srinivasan A, </w:t>
      </w:r>
      <w:proofErr w:type="spellStart"/>
      <w:r>
        <w:rPr>
          <w:color w:val="000000" w:themeColor="text1"/>
          <w:lang w:val="en-US"/>
        </w:rPr>
        <w:t>Balen</w:t>
      </w:r>
      <w:proofErr w:type="spellEnd"/>
      <w:r>
        <w:rPr>
          <w:color w:val="000000" w:themeColor="text1"/>
          <w:lang w:val="en-US"/>
        </w:rPr>
        <w:t xml:space="preserve"> D, </w:t>
      </w:r>
      <w:proofErr w:type="spellStart"/>
      <w:r>
        <w:rPr>
          <w:color w:val="000000" w:themeColor="text1"/>
          <w:lang w:val="en-US"/>
        </w:rPr>
        <w:t>Breljak</w:t>
      </w:r>
      <w:proofErr w:type="spellEnd"/>
      <w:r>
        <w:rPr>
          <w:color w:val="000000" w:themeColor="text1"/>
          <w:lang w:val="en-US"/>
        </w:rPr>
        <w:t xml:space="preserve"> D, </w:t>
      </w:r>
      <w:proofErr w:type="spellStart"/>
      <w:r>
        <w:rPr>
          <w:color w:val="000000" w:themeColor="text1"/>
          <w:lang w:val="en-US"/>
        </w:rPr>
        <w:t>Rexhepal</w:t>
      </w:r>
      <w:proofErr w:type="spellEnd"/>
      <w:r>
        <w:rPr>
          <w:color w:val="000000" w:themeColor="text1"/>
          <w:lang w:val="en-US"/>
        </w:rPr>
        <w:t xml:space="preserve"> R, Parker HE, Gribble FM, Reimann F, Lang F, Wiese S, </w:t>
      </w:r>
      <w:proofErr w:type="spellStart"/>
      <w:r>
        <w:rPr>
          <w:color w:val="000000" w:themeColor="text1"/>
          <w:lang w:val="en-US"/>
        </w:rPr>
        <w:t>Sabolic</w:t>
      </w:r>
      <w:proofErr w:type="spellEnd"/>
      <w:r>
        <w:rPr>
          <w:color w:val="000000" w:themeColor="text1"/>
          <w:lang w:val="en-US"/>
        </w:rPr>
        <w:t xml:space="preserve"> I, </w:t>
      </w:r>
      <w:proofErr w:type="spellStart"/>
      <w:r>
        <w:rPr>
          <w:color w:val="000000" w:themeColor="text1"/>
          <w:lang w:val="en-US"/>
        </w:rPr>
        <w:t>Sendtner</w:t>
      </w:r>
      <w:proofErr w:type="spellEnd"/>
      <w:r>
        <w:rPr>
          <w:color w:val="000000" w:themeColor="text1"/>
          <w:lang w:val="en-US"/>
        </w:rPr>
        <w:t xml:space="preserve"> M, </w:t>
      </w:r>
      <w:proofErr w:type="spellStart"/>
      <w:r>
        <w:rPr>
          <w:color w:val="000000" w:themeColor="text1"/>
          <w:lang w:val="en-US"/>
        </w:rPr>
        <w:t>Koepsell</w:t>
      </w:r>
      <w:proofErr w:type="spellEnd"/>
      <w:r>
        <w:rPr>
          <w:color w:val="000000" w:themeColor="text1"/>
          <w:lang w:val="en-US"/>
        </w:rPr>
        <w:t xml:space="preserve"> H (2012) Na+ -D-glucose cotransporter SGLT1 is pivotal for intestinal glucose absorption and glucose-dependent incretin secretion. </w:t>
      </w:r>
      <w:r w:rsidRPr="00C649F4">
        <w:rPr>
          <w:color w:val="000000" w:themeColor="text1"/>
          <w:lang w:val="en-US"/>
        </w:rPr>
        <w:t>Diabetes 61(1):187–196. DOI: 10.2337/db11-1029</w:t>
      </w:r>
    </w:p>
    <w:p w14:paraId="7EBB1126" w14:textId="0B995DDD" w:rsidR="00C649F4" w:rsidRPr="00E14858" w:rsidRDefault="00C649F4" w:rsidP="00C54D0D">
      <w:pPr>
        <w:pStyle w:val="ListParagraph"/>
        <w:keepNext/>
        <w:numPr>
          <w:ilvl w:val="0"/>
          <w:numId w:val="12"/>
        </w:numPr>
        <w:tabs>
          <w:tab w:val="left" w:pos="426"/>
        </w:tabs>
        <w:suppressAutoHyphens/>
        <w:spacing w:after="0" w:line="240" w:lineRule="auto"/>
        <w:ind w:left="426" w:hanging="426"/>
        <w:contextualSpacing w:val="0"/>
        <w:rPr>
          <w:rStyle w:val="Hyperlink"/>
          <w:color w:val="000000" w:themeColor="text1"/>
          <w:kern w:val="28"/>
          <w:lang w:val="en-US"/>
        </w:rPr>
      </w:pPr>
      <w:proofErr w:type="spellStart"/>
      <w:r>
        <w:rPr>
          <w:color w:val="000000" w:themeColor="text1"/>
          <w:shd w:val="clear" w:color="auto" w:fill="FFFFFF"/>
          <w:lang w:val="en-US"/>
        </w:rPr>
        <w:t>Bogdanffy</w:t>
      </w:r>
      <w:proofErr w:type="spellEnd"/>
      <w:r>
        <w:rPr>
          <w:color w:val="000000" w:themeColor="text1"/>
          <w:shd w:val="clear" w:color="auto" w:fill="FFFFFF"/>
          <w:lang w:val="en-US"/>
        </w:rPr>
        <w:t xml:space="preserve"> MS, </w:t>
      </w:r>
      <w:proofErr w:type="spellStart"/>
      <w:r>
        <w:rPr>
          <w:color w:val="000000" w:themeColor="text1"/>
          <w:shd w:val="clear" w:color="auto" w:fill="FFFFFF"/>
          <w:lang w:val="en-US"/>
        </w:rPr>
        <w:t>Stachlewitz</w:t>
      </w:r>
      <w:proofErr w:type="spellEnd"/>
      <w:r>
        <w:rPr>
          <w:color w:val="000000" w:themeColor="text1"/>
          <w:shd w:val="clear" w:color="auto" w:fill="FFFFFF"/>
          <w:lang w:val="en-US"/>
        </w:rPr>
        <w:t xml:space="preserve"> RF, van </w:t>
      </w:r>
      <w:proofErr w:type="spellStart"/>
      <w:r>
        <w:rPr>
          <w:color w:val="000000" w:themeColor="text1"/>
          <w:shd w:val="clear" w:color="auto" w:fill="FFFFFF"/>
          <w:lang w:val="en-US"/>
        </w:rPr>
        <w:t>Tongeren</w:t>
      </w:r>
      <w:proofErr w:type="spellEnd"/>
      <w:r>
        <w:rPr>
          <w:color w:val="000000" w:themeColor="text1"/>
          <w:shd w:val="clear" w:color="auto" w:fill="FFFFFF"/>
          <w:lang w:val="en-US"/>
        </w:rPr>
        <w:t xml:space="preserve"> S, et al. Nonclinical Safety of the Sodium-Glucose Cotransporter 2 Inhibitor Empagliflozin. </w:t>
      </w:r>
      <w:r w:rsidRPr="00E14858">
        <w:rPr>
          <w:i/>
          <w:iCs/>
          <w:color w:val="000000" w:themeColor="text1"/>
          <w:shd w:val="clear" w:color="auto" w:fill="FFFFFF"/>
          <w:lang w:val="en-US"/>
        </w:rPr>
        <w:t>International Journal of Toxicology</w:t>
      </w:r>
      <w:r w:rsidRPr="00E14858">
        <w:rPr>
          <w:color w:val="000000" w:themeColor="text1"/>
          <w:shd w:val="clear" w:color="auto" w:fill="FFFFFF"/>
          <w:lang w:val="en-US"/>
        </w:rPr>
        <w:t>. 2014;33(6):436-449</w:t>
      </w:r>
    </w:p>
    <w:p w14:paraId="698DE081" w14:textId="36D0A9FC" w:rsidR="00C649F4" w:rsidRPr="000C7F59"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PHARMACOLOGY REVIEW(S). Timothy J. McGovern, Ph.D., ODE Associate Director for Pharmacology and Toxicology, OND IO. Agency receipt date: March 5, 2013. </w:t>
      </w:r>
      <w:r w:rsidRPr="006F5C46">
        <w:rPr>
          <w:lang w:val="en-US"/>
        </w:rPr>
        <w:t>https://www.accessdata.fda.gov/drugsatfda_docs/nda/2014/204629Orig1s000PharmR.pdf</w:t>
      </w:r>
      <w:r w:rsidRPr="000C7F59">
        <w:rPr>
          <w:color w:val="000000" w:themeColor="text1"/>
          <w:lang w:val="en-US"/>
        </w:rPr>
        <w:t xml:space="preserve"> </w:t>
      </w:r>
    </w:p>
    <w:p w14:paraId="02EA9EE4" w14:textId="6245F593"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Grempler</w:t>
      </w:r>
      <w:proofErr w:type="spellEnd"/>
      <w:r>
        <w:rPr>
          <w:color w:val="000000" w:themeColor="text1"/>
          <w:lang w:val="en-US"/>
        </w:rPr>
        <w:t xml:space="preserve"> R, Thomas L, Eckhardt M, </w:t>
      </w:r>
      <w:proofErr w:type="spellStart"/>
      <w:r>
        <w:rPr>
          <w:color w:val="000000" w:themeColor="text1"/>
          <w:lang w:val="en-US"/>
        </w:rPr>
        <w:t>Himmelsbach</w:t>
      </w:r>
      <w:proofErr w:type="spellEnd"/>
      <w:r>
        <w:rPr>
          <w:color w:val="000000" w:themeColor="text1"/>
          <w:lang w:val="en-US"/>
        </w:rPr>
        <w:t xml:space="preserve"> F, Sauer A, Sharp DE, Bakker RA, Mark M, Klein T, </w:t>
      </w:r>
      <w:proofErr w:type="spellStart"/>
      <w:r>
        <w:rPr>
          <w:color w:val="000000" w:themeColor="text1"/>
          <w:lang w:val="en-US"/>
        </w:rPr>
        <w:t>Eickelmann</w:t>
      </w:r>
      <w:proofErr w:type="spellEnd"/>
      <w:r>
        <w:rPr>
          <w:color w:val="000000" w:themeColor="text1"/>
          <w:lang w:val="en-US"/>
        </w:rPr>
        <w:t xml:space="preserve"> P (2012b) </w:t>
      </w:r>
      <w:proofErr w:type="spellStart"/>
      <w:r>
        <w:rPr>
          <w:color w:val="000000" w:themeColor="text1"/>
          <w:lang w:val="en-US"/>
        </w:rPr>
        <w:t>Empafliflozin</w:t>
      </w:r>
      <w:proofErr w:type="spellEnd"/>
      <w:r>
        <w:rPr>
          <w:color w:val="000000" w:themeColor="text1"/>
          <w:lang w:val="en-US"/>
        </w:rPr>
        <w:t xml:space="preserve">, a novel selective sodium glucose cotransporter-2 (SGLT-2) inhibitor: </w:t>
      </w:r>
      <w:proofErr w:type="spellStart"/>
      <w:r>
        <w:rPr>
          <w:color w:val="000000" w:themeColor="text1"/>
          <w:lang w:val="en-US"/>
        </w:rPr>
        <w:t>characterisation</w:t>
      </w:r>
      <w:proofErr w:type="spellEnd"/>
      <w:r>
        <w:rPr>
          <w:color w:val="000000" w:themeColor="text1"/>
          <w:lang w:val="en-US"/>
        </w:rPr>
        <w:t xml:space="preserve"> and comparison with other SGLT-2 inhibitors. Diabetes </w:t>
      </w:r>
      <w:proofErr w:type="spellStart"/>
      <w:r>
        <w:rPr>
          <w:color w:val="000000" w:themeColor="text1"/>
          <w:lang w:val="en-US"/>
        </w:rPr>
        <w:t>Obes</w:t>
      </w:r>
      <w:proofErr w:type="spellEnd"/>
      <w:r>
        <w:rPr>
          <w:color w:val="000000" w:themeColor="text1"/>
          <w:lang w:val="en-US"/>
        </w:rPr>
        <w:t xml:space="preserve"> </w:t>
      </w:r>
      <w:proofErr w:type="spellStart"/>
      <w:r>
        <w:rPr>
          <w:color w:val="000000" w:themeColor="text1"/>
          <w:lang w:val="en-US"/>
        </w:rPr>
        <w:t>Metab</w:t>
      </w:r>
      <w:proofErr w:type="spellEnd"/>
      <w:r>
        <w:rPr>
          <w:color w:val="000000" w:themeColor="text1"/>
          <w:lang w:val="en-US"/>
        </w:rPr>
        <w:t xml:space="preserve"> 14(1):83–90. DOI: 10.1111/j.1463-1326.</w:t>
      </w:r>
      <w:proofErr w:type="gramStart"/>
      <w:r>
        <w:rPr>
          <w:color w:val="000000" w:themeColor="text1"/>
          <w:lang w:val="en-US"/>
        </w:rPr>
        <w:t>2011.01517.x</w:t>
      </w:r>
      <w:proofErr w:type="gramEnd"/>
    </w:p>
    <w:p w14:paraId="7DDE4520" w14:textId="15856747"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Xu J, Yuan H, Ran T, et al. A selectivity study of sodium-dependent glucose cotransporter 2/sodium-dependent glucose cotransporter 1 inhibitors by molecular modeling. J Mol </w:t>
      </w:r>
      <w:proofErr w:type="spellStart"/>
      <w:r>
        <w:rPr>
          <w:color w:val="000000" w:themeColor="text1"/>
          <w:lang w:val="en-US"/>
        </w:rPr>
        <w:t>Recognit</w:t>
      </w:r>
      <w:proofErr w:type="spellEnd"/>
      <w:r>
        <w:rPr>
          <w:color w:val="000000" w:themeColor="text1"/>
          <w:lang w:val="en-US"/>
        </w:rPr>
        <w:t>. 2015;</w:t>
      </w:r>
      <w:r w:rsidR="000B74E1">
        <w:rPr>
          <w:color w:val="000000" w:themeColor="text1"/>
        </w:rPr>
        <w:t xml:space="preserve"> </w:t>
      </w:r>
      <w:r>
        <w:rPr>
          <w:color w:val="000000" w:themeColor="text1"/>
          <w:lang w:val="en-US"/>
        </w:rPr>
        <w:t xml:space="preserve">28(8):467-479. </w:t>
      </w:r>
      <w:proofErr w:type="spellStart"/>
      <w:r>
        <w:rPr>
          <w:color w:val="000000" w:themeColor="text1"/>
          <w:lang w:val="en-US"/>
        </w:rPr>
        <w:t>doi</w:t>
      </w:r>
      <w:proofErr w:type="spellEnd"/>
      <w:r>
        <w:rPr>
          <w:color w:val="000000" w:themeColor="text1"/>
          <w:lang w:val="en-US"/>
        </w:rPr>
        <w:t>: 10.1002/jmr.2464</w:t>
      </w:r>
    </w:p>
    <w:p w14:paraId="530ED496" w14:textId="768CC0C4"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rStyle w:val="element-citation"/>
          <w:color w:val="000000" w:themeColor="text1"/>
          <w:lang w:val="en-US"/>
        </w:rPr>
        <w:t xml:space="preserve">Thomas L, </w:t>
      </w:r>
      <w:proofErr w:type="spellStart"/>
      <w:r>
        <w:rPr>
          <w:rStyle w:val="element-citation"/>
          <w:color w:val="000000" w:themeColor="text1"/>
          <w:lang w:val="en-US"/>
        </w:rPr>
        <w:t>Grempler</w:t>
      </w:r>
      <w:proofErr w:type="spellEnd"/>
      <w:r>
        <w:rPr>
          <w:rStyle w:val="element-citation"/>
          <w:color w:val="000000" w:themeColor="text1"/>
          <w:lang w:val="en-US"/>
        </w:rPr>
        <w:t xml:space="preserve"> R, Eckhardt M, et al. Long-term treatment with empagliflozin, a novel, potent and selective SGLT-2 inhibitor, improves </w:t>
      </w:r>
      <w:proofErr w:type="spellStart"/>
      <w:r>
        <w:rPr>
          <w:rStyle w:val="element-citation"/>
          <w:color w:val="000000" w:themeColor="text1"/>
          <w:lang w:val="en-US"/>
        </w:rPr>
        <w:t>glycaemic</w:t>
      </w:r>
      <w:proofErr w:type="spellEnd"/>
      <w:r>
        <w:rPr>
          <w:rStyle w:val="element-citation"/>
          <w:color w:val="000000" w:themeColor="text1"/>
          <w:lang w:val="en-US"/>
        </w:rPr>
        <w:t xml:space="preserve"> control and features of metabolic syndrome in diabetic rats. </w:t>
      </w:r>
      <w:r>
        <w:rPr>
          <w:rStyle w:val="ref-journal"/>
          <w:i/>
          <w:iCs/>
          <w:color w:val="000000" w:themeColor="text1"/>
          <w:lang w:val="en-US"/>
        </w:rPr>
        <w:t xml:space="preserve">Diabetes </w:t>
      </w:r>
      <w:proofErr w:type="spellStart"/>
      <w:r>
        <w:rPr>
          <w:rStyle w:val="ref-journal"/>
          <w:i/>
          <w:iCs/>
          <w:color w:val="000000" w:themeColor="text1"/>
          <w:lang w:val="en-US"/>
        </w:rPr>
        <w:t>Obes</w:t>
      </w:r>
      <w:proofErr w:type="spellEnd"/>
      <w:r>
        <w:rPr>
          <w:rStyle w:val="ref-journal"/>
          <w:i/>
          <w:iCs/>
          <w:color w:val="000000" w:themeColor="text1"/>
          <w:lang w:val="en-US"/>
        </w:rPr>
        <w:t xml:space="preserve"> </w:t>
      </w:r>
      <w:proofErr w:type="spellStart"/>
      <w:r>
        <w:rPr>
          <w:rStyle w:val="ref-journal"/>
          <w:i/>
          <w:iCs/>
          <w:color w:val="000000" w:themeColor="text1"/>
          <w:lang w:val="en-US"/>
        </w:rPr>
        <w:t>Metab</w:t>
      </w:r>
      <w:proofErr w:type="spellEnd"/>
      <w:r>
        <w:rPr>
          <w:rStyle w:val="ref-journal"/>
          <w:i/>
          <w:iCs/>
          <w:color w:val="000000" w:themeColor="text1"/>
          <w:lang w:val="en-US"/>
        </w:rPr>
        <w:t>. </w:t>
      </w:r>
      <w:proofErr w:type="gramStart"/>
      <w:r>
        <w:rPr>
          <w:rStyle w:val="element-citation"/>
          <w:color w:val="000000" w:themeColor="text1"/>
          <w:lang w:val="en-US"/>
        </w:rPr>
        <w:t>2012;</w:t>
      </w:r>
      <w:r>
        <w:rPr>
          <w:rStyle w:val="ref-vol"/>
          <w:color w:val="000000" w:themeColor="text1"/>
          <w:lang w:val="en-US"/>
        </w:rPr>
        <w:t>14</w:t>
      </w:r>
      <w:r>
        <w:rPr>
          <w:rStyle w:val="element-citation"/>
          <w:color w:val="000000" w:themeColor="text1"/>
          <w:lang w:val="en-US"/>
        </w:rPr>
        <w:t>:94</w:t>
      </w:r>
      <w:proofErr w:type="gramEnd"/>
      <w:r>
        <w:rPr>
          <w:rStyle w:val="element-citation"/>
          <w:color w:val="000000" w:themeColor="text1"/>
          <w:lang w:val="en-US"/>
        </w:rPr>
        <w:t>–6</w:t>
      </w:r>
    </w:p>
    <w:p w14:paraId="7AFE67EA" w14:textId="796BC88A"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Hansen HH, </w:t>
      </w:r>
      <w:proofErr w:type="spellStart"/>
      <w:r>
        <w:rPr>
          <w:color w:val="000000" w:themeColor="text1"/>
          <w:lang w:val="en-US"/>
        </w:rPr>
        <w:t>Jelsing</w:t>
      </w:r>
      <w:proofErr w:type="spellEnd"/>
      <w:r>
        <w:rPr>
          <w:color w:val="000000" w:themeColor="text1"/>
          <w:lang w:val="en-US"/>
        </w:rPr>
        <w:t xml:space="preserve"> J, Hansen F, Hansen G, </w:t>
      </w:r>
      <w:proofErr w:type="spellStart"/>
      <w:r>
        <w:rPr>
          <w:color w:val="000000" w:themeColor="text1"/>
          <w:lang w:val="en-US"/>
        </w:rPr>
        <w:t>Vrang</w:t>
      </w:r>
      <w:proofErr w:type="spellEnd"/>
      <w:r>
        <w:rPr>
          <w:color w:val="000000" w:themeColor="text1"/>
          <w:lang w:val="en-US"/>
        </w:rPr>
        <w:t xml:space="preserve"> N, Mark M, Klein T, </w:t>
      </w:r>
      <w:proofErr w:type="spellStart"/>
      <w:r>
        <w:rPr>
          <w:color w:val="000000" w:themeColor="text1"/>
          <w:lang w:val="en-US"/>
        </w:rPr>
        <w:t>Mayoux</w:t>
      </w:r>
      <w:proofErr w:type="spellEnd"/>
      <w:r>
        <w:rPr>
          <w:color w:val="000000" w:themeColor="text1"/>
          <w:lang w:val="en-US"/>
        </w:rPr>
        <w:t xml:space="preserve"> E (2014) The sodium glucose cotransporter type 2 inhibitor empagliflozin preserves </w:t>
      </w:r>
      <w:r>
        <w:rPr>
          <w:color w:val="000000" w:themeColor="text1"/>
        </w:rPr>
        <w:t>β</w:t>
      </w:r>
      <w:r>
        <w:rPr>
          <w:color w:val="000000" w:themeColor="text1"/>
          <w:lang w:val="en-US"/>
        </w:rPr>
        <w:t xml:space="preserve">-cell mass and restores glucose homeostasis in the male Zucker diabetic fatty rat. J </w:t>
      </w:r>
      <w:proofErr w:type="spellStart"/>
      <w:r>
        <w:rPr>
          <w:color w:val="000000" w:themeColor="text1"/>
          <w:lang w:val="en-US"/>
        </w:rPr>
        <w:t>Pharmacol</w:t>
      </w:r>
      <w:proofErr w:type="spellEnd"/>
      <w:r>
        <w:rPr>
          <w:color w:val="000000" w:themeColor="text1"/>
          <w:lang w:val="en-US"/>
        </w:rPr>
        <w:t xml:space="preserve"> Exp </w:t>
      </w:r>
      <w:proofErr w:type="spellStart"/>
      <w:r>
        <w:rPr>
          <w:color w:val="000000" w:themeColor="text1"/>
          <w:lang w:val="en-US"/>
        </w:rPr>
        <w:t>Ther</w:t>
      </w:r>
      <w:proofErr w:type="spellEnd"/>
      <w:r>
        <w:rPr>
          <w:color w:val="000000" w:themeColor="text1"/>
          <w:lang w:val="en-US"/>
        </w:rPr>
        <w:t xml:space="preserve"> 350(3):657–664. DOI: 10.1124/jpet.114.213454</w:t>
      </w:r>
    </w:p>
    <w:p w14:paraId="0CE56BA8" w14:textId="59B78F05"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 Bonner C, Kerr-Conte J, </w:t>
      </w:r>
      <w:proofErr w:type="spellStart"/>
      <w:r>
        <w:rPr>
          <w:color w:val="000000" w:themeColor="text1"/>
          <w:lang w:val="en-US"/>
        </w:rPr>
        <w:t>Gmyr</w:t>
      </w:r>
      <w:proofErr w:type="spellEnd"/>
      <w:r>
        <w:rPr>
          <w:color w:val="000000" w:themeColor="text1"/>
          <w:lang w:val="en-US"/>
        </w:rPr>
        <w:t xml:space="preserve"> V, </w:t>
      </w:r>
      <w:proofErr w:type="spellStart"/>
      <w:r>
        <w:rPr>
          <w:color w:val="000000" w:themeColor="text1"/>
          <w:lang w:val="en-US"/>
        </w:rPr>
        <w:t>Queniat</w:t>
      </w:r>
      <w:proofErr w:type="spellEnd"/>
      <w:r>
        <w:rPr>
          <w:color w:val="000000" w:themeColor="text1"/>
          <w:lang w:val="en-US"/>
        </w:rPr>
        <w:t xml:space="preserve"> G, </w:t>
      </w:r>
      <w:proofErr w:type="spellStart"/>
      <w:r>
        <w:rPr>
          <w:color w:val="000000" w:themeColor="text1"/>
          <w:lang w:val="en-US"/>
        </w:rPr>
        <w:t>Moerman</w:t>
      </w:r>
      <w:proofErr w:type="spellEnd"/>
      <w:r>
        <w:rPr>
          <w:color w:val="000000" w:themeColor="text1"/>
          <w:lang w:val="en-US"/>
        </w:rPr>
        <w:t xml:space="preserve"> E, </w:t>
      </w:r>
      <w:proofErr w:type="spellStart"/>
      <w:r>
        <w:rPr>
          <w:color w:val="000000" w:themeColor="text1"/>
          <w:lang w:val="en-US"/>
        </w:rPr>
        <w:t>Thevenet</w:t>
      </w:r>
      <w:proofErr w:type="spellEnd"/>
      <w:r>
        <w:rPr>
          <w:color w:val="000000" w:themeColor="text1"/>
          <w:lang w:val="en-US"/>
        </w:rPr>
        <w:t xml:space="preserve"> J, </w:t>
      </w:r>
      <w:proofErr w:type="spellStart"/>
      <w:r>
        <w:rPr>
          <w:color w:val="000000" w:themeColor="text1"/>
          <w:lang w:val="en-US"/>
        </w:rPr>
        <w:t>Beaucamps</w:t>
      </w:r>
      <w:proofErr w:type="spellEnd"/>
      <w:r>
        <w:rPr>
          <w:color w:val="000000" w:themeColor="text1"/>
          <w:lang w:val="en-US"/>
        </w:rPr>
        <w:t xml:space="preserve"> C, </w:t>
      </w:r>
      <w:proofErr w:type="spellStart"/>
      <w:r>
        <w:rPr>
          <w:color w:val="000000" w:themeColor="text1"/>
          <w:lang w:val="en-US"/>
        </w:rPr>
        <w:t>Delalleau</w:t>
      </w:r>
      <w:proofErr w:type="spellEnd"/>
      <w:r>
        <w:rPr>
          <w:color w:val="000000" w:themeColor="text1"/>
          <w:lang w:val="en-US"/>
        </w:rPr>
        <w:t xml:space="preserve"> N, Popescu I, </w:t>
      </w:r>
      <w:proofErr w:type="spellStart"/>
      <w:r>
        <w:rPr>
          <w:color w:val="000000" w:themeColor="text1"/>
          <w:lang w:val="en-US"/>
        </w:rPr>
        <w:t>Malaisse</w:t>
      </w:r>
      <w:proofErr w:type="spellEnd"/>
      <w:r>
        <w:rPr>
          <w:color w:val="000000" w:themeColor="text1"/>
          <w:lang w:val="en-US"/>
        </w:rPr>
        <w:t xml:space="preserve"> WJ, </w:t>
      </w:r>
      <w:proofErr w:type="spellStart"/>
      <w:r>
        <w:rPr>
          <w:color w:val="000000" w:themeColor="text1"/>
          <w:lang w:val="en-US"/>
        </w:rPr>
        <w:t>Sener</w:t>
      </w:r>
      <w:proofErr w:type="spellEnd"/>
      <w:r>
        <w:rPr>
          <w:color w:val="000000" w:themeColor="text1"/>
          <w:lang w:val="en-US"/>
        </w:rPr>
        <w:t xml:space="preserve"> A, </w:t>
      </w:r>
      <w:proofErr w:type="spellStart"/>
      <w:r>
        <w:rPr>
          <w:color w:val="000000" w:themeColor="text1"/>
          <w:lang w:val="en-US"/>
        </w:rPr>
        <w:t>Deprez</w:t>
      </w:r>
      <w:proofErr w:type="spellEnd"/>
      <w:r>
        <w:rPr>
          <w:color w:val="000000" w:themeColor="text1"/>
          <w:lang w:val="en-US"/>
        </w:rPr>
        <w:t xml:space="preserve"> B, </w:t>
      </w:r>
      <w:proofErr w:type="spellStart"/>
      <w:r>
        <w:rPr>
          <w:color w:val="000000" w:themeColor="text1"/>
          <w:lang w:val="en-US"/>
        </w:rPr>
        <w:t>Abderrahmani</w:t>
      </w:r>
      <w:proofErr w:type="spellEnd"/>
      <w:r>
        <w:rPr>
          <w:color w:val="000000" w:themeColor="text1"/>
          <w:lang w:val="en-US"/>
        </w:rPr>
        <w:t xml:space="preserve"> A, </w:t>
      </w:r>
      <w:proofErr w:type="spellStart"/>
      <w:r>
        <w:rPr>
          <w:color w:val="000000" w:themeColor="text1"/>
          <w:lang w:val="en-US"/>
        </w:rPr>
        <w:t>Staels</w:t>
      </w:r>
      <w:proofErr w:type="spellEnd"/>
      <w:r>
        <w:rPr>
          <w:color w:val="000000" w:themeColor="text1"/>
          <w:lang w:val="en-US"/>
        </w:rPr>
        <w:t xml:space="preserve"> B, </w:t>
      </w:r>
      <w:proofErr w:type="spellStart"/>
      <w:r>
        <w:rPr>
          <w:color w:val="000000" w:themeColor="text1"/>
          <w:lang w:val="en-US"/>
        </w:rPr>
        <w:t>Pattou</w:t>
      </w:r>
      <w:proofErr w:type="spellEnd"/>
      <w:r>
        <w:rPr>
          <w:color w:val="000000" w:themeColor="text1"/>
          <w:lang w:val="en-US"/>
        </w:rPr>
        <w:t xml:space="preserve"> F (2015) Inhibition of the glucose transporter SGLT2 with dapagliflozin in pancreatic alpha cells triggers </w:t>
      </w:r>
      <w:proofErr w:type="spellStart"/>
      <w:r>
        <w:rPr>
          <w:color w:val="000000" w:themeColor="text1"/>
          <w:lang w:val="en-US"/>
        </w:rPr>
        <w:t>glucago</w:t>
      </w:r>
      <w:proofErr w:type="spellEnd"/>
      <w:r>
        <w:rPr>
          <w:color w:val="000000" w:themeColor="text1"/>
          <w:lang w:val="en-US"/>
        </w:rPr>
        <w:t xml:space="preserve"> secretion. Nature Med 21: 512-517 </w:t>
      </w:r>
      <w:proofErr w:type="spellStart"/>
      <w:r>
        <w:rPr>
          <w:color w:val="000000" w:themeColor="text1"/>
          <w:lang w:val="en-US"/>
        </w:rPr>
        <w:t>doi</w:t>
      </w:r>
      <w:proofErr w:type="spellEnd"/>
      <w:r>
        <w:rPr>
          <w:color w:val="000000" w:themeColor="text1"/>
          <w:lang w:val="en-US"/>
        </w:rPr>
        <w:t>: 10.1038/nm.3828</w:t>
      </w:r>
    </w:p>
    <w:p w14:paraId="585FB205" w14:textId="6CCB3EC8"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Luippold</w:t>
      </w:r>
      <w:proofErr w:type="spellEnd"/>
      <w:r>
        <w:rPr>
          <w:color w:val="000000" w:themeColor="text1"/>
          <w:lang w:val="en-US"/>
        </w:rPr>
        <w:t xml:space="preserve"> G, Klein T, Mark M, </w:t>
      </w:r>
      <w:proofErr w:type="spellStart"/>
      <w:r>
        <w:rPr>
          <w:color w:val="000000" w:themeColor="text1"/>
          <w:lang w:val="en-US"/>
        </w:rPr>
        <w:t>Grempler</w:t>
      </w:r>
      <w:proofErr w:type="spellEnd"/>
      <w:r>
        <w:rPr>
          <w:color w:val="000000" w:themeColor="text1"/>
          <w:lang w:val="en-US"/>
        </w:rPr>
        <w:t xml:space="preserve"> R (2012) Empagliflozin, a novel potent and selective SGLT-2 inhibitor, improves </w:t>
      </w:r>
      <w:proofErr w:type="spellStart"/>
      <w:r>
        <w:rPr>
          <w:color w:val="000000" w:themeColor="text1"/>
          <w:lang w:val="en-US"/>
        </w:rPr>
        <w:t>glycaemic</w:t>
      </w:r>
      <w:proofErr w:type="spellEnd"/>
      <w:r>
        <w:rPr>
          <w:color w:val="000000" w:themeColor="text1"/>
          <w:lang w:val="en-US"/>
        </w:rPr>
        <w:t xml:space="preserve"> control alone and in combination with insulin in streptozotocin-induced diabetic rats, a model of type 1 diabetes mellitus. Diabetes </w:t>
      </w:r>
      <w:proofErr w:type="spellStart"/>
      <w:r>
        <w:rPr>
          <w:color w:val="000000" w:themeColor="text1"/>
          <w:lang w:val="en-US"/>
        </w:rPr>
        <w:t>Obes</w:t>
      </w:r>
      <w:proofErr w:type="spellEnd"/>
      <w:r>
        <w:rPr>
          <w:color w:val="000000" w:themeColor="text1"/>
          <w:lang w:val="en-US"/>
        </w:rPr>
        <w:t xml:space="preserve"> </w:t>
      </w:r>
      <w:proofErr w:type="spellStart"/>
      <w:r>
        <w:rPr>
          <w:color w:val="000000" w:themeColor="text1"/>
          <w:lang w:val="en-US"/>
        </w:rPr>
        <w:t>Metab</w:t>
      </w:r>
      <w:proofErr w:type="spellEnd"/>
      <w:r>
        <w:rPr>
          <w:color w:val="000000" w:themeColor="text1"/>
          <w:lang w:val="en-US"/>
        </w:rPr>
        <w:t xml:space="preserve"> 14(7):601–607. DOI: 10.1111/j.1463-1326.2012.</w:t>
      </w:r>
      <w:proofErr w:type="gramStart"/>
      <w:r>
        <w:rPr>
          <w:color w:val="000000" w:themeColor="text1"/>
          <w:lang w:val="en-US"/>
        </w:rPr>
        <w:t>01569.x.</w:t>
      </w:r>
      <w:proofErr w:type="gramEnd"/>
    </w:p>
    <w:p w14:paraId="6A3D472D" w14:textId="3516DA7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Ly JP, </w:t>
      </w:r>
      <w:proofErr w:type="spellStart"/>
      <w:r>
        <w:rPr>
          <w:color w:val="000000" w:themeColor="text1"/>
          <w:lang w:val="en-US"/>
        </w:rPr>
        <w:t>Onay</w:t>
      </w:r>
      <w:proofErr w:type="spellEnd"/>
      <w:r>
        <w:rPr>
          <w:color w:val="000000" w:themeColor="text1"/>
          <w:lang w:val="en-US"/>
        </w:rPr>
        <w:t xml:space="preserve"> T, </w:t>
      </w:r>
      <w:proofErr w:type="spellStart"/>
      <w:r>
        <w:rPr>
          <w:color w:val="000000" w:themeColor="text1"/>
          <w:lang w:val="en-US"/>
        </w:rPr>
        <w:t>Sison</w:t>
      </w:r>
      <w:proofErr w:type="spellEnd"/>
      <w:r>
        <w:rPr>
          <w:color w:val="000000" w:themeColor="text1"/>
          <w:lang w:val="en-US"/>
        </w:rPr>
        <w:t xml:space="preserve"> K, </w:t>
      </w:r>
      <w:proofErr w:type="spellStart"/>
      <w:r>
        <w:rPr>
          <w:color w:val="000000" w:themeColor="text1"/>
          <w:lang w:val="en-US"/>
        </w:rPr>
        <w:t>Sivaskandarajh</w:t>
      </w:r>
      <w:proofErr w:type="spellEnd"/>
      <w:r>
        <w:rPr>
          <w:color w:val="000000" w:themeColor="text1"/>
          <w:lang w:val="en-US"/>
        </w:rPr>
        <w:t xml:space="preserve"> G, </w:t>
      </w:r>
      <w:proofErr w:type="spellStart"/>
      <w:r>
        <w:rPr>
          <w:color w:val="000000" w:themeColor="text1"/>
          <w:lang w:val="en-US"/>
        </w:rPr>
        <w:t>Sabbisetti</w:t>
      </w:r>
      <w:proofErr w:type="spellEnd"/>
      <w:r>
        <w:rPr>
          <w:color w:val="000000" w:themeColor="text1"/>
          <w:lang w:val="en-US"/>
        </w:rPr>
        <w:t xml:space="preserve"> V, Li L, Bonventre JV, </w:t>
      </w:r>
      <w:proofErr w:type="spellStart"/>
      <w:r>
        <w:rPr>
          <w:color w:val="000000" w:themeColor="text1"/>
          <w:lang w:val="en-US"/>
        </w:rPr>
        <w:t>Flenniken</w:t>
      </w:r>
      <w:proofErr w:type="spellEnd"/>
      <w:r>
        <w:rPr>
          <w:color w:val="000000" w:themeColor="text1"/>
          <w:lang w:val="en-US"/>
        </w:rPr>
        <w:t xml:space="preserve"> A, </w:t>
      </w:r>
      <w:proofErr w:type="spellStart"/>
      <w:r>
        <w:rPr>
          <w:color w:val="000000" w:themeColor="text1"/>
          <w:lang w:val="en-US"/>
        </w:rPr>
        <w:t>Paragas</w:t>
      </w:r>
      <w:proofErr w:type="spellEnd"/>
      <w:r>
        <w:rPr>
          <w:color w:val="000000" w:themeColor="text1"/>
          <w:lang w:val="en-US"/>
        </w:rPr>
        <w:t xml:space="preserve"> N, </w:t>
      </w:r>
      <w:proofErr w:type="spellStart"/>
      <w:r>
        <w:rPr>
          <w:color w:val="000000" w:themeColor="text1"/>
          <w:lang w:val="en-US"/>
        </w:rPr>
        <w:t>Barasch</w:t>
      </w:r>
      <w:proofErr w:type="spellEnd"/>
      <w:r>
        <w:rPr>
          <w:color w:val="000000" w:themeColor="text1"/>
          <w:lang w:val="en-US"/>
        </w:rPr>
        <w:t xml:space="preserve"> JM, Adamson SL, Osborne L, </w:t>
      </w:r>
      <w:proofErr w:type="spellStart"/>
      <w:r>
        <w:rPr>
          <w:color w:val="000000" w:themeColor="text1"/>
          <w:lang w:val="en-US"/>
        </w:rPr>
        <w:t>Rossant</w:t>
      </w:r>
      <w:proofErr w:type="spellEnd"/>
      <w:r>
        <w:rPr>
          <w:color w:val="000000" w:themeColor="text1"/>
          <w:lang w:val="en-US"/>
        </w:rPr>
        <w:t xml:space="preserve"> J, </w:t>
      </w:r>
      <w:proofErr w:type="spellStart"/>
      <w:r>
        <w:rPr>
          <w:color w:val="000000" w:themeColor="text1"/>
          <w:lang w:val="en-US"/>
        </w:rPr>
        <w:t>Schnermann</w:t>
      </w:r>
      <w:proofErr w:type="spellEnd"/>
      <w:r>
        <w:rPr>
          <w:color w:val="000000" w:themeColor="text1"/>
          <w:lang w:val="en-US"/>
        </w:rPr>
        <w:t xml:space="preserve"> J, </w:t>
      </w:r>
      <w:proofErr w:type="spellStart"/>
      <w:r>
        <w:rPr>
          <w:color w:val="000000" w:themeColor="text1"/>
          <w:lang w:val="en-US"/>
        </w:rPr>
        <w:t>Quaggin</w:t>
      </w:r>
      <w:proofErr w:type="spellEnd"/>
      <w:r>
        <w:rPr>
          <w:color w:val="000000" w:themeColor="text1"/>
          <w:lang w:val="en-US"/>
        </w:rPr>
        <w:t xml:space="preserve"> SE (2011) The Sweet Pee model for Sglt2 mutation. J Am Soc Nephrol 22(1):113–123. DOI: 10.1681/ASN.2010080888</w:t>
      </w:r>
    </w:p>
    <w:p w14:paraId="4BE06FA0" w14:textId="01D64FFB"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Jurczak</w:t>
      </w:r>
      <w:proofErr w:type="spellEnd"/>
      <w:r>
        <w:rPr>
          <w:color w:val="000000" w:themeColor="text1"/>
          <w:lang w:val="en-US"/>
        </w:rPr>
        <w:t xml:space="preserve"> MJ, Lee HY, </w:t>
      </w:r>
      <w:proofErr w:type="spellStart"/>
      <w:r>
        <w:rPr>
          <w:color w:val="000000" w:themeColor="text1"/>
          <w:lang w:val="en-US"/>
        </w:rPr>
        <w:t>Birkenfeld</w:t>
      </w:r>
      <w:proofErr w:type="spellEnd"/>
      <w:r>
        <w:rPr>
          <w:color w:val="000000" w:themeColor="text1"/>
          <w:lang w:val="en-US"/>
        </w:rPr>
        <w:t xml:space="preserve"> AL, </w:t>
      </w:r>
      <w:proofErr w:type="spellStart"/>
      <w:r>
        <w:rPr>
          <w:color w:val="000000" w:themeColor="text1"/>
          <w:lang w:val="en-US"/>
        </w:rPr>
        <w:t>Jornayvaz</w:t>
      </w:r>
      <w:proofErr w:type="spellEnd"/>
      <w:r>
        <w:rPr>
          <w:color w:val="000000" w:themeColor="text1"/>
          <w:lang w:val="en-US"/>
        </w:rPr>
        <w:t xml:space="preserve"> FR, Frederick DW, </w:t>
      </w:r>
      <w:proofErr w:type="spellStart"/>
      <w:r>
        <w:rPr>
          <w:color w:val="000000" w:themeColor="text1"/>
          <w:lang w:val="en-US"/>
        </w:rPr>
        <w:t>Pongratz</w:t>
      </w:r>
      <w:proofErr w:type="spellEnd"/>
      <w:r>
        <w:rPr>
          <w:color w:val="000000" w:themeColor="text1"/>
          <w:lang w:val="en-US"/>
        </w:rPr>
        <w:t xml:space="preserve"> RL, Zhao X, </w:t>
      </w:r>
      <w:proofErr w:type="spellStart"/>
      <w:r>
        <w:rPr>
          <w:color w:val="000000" w:themeColor="text1"/>
          <w:lang w:val="en-US"/>
        </w:rPr>
        <w:t>Moeckel</w:t>
      </w:r>
      <w:proofErr w:type="spellEnd"/>
      <w:r>
        <w:rPr>
          <w:color w:val="000000" w:themeColor="text1"/>
          <w:lang w:val="en-US"/>
        </w:rPr>
        <w:t xml:space="preserve"> GW, Samuel VT, Whaley JM, Shulman GI, </w:t>
      </w:r>
      <w:proofErr w:type="spellStart"/>
      <w:r>
        <w:rPr>
          <w:color w:val="000000" w:themeColor="text1"/>
          <w:lang w:val="en-US"/>
        </w:rPr>
        <w:t>Kibbey</w:t>
      </w:r>
      <w:proofErr w:type="spellEnd"/>
      <w:r>
        <w:rPr>
          <w:color w:val="000000" w:themeColor="text1"/>
          <w:lang w:val="en-US"/>
        </w:rPr>
        <w:t xml:space="preserve"> RG (2011) SGLT2 deletion improves glucose homeostasis and preserves pancreatic </w:t>
      </w:r>
      <w:r>
        <w:rPr>
          <w:color w:val="000000" w:themeColor="text1"/>
        </w:rPr>
        <w:t>β</w:t>
      </w:r>
      <w:r>
        <w:rPr>
          <w:color w:val="000000" w:themeColor="text1"/>
          <w:lang w:val="en-US"/>
        </w:rPr>
        <w:t xml:space="preserve">-cell function. </w:t>
      </w:r>
      <w:r w:rsidRPr="00C649F4">
        <w:rPr>
          <w:color w:val="000000" w:themeColor="text1"/>
          <w:lang w:val="en-US"/>
        </w:rPr>
        <w:t>Diabetes 60(3):890–898. DOI: 10.2337/db10-1328</w:t>
      </w:r>
    </w:p>
    <w:p w14:paraId="7C2724A3" w14:textId="2818F5FD"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lastRenderedPageBreak/>
        <w:t xml:space="preserve">Powell DR, DaCosta CM, Gay J, Ding ZM, Smith M, Greer J, </w:t>
      </w:r>
      <w:proofErr w:type="spellStart"/>
      <w:r>
        <w:rPr>
          <w:color w:val="000000" w:themeColor="text1"/>
          <w:lang w:val="en-US"/>
        </w:rPr>
        <w:t>Doree</w:t>
      </w:r>
      <w:proofErr w:type="spellEnd"/>
      <w:r>
        <w:rPr>
          <w:color w:val="000000" w:themeColor="text1"/>
          <w:lang w:val="en-US"/>
        </w:rPr>
        <w:t xml:space="preserve"> D, Jeter-Jones S, </w:t>
      </w:r>
      <w:proofErr w:type="spellStart"/>
      <w:r>
        <w:rPr>
          <w:color w:val="000000" w:themeColor="text1"/>
          <w:lang w:val="en-US"/>
        </w:rPr>
        <w:t>Mseeh</w:t>
      </w:r>
      <w:proofErr w:type="spellEnd"/>
      <w:r>
        <w:rPr>
          <w:color w:val="000000" w:themeColor="text1"/>
          <w:lang w:val="en-US"/>
        </w:rPr>
        <w:t xml:space="preserve"> F, Rodriguez LA, Harris A, </w:t>
      </w:r>
      <w:proofErr w:type="spellStart"/>
      <w:r>
        <w:rPr>
          <w:color w:val="000000" w:themeColor="text1"/>
          <w:lang w:val="en-US"/>
        </w:rPr>
        <w:t>Buhring</w:t>
      </w:r>
      <w:proofErr w:type="spellEnd"/>
      <w:r>
        <w:rPr>
          <w:color w:val="000000" w:themeColor="text1"/>
          <w:lang w:val="en-US"/>
        </w:rPr>
        <w:t xml:space="preserve"> L, Platt KA, Vogel P, </w:t>
      </w:r>
      <w:proofErr w:type="spellStart"/>
      <w:r>
        <w:rPr>
          <w:color w:val="000000" w:themeColor="text1"/>
          <w:lang w:val="en-US"/>
        </w:rPr>
        <w:t>Brommage</w:t>
      </w:r>
      <w:proofErr w:type="spellEnd"/>
      <w:r>
        <w:rPr>
          <w:color w:val="000000" w:themeColor="text1"/>
          <w:lang w:val="en-US"/>
        </w:rPr>
        <w:t xml:space="preserve"> R, </w:t>
      </w:r>
      <w:proofErr w:type="spellStart"/>
      <w:r>
        <w:rPr>
          <w:color w:val="000000" w:themeColor="text1"/>
          <w:lang w:val="en-US"/>
        </w:rPr>
        <w:t>Shadoan</w:t>
      </w:r>
      <w:proofErr w:type="spellEnd"/>
      <w:r>
        <w:rPr>
          <w:color w:val="000000" w:themeColor="text1"/>
          <w:lang w:val="en-US"/>
        </w:rPr>
        <w:t xml:space="preserve"> MK, Sands AT, </w:t>
      </w:r>
      <w:proofErr w:type="spellStart"/>
      <w:r>
        <w:rPr>
          <w:color w:val="000000" w:themeColor="text1"/>
          <w:lang w:val="en-US"/>
        </w:rPr>
        <w:t>Zambrowicz</w:t>
      </w:r>
      <w:proofErr w:type="spellEnd"/>
      <w:r>
        <w:rPr>
          <w:color w:val="000000" w:themeColor="text1"/>
          <w:lang w:val="en-US"/>
        </w:rPr>
        <w:t xml:space="preserve"> B (2013) Improved glycemic control in mice lacking Sglt1 and Sglt2. Am J </w:t>
      </w:r>
      <w:proofErr w:type="spellStart"/>
      <w:r>
        <w:rPr>
          <w:color w:val="000000" w:themeColor="text1"/>
          <w:lang w:val="en-US"/>
        </w:rPr>
        <w:t>Physiol</w:t>
      </w:r>
      <w:proofErr w:type="spellEnd"/>
      <w:r>
        <w:rPr>
          <w:color w:val="000000" w:themeColor="text1"/>
          <w:lang w:val="en-US"/>
        </w:rPr>
        <w:t xml:space="preserve"> 304(2</w:t>
      </w:r>
      <w:proofErr w:type="gramStart"/>
      <w:r>
        <w:rPr>
          <w:color w:val="000000" w:themeColor="text1"/>
          <w:lang w:val="en-US"/>
        </w:rPr>
        <w:t>):E</w:t>
      </w:r>
      <w:proofErr w:type="gramEnd"/>
      <w:r>
        <w:rPr>
          <w:color w:val="000000" w:themeColor="text1"/>
          <w:lang w:val="en-US"/>
        </w:rPr>
        <w:t>117–E130 15–1. DOI: 10.1152/ajpendo.00439.2012</w:t>
      </w:r>
    </w:p>
    <w:p w14:paraId="04B5876A" w14:textId="2759C8E8"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Cherney DZI, Perkins BA, </w:t>
      </w:r>
      <w:proofErr w:type="spellStart"/>
      <w:r>
        <w:rPr>
          <w:color w:val="000000" w:themeColor="text1"/>
          <w:lang w:val="en-US"/>
        </w:rPr>
        <w:t>Soleymanlou</w:t>
      </w:r>
      <w:proofErr w:type="spellEnd"/>
      <w:r>
        <w:rPr>
          <w:color w:val="000000" w:themeColor="text1"/>
          <w:lang w:val="en-US"/>
        </w:rPr>
        <w:t xml:space="preserve"> N, Har R, Fagan N, Johansen OE, </w:t>
      </w:r>
      <w:proofErr w:type="spellStart"/>
      <w:r>
        <w:rPr>
          <w:color w:val="000000" w:themeColor="text1"/>
          <w:lang w:val="en-US"/>
        </w:rPr>
        <w:t>Woerle</w:t>
      </w:r>
      <w:proofErr w:type="spellEnd"/>
      <w:r>
        <w:rPr>
          <w:color w:val="000000" w:themeColor="text1"/>
          <w:lang w:val="en-US"/>
        </w:rPr>
        <w:t xml:space="preserve"> H-J, von </w:t>
      </w:r>
      <w:proofErr w:type="spellStart"/>
      <w:r>
        <w:rPr>
          <w:color w:val="000000" w:themeColor="text1"/>
          <w:lang w:val="en-US"/>
        </w:rPr>
        <w:t>Eynatten</w:t>
      </w:r>
      <w:proofErr w:type="spellEnd"/>
      <w:r>
        <w:rPr>
          <w:color w:val="000000" w:themeColor="text1"/>
          <w:lang w:val="en-US"/>
        </w:rPr>
        <w:t xml:space="preserve"> M, </w:t>
      </w:r>
      <w:proofErr w:type="spellStart"/>
      <w:r>
        <w:rPr>
          <w:color w:val="000000" w:themeColor="text1"/>
          <w:lang w:val="en-US"/>
        </w:rPr>
        <w:t>Broedl</w:t>
      </w:r>
      <w:proofErr w:type="spellEnd"/>
      <w:r>
        <w:rPr>
          <w:color w:val="000000" w:themeColor="text1"/>
          <w:lang w:val="en-US"/>
        </w:rPr>
        <w:t xml:space="preserve"> UC (2014a) The effect of empagliflozin on arterial stiffness and heart rate variability in subjects with uncomplicated type 1 diabetes mellitus. </w:t>
      </w:r>
      <w:r w:rsidRPr="00C649F4">
        <w:rPr>
          <w:color w:val="000000" w:themeColor="text1"/>
          <w:lang w:val="en-US"/>
        </w:rPr>
        <w:t xml:space="preserve">Cardiovasc </w:t>
      </w:r>
      <w:proofErr w:type="spellStart"/>
      <w:r w:rsidRPr="00C649F4">
        <w:rPr>
          <w:color w:val="000000" w:themeColor="text1"/>
          <w:lang w:val="en-US"/>
        </w:rPr>
        <w:t>Diabetol</w:t>
      </w:r>
      <w:proofErr w:type="spellEnd"/>
      <w:r w:rsidRPr="00C649F4">
        <w:rPr>
          <w:color w:val="000000" w:themeColor="text1"/>
          <w:lang w:val="en-US"/>
        </w:rPr>
        <w:t xml:space="preserve"> 13:28. DOI: 10.1186/1475-2840-13-28</w:t>
      </w:r>
    </w:p>
    <w:p w14:paraId="4318AD46" w14:textId="76C387A2"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Nürnberger</w:t>
      </w:r>
      <w:proofErr w:type="spellEnd"/>
      <w:r>
        <w:rPr>
          <w:color w:val="000000" w:themeColor="text1"/>
          <w:lang w:val="en-US"/>
        </w:rPr>
        <w:t xml:space="preserve"> J, </w:t>
      </w:r>
      <w:proofErr w:type="spellStart"/>
      <w:r>
        <w:rPr>
          <w:color w:val="000000" w:themeColor="text1"/>
          <w:lang w:val="en-US"/>
        </w:rPr>
        <w:t>Kefioglu</w:t>
      </w:r>
      <w:proofErr w:type="spellEnd"/>
      <w:r>
        <w:rPr>
          <w:color w:val="000000" w:themeColor="text1"/>
          <w:lang w:val="en-US"/>
        </w:rPr>
        <w:t xml:space="preserve">-Schreiber A, </w:t>
      </w:r>
      <w:proofErr w:type="spellStart"/>
      <w:r>
        <w:rPr>
          <w:color w:val="000000" w:themeColor="text1"/>
          <w:lang w:val="en-US"/>
        </w:rPr>
        <w:t>Opazo</w:t>
      </w:r>
      <w:proofErr w:type="spellEnd"/>
      <w:r>
        <w:rPr>
          <w:color w:val="000000" w:themeColor="text1"/>
          <w:lang w:val="en-US"/>
        </w:rPr>
        <w:t xml:space="preserve"> </w:t>
      </w:r>
      <w:proofErr w:type="spellStart"/>
      <w:r>
        <w:rPr>
          <w:color w:val="000000" w:themeColor="text1"/>
          <w:lang w:val="en-US"/>
        </w:rPr>
        <w:t>Saez</w:t>
      </w:r>
      <w:proofErr w:type="spellEnd"/>
      <w:r>
        <w:rPr>
          <w:color w:val="000000" w:themeColor="text1"/>
          <w:lang w:val="en-US"/>
        </w:rPr>
        <w:t xml:space="preserve"> AM, Wenzel RR, Philipp T, Schäfers RF (2002) Augmentation index is associated with cardiovascular risk. </w:t>
      </w:r>
      <w:r w:rsidRPr="00C649F4">
        <w:rPr>
          <w:color w:val="000000" w:themeColor="text1"/>
          <w:lang w:val="en-US"/>
        </w:rPr>
        <w:t xml:space="preserve">J </w:t>
      </w:r>
      <w:proofErr w:type="spellStart"/>
      <w:r w:rsidRPr="00C649F4">
        <w:rPr>
          <w:color w:val="000000" w:themeColor="text1"/>
          <w:lang w:val="en-US"/>
        </w:rPr>
        <w:t>Hypertens</w:t>
      </w:r>
      <w:proofErr w:type="spellEnd"/>
      <w:r w:rsidRPr="00C649F4">
        <w:rPr>
          <w:color w:val="000000" w:themeColor="text1"/>
          <w:lang w:val="en-US"/>
        </w:rPr>
        <w:t xml:space="preserve"> 20(12):2407–2414. DOI: 10.1097/00004872-200212000-00020</w:t>
      </w:r>
    </w:p>
    <w:p w14:paraId="24BC2003" w14:textId="24A1CBC2"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Perkins BA, Cherney DZI, Partridge H, </w:t>
      </w:r>
      <w:proofErr w:type="spellStart"/>
      <w:r>
        <w:rPr>
          <w:color w:val="000000" w:themeColor="text1"/>
          <w:lang w:val="en-US"/>
        </w:rPr>
        <w:t>Soleymanlou</w:t>
      </w:r>
      <w:proofErr w:type="spellEnd"/>
      <w:r>
        <w:rPr>
          <w:color w:val="000000" w:themeColor="text1"/>
          <w:lang w:val="en-US"/>
        </w:rPr>
        <w:t xml:space="preserve"> N, </w:t>
      </w:r>
      <w:proofErr w:type="spellStart"/>
      <w:r>
        <w:rPr>
          <w:color w:val="000000" w:themeColor="text1"/>
          <w:lang w:val="en-US"/>
        </w:rPr>
        <w:t>Tschirhart</w:t>
      </w:r>
      <w:proofErr w:type="spellEnd"/>
      <w:r>
        <w:rPr>
          <w:color w:val="000000" w:themeColor="text1"/>
          <w:lang w:val="en-US"/>
        </w:rPr>
        <w:t xml:space="preserve"> H, </w:t>
      </w:r>
      <w:proofErr w:type="spellStart"/>
      <w:r>
        <w:rPr>
          <w:color w:val="000000" w:themeColor="text1"/>
          <w:lang w:val="en-US"/>
        </w:rPr>
        <w:t>Zinman</w:t>
      </w:r>
      <w:proofErr w:type="spellEnd"/>
      <w:r>
        <w:rPr>
          <w:color w:val="000000" w:themeColor="text1"/>
          <w:lang w:val="en-US"/>
        </w:rPr>
        <w:t xml:space="preserve"> B, Fagan NM, </w:t>
      </w:r>
      <w:proofErr w:type="spellStart"/>
      <w:r>
        <w:rPr>
          <w:color w:val="000000" w:themeColor="text1"/>
          <w:lang w:val="en-US"/>
        </w:rPr>
        <w:t>Kaspers</w:t>
      </w:r>
      <w:proofErr w:type="spellEnd"/>
      <w:r>
        <w:rPr>
          <w:color w:val="000000" w:themeColor="text1"/>
          <w:lang w:val="en-US"/>
        </w:rPr>
        <w:t xml:space="preserve"> S, </w:t>
      </w:r>
      <w:proofErr w:type="spellStart"/>
      <w:r>
        <w:rPr>
          <w:color w:val="000000" w:themeColor="text1"/>
          <w:lang w:val="en-US"/>
        </w:rPr>
        <w:t>Woerle</w:t>
      </w:r>
      <w:proofErr w:type="spellEnd"/>
      <w:r>
        <w:rPr>
          <w:color w:val="000000" w:themeColor="text1"/>
          <w:lang w:val="en-US"/>
        </w:rPr>
        <w:t xml:space="preserve"> HJ, </w:t>
      </w:r>
      <w:proofErr w:type="spellStart"/>
      <w:r>
        <w:rPr>
          <w:color w:val="000000" w:themeColor="text1"/>
          <w:lang w:val="en-US"/>
        </w:rPr>
        <w:t>Broedl</w:t>
      </w:r>
      <w:proofErr w:type="spellEnd"/>
      <w:r>
        <w:rPr>
          <w:color w:val="000000" w:themeColor="text1"/>
          <w:lang w:val="en-US"/>
        </w:rPr>
        <w:t xml:space="preserve"> UC, Johansen OE (2014) Sodium-glucose cotransporter 2 inhibition and glycemic control in type 1 diabetes: results of an 8-week open-label proof-of-concept trial. Diabetes Care 37(5):1480–1483. DOI: 10.2337/dc13-2338</w:t>
      </w:r>
    </w:p>
    <w:p w14:paraId="6024D4CD" w14:textId="60F052C3"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 </w:t>
      </w:r>
      <w:proofErr w:type="spellStart"/>
      <w:r>
        <w:rPr>
          <w:color w:val="000000" w:themeColor="text1"/>
          <w:lang w:val="en-US"/>
        </w:rPr>
        <w:t>Vallon</w:t>
      </w:r>
      <w:proofErr w:type="spellEnd"/>
      <w:r>
        <w:rPr>
          <w:color w:val="000000" w:themeColor="text1"/>
          <w:lang w:val="en-US"/>
        </w:rPr>
        <w:t xml:space="preserve"> V, Thomson SC (2012) Renal function in diabetic disease models: the tubular system in the pathophysiology of the diabetic kidney. </w:t>
      </w:r>
      <w:proofErr w:type="spellStart"/>
      <w:r>
        <w:rPr>
          <w:color w:val="000000" w:themeColor="text1"/>
          <w:lang w:val="en-US"/>
        </w:rPr>
        <w:t>Annu</w:t>
      </w:r>
      <w:proofErr w:type="spellEnd"/>
      <w:r>
        <w:rPr>
          <w:color w:val="000000" w:themeColor="text1"/>
          <w:lang w:val="en-US"/>
        </w:rPr>
        <w:t xml:space="preserve"> Rev </w:t>
      </w:r>
      <w:proofErr w:type="spellStart"/>
      <w:r>
        <w:rPr>
          <w:color w:val="000000" w:themeColor="text1"/>
          <w:lang w:val="en-US"/>
        </w:rPr>
        <w:t>Physiol</w:t>
      </w:r>
      <w:proofErr w:type="spellEnd"/>
      <w:r>
        <w:rPr>
          <w:color w:val="000000" w:themeColor="text1"/>
          <w:lang w:val="en-US"/>
        </w:rPr>
        <w:t xml:space="preserve"> 74(351):375. DOI: 10.1146/annurev-physiol-020911-153333</w:t>
      </w:r>
    </w:p>
    <w:p w14:paraId="0004A1C8" w14:textId="5BD5C0A4"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lang w:val="en-US"/>
        </w:rPr>
        <w:t>Vallon</w:t>
      </w:r>
      <w:proofErr w:type="spellEnd"/>
      <w:r>
        <w:rPr>
          <w:color w:val="000000" w:themeColor="text1"/>
          <w:lang w:val="en-US"/>
        </w:rPr>
        <w:t xml:space="preserve"> V, Richter K, </w:t>
      </w:r>
      <w:proofErr w:type="spellStart"/>
      <w:r>
        <w:rPr>
          <w:color w:val="000000" w:themeColor="text1"/>
          <w:lang w:val="en-US"/>
        </w:rPr>
        <w:t>Blantz</w:t>
      </w:r>
      <w:proofErr w:type="spellEnd"/>
      <w:r>
        <w:rPr>
          <w:color w:val="000000" w:themeColor="text1"/>
          <w:lang w:val="en-US"/>
        </w:rPr>
        <w:t xml:space="preserve"> RC, Thomson S, </w:t>
      </w:r>
      <w:proofErr w:type="spellStart"/>
      <w:r>
        <w:rPr>
          <w:color w:val="000000" w:themeColor="text1"/>
          <w:lang w:val="en-US"/>
        </w:rPr>
        <w:t>Osswald</w:t>
      </w:r>
      <w:proofErr w:type="spellEnd"/>
      <w:r>
        <w:rPr>
          <w:color w:val="000000" w:themeColor="text1"/>
          <w:lang w:val="en-US"/>
        </w:rPr>
        <w:t xml:space="preserve"> H (1999) Glomerular hyperfiltration in experimental diabetes mellitus: potential role of tubular reabsorption. J Am Soc Nephrol 10(12):2569– 2576. DOI: 10.1681/ASN.V10122569</w:t>
      </w:r>
    </w:p>
    <w:p w14:paraId="4CBF18F2" w14:textId="2BD2CE67" w:rsidR="00C649F4" w:rsidRP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Purnell JQ, </w:t>
      </w:r>
      <w:proofErr w:type="spellStart"/>
      <w:r>
        <w:rPr>
          <w:color w:val="000000" w:themeColor="text1"/>
          <w:lang w:val="en-US"/>
        </w:rPr>
        <w:t>Weyer</w:t>
      </w:r>
      <w:proofErr w:type="spellEnd"/>
      <w:r>
        <w:rPr>
          <w:color w:val="000000" w:themeColor="text1"/>
          <w:lang w:val="en-US"/>
        </w:rPr>
        <w:t xml:space="preserve"> C (2003) Weight effect of current and experimental drugs for diabetes mellitus: from promotion to alleviation of obesity. </w:t>
      </w:r>
      <w:r w:rsidRPr="00C649F4">
        <w:rPr>
          <w:color w:val="000000" w:themeColor="text1"/>
          <w:lang w:val="en-US"/>
        </w:rPr>
        <w:t>Treat Endocrinol 2(1):33–47. DOI: 10.2165/00024677-200302010-00004</w:t>
      </w:r>
    </w:p>
    <w:p w14:paraId="5A2CEAF5" w14:textId="75929421"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proofErr w:type="spellStart"/>
      <w:r>
        <w:rPr>
          <w:color w:val="000000" w:themeColor="text1"/>
          <w:shd w:val="clear" w:color="auto" w:fill="FFFFFF"/>
          <w:lang w:val="en-US"/>
        </w:rPr>
        <w:t>Neumiller</w:t>
      </w:r>
      <w:proofErr w:type="spellEnd"/>
      <w:r>
        <w:rPr>
          <w:color w:val="000000" w:themeColor="text1"/>
          <w:shd w:val="clear" w:color="auto" w:fill="FFFFFF"/>
          <w:lang w:val="en-US"/>
        </w:rPr>
        <w:t xml:space="preserve"> JJ. Empagliflozin: a new sodium-glucose co-transporter 2 (SGLT2) inhibitor for the treatment of type 2 diabetes. </w:t>
      </w:r>
      <w:r>
        <w:rPr>
          <w:i/>
          <w:iCs/>
          <w:color w:val="000000" w:themeColor="text1"/>
          <w:shd w:val="clear" w:color="auto" w:fill="FFFFFF"/>
          <w:lang w:val="en-US"/>
        </w:rPr>
        <w:t>Drugs Context</w:t>
      </w:r>
      <w:r>
        <w:rPr>
          <w:color w:val="000000" w:themeColor="text1"/>
          <w:shd w:val="clear" w:color="auto" w:fill="FFFFFF"/>
          <w:lang w:val="en-US"/>
        </w:rPr>
        <w:t xml:space="preserve">. </w:t>
      </w:r>
      <w:proofErr w:type="gramStart"/>
      <w:r>
        <w:rPr>
          <w:color w:val="000000" w:themeColor="text1"/>
          <w:shd w:val="clear" w:color="auto" w:fill="FFFFFF"/>
          <w:lang w:val="en-US"/>
        </w:rPr>
        <w:t>2014;3:212262</w:t>
      </w:r>
      <w:proofErr w:type="gramEnd"/>
      <w:r>
        <w:rPr>
          <w:color w:val="000000" w:themeColor="text1"/>
          <w:shd w:val="clear" w:color="auto" w:fill="FFFFFF"/>
          <w:lang w:val="en-US"/>
        </w:rPr>
        <w:t>. Published 2014 Jun 11. doi:10.7573/dic.212262</w:t>
      </w:r>
    </w:p>
    <w:p w14:paraId="083EA80D" w14:textId="1537756D" w:rsidR="00C649F4" w:rsidRPr="001E7F4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PRODUCT MONOGRAPH. </w:t>
      </w:r>
      <w:proofErr w:type="spellStart"/>
      <w:r>
        <w:rPr>
          <w:color w:val="000000" w:themeColor="text1"/>
          <w:vertAlign w:val="superscript"/>
          <w:lang w:val="en-US"/>
        </w:rPr>
        <w:t>Pr</w:t>
      </w:r>
      <w:r>
        <w:rPr>
          <w:color w:val="000000" w:themeColor="text1"/>
          <w:lang w:val="en-US"/>
        </w:rPr>
        <w:t>GLYXAMBITM</w:t>
      </w:r>
      <w:proofErr w:type="spellEnd"/>
      <w:r>
        <w:rPr>
          <w:color w:val="000000" w:themeColor="text1"/>
          <w:lang w:val="en-US"/>
        </w:rPr>
        <w:t xml:space="preserve"> empagliflozin and linagliptin tablets 10 mg/5 mg and 25 mg/5 mg. Date of Preparation: March 12, 2021. </w:t>
      </w:r>
      <w:r>
        <w:rPr>
          <w:color w:val="000000" w:themeColor="text1"/>
        </w:rPr>
        <w:t>Р</w:t>
      </w:r>
      <w:r>
        <w:rPr>
          <w:color w:val="000000" w:themeColor="text1"/>
          <w:lang w:val="en-US"/>
        </w:rPr>
        <w:t>. 56</w:t>
      </w:r>
      <w:r w:rsidRPr="001E7F44">
        <w:rPr>
          <w:color w:val="000000" w:themeColor="text1"/>
          <w:lang w:val="en-US"/>
        </w:rPr>
        <w:t xml:space="preserve"> </w:t>
      </w:r>
    </w:p>
    <w:p w14:paraId="66C1B58A" w14:textId="0BA09B29" w:rsidR="00C649F4" w:rsidRPr="00E14858" w:rsidRDefault="00C649F4" w:rsidP="00C54D0D">
      <w:pPr>
        <w:pStyle w:val="ListParagraph"/>
        <w:keepNext/>
        <w:numPr>
          <w:ilvl w:val="0"/>
          <w:numId w:val="12"/>
        </w:numPr>
        <w:tabs>
          <w:tab w:val="left" w:pos="426"/>
        </w:tabs>
        <w:suppressAutoHyphens/>
        <w:spacing w:after="0" w:line="240" w:lineRule="auto"/>
        <w:ind w:left="426" w:hanging="426"/>
        <w:contextualSpacing w:val="0"/>
        <w:rPr>
          <w:color w:val="000000" w:themeColor="text1"/>
          <w:kern w:val="28"/>
          <w:lang w:val="en-US"/>
        </w:rPr>
      </w:pPr>
      <w:r w:rsidRPr="006D7E96">
        <w:rPr>
          <w:color w:val="000000" w:themeColor="text1"/>
          <w:kern w:val="28"/>
          <w:lang w:val="en-US"/>
        </w:rPr>
        <w:t>Empagliflozin</w:t>
      </w:r>
      <w:r>
        <w:rPr>
          <w:color w:val="000000" w:themeColor="text1"/>
          <w:kern w:val="28"/>
          <w:lang w:val="en-US"/>
        </w:rPr>
        <w:t xml:space="preserve"> </w:t>
      </w:r>
      <w:proofErr w:type="spellStart"/>
      <w:r>
        <w:rPr>
          <w:color w:val="000000" w:themeColor="text1"/>
          <w:kern w:val="28"/>
          <w:lang w:val="en-US"/>
        </w:rPr>
        <w:t>P</w:t>
      </w:r>
      <w:r w:rsidRPr="006D7E96">
        <w:rPr>
          <w:color w:val="000000" w:themeColor="text1"/>
          <w:kern w:val="28"/>
          <w:lang w:val="en-US"/>
        </w:rPr>
        <w:t>harmacodia</w:t>
      </w:r>
      <w:proofErr w:type="spellEnd"/>
      <w:r w:rsidRPr="006D7E96">
        <w:rPr>
          <w:color w:val="000000" w:themeColor="text1"/>
          <w:kern w:val="28"/>
          <w:lang w:val="en-US"/>
        </w:rPr>
        <w:t xml:space="preserve"> </w:t>
      </w:r>
      <w:r>
        <w:rPr>
          <w:color w:val="000000" w:themeColor="text1"/>
          <w:kern w:val="28"/>
          <w:lang w:val="en-US"/>
        </w:rPr>
        <w:t>GLOBAL</w:t>
      </w:r>
      <w:r w:rsidRPr="00E14858">
        <w:rPr>
          <w:color w:val="000000" w:themeColor="text1"/>
          <w:kern w:val="28"/>
          <w:lang w:val="en-US"/>
        </w:rPr>
        <w:t>,</w:t>
      </w:r>
      <w:r>
        <w:rPr>
          <w:color w:val="000000" w:themeColor="text1"/>
          <w:kern w:val="28"/>
          <w:lang w:val="en-US"/>
        </w:rPr>
        <w:t xml:space="preserve"> </w:t>
      </w:r>
      <w:r w:rsidRPr="006D7E96">
        <w:rPr>
          <w:color w:val="000000" w:themeColor="text1"/>
          <w:kern w:val="28"/>
          <w:lang w:val="en-US"/>
        </w:rPr>
        <w:t>https://www.pharmacodia.com/yaodu/html/v1/chemicals/0987b8b338d6c90bbedd8631bc499221.html</w:t>
      </w:r>
    </w:p>
    <w:p w14:paraId="305E5F87" w14:textId="6C5CDC87" w:rsidR="00C649F4" w:rsidRPr="00E14858" w:rsidRDefault="00C649F4" w:rsidP="00C54D0D">
      <w:pPr>
        <w:numPr>
          <w:ilvl w:val="0"/>
          <w:numId w:val="12"/>
        </w:numPr>
        <w:tabs>
          <w:tab w:val="left" w:pos="426"/>
        </w:tabs>
        <w:spacing w:after="0" w:line="240" w:lineRule="auto"/>
        <w:ind w:left="426" w:hanging="426"/>
        <w:rPr>
          <w:rFonts w:eastAsia="Calibri"/>
          <w:color w:val="000000" w:themeColor="text1"/>
          <w:lang w:val="en-US" w:eastAsia="ru-RU"/>
        </w:rPr>
      </w:pPr>
      <w:r>
        <w:rPr>
          <w:color w:val="000000" w:themeColor="text1"/>
          <w:lang w:val="en-US"/>
        </w:rPr>
        <w:t>PRODUCT MONOGRAPH including patient medication information JARDIANCE</w:t>
      </w:r>
      <w:r>
        <w:rPr>
          <w:color w:val="000000" w:themeColor="text1"/>
          <w:vertAlign w:val="superscript"/>
          <w:lang w:val="en-US"/>
        </w:rPr>
        <w:t>®</w:t>
      </w:r>
      <w:r>
        <w:rPr>
          <w:color w:val="000000" w:themeColor="text1"/>
          <w:lang w:val="en-US"/>
        </w:rPr>
        <w:t xml:space="preserve"> Empagliflozin Tablets, 10 mg and 25 mg, Oral. Date of Revision: October 29, 2021. </w:t>
      </w:r>
      <w:r w:rsidRPr="006F5C46">
        <w:rPr>
          <w:lang w:val="en-US"/>
        </w:rPr>
        <w:t>https://www.boehringer-ingelheim.ca/sites/ca/files/documents/jardiancepmen.pdf</w:t>
      </w:r>
    </w:p>
    <w:p w14:paraId="2F838334" w14:textId="4F2393D5" w:rsidR="00C649F4" w:rsidRPr="006F5C46"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ANNEX I SUMMARY OF PRODUCT CHARACTERISTICS. Jardiance 10 mg and 25 mg film-coated tablets. </w:t>
      </w:r>
      <w:r w:rsidRPr="006F5C46">
        <w:rPr>
          <w:lang w:val="en-US"/>
        </w:rPr>
        <w:t>https://www.ema.europa.eu/en/documents/product-information/jardiance-epar-product-information_en.pdf</w:t>
      </w:r>
    </w:p>
    <w:p w14:paraId="634D2E77" w14:textId="4F52C59D" w:rsidR="00C649F4" w:rsidRDefault="00C649F4" w:rsidP="00C54D0D">
      <w:pPr>
        <w:pStyle w:val="ListParagraph"/>
        <w:numPr>
          <w:ilvl w:val="0"/>
          <w:numId w:val="12"/>
        </w:numPr>
        <w:tabs>
          <w:tab w:val="left" w:pos="426"/>
        </w:tabs>
        <w:spacing w:after="0" w:line="240" w:lineRule="auto"/>
        <w:ind w:left="426" w:hanging="426"/>
        <w:rPr>
          <w:color w:val="000000" w:themeColor="text1"/>
          <w:lang w:val="en-US"/>
        </w:rPr>
      </w:pPr>
      <w:r>
        <w:rPr>
          <w:color w:val="000000" w:themeColor="text1"/>
          <w:lang w:val="en-US"/>
        </w:rPr>
        <w:t xml:space="preserve">HIGHLIGHTS OF PRESCRIBING INFORMATION.  JARDIANCE® (empagliflozin) tablets, for oral use.  Initial U.S. Approval: 2014. Revised: 12/2016. </w:t>
      </w:r>
      <w:r>
        <w:rPr>
          <w:color w:val="000000" w:themeColor="text1"/>
        </w:rPr>
        <w:t>Р</w:t>
      </w:r>
      <w:r>
        <w:rPr>
          <w:color w:val="000000" w:themeColor="text1"/>
          <w:lang w:val="en-US"/>
        </w:rPr>
        <w:t xml:space="preserve">. 34. </w:t>
      </w:r>
      <w:r w:rsidRPr="006F5C46">
        <w:rPr>
          <w:lang w:val="en-US"/>
        </w:rPr>
        <w:t>https://www.accessdata.fda.gov/drugsatfda_docs/label/2016/204629s008lbl.pdf</w:t>
      </w:r>
    </w:p>
    <w:p w14:paraId="050E6D0D" w14:textId="54AB94D8" w:rsidR="00C035FA" w:rsidRPr="00C649F4" w:rsidRDefault="00C649F4" w:rsidP="00C54D0D">
      <w:pPr>
        <w:pStyle w:val="ListParagraph"/>
        <w:keepNext/>
        <w:numPr>
          <w:ilvl w:val="0"/>
          <w:numId w:val="12"/>
        </w:numPr>
        <w:tabs>
          <w:tab w:val="left" w:pos="426"/>
        </w:tabs>
        <w:suppressAutoHyphens/>
        <w:spacing w:after="0" w:line="240" w:lineRule="auto"/>
        <w:ind w:left="426" w:hanging="426"/>
        <w:contextualSpacing w:val="0"/>
        <w:rPr>
          <w:rStyle w:val="Hyperlink"/>
          <w:color w:val="000000" w:themeColor="text1"/>
          <w:kern w:val="28"/>
          <w:u w:val="none"/>
          <w:lang w:val="en-US"/>
        </w:rPr>
      </w:pPr>
      <w:r w:rsidRPr="00E14858">
        <w:rPr>
          <w:lang w:val="en-US"/>
        </w:rPr>
        <w:t>PRODUCT MONOGRAPH INCLUDING PATIENT MEDICATION INFORMATION «</w:t>
      </w:r>
      <w:proofErr w:type="spellStart"/>
      <w:r w:rsidRPr="00E14858">
        <w:rPr>
          <w:vertAlign w:val="superscript"/>
          <w:lang w:val="en-US"/>
        </w:rPr>
        <w:t>Pr</w:t>
      </w:r>
      <w:r w:rsidRPr="00E14858">
        <w:rPr>
          <w:lang w:val="en-US"/>
        </w:rPr>
        <w:t>JARDIANCE</w:t>
      </w:r>
      <w:proofErr w:type="spellEnd"/>
      <w:r w:rsidRPr="00E14858">
        <w:rPr>
          <w:vertAlign w:val="superscript"/>
          <w:lang w:val="en-US"/>
        </w:rPr>
        <w:t>®</w:t>
      </w:r>
      <w:r w:rsidRPr="00E14858">
        <w:rPr>
          <w:lang w:val="en-US"/>
        </w:rPr>
        <w:t xml:space="preserve"> Empagliflozin»</w:t>
      </w:r>
      <w:r w:rsidRPr="00E14858">
        <w:rPr>
          <w:color w:val="000000" w:themeColor="text1"/>
          <w:kern w:val="28"/>
          <w:lang w:val="en-US"/>
        </w:rPr>
        <w:t xml:space="preserve"> </w:t>
      </w:r>
      <w:r w:rsidRPr="00E14858">
        <w:rPr>
          <w:lang w:val="en-US"/>
        </w:rPr>
        <w:t xml:space="preserve">Boehringer Ingelheim (Canada) Ltd. 5180 South Service Road Burlington, ON L7L </w:t>
      </w:r>
      <w:r w:rsidRPr="00C649F4">
        <w:rPr>
          <w:color w:val="000000" w:themeColor="text1"/>
          <w:lang w:val="en-US"/>
        </w:rPr>
        <w:t>5H4</w:t>
      </w:r>
      <w:r w:rsidRPr="00C649F4">
        <w:rPr>
          <w:color w:val="000000" w:themeColor="text1"/>
          <w:kern w:val="28"/>
          <w:lang w:val="en-US"/>
        </w:rPr>
        <w:t xml:space="preserve"> </w:t>
      </w:r>
      <w:r w:rsidRPr="006F5C46">
        <w:rPr>
          <w:lang w:val="en-US"/>
        </w:rPr>
        <w:t>https://pdf.hres.ca/dpd_pm/00063412.PDF</w:t>
      </w:r>
    </w:p>
    <w:p w14:paraId="157A51EF" w14:textId="77777777" w:rsidR="00C035FA" w:rsidRDefault="008D5756">
      <w:pPr>
        <w:pStyle w:val="Heading1"/>
        <w:spacing w:line="240" w:lineRule="auto"/>
        <w:rPr>
          <w:rFonts w:cs="Times New Roman"/>
          <w:color w:val="000000" w:themeColor="text1"/>
          <w:szCs w:val="24"/>
          <w:highlight w:val="yellow"/>
          <w:lang w:val="en-US"/>
        </w:rPr>
      </w:pPr>
      <w:r>
        <w:rPr>
          <w:rFonts w:cs="Times New Roman"/>
          <w:color w:val="000000" w:themeColor="text1"/>
          <w:szCs w:val="24"/>
          <w:highlight w:val="yellow"/>
          <w:lang w:val="en-US"/>
        </w:rPr>
        <w:br w:type="page"/>
      </w:r>
    </w:p>
    <w:p w14:paraId="10A5F8DF" w14:textId="39330387" w:rsidR="00C035FA" w:rsidRDefault="008D5756">
      <w:pPr>
        <w:pStyle w:val="Heading1"/>
        <w:spacing w:line="240" w:lineRule="auto"/>
        <w:rPr>
          <w:rFonts w:cs="Times New Roman"/>
          <w:color w:val="000000" w:themeColor="text1"/>
          <w:szCs w:val="24"/>
        </w:rPr>
      </w:pPr>
      <w:bookmarkStart w:id="115" w:name="_Toc139366874"/>
      <w:r>
        <w:rPr>
          <w:rFonts w:cs="Times New Roman"/>
          <w:color w:val="000000" w:themeColor="text1"/>
          <w:szCs w:val="24"/>
        </w:rPr>
        <w:lastRenderedPageBreak/>
        <w:t>4. ДЕЙСТВИЕ У ЧЕЛОВЕКА</w:t>
      </w:r>
      <w:bookmarkEnd w:id="115"/>
    </w:p>
    <w:p w14:paraId="4A493B95" w14:textId="77777777" w:rsidR="00C035FA" w:rsidRDefault="008D5756">
      <w:pPr>
        <w:pStyle w:val="Heading2"/>
        <w:spacing w:line="240" w:lineRule="auto"/>
        <w:rPr>
          <w:color w:val="000000" w:themeColor="text1"/>
          <w:szCs w:val="24"/>
        </w:rPr>
      </w:pPr>
      <w:bookmarkStart w:id="116" w:name="_Toc139366875"/>
      <w:r>
        <w:rPr>
          <w:color w:val="000000" w:themeColor="text1"/>
          <w:szCs w:val="24"/>
        </w:rPr>
        <w:t>Введение и резюме</w:t>
      </w:r>
      <w:bookmarkEnd w:id="116"/>
    </w:p>
    <w:p w14:paraId="43E22AB6" w14:textId="3AA6F349" w:rsidR="00C035FA" w:rsidRPr="00564AC2" w:rsidRDefault="008D5756" w:rsidP="00564AC2">
      <w:pPr>
        <w:spacing w:after="0" w:line="240" w:lineRule="auto"/>
        <w:ind w:firstLine="709"/>
        <w:rPr>
          <w:rStyle w:val="CommentReference"/>
        </w:rPr>
      </w:pPr>
      <w:r>
        <w:t xml:space="preserve">Клинических исследований препарата </w:t>
      </w:r>
      <w:r>
        <w:rPr>
          <w:lang w:val="en-US" w:eastAsia="ru-RU"/>
        </w:rPr>
        <w:t>DT</w:t>
      </w:r>
      <w:r>
        <w:rPr>
          <w:lang w:eastAsia="ru-RU"/>
        </w:rPr>
        <w:t>-</w:t>
      </w:r>
      <w:r>
        <w:rPr>
          <w:lang w:val="en-US" w:eastAsia="ru-RU"/>
        </w:rPr>
        <w:t>EMP</w:t>
      </w:r>
      <w:r>
        <w:t>, таблетки, покрытые пленочной оболочкой, 10 мг</w:t>
      </w:r>
      <w:r w:rsidR="00492903" w:rsidRPr="00492903">
        <w:t xml:space="preserve"> </w:t>
      </w:r>
      <w:r w:rsidR="00492903">
        <w:t>и</w:t>
      </w:r>
      <w:r>
        <w:t xml:space="preserve"> 25 мг (АО «Р-Фарм», Россия) не проводилось. Так как препарат </w:t>
      </w:r>
      <w:r>
        <w:rPr>
          <w:lang w:val="en-US" w:eastAsia="ru-RU"/>
        </w:rPr>
        <w:t>DT</w:t>
      </w:r>
      <w:r>
        <w:rPr>
          <w:lang w:eastAsia="ru-RU"/>
        </w:rPr>
        <w:t>-</w:t>
      </w:r>
      <w:r>
        <w:rPr>
          <w:lang w:val="en-US" w:eastAsia="ru-RU"/>
        </w:rPr>
        <w:t>EMP</w:t>
      </w:r>
      <w:r>
        <w:t>, разработанный АО «Р-Фарм», Россия, представляет собой воспроизведенный препарат эмпаглифлозина, ожидается, что его свойства будут идентичны свойствам оригинального препарата Джардинс</w:t>
      </w:r>
      <w:r w:rsidRPr="00171669">
        <w:rPr>
          <w:vertAlign w:val="superscript"/>
        </w:rPr>
        <w:t>®</w:t>
      </w:r>
      <w:r>
        <w:t xml:space="preserve"> (МНН: эмпаглифлозин), таблетки, покрытые пленочной оболочкой, 10 мг </w:t>
      </w:r>
      <w:r w:rsidR="00492903">
        <w:t xml:space="preserve">и </w:t>
      </w:r>
      <w:r>
        <w:t>25 мг (</w:t>
      </w:r>
      <w:r w:rsidR="00564AC2">
        <w:rPr>
          <w:rFonts w:eastAsia="Calibri"/>
          <w:bCs/>
        </w:rPr>
        <w:t>Берингер Ингельхайм Интернешнл ГмбХ, Германия</w:t>
      </w:r>
      <w:r>
        <w:t xml:space="preserve">), которому </w:t>
      </w:r>
      <w:r>
        <w:rPr>
          <w:lang w:val="en-US" w:eastAsia="ru-RU"/>
        </w:rPr>
        <w:t>DT</w:t>
      </w:r>
      <w:r>
        <w:rPr>
          <w:lang w:eastAsia="ru-RU"/>
        </w:rPr>
        <w:t>-</w:t>
      </w:r>
      <w:r>
        <w:rPr>
          <w:lang w:val="en-US" w:eastAsia="ru-RU"/>
        </w:rPr>
        <w:t>EMP</w:t>
      </w:r>
      <w:r>
        <w:rPr>
          <w:lang w:eastAsia="ru-RU"/>
        </w:rPr>
        <w:t xml:space="preserve"> </w:t>
      </w:r>
      <w:r>
        <w:t xml:space="preserve">полностью соответствует по качественному и количественному составу действующих и вспомогательных веществ, а также по лекарственной форме и дозировке. </w:t>
      </w:r>
      <w:r w:rsidR="00564AC2">
        <w:t xml:space="preserve">Имеются незначительные отличия в составе пленочной оболочки. </w:t>
      </w:r>
      <w:r>
        <w:t>В связи с этим ниже приводятся данные клинических исследований оригинального препарата эмпаглифлозина.</w:t>
      </w:r>
    </w:p>
    <w:p w14:paraId="568D6241" w14:textId="529A07B3" w:rsidR="00C035FA" w:rsidRDefault="008D5756">
      <w:pPr>
        <w:spacing w:after="0" w:line="240" w:lineRule="auto"/>
        <w:ind w:firstLine="708"/>
      </w:pPr>
      <w:r>
        <w:t xml:space="preserve">Эмпаглифлозин имеет следующие </w:t>
      </w:r>
      <w:r w:rsidR="0016072E">
        <w:t>значения</w:t>
      </w:r>
      <w:r>
        <w:t xml:space="preserve"> основных фармакокинетических параметров:</w:t>
      </w:r>
    </w:p>
    <w:p w14:paraId="08FF452A" w14:textId="43594EF4" w:rsidR="00C035FA" w:rsidRPr="008A5E05" w:rsidRDefault="008D5756">
      <w:pPr>
        <w:spacing w:after="0" w:line="240" w:lineRule="auto"/>
        <w:ind w:firstLine="708"/>
      </w:pPr>
      <w:r>
        <w:t>- Максимальная концентрация в плазме крови (</w:t>
      </w:r>
      <w:proofErr w:type="spellStart"/>
      <w:r>
        <w:rPr>
          <w:lang w:val="en-US"/>
        </w:rPr>
        <w:t>C</w:t>
      </w:r>
      <w:r w:rsidRPr="00171669">
        <w:rPr>
          <w:vertAlign w:val="subscript"/>
          <w:lang w:val="en-US"/>
        </w:rPr>
        <w:t>max</w:t>
      </w:r>
      <w:proofErr w:type="spellEnd"/>
      <w:r>
        <w:t xml:space="preserve">) </w:t>
      </w:r>
      <w:r w:rsidR="000B74E1">
        <w:t>–</w:t>
      </w:r>
      <w:r>
        <w:t xml:space="preserve"> 687 нмоль/л</w:t>
      </w:r>
      <w:r w:rsidR="008A5E05" w:rsidRPr="00E14858">
        <w:t>;</w:t>
      </w:r>
    </w:p>
    <w:p w14:paraId="440CFECD" w14:textId="5436B6BD" w:rsidR="00C035FA" w:rsidRDefault="008D5756">
      <w:pPr>
        <w:spacing w:after="0" w:line="240" w:lineRule="auto"/>
        <w:ind w:firstLine="708"/>
      </w:pPr>
      <w:r>
        <w:t>- Время наступления максимальной концентрации (T</w:t>
      </w:r>
      <w:r w:rsidR="00171669" w:rsidRPr="00171669">
        <w:rPr>
          <w:vertAlign w:val="subscript"/>
          <w:lang w:val="en-US"/>
        </w:rPr>
        <w:t>max</w:t>
      </w:r>
      <w:r>
        <w:t xml:space="preserve">) </w:t>
      </w:r>
      <w:r w:rsidR="000B74E1">
        <w:t>–</w:t>
      </w:r>
      <w:r>
        <w:t xml:space="preserve"> 1,5 часа</w:t>
      </w:r>
      <w:r w:rsidRPr="00E14858">
        <w:t>;</w:t>
      </w:r>
    </w:p>
    <w:p w14:paraId="4197CE32" w14:textId="77777777" w:rsidR="00C035FA" w:rsidRDefault="008D5756">
      <w:pPr>
        <w:spacing w:after="0" w:line="240" w:lineRule="auto"/>
        <w:ind w:firstLine="708"/>
        <w:rPr>
          <w:szCs w:val="28"/>
        </w:rPr>
      </w:pPr>
      <w:r>
        <w:rPr>
          <w:szCs w:val="28"/>
        </w:rPr>
        <w:t>- Период полувыведения (T</w:t>
      </w:r>
      <w:r>
        <w:rPr>
          <w:szCs w:val="28"/>
          <w:vertAlign w:val="subscript"/>
        </w:rPr>
        <w:t>1/2</w:t>
      </w:r>
      <w:r>
        <w:rPr>
          <w:szCs w:val="28"/>
        </w:rPr>
        <w:t>) составлял примерно 12,4 часа.</w:t>
      </w:r>
    </w:p>
    <w:p w14:paraId="44E07E8E" w14:textId="77777777" w:rsidR="0016072E" w:rsidRPr="0016072E" w:rsidRDefault="008D5756" w:rsidP="0016072E">
      <w:pPr>
        <w:pStyle w:val="OT"/>
        <w:spacing w:after="0"/>
        <w:ind w:firstLine="709"/>
        <w:rPr>
          <w:sz w:val="24"/>
          <w:szCs w:val="24"/>
        </w:rPr>
      </w:pPr>
      <w:r w:rsidRPr="0016072E">
        <w:rPr>
          <w:sz w:val="24"/>
          <w:szCs w:val="24"/>
        </w:rPr>
        <w:t>В клинические исследования побочного действия эмпаглифлозина на сердечно-сосудистую систему были включены пациенты с сердечной недостаточностью и либо со сниженной фракцией выброса (N=3726) или с сохраненной фракцией выброса (N=5985), получавши</w:t>
      </w:r>
      <w:r w:rsidR="0016072E" w:rsidRPr="0016072E">
        <w:rPr>
          <w:sz w:val="24"/>
          <w:szCs w:val="24"/>
        </w:rPr>
        <w:t>е</w:t>
      </w:r>
      <w:r w:rsidRPr="0016072E">
        <w:rPr>
          <w:sz w:val="24"/>
          <w:szCs w:val="24"/>
        </w:rPr>
        <w:t xml:space="preserve"> эмпаглифлозин в дозе 10 мг или плацебо. Примерно у половины пациентов был сахарный диабет 2 типа. Наиболее частой побочной реакцией являлось снижение сердечного выброса (эмпаглифлозин в дозе 10 мг: 11,4%. плацебо: 9,7%). Общий профиль безопасности эмпаглифлозина в целом был одинаковым для всех изученных показаний.</w:t>
      </w:r>
    </w:p>
    <w:p w14:paraId="3E392EBA" w14:textId="1A3380CA" w:rsidR="00C035FA" w:rsidRPr="0016072E" w:rsidRDefault="008D5756" w:rsidP="0016072E">
      <w:pPr>
        <w:pStyle w:val="OT"/>
        <w:spacing w:after="0"/>
        <w:ind w:firstLine="709"/>
        <w:rPr>
          <w:sz w:val="24"/>
          <w:szCs w:val="24"/>
        </w:rPr>
      </w:pPr>
      <w:r w:rsidRPr="0016072E">
        <w:rPr>
          <w:sz w:val="24"/>
          <w:szCs w:val="24"/>
        </w:rPr>
        <w:t>В 2017г</w:t>
      </w:r>
      <w:r w:rsidR="00E87E13" w:rsidRPr="0016072E">
        <w:rPr>
          <w:sz w:val="24"/>
          <w:szCs w:val="24"/>
        </w:rPr>
        <w:t>.</w:t>
      </w:r>
      <w:r w:rsidRPr="0016072E">
        <w:rPr>
          <w:sz w:val="24"/>
          <w:szCs w:val="24"/>
        </w:rPr>
        <w:t xml:space="preserve"> были опубликованы данные исследования CVD-REAL по результатам лечения препаратами группы иНГЛТ-2 пациентов с СД2 в реальной клинической практике. В этом наблюдательном ретроспективном исследовании проводился анализ госпитализаций по поводу сердечной недостаточности у анонимных пациентов из Дании, Германии, Норвегии, Швеции, Великобритании и США (анализ электронных историй болезни).</w:t>
      </w:r>
    </w:p>
    <w:p w14:paraId="32C27A0D" w14:textId="520D512B" w:rsidR="00C035FA" w:rsidRDefault="008D5756">
      <w:pPr>
        <w:spacing w:after="0" w:line="240" w:lineRule="auto"/>
        <w:ind w:firstLine="709"/>
      </w:pPr>
      <w:r w:rsidRPr="0016072E">
        <w:t xml:space="preserve">В исследование </w:t>
      </w:r>
      <w:r w:rsidR="000049B1" w:rsidRPr="0016072E">
        <w:t>было включено</w:t>
      </w:r>
      <w:r w:rsidRPr="0016072E">
        <w:t xml:space="preserve"> 309056 пациентов с СД2, половина из которых принимала иНГЛТ-2 (дапаглифлозин 42%, канаглифлозин 53%, эмпаглифлозин 5%), а половина </w:t>
      </w:r>
      <w:r w:rsidR="000B74E1">
        <w:t>–</w:t>
      </w:r>
      <w:r w:rsidR="000B74E1" w:rsidRPr="0016072E">
        <w:t xml:space="preserve"> </w:t>
      </w:r>
      <w:r w:rsidRPr="0016072E">
        <w:t>любые другие сахароснижающие препараты, включая инсулин. У большинства включенных пациентов (87%) не имелось в анамнезе ССЗ, и несмотря на это было показано, что лечение</w:t>
      </w:r>
      <w:r>
        <w:t xml:space="preserve"> иНГЛТ-2 снижает частоту госпитализаций по  поводу сердечной недостаточности на  39% (p&lt;0,001) и  общую смертность на 51% (p&lt;0,001) по сравнению с другими сахароснижающими препаратами, частоту событий комбинированной конечной точки госпитализаций по поводу сердечной недостаточности и смерти от любых причин снизалась на 46% (p&lt;0,001).</w:t>
      </w:r>
    </w:p>
    <w:p w14:paraId="142447CB" w14:textId="7E3F5BA4" w:rsidR="00C035FA" w:rsidRPr="00171669" w:rsidRDefault="008D5756" w:rsidP="00171669">
      <w:pPr>
        <w:spacing w:after="0" w:line="240" w:lineRule="auto"/>
        <w:ind w:firstLine="709"/>
      </w:pPr>
      <w:r>
        <w:t xml:space="preserve">Таким образом, в исследовании CVD-REAL показана существенно большая эффективность в снижении риска ССО, сердечно-сосудистой смертности и смертности от всех причин, чем в исследовании EMPA-REG OUTCOME даже у пациентов, не имевших высокого сердечно-сосудистого риска. Несмотря </w:t>
      </w:r>
      <w:r w:rsidR="0016072E">
        <w:t>на столь</w:t>
      </w:r>
      <w:r>
        <w:t xml:space="preserve"> впечатляющие результаты исследования CVD-REAL, произошла переоценка эффективности препаратов с точки зрения усиления реального эффекта (в основном дапаглифлозина и канаглифлозина, т.к. их </w:t>
      </w:r>
      <w:r>
        <w:lastRenderedPageBreak/>
        <w:t>принимало подавляющее большинство пациентов), особенно в отношении способности снижения сердечно-сосудистой и общей смертности.</w:t>
      </w:r>
    </w:p>
    <w:p w14:paraId="72BBF8D1" w14:textId="75D72B97" w:rsidR="00C035FA" w:rsidRDefault="008D5756" w:rsidP="00171669">
      <w:pPr>
        <w:spacing w:line="240" w:lineRule="auto"/>
        <w:ind w:firstLine="709"/>
      </w:pPr>
      <w:r>
        <w:t xml:space="preserve">Эмпаглифлозин, селективный ингибитор натрийзависимого переносчика глюкозы 2-го типа (SGLT2), стал первым сахароснижающим препаратом, имеющим преимущество перед плацебо по безопасности влияния на сердечно-сосудистую систему. Механизм действия данного класса основан на ингибировании белка SGLT2, ответственного за реабсорбцию глюкозы в проксимальных канальцах почек, где происходит 90% реабсорбции глюкозы. При ингибировании этого белка возникает искусственная глюкозурия, что и обеспечивает гипогликемический эффект. Ингибиторы SGLT2 — единственный класс сахароснижающих препаратов, обладающий </w:t>
      </w:r>
      <w:r w:rsidR="0016072E">
        <w:t>инсулиннезависимым</w:t>
      </w:r>
      <w:r>
        <w:t xml:space="preserve"> механизмом действия, что дает возможность эффективно сочетать их с другими сахароснижающими препаратами. Ингибиторы SGLT2 столь же эффективны, как и другие антидиабетические средства, в снижении уровня гликированного гемоглобина (HbA1c), при этом их использование позволяет контролировать и гликемию, и массу тела.</w:t>
      </w:r>
    </w:p>
    <w:p w14:paraId="304551ED" w14:textId="77777777" w:rsidR="00C035FA" w:rsidRDefault="008D5756">
      <w:pPr>
        <w:pStyle w:val="Heading2"/>
        <w:spacing w:line="240" w:lineRule="auto"/>
        <w:rPr>
          <w:color w:val="000000" w:themeColor="text1"/>
          <w:szCs w:val="24"/>
        </w:rPr>
      </w:pPr>
      <w:bookmarkStart w:id="117" w:name="_Toc139366876"/>
      <w:r>
        <w:rPr>
          <w:color w:val="000000" w:themeColor="text1"/>
          <w:szCs w:val="24"/>
        </w:rPr>
        <w:t>4.1. Фармакокинетика у человека</w:t>
      </w:r>
      <w:bookmarkEnd w:id="117"/>
    </w:p>
    <w:p w14:paraId="6E64CF6E" w14:textId="77777777" w:rsidR="00C035FA" w:rsidRDefault="008D5756">
      <w:pPr>
        <w:pStyle w:val="Heading3"/>
        <w:spacing w:after="240" w:line="240" w:lineRule="auto"/>
        <w:rPr>
          <w:rFonts w:ascii="Times New Roman" w:hAnsi="Times New Roman"/>
          <w:bCs w:val="0"/>
          <w:szCs w:val="24"/>
        </w:rPr>
      </w:pPr>
      <w:bookmarkStart w:id="118" w:name="_Toc139366877"/>
      <w:r>
        <w:rPr>
          <w:rFonts w:ascii="Times New Roman" w:hAnsi="Times New Roman"/>
          <w:bCs w:val="0"/>
          <w:szCs w:val="24"/>
        </w:rPr>
        <w:t>4.1.1. Всасывание</w:t>
      </w:r>
      <w:bookmarkEnd w:id="118"/>
    </w:p>
    <w:p w14:paraId="2C76A31A" w14:textId="5FE26AC6" w:rsidR="00C035FA" w:rsidRDefault="008D5756">
      <w:pPr>
        <w:spacing w:after="0" w:line="240" w:lineRule="auto"/>
        <w:ind w:firstLine="708"/>
      </w:pPr>
      <w:r>
        <w:t>Эмпаглифлозин после приема внутрь быстро всасывался, максимальная концентрация эмпаглифлозина в плазме крови (С</w:t>
      </w:r>
      <w:r>
        <w:rPr>
          <w:vertAlign w:val="subscript"/>
          <w:lang w:val="en-US"/>
        </w:rPr>
        <w:t>m</w:t>
      </w:r>
      <w:r>
        <w:rPr>
          <w:vertAlign w:val="subscript"/>
        </w:rPr>
        <w:t>ах</w:t>
      </w:r>
      <w:r>
        <w:t>) достигалась через 1,5 часа. Затем концентрация эмпаглифлозина в плазме снижалась в две фазы: с быстрой фазой распределения и относительно медленной конечной фазой.</w:t>
      </w:r>
    </w:p>
    <w:p w14:paraId="736463FB" w14:textId="36D84817" w:rsidR="00C035FA" w:rsidRPr="00171669" w:rsidRDefault="008D5756" w:rsidP="00171669">
      <w:pPr>
        <w:spacing w:after="0" w:line="240" w:lineRule="auto"/>
        <w:ind w:firstLine="708"/>
      </w:pPr>
      <w:r>
        <w:t xml:space="preserve">Прием пищи не оказывает клинически значимого влияния на фармакокинетику эмпаглифлозина </w:t>
      </w:r>
      <w:r>
        <w:rPr>
          <w:iCs/>
          <w:szCs w:val="28"/>
        </w:rPr>
        <w:t>[</w:t>
      </w:r>
      <w:r w:rsidR="00171669">
        <w:rPr>
          <w:iCs/>
          <w:szCs w:val="28"/>
        </w:rPr>
        <w:t>1</w:t>
      </w:r>
      <w:r>
        <w:rPr>
          <w:iCs/>
          <w:szCs w:val="28"/>
        </w:rPr>
        <w:t>].</w:t>
      </w:r>
    </w:p>
    <w:p w14:paraId="6D5C91B0" w14:textId="77777777" w:rsidR="00C035FA" w:rsidRDefault="008D5756">
      <w:pPr>
        <w:pStyle w:val="Heading3"/>
        <w:spacing w:after="240" w:line="240" w:lineRule="auto"/>
        <w:rPr>
          <w:rFonts w:ascii="Times New Roman" w:hAnsi="Times New Roman"/>
          <w:bCs w:val="0"/>
          <w:szCs w:val="24"/>
          <w:highlight w:val="yellow"/>
        </w:rPr>
      </w:pPr>
      <w:bookmarkStart w:id="119" w:name="_Toc52190578"/>
      <w:bookmarkStart w:id="120" w:name="_Toc139366878"/>
      <w:r>
        <w:rPr>
          <w:rFonts w:ascii="Times New Roman" w:hAnsi="Times New Roman"/>
          <w:bCs w:val="0"/>
          <w:szCs w:val="24"/>
        </w:rPr>
        <w:t>4.1.2. Распределение</w:t>
      </w:r>
      <w:bookmarkEnd w:id="119"/>
      <w:bookmarkEnd w:id="120"/>
    </w:p>
    <w:p w14:paraId="300B217D" w14:textId="5FAB9225" w:rsidR="00C035FA" w:rsidRDefault="008D5756">
      <w:pPr>
        <w:spacing w:after="0" w:line="240" w:lineRule="auto"/>
        <w:ind w:firstLine="708"/>
      </w:pPr>
      <w:r>
        <w:t>После приема эмпаглифлозина в дозе 25 мг 1 раз в день средняя величина площади под кривой «концентрация-время» (AUC) в период равновесной плазменной концентрации составляла 4740 нмоль х час/л, а величина С</w:t>
      </w:r>
      <w:r>
        <w:rPr>
          <w:vertAlign w:val="subscript"/>
          <w:lang w:val="en-US"/>
        </w:rPr>
        <w:t>m</w:t>
      </w:r>
      <w:r>
        <w:rPr>
          <w:vertAlign w:val="subscript"/>
        </w:rPr>
        <w:t>ах</w:t>
      </w:r>
      <w:r>
        <w:t xml:space="preserve"> </w:t>
      </w:r>
      <w:r w:rsidR="007B7A07">
        <w:t>–</w:t>
      </w:r>
      <w:r>
        <w:t xml:space="preserve"> 687 нмоль/л.</w:t>
      </w:r>
    </w:p>
    <w:p w14:paraId="7E1BF0A3" w14:textId="2460D8B5" w:rsidR="00171669" w:rsidRPr="00171669" w:rsidRDefault="008D5756" w:rsidP="000626D3">
      <w:pPr>
        <w:spacing w:after="0" w:line="240" w:lineRule="auto"/>
        <w:ind w:firstLine="708"/>
        <w:rPr>
          <w:iCs/>
          <w:szCs w:val="28"/>
        </w:rPr>
      </w:pPr>
      <w:r>
        <w:t xml:space="preserve">Фармакокинетика эмпаглифлозина у здоровых добровольцев и у пациентов с СД2 была, в целом, аналогичной </w:t>
      </w:r>
      <w:r>
        <w:rPr>
          <w:iCs/>
          <w:szCs w:val="28"/>
        </w:rPr>
        <w:t>[</w:t>
      </w:r>
      <w:r w:rsidR="00171669">
        <w:rPr>
          <w:iCs/>
          <w:szCs w:val="28"/>
        </w:rPr>
        <w:t>1</w:t>
      </w:r>
      <w:r>
        <w:rPr>
          <w:iCs/>
          <w:szCs w:val="28"/>
        </w:rPr>
        <w:t>]</w:t>
      </w:r>
      <w:r w:rsidR="00171669">
        <w:rPr>
          <w:iCs/>
          <w:szCs w:val="28"/>
        </w:rPr>
        <w:t>.</w:t>
      </w:r>
    </w:p>
    <w:p w14:paraId="0DF90AA2" w14:textId="77777777" w:rsidR="00C035FA" w:rsidRDefault="008D5756">
      <w:pPr>
        <w:pStyle w:val="Heading3"/>
        <w:spacing w:after="240" w:line="240" w:lineRule="auto"/>
        <w:rPr>
          <w:rFonts w:ascii="Times New Roman" w:hAnsi="Times New Roman"/>
          <w:bCs w:val="0"/>
          <w:szCs w:val="24"/>
        </w:rPr>
      </w:pPr>
      <w:bookmarkStart w:id="121" w:name="_Toc52190579"/>
      <w:bookmarkStart w:id="122" w:name="_Toc139366879"/>
      <w:r>
        <w:rPr>
          <w:rFonts w:ascii="Times New Roman" w:hAnsi="Times New Roman"/>
          <w:bCs w:val="0"/>
          <w:szCs w:val="24"/>
        </w:rPr>
        <w:t>4.1.3. Метаболизм</w:t>
      </w:r>
      <w:bookmarkEnd w:id="121"/>
      <w:bookmarkEnd w:id="122"/>
    </w:p>
    <w:p w14:paraId="2619986F" w14:textId="5412811D" w:rsidR="00C035FA" w:rsidRDefault="008D5756">
      <w:pPr>
        <w:spacing w:after="0" w:line="240" w:lineRule="auto"/>
        <w:ind w:firstLine="708"/>
        <w:rPr>
          <w:szCs w:val="28"/>
        </w:rPr>
      </w:pPr>
      <w:bookmarkStart w:id="123" w:name="_Toc52190580"/>
      <w:r>
        <w:rPr>
          <w:szCs w:val="28"/>
          <w:lang w:val="zh-CN"/>
        </w:rPr>
        <w:t xml:space="preserve">Основной путь метаболизма эмпаглифлозина у человека </w:t>
      </w:r>
      <w:r w:rsidR="007B7A07">
        <w:rPr>
          <w:szCs w:val="28"/>
          <w:lang w:val="zh-CN"/>
        </w:rPr>
        <w:t>–</w:t>
      </w:r>
      <w:r>
        <w:rPr>
          <w:szCs w:val="28"/>
          <w:lang w:val="zh-CN"/>
        </w:rPr>
        <w:t xml:space="preserve"> глюкуронидация с участием уридин-5’-дифосфо-глюкуронозилтрансфераз UGT2B7, UGT1A3, UGT1A8 и UGT1A9. Наиболее часто выявляемыми метаболитами эмпаглифлозина являются 3 глюкуроновых конъюгата (2-0, 3-0 и 6-0 глюкуронид). Системное влияние каждого метаболита невелико (менее 10 % от общего влияния эмпаглифлозина)</w:t>
      </w:r>
      <w:r>
        <w:rPr>
          <w:szCs w:val="28"/>
        </w:rPr>
        <w:t xml:space="preserve"> </w:t>
      </w:r>
      <w:r>
        <w:rPr>
          <w:iCs/>
          <w:szCs w:val="28"/>
        </w:rPr>
        <w:t>[</w:t>
      </w:r>
      <w:r w:rsidR="00171669">
        <w:rPr>
          <w:iCs/>
          <w:szCs w:val="28"/>
        </w:rPr>
        <w:t>1</w:t>
      </w:r>
      <w:r>
        <w:rPr>
          <w:iCs/>
          <w:szCs w:val="28"/>
        </w:rPr>
        <w:t>].</w:t>
      </w:r>
    </w:p>
    <w:p w14:paraId="3EF99AEA" w14:textId="00A404D3" w:rsidR="00C035FA" w:rsidRDefault="008D5756">
      <w:pPr>
        <w:pStyle w:val="Heading3"/>
        <w:spacing w:after="240" w:line="240" w:lineRule="auto"/>
        <w:rPr>
          <w:rFonts w:ascii="Times New Roman" w:hAnsi="Times New Roman"/>
          <w:bCs w:val="0"/>
          <w:szCs w:val="24"/>
        </w:rPr>
      </w:pPr>
      <w:bookmarkStart w:id="124" w:name="_Toc139366880"/>
      <w:r>
        <w:rPr>
          <w:rFonts w:ascii="Times New Roman" w:hAnsi="Times New Roman"/>
          <w:bCs w:val="0"/>
          <w:szCs w:val="24"/>
        </w:rPr>
        <w:t>4.1.4. Выведение</w:t>
      </w:r>
      <w:bookmarkEnd w:id="123"/>
      <w:bookmarkEnd w:id="124"/>
    </w:p>
    <w:p w14:paraId="08B8CC84" w14:textId="645D4A15" w:rsidR="00C035FA" w:rsidRDefault="008D5756">
      <w:pPr>
        <w:spacing w:after="0" w:line="240" w:lineRule="auto"/>
        <w:ind w:firstLine="708"/>
        <w:rPr>
          <w:szCs w:val="28"/>
        </w:rPr>
      </w:pPr>
      <w:bookmarkStart w:id="125" w:name="_Toc83655951"/>
      <w:r>
        <w:rPr>
          <w:szCs w:val="28"/>
        </w:rPr>
        <w:t>Период полувыведения (T</w:t>
      </w:r>
      <w:r>
        <w:rPr>
          <w:szCs w:val="28"/>
          <w:vertAlign w:val="subscript"/>
        </w:rPr>
        <w:t>1/2</w:t>
      </w:r>
      <w:r>
        <w:rPr>
          <w:szCs w:val="28"/>
        </w:rPr>
        <w:t>)</w:t>
      </w:r>
      <w:r w:rsidR="007B7A07">
        <w:rPr>
          <w:szCs w:val="28"/>
        </w:rPr>
        <w:t xml:space="preserve"> </w:t>
      </w:r>
      <w:r>
        <w:rPr>
          <w:szCs w:val="28"/>
        </w:rPr>
        <w:t>составлял примерно 12,4 часа. В случае применения эмпаглифлозина 1 раз в день равновесная плазменная концентрация достигалась после пятой дозы. После перорального применения меченого [</w:t>
      </w:r>
      <w:r>
        <w:rPr>
          <w:szCs w:val="28"/>
          <w:vertAlign w:val="superscript"/>
        </w:rPr>
        <w:t>14</w:t>
      </w:r>
      <w:r>
        <w:rPr>
          <w:szCs w:val="28"/>
        </w:rPr>
        <w:t xml:space="preserve">С]-эмпаглифлозина у здоровых добровольцев выводилось примерно 96% дозы (через кишечник 41 % и почками 54%). </w:t>
      </w:r>
      <w:r>
        <w:rPr>
          <w:szCs w:val="28"/>
        </w:rPr>
        <w:lastRenderedPageBreak/>
        <w:t xml:space="preserve">Через кишечник большая часть меченого препарата выводилась в неизмененном виде. Почками в неизмененном виде выводилась только половина меченого препарата </w:t>
      </w:r>
      <w:r>
        <w:rPr>
          <w:iCs/>
          <w:szCs w:val="28"/>
        </w:rPr>
        <w:t>[</w:t>
      </w:r>
      <w:r w:rsidR="00171669">
        <w:rPr>
          <w:iCs/>
          <w:szCs w:val="28"/>
        </w:rPr>
        <w:t>1</w:t>
      </w:r>
      <w:r>
        <w:rPr>
          <w:iCs/>
          <w:szCs w:val="28"/>
        </w:rPr>
        <w:t>].</w:t>
      </w:r>
    </w:p>
    <w:p w14:paraId="348A9EB3" w14:textId="43E821A3" w:rsidR="00C035FA" w:rsidRDefault="008D5756">
      <w:pPr>
        <w:spacing w:after="0" w:line="240" w:lineRule="auto"/>
        <w:ind w:firstLine="708"/>
        <w:rPr>
          <w:iCs/>
          <w:szCs w:val="28"/>
        </w:rPr>
      </w:pPr>
      <w:r>
        <w:rPr>
          <w:iCs/>
          <w:szCs w:val="28"/>
        </w:rPr>
        <w:t>Фармакокинетические свойства эмпаглифлозина одинаковы у здоровых добровольцев и пациентов с СД2 [</w:t>
      </w:r>
      <w:r w:rsidR="00171669">
        <w:rPr>
          <w:iCs/>
          <w:szCs w:val="28"/>
        </w:rPr>
        <w:t>2-4</w:t>
      </w:r>
      <w:r>
        <w:rPr>
          <w:iCs/>
          <w:szCs w:val="28"/>
        </w:rPr>
        <w:t>]. Эмпаглифлозин быстро всасывается, пиковые концентрации в плазме, возникали</w:t>
      </w:r>
      <w:r w:rsidR="00A4006F">
        <w:rPr>
          <w:iCs/>
          <w:szCs w:val="28"/>
        </w:rPr>
        <w:t xml:space="preserve"> </w:t>
      </w:r>
      <w:r>
        <w:rPr>
          <w:iCs/>
          <w:szCs w:val="28"/>
        </w:rPr>
        <w:t>через 1,5 часа [</w:t>
      </w:r>
      <w:r w:rsidR="00171669">
        <w:rPr>
          <w:iCs/>
          <w:szCs w:val="28"/>
        </w:rPr>
        <w:t>3</w:t>
      </w:r>
      <w:r>
        <w:rPr>
          <w:iCs/>
          <w:szCs w:val="28"/>
        </w:rPr>
        <w:t>]. Разовая доза и фармакокинетические свойства эмпаглифлозина в равновесном состоянии аналогичны, что свидетельствует о линейной фармакокинетике; системное воздействие эмпаглифлозина увеличивается пропорционально дозе [</w:t>
      </w:r>
      <w:r w:rsidR="00171669">
        <w:rPr>
          <w:iCs/>
          <w:szCs w:val="28"/>
        </w:rPr>
        <w:t>3</w:t>
      </w:r>
      <w:r>
        <w:rPr>
          <w:iCs/>
          <w:szCs w:val="28"/>
        </w:rPr>
        <w:t xml:space="preserve">, </w:t>
      </w:r>
      <w:r w:rsidR="00171669">
        <w:rPr>
          <w:iCs/>
          <w:szCs w:val="28"/>
        </w:rPr>
        <w:t>4</w:t>
      </w:r>
      <w:r>
        <w:rPr>
          <w:iCs/>
          <w:szCs w:val="28"/>
        </w:rPr>
        <w:t>]. Эмпаглифлозин подвергается ограниченному метаболизму, в первую очередь глюкуронидированию, и преимущественно выводится в неизмененном виде с мочой и калом [</w:t>
      </w:r>
      <w:r w:rsidR="00171669">
        <w:rPr>
          <w:iCs/>
          <w:szCs w:val="28"/>
        </w:rPr>
        <w:t>5</w:t>
      </w:r>
      <w:r>
        <w:rPr>
          <w:iCs/>
          <w:szCs w:val="28"/>
        </w:rPr>
        <w:t>]. Эмпаглифлозин является субстратом для органических анионных переносчиков 1B1/1B3, органических анион-транспортеров 3,14 и Р-гликопротеина [</w:t>
      </w:r>
      <w:r w:rsidR="00171669">
        <w:rPr>
          <w:iCs/>
          <w:szCs w:val="28"/>
        </w:rPr>
        <w:t>6</w:t>
      </w:r>
      <w:r>
        <w:rPr>
          <w:iCs/>
          <w:szCs w:val="28"/>
        </w:rPr>
        <w:t xml:space="preserve">, </w:t>
      </w:r>
      <w:r w:rsidR="00171669">
        <w:rPr>
          <w:iCs/>
          <w:szCs w:val="28"/>
        </w:rPr>
        <w:t>7</w:t>
      </w:r>
      <w:r>
        <w:rPr>
          <w:iCs/>
          <w:szCs w:val="28"/>
        </w:rPr>
        <w:t>].</w:t>
      </w:r>
    </w:p>
    <w:p w14:paraId="44F6FC17" w14:textId="0F513763" w:rsidR="00C035FA" w:rsidRDefault="008D5756">
      <w:pPr>
        <w:spacing w:after="0" w:line="240" w:lineRule="auto"/>
        <w:ind w:firstLine="708"/>
        <w:rPr>
          <w:iCs/>
          <w:szCs w:val="28"/>
        </w:rPr>
      </w:pPr>
      <w:r>
        <w:rPr>
          <w:iCs/>
          <w:szCs w:val="28"/>
        </w:rPr>
        <w:t>В исследовании на здоровых добровольцах с использованием меченого раствора [</w:t>
      </w:r>
      <w:r>
        <w:rPr>
          <w:iCs/>
          <w:szCs w:val="28"/>
          <w:vertAlign w:val="superscript"/>
        </w:rPr>
        <w:t>14</w:t>
      </w:r>
      <w:r>
        <w:rPr>
          <w:iCs/>
          <w:szCs w:val="28"/>
        </w:rPr>
        <w:t>C]-эмпаглифлозина при пероральном введении, связывание с белками плазмы составило 86,2%, преимущественно к альбумину. Предполагается, что пероральная биодоступность раствора для перорального применения &gt;60% [8]. Кажущийся объем распределения оценивается в 73,8 л. У людей при пероральном введении эмпаглифлозин выводился на 54% через почки (примерно половина неизмененного исходного препарата), и на 41% через кишечник (в основном неизмененный исходный препарат), в отличие от большинства наблюдения у неклинических видов, у которых преобладает выделение с желчью/фекалиями [</w:t>
      </w:r>
      <w:r w:rsidR="00171669">
        <w:rPr>
          <w:iCs/>
          <w:szCs w:val="28"/>
        </w:rPr>
        <w:t>9</w:t>
      </w:r>
      <w:r>
        <w:rPr>
          <w:iCs/>
          <w:szCs w:val="28"/>
        </w:rPr>
        <w:t>].</w:t>
      </w:r>
    </w:p>
    <w:p w14:paraId="5AC4846A" w14:textId="53C24DB5" w:rsidR="00C035FA" w:rsidRPr="00100CD8" w:rsidRDefault="008D5756" w:rsidP="00100CD8">
      <w:pPr>
        <w:spacing w:after="0" w:line="240" w:lineRule="auto"/>
        <w:ind w:firstLine="708"/>
        <w:rPr>
          <w:iCs/>
          <w:szCs w:val="28"/>
        </w:rPr>
      </w:pPr>
      <w:r>
        <w:rPr>
          <w:iCs/>
          <w:szCs w:val="28"/>
        </w:rPr>
        <w:t>Фармакокинетические исследования проводились с однократными возрастающими пероральными дозами эмпаглифлозина от 0,5 до 800 мг у здоровых добровольцев мужского пола [</w:t>
      </w:r>
      <w:r w:rsidR="00171669">
        <w:rPr>
          <w:iCs/>
          <w:szCs w:val="28"/>
        </w:rPr>
        <w:t>2</w:t>
      </w:r>
      <w:r>
        <w:rPr>
          <w:iCs/>
          <w:szCs w:val="28"/>
        </w:rPr>
        <w:t>]. Время достижения пиковых уровней в плазме (T</w:t>
      </w:r>
      <w:r>
        <w:rPr>
          <w:iCs/>
          <w:szCs w:val="28"/>
          <w:vertAlign w:val="subscript"/>
        </w:rPr>
        <w:t>max</w:t>
      </w:r>
      <w:r>
        <w:rPr>
          <w:iCs/>
          <w:szCs w:val="28"/>
        </w:rPr>
        <w:t>) составляло 1,0-2,1 часа, а увеличение воздействия эмпаглифлозина было примерно пропорциональным дозе. Прием 50 мг эмпаглифлозина в сочетании с высококалорийной и жирной пищей не приводили к клинически значимым изменениям воздействия [</w:t>
      </w:r>
      <w:r w:rsidR="00171669">
        <w:rPr>
          <w:iCs/>
          <w:szCs w:val="28"/>
        </w:rPr>
        <w:t>2</w:t>
      </w:r>
      <w:r>
        <w:rPr>
          <w:iCs/>
          <w:szCs w:val="28"/>
        </w:rPr>
        <w:t>].</w:t>
      </w:r>
    </w:p>
    <w:p w14:paraId="4018CC4C" w14:textId="43520B47" w:rsidR="00C035FA" w:rsidRDefault="008D5756">
      <w:pPr>
        <w:pStyle w:val="Heading3"/>
        <w:spacing w:after="240" w:line="240" w:lineRule="auto"/>
        <w:rPr>
          <w:rFonts w:ascii="Times New Roman" w:hAnsi="Times New Roman"/>
          <w:bCs w:val="0"/>
          <w:szCs w:val="24"/>
        </w:rPr>
      </w:pPr>
      <w:bookmarkStart w:id="126" w:name="_Toc139366881"/>
      <w:r>
        <w:rPr>
          <w:rFonts w:ascii="Times New Roman" w:hAnsi="Times New Roman"/>
          <w:bCs w:val="0"/>
          <w:szCs w:val="24"/>
        </w:rPr>
        <w:t>4.1.5. Линейность фармакокинетики</w:t>
      </w:r>
      <w:bookmarkEnd w:id="125"/>
      <w:bookmarkEnd w:id="126"/>
    </w:p>
    <w:p w14:paraId="126247C5" w14:textId="44216BB2" w:rsidR="00C035FA" w:rsidRDefault="00E03CC7">
      <w:pPr>
        <w:spacing w:after="0" w:line="240" w:lineRule="auto"/>
        <w:ind w:firstLine="709"/>
      </w:pPr>
      <w:r>
        <w:t>Фармакокинетика</w:t>
      </w:r>
      <w:r w:rsidR="008D5756">
        <w:t xml:space="preserve"> эмпаглифлозина </w:t>
      </w:r>
      <w:r w:rsidR="00C3617C">
        <w:t xml:space="preserve">при однократном приеме и в </w:t>
      </w:r>
      <w:r w:rsidR="008D5756">
        <w:t xml:space="preserve">равновесном состоянии </w:t>
      </w:r>
      <w:r>
        <w:t>является линейной</w:t>
      </w:r>
      <w:r w:rsidR="008D5756">
        <w:t xml:space="preserve"> [1</w:t>
      </w:r>
      <w:r w:rsidR="00171669">
        <w:t>0</w:t>
      </w:r>
      <w:r w:rsidR="008D5756">
        <w:t>].</w:t>
      </w:r>
    </w:p>
    <w:p w14:paraId="5F6800F8" w14:textId="77777777" w:rsidR="00C035FA" w:rsidRDefault="008D5756">
      <w:pPr>
        <w:pStyle w:val="Heading3"/>
        <w:spacing w:after="240" w:line="240" w:lineRule="auto"/>
        <w:rPr>
          <w:rFonts w:ascii="Times New Roman" w:hAnsi="Times New Roman"/>
          <w:bCs w:val="0"/>
          <w:szCs w:val="24"/>
        </w:rPr>
      </w:pPr>
      <w:bookmarkStart w:id="127" w:name="_Toc52190581"/>
      <w:bookmarkStart w:id="128" w:name="_Toc139366882"/>
      <w:r>
        <w:rPr>
          <w:rFonts w:ascii="Times New Roman" w:hAnsi="Times New Roman"/>
          <w:bCs w:val="0"/>
          <w:szCs w:val="24"/>
        </w:rPr>
        <w:t>4.1.6. Фармакокинетика у особых групп пациентов</w:t>
      </w:r>
      <w:bookmarkEnd w:id="127"/>
      <w:bookmarkEnd w:id="128"/>
    </w:p>
    <w:p w14:paraId="33FA10F9" w14:textId="77777777" w:rsidR="00C035FA" w:rsidRDefault="008D5756" w:rsidP="002E762E">
      <w:pPr>
        <w:spacing w:after="0" w:line="240" w:lineRule="auto"/>
        <w:rPr>
          <w:b/>
          <w:bCs/>
          <w:szCs w:val="28"/>
        </w:rPr>
      </w:pPr>
      <w:r>
        <w:rPr>
          <w:b/>
          <w:bCs/>
          <w:i/>
          <w:iCs/>
          <w:szCs w:val="28"/>
        </w:rPr>
        <w:t>Дети</w:t>
      </w:r>
    </w:p>
    <w:p w14:paraId="48360F80" w14:textId="2B066083" w:rsidR="00C035FA" w:rsidRPr="00171669" w:rsidRDefault="008D5756" w:rsidP="002E762E">
      <w:pPr>
        <w:spacing w:after="0" w:line="240" w:lineRule="auto"/>
        <w:ind w:firstLine="708"/>
        <w:rPr>
          <w:szCs w:val="28"/>
        </w:rPr>
      </w:pPr>
      <w:r>
        <w:rPr>
          <w:szCs w:val="28"/>
        </w:rPr>
        <w:t xml:space="preserve">Исследования фармакокинетики эмпаглифлозина у детей и подростков до 18 лет не проводились </w:t>
      </w:r>
      <w:r>
        <w:rPr>
          <w:iCs/>
          <w:szCs w:val="28"/>
        </w:rPr>
        <w:t>[</w:t>
      </w:r>
      <w:r w:rsidR="00171669">
        <w:rPr>
          <w:iCs/>
          <w:szCs w:val="28"/>
        </w:rPr>
        <w:t>1</w:t>
      </w:r>
      <w:r>
        <w:rPr>
          <w:iCs/>
          <w:szCs w:val="28"/>
        </w:rPr>
        <w:t>].</w:t>
      </w:r>
    </w:p>
    <w:p w14:paraId="5CFD8A8C" w14:textId="77777777" w:rsidR="00C035FA" w:rsidRDefault="00C035FA" w:rsidP="002E762E">
      <w:pPr>
        <w:spacing w:after="0" w:line="240" w:lineRule="auto"/>
        <w:rPr>
          <w:b/>
          <w:i/>
        </w:rPr>
      </w:pPr>
    </w:p>
    <w:p w14:paraId="05B91007" w14:textId="77777777" w:rsidR="00C035FA" w:rsidRDefault="008D5756" w:rsidP="002E762E">
      <w:pPr>
        <w:spacing w:after="0" w:line="240" w:lineRule="auto"/>
        <w:rPr>
          <w:b/>
          <w:i/>
        </w:rPr>
      </w:pPr>
      <w:r>
        <w:rPr>
          <w:b/>
          <w:i/>
        </w:rPr>
        <w:t>Влияние пищи</w:t>
      </w:r>
    </w:p>
    <w:p w14:paraId="2C437E63" w14:textId="02B562CE" w:rsidR="00171669" w:rsidRPr="00171669" w:rsidRDefault="008D5756" w:rsidP="002E762E">
      <w:pPr>
        <w:spacing w:after="0" w:line="240" w:lineRule="auto"/>
        <w:ind w:firstLine="708"/>
        <w:rPr>
          <w:iCs/>
        </w:rPr>
      </w:pPr>
      <w:r>
        <w:rPr>
          <w:iCs/>
        </w:rPr>
        <w:t>Влияние пищи на всасывание препарата оценивали при приеме 25 мг эмпаглифлозина после высококалорийного завтрака с высоким содержанием жиров, который показал снижение C</w:t>
      </w:r>
      <w:r>
        <w:rPr>
          <w:iCs/>
          <w:vertAlign w:val="subscript"/>
        </w:rPr>
        <w:t xml:space="preserve">max </w:t>
      </w:r>
      <w:r>
        <w:rPr>
          <w:iCs/>
        </w:rPr>
        <w:t xml:space="preserve">и </w:t>
      </w:r>
      <w:r>
        <w:t>AUC</w:t>
      </w:r>
      <w:r>
        <w:rPr>
          <w:vertAlign w:val="subscript"/>
        </w:rPr>
        <w:t>0-∞</w:t>
      </w:r>
      <w:r>
        <w:rPr>
          <w:iCs/>
        </w:rPr>
        <w:t>, но не до клинически значимой степени, что позволяет предположить, что эмпаглифлозин может применяться с пищей или без нее [11].</w:t>
      </w:r>
    </w:p>
    <w:p w14:paraId="07D0C9A3" w14:textId="77777777" w:rsidR="00C035FA" w:rsidRDefault="008D5756">
      <w:pPr>
        <w:pStyle w:val="Heading4"/>
        <w:spacing w:after="240" w:line="240" w:lineRule="auto"/>
        <w:rPr>
          <w:rFonts w:ascii="Times New Roman" w:hAnsi="Times New Roman"/>
          <w:color w:val="000000" w:themeColor="text1"/>
          <w:sz w:val="24"/>
          <w:szCs w:val="24"/>
        </w:rPr>
      </w:pPr>
      <w:bookmarkStart w:id="129" w:name="_Toc52190582"/>
      <w:bookmarkStart w:id="130" w:name="_Toc139366883"/>
      <w:r>
        <w:rPr>
          <w:rFonts w:ascii="Times New Roman" w:hAnsi="Times New Roman"/>
          <w:color w:val="000000" w:themeColor="text1"/>
          <w:sz w:val="24"/>
          <w:szCs w:val="24"/>
        </w:rPr>
        <w:t>4.1.6.1. Влияние возраста, массы тела, пола и рас</w:t>
      </w:r>
      <w:bookmarkEnd w:id="129"/>
      <w:r>
        <w:rPr>
          <w:rFonts w:ascii="Times New Roman" w:hAnsi="Times New Roman"/>
          <w:color w:val="000000" w:themeColor="text1"/>
          <w:sz w:val="24"/>
          <w:szCs w:val="24"/>
        </w:rPr>
        <w:t>ы</w:t>
      </w:r>
      <w:bookmarkEnd w:id="130"/>
    </w:p>
    <w:p w14:paraId="6FD4168D" w14:textId="4BC11283" w:rsidR="00C035FA" w:rsidRDefault="008D5756">
      <w:pPr>
        <w:spacing w:after="0" w:line="240" w:lineRule="auto"/>
        <w:ind w:firstLine="708"/>
        <w:rPr>
          <w:iCs/>
          <w:szCs w:val="28"/>
        </w:rPr>
      </w:pPr>
      <w:r>
        <w:rPr>
          <w:iCs/>
          <w:szCs w:val="28"/>
        </w:rPr>
        <w:t xml:space="preserve">В фармакокинетическом исследовании у здоровых японских субъектов мужского пола, получавших однократно возрастающие пероральные дозы от 1 мг до 100 мг </w:t>
      </w:r>
      <w:r>
        <w:rPr>
          <w:iCs/>
          <w:szCs w:val="28"/>
        </w:rPr>
        <w:lastRenderedPageBreak/>
        <w:t>эмпаглифлозина, сообщалось о быстром всасывании со значениями T</w:t>
      </w:r>
      <w:r>
        <w:rPr>
          <w:iCs/>
          <w:szCs w:val="28"/>
          <w:vertAlign w:val="subscript"/>
        </w:rPr>
        <w:t>max</w:t>
      </w:r>
      <w:r>
        <w:rPr>
          <w:iCs/>
          <w:szCs w:val="28"/>
        </w:rPr>
        <w:t xml:space="preserve"> 1,25-2,50 ч и снижении концентраций в плазме двухфазным образом с быстрым распределением и более медленным выведением со средним конечным периодом полувыведения (T</w:t>
      </w:r>
      <w:r>
        <w:rPr>
          <w:iCs/>
          <w:szCs w:val="28"/>
          <w:vertAlign w:val="subscript"/>
        </w:rPr>
        <w:t>1/2</w:t>
      </w:r>
      <w:r>
        <w:rPr>
          <w:iCs/>
          <w:szCs w:val="28"/>
        </w:rPr>
        <w:t>) в пределах 7,76–11,7 ч [1</w:t>
      </w:r>
      <w:r w:rsidR="00171669">
        <w:rPr>
          <w:iCs/>
          <w:szCs w:val="28"/>
        </w:rPr>
        <w:t>2</w:t>
      </w:r>
      <w:r>
        <w:rPr>
          <w:iCs/>
          <w:szCs w:val="28"/>
        </w:rPr>
        <w:t>]. Экспозиция эмпаглифлозина увеличивалась пропорционально дозе, но пероральный клиренс был равен дозе и находи</w:t>
      </w:r>
      <w:r w:rsidR="00F92600">
        <w:rPr>
          <w:iCs/>
          <w:szCs w:val="28"/>
        </w:rPr>
        <w:t>л</w:t>
      </w:r>
      <w:r>
        <w:rPr>
          <w:iCs/>
          <w:szCs w:val="28"/>
        </w:rPr>
        <w:t>ся в пределах от 140 до 172 мл/мин.</w:t>
      </w:r>
    </w:p>
    <w:p w14:paraId="36722319" w14:textId="45BEB924" w:rsidR="00C035FA" w:rsidRDefault="008D5756">
      <w:pPr>
        <w:spacing w:after="0" w:line="240" w:lineRule="auto"/>
        <w:ind w:firstLine="708"/>
        <w:rPr>
          <w:iCs/>
          <w:szCs w:val="28"/>
        </w:rPr>
      </w:pPr>
      <w:r>
        <w:rPr>
          <w:iCs/>
          <w:szCs w:val="28"/>
        </w:rPr>
        <w:t>Аналогичные результаты были зарегистрированы у пациентов с СД2, рандомизированных для получения одно</w:t>
      </w:r>
      <w:r w:rsidR="002E762E">
        <w:rPr>
          <w:iCs/>
          <w:szCs w:val="28"/>
        </w:rPr>
        <w:t>й</w:t>
      </w:r>
      <w:r>
        <w:rPr>
          <w:iCs/>
          <w:szCs w:val="28"/>
        </w:rPr>
        <w:t xml:space="preserve"> из 4 ежедневных доз эмпаглифлозина (2,5, 10, 25 или 100 мг) или плацебо в течение 8 дней [</w:t>
      </w:r>
      <w:r w:rsidR="00171669">
        <w:rPr>
          <w:iCs/>
          <w:szCs w:val="28"/>
        </w:rPr>
        <w:t>4</w:t>
      </w:r>
      <w:r>
        <w:rPr>
          <w:iCs/>
          <w:szCs w:val="28"/>
        </w:rPr>
        <w:t>]. Значения T</w:t>
      </w:r>
      <w:r>
        <w:rPr>
          <w:iCs/>
          <w:szCs w:val="28"/>
          <w:vertAlign w:val="subscript"/>
        </w:rPr>
        <w:t>max</w:t>
      </w:r>
      <w:r>
        <w:rPr>
          <w:iCs/>
          <w:szCs w:val="28"/>
        </w:rPr>
        <w:t xml:space="preserve"> составляли 1,5–3,0 ч, а средний T</w:t>
      </w:r>
      <w:r>
        <w:rPr>
          <w:iCs/>
          <w:szCs w:val="28"/>
          <w:vertAlign w:val="subscript"/>
        </w:rPr>
        <w:t xml:space="preserve">1/2 </w:t>
      </w:r>
      <w:r>
        <w:rPr>
          <w:iCs/>
          <w:szCs w:val="28"/>
        </w:rPr>
        <w:t>колебался от 10 до 19 ч [</w:t>
      </w:r>
      <w:r w:rsidR="00171669">
        <w:rPr>
          <w:iCs/>
          <w:szCs w:val="28"/>
        </w:rPr>
        <w:t>4</w:t>
      </w:r>
      <w:r>
        <w:rPr>
          <w:iCs/>
          <w:szCs w:val="28"/>
        </w:rPr>
        <w:t xml:space="preserve">]. Увеличение экспозиции по мере увеличения площади </w:t>
      </w:r>
      <w:r w:rsidR="002E762E">
        <w:rPr>
          <w:iCs/>
          <w:szCs w:val="28"/>
        </w:rPr>
        <w:t>под кривые зависимости</w:t>
      </w:r>
      <w:r>
        <w:rPr>
          <w:iCs/>
          <w:szCs w:val="28"/>
        </w:rPr>
        <w:t xml:space="preserve"> концентрации в плазме от времени (AUC) и максимальной концентрации в плазме (C</w:t>
      </w:r>
      <w:r>
        <w:rPr>
          <w:iCs/>
          <w:szCs w:val="28"/>
          <w:vertAlign w:val="subscript"/>
        </w:rPr>
        <w:t>max</w:t>
      </w:r>
      <w:r>
        <w:rPr>
          <w:iCs/>
          <w:szCs w:val="28"/>
        </w:rPr>
        <w:t>) были приблизительно пропорциональны дозе [</w:t>
      </w:r>
      <w:r w:rsidR="00171669">
        <w:rPr>
          <w:iCs/>
          <w:szCs w:val="28"/>
        </w:rPr>
        <w:t>4</w:t>
      </w:r>
      <w:r>
        <w:rPr>
          <w:iCs/>
          <w:szCs w:val="28"/>
        </w:rPr>
        <w:t>]. Стационарная фармакокинетика эмпаглифлозина в дозе 5 мг 2 раза в сутки или 10 мг 1 раз в сутки в течение 5 дней не отличалась у здоровых добровольцев в общем воздействии эмпаглифлозина при применении двух режимов дозирования [1</w:t>
      </w:r>
      <w:r w:rsidR="00171669">
        <w:rPr>
          <w:iCs/>
          <w:szCs w:val="28"/>
        </w:rPr>
        <w:t>3</w:t>
      </w:r>
      <w:r>
        <w:rPr>
          <w:iCs/>
          <w:szCs w:val="28"/>
        </w:rPr>
        <w:t>].</w:t>
      </w:r>
    </w:p>
    <w:p w14:paraId="056FF71A" w14:textId="7381AF2E" w:rsidR="00C035FA" w:rsidRPr="00171669" w:rsidRDefault="008D5756" w:rsidP="00171669">
      <w:pPr>
        <w:spacing w:after="0" w:line="240" w:lineRule="auto"/>
        <w:ind w:firstLine="708"/>
        <w:rPr>
          <w:szCs w:val="28"/>
        </w:rPr>
      </w:pPr>
      <w:r>
        <w:rPr>
          <w:iCs/>
          <w:szCs w:val="28"/>
        </w:rPr>
        <w:t>Индекс массы тела, пол, раса и возраст не оказывали клинически значимого влияния на фармакокинетику эмпаглифлозина [</w:t>
      </w:r>
      <w:r w:rsidR="00171669">
        <w:rPr>
          <w:iCs/>
          <w:szCs w:val="28"/>
        </w:rPr>
        <w:t>1</w:t>
      </w:r>
      <w:r>
        <w:rPr>
          <w:iCs/>
          <w:szCs w:val="28"/>
        </w:rPr>
        <w:t>].</w:t>
      </w:r>
    </w:p>
    <w:p w14:paraId="33675AAA" w14:textId="77777777" w:rsidR="00C035FA" w:rsidRDefault="008D5756">
      <w:pPr>
        <w:pStyle w:val="Heading4"/>
        <w:spacing w:after="240" w:line="240" w:lineRule="auto"/>
        <w:rPr>
          <w:b w:val="0"/>
          <w:iCs/>
        </w:rPr>
      </w:pPr>
      <w:bookmarkStart w:id="131" w:name="_Toc52190583"/>
      <w:bookmarkStart w:id="132" w:name="_Toc139366884"/>
      <w:r>
        <w:rPr>
          <w:rFonts w:ascii="Times New Roman" w:hAnsi="Times New Roman"/>
          <w:color w:val="000000" w:themeColor="text1"/>
          <w:sz w:val="24"/>
          <w:szCs w:val="24"/>
        </w:rPr>
        <w:t>4.1.6.2. Почечная недостаточность</w:t>
      </w:r>
      <w:bookmarkEnd w:id="131"/>
      <w:bookmarkEnd w:id="132"/>
    </w:p>
    <w:p w14:paraId="1F0E0AC5" w14:textId="77777777" w:rsidR="00C035FA" w:rsidRDefault="008D5756">
      <w:pPr>
        <w:spacing w:after="0" w:line="240" w:lineRule="auto"/>
        <w:ind w:firstLine="708"/>
        <w:rPr>
          <w:szCs w:val="28"/>
        </w:rPr>
      </w:pPr>
      <w:bookmarkStart w:id="133" w:name="_Toc52190584"/>
      <w:r>
        <w:rPr>
          <w:szCs w:val="28"/>
        </w:rPr>
        <w:t>У пациентов с почечной недостаточностью легкой (60 &lt; СКФ &lt; 90 мл/мин/1,73 м</w:t>
      </w:r>
      <w:r>
        <w:rPr>
          <w:szCs w:val="28"/>
          <w:vertAlign w:val="superscript"/>
        </w:rPr>
        <w:t>2</w:t>
      </w:r>
      <w:r>
        <w:rPr>
          <w:szCs w:val="28"/>
        </w:rPr>
        <w:t>), средней (30 &lt; СКФ &lt; 60 мл/мин/1,73 м</w:t>
      </w:r>
      <w:r>
        <w:rPr>
          <w:szCs w:val="28"/>
          <w:vertAlign w:val="superscript"/>
        </w:rPr>
        <w:t>2</w:t>
      </w:r>
      <w:r>
        <w:rPr>
          <w:szCs w:val="28"/>
        </w:rPr>
        <w:t>), тяжелой (СКФ &lt; 30 мл/мин/1,73 м</w:t>
      </w:r>
      <w:r>
        <w:rPr>
          <w:szCs w:val="28"/>
          <w:vertAlign w:val="superscript"/>
        </w:rPr>
        <w:t>2</w:t>
      </w:r>
      <w:r>
        <w:rPr>
          <w:szCs w:val="28"/>
        </w:rPr>
        <w:t xml:space="preserve">) степени тяжести и у пациентов с терминальной стадией почечной недостаточности значения AUC эмпаглифлозина увеличивались, соответственно, примерно на 18 %, 20 %, 66 % и 48 % по сравнению с пациентами с нормальной функцией почек. </w:t>
      </w:r>
    </w:p>
    <w:p w14:paraId="78BFE754" w14:textId="512A772A" w:rsidR="00C035FA" w:rsidRDefault="008D5756">
      <w:pPr>
        <w:spacing w:after="0" w:line="240" w:lineRule="auto"/>
        <w:ind w:firstLine="708"/>
        <w:rPr>
          <w:szCs w:val="28"/>
        </w:rPr>
      </w:pPr>
      <w:r>
        <w:rPr>
          <w:szCs w:val="28"/>
        </w:rPr>
        <w:t>У пациентов с почечной недостаточностью средней степени тяжести и у пациентов с терминальной стадией почечной недостаточности максимальная концентрация эмпаглифлозина в плазме была сходна с соответствующими значениями у пациентов с нормальной функцией почек.</w:t>
      </w:r>
    </w:p>
    <w:p w14:paraId="751A7175" w14:textId="34D9AB09" w:rsidR="00C035FA" w:rsidRDefault="008D5756">
      <w:pPr>
        <w:spacing w:after="0" w:line="240" w:lineRule="auto"/>
        <w:ind w:firstLine="708"/>
        <w:rPr>
          <w:szCs w:val="28"/>
        </w:rPr>
      </w:pPr>
      <w:r>
        <w:rPr>
          <w:szCs w:val="28"/>
        </w:rPr>
        <w:t xml:space="preserve">У пациентов с почечной недостаточностью легкой и тяжелой степени тяжести максимальная концентрация эмпаглифлозина в плазме была примерно на 20 % выше, чем у пациентов с нормальной функцией почек. Данные популяционного фармакокинетического анализа показали, что общий клиренс эмпаглифлозина уменьшался по мере снижения СКФ, что приводило к увеличению воздействия препарата </w:t>
      </w:r>
      <w:r>
        <w:rPr>
          <w:iCs/>
          <w:szCs w:val="28"/>
        </w:rPr>
        <w:t>[</w:t>
      </w:r>
      <w:r w:rsidR="00171669">
        <w:rPr>
          <w:iCs/>
          <w:szCs w:val="28"/>
        </w:rPr>
        <w:t>1</w:t>
      </w:r>
      <w:r>
        <w:rPr>
          <w:iCs/>
          <w:szCs w:val="28"/>
        </w:rPr>
        <w:t>].</w:t>
      </w:r>
    </w:p>
    <w:p w14:paraId="127F7DBB" w14:textId="4F6B0AF1" w:rsidR="00C035FA" w:rsidRDefault="008D5756">
      <w:pPr>
        <w:spacing w:after="0" w:line="240" w:lineRule="auto"/>
        <w:ind w:firstLine="708"/>
        <w:rPr>
          <w:iCs/>
          <w:szCs w:val="28"/>
        </w:rPr>
      </w:pPr>
      <w:r>
        <w:rPr>
          <w:iCs/>
          <w:szCs w:val="28"/>
        </w:rPr>
        <w:t>Изучение влияния почечной недостаточности на фармакокинетику, фармакодинамику и безопасность эмпаглифлозина применяли в однократной дозе 50 мг у субъектов с различными уровнями рСКФ [1</w:t>
      </w:r>
      <w:r w:rsidR="00171669">
        <w:rPr>
          <w:iCs/>
          <w:szCs w:val="28"/>
        </w:rPr>
        <w:t>4</w:t>
      </w:r>
      <w:r>
        <w:rPr>
          <w:iCs/>
          <w:szCs w:val="28"/>
        </w:rPr>
        <w:t>]. Значения C</w:t>
      </w:r>
      <w:r>
        <w:rPr>
          <w:iCs/>
          <w:szCs w:val="28"/>
          <w:vertAlign w:val="subscript"/>
        </w:rPr>
        <w:t>max</w:t>
      </w:r>
      <w:r>
        <w:rPr>
          <w:iCs/>
          <w:szCs w:val="28"/>
        </w:rPr>
        <w:t xml:space="preserve"> были одинаковыми у всех субъектов, но значения </w:t>
      </w:r>
      <w:r>
        <w:rPr>
          <w:szCs w:val="28"/>
        </w:rPr>
        <w:t>AUC</w:t>
      </w:r>
      <w:r>
        <w:rPr>
          <w:szCs w:val="28"/>
          <w:vertAlign w:val="subscript"/>
        </w:rPr>
        <w:t>0-∞</w:t>
      </w:r>
      <w:r>
        <w:rPr>
          <w:iCs/>
          <w:szCs w:val="28"/>
        </w:rPr>
        <w:t xml:space="preserve"> увеличились по сравнению со здоровыми субъектами примерно на 18, 20, 66 и 48% у субъектов с легкой (рСКФ 60-89 мл/мин/1,73 м</w:t>
      </w:r>
      <w:r>
        <w:rPr>
          <w:iCs/>
          <w:szCs w:val="28"/>
          <w:vertAlign w:val="superscript"/>
        </w:rPr>
        <w:t>2</w:t>
      </w:r>
      <w:r>
        <w:rPr>
          <w:iCs/>
          <w:szCs w:val="28"/>
        </w:rPr>
        <w:t>), умеренной (рСКФ 30-59 мл/мин/1,73 м</w:t>
      </w:r>
      <w:r>
        <w:rPr>
          <w:iCs/>
          <w:szCs w:val="28"/>
          <w:vertAlign w:val="superscript"/>
        </w:rPr>
        <w:t>2</w:t>
      </w:r>
      <w:r>
        <w:rPr>
          <w:iCs/>
          <w:szCs w:val="28"/>
        </w:rPr>
        <w:t>), тяжелой (рСКФ &lt;30 мл/мин/1,73м</w:t>
      </w:r>
      <w:r>
        <w:rPr>
          <w:iCs/>
          <w:szCs w:val="28"/>
          <w:vertAlign w:val="superscript"/>
        </w:rPr>
        <w:t>2</w:t>
      </w:r>
      <w:r>
        <w:rPr>
          <w:iCs/>
          <w:szCs w:val="28"/>
        </w:rPr>
        <w:t>) почечной недостаточностью и терминальной стадией почечной недостаточности, требующей диализа, соответственно.</w:t>
      </w:r>
    </w:p>
    <w:p w14:paraId="40073BE3" w14:textId="63F09F2D" w:rsidR="00C035FA" w:rsidRDefault="008D5756">
      <w:pPr>
        <w:spacing w:after="0" w:line="240" w:lineRule="auto"/>
        <w:ind w:firstLine="708"/>
        <w:rPr>
          <w:iCs/>
          <w:szCs w:val="28"/>
        </w:rPr>
      </w:pPr>
      <w:r>
        <w:rPr>
          <w:iCs/>
          <w:szCs w:val="28"/>
        </w:rPr>
        <w:t>Влияние сниженной функции почек на фармакокинетику эмпаглифлозина изучалось в исследовании на японских пациентах с СД2 и различной степенью почечной недостаточности при применении перорально однократно 25 мг эмпаглифлозина [1</w:t>
      </w:r>
      <w:r w:rsidR="00171669">
        <w:rPr>
          <w:iCs/>
          <w:szCs w:val="28"/>
        </w:rPr>
        <w:t>2</w:t>
      </w:r>
      <w:r>
        <w:rPr>
          <w:iCs/>
          <w:szCs w:val="28"/>
        </w:rPr>
        <w:t>].</w:t>
      </w:r>
      <w:r w:rsidR="00171669">
        <w:rPr>
          <w:iCs/>
          <w:szCs w:val="28"/>
        </w:rPr>
        <w:t xml:space="preserve"> </w:t>
      </w:r>
      <w:r>
        <w:rPr>
          <w:iCs/>
          <w:szCs w:val="28"/>
        </w:rPr>
        <w:t>Значения C</w:t>
      </w:r>
      <w:r>
        <w:rPr>
          <w:iCs/>
          <w:szCs w:val="28"/>
          <w:vertAlign w:val="subscript"/>
        </w:rPr>
        <w:t>max</w:t>
      </w:r>
      <w:r>
        <w:rPr>
          <w:iCs/>
          <w:szCs w:val="28"/>
        </w:rPr>
        <w:t xml:space="preserve"> были одинаковыми для всех исследуемых групп, но экспозиция эмпаглифлозина увеличивалась с усилением почечной недостаточности при скорректированном среднем геометрическом отношении степени экспозиции (</w:t>
      </w:r>
      <w:r>
        <w:rPr>
          <w:szCs w:val="28"/>
        </w:rPr>
        <w:t>AUC</w:t>
      </w:r>
      <w:r>
        <w:rPr>
          <w:szCs w:val="28"/>
          <w:vertAlign w:val="subscript"/>
        </w:rPr>
        <w:t>0-∞</w:t>
      </w:r>
      <w:r>
        <w:rPr>
          <w:iCs/>
          <w:szCs w:val="28"/>
        </w:rPr>
        <w:t xml:space="preserve">) к эмпаглифлозину 128,8% (95% ДИ, 106,0–156,6%), 143,8% (95% ДИ, 118,3–174,8%) и </w:t>
      </w:r>
      <w:r>
        <w:rPr>
          <w:iCs/>
          <w:szCs w:val="28"/>
        </w:rPr>
        <w:lastRenderedPageBreak/>
        <w:t>152,3% (95% ДИ, 125,3–185,2%) для пациентов с легкой (рСКФ 60-&lt;90 мл/мин/1,73 м2) ), умеренной (рСКФ 30-&lt;60 мл/мин/1,73 м2 ) и тяжелой степенями (рСКФ 15–&lt;30 мл/мин/1,73 м2). ) почечной недостаточности, соответственно, по сравнению с нормальной функцией почек [1</w:t>
      </w:r>
      <w:r w:rsidR="00171669">
        <w:rPr>
          <w:iCs/>
          <w:szCs w:val="28"/>
        </w:rPr>
        <w:t>2</w:t>
      </w:r>
      <w:r>
        <w:rPr>
          <w:iCs/>
          <w:szCs w:val="28"/>
        </w:rPr>
        <w:t xml:space="preserve">]. Это говорит о том, что при любой дозе необходима коррекция эмпаглифлозина у японских пациентов с СД2 и почечной недостаточностью. Эффективность с точки зрения </w:t>
      </w:r>
      <w:r>
        <w:rPr>
          <w:szCs w:val="28"/>
          <w:shd w:val="clear" w:color="auto" w:fill="FFFFFF"/>
        </w:rPr>
        <w:t>экскреции глюкозы с мочой (</w:t>
      </w:r>
      <w:r>
        <w:rPr>
          <w:iCs/>
          <w:szCs w:val="28"/>
        </w:rPr>
        <w:t>UGE) также снижалась с усилением почечной недостаточности, поэтому существуют опасения по поводу эффективности эмпаглифлозина у пациентов с более выраженным нарушением функции почек [1</w:t>
      </w:r>
      <w:r w:rsidR="00171669">
        <w:rPr>
          <w:iCs/>
          <w:szCs w:val="28"/>
        </w:rPr>
        <w:t>2</w:t>
      </w:r>
      <w:r>
        <w:rPr>
          <w:iCs/>
          <w:szCs w:val="28"/>
        </w:rPr>
        <w:t>].</w:t>
      </w:r>
    </w:p>
    <w:p w14:paraId="70913BD8" w14:textId="10276009" w:rsidR="00C035FA" w:rsidRDefault="008D5756">
      <w:pPr>
        <w:spacing w:after="0" w:line="240" w:lineRule="auto"/>
        <w:ind w:firstLine="708"/>
        <w:rPr>
          <w:iCs/>
          <w:szCs w:val="28"/>
        </w:rPr>
      </w:pPr>
      <w:r>
        <w:rPr>
          <w:iCs/>
          <w:szCs w:val="28"/>
        </w:rPr>
        <w:t xml:space="preserve">Увеличение плазменной экспозиции не менее чем в два раза является широко используемым критерием для определения корректировки дозы, необходимой при почечной или печеночной недостаточности для препаратов с высоким терапевтическим индексом, как у эмпаглифлозина. Субъекты с печеночной недостаточностью легкой (класс А по Чайлд-Пью, 5 или 6 баллов), умеренной (класс В по Чайлд-Пью, 7-9 баллов) и тяжелой (класс С по Чайлд-Пью, 10-15 баллов) степенью при однократном введении 50 мг эмпаглифлозина показали увеличение значений </w:t>
      </w:r>
      <w:r>
        <w:rPr>
          <w:szCs w:val="28"/>
        </w:rPr>
        <w:t>AUC</w:t>
      </w:r>
      <w:r>
        <w:rPr>
          <w:szCs w:val="28"/>
          <w:vertAlign w:val="subscript"/>
        </w:rPr>
        <w:t xml:space="preserve">0-∞ </w:t>
      </w:r>
      <w:r>
        <w:rPr>
          <w:iCs/>
          <w:szCs w:val="28"/>
        </w:rPr>
        <w:t>примерно на 23%, 47% и 75%, а C</w:t>
      </w:r>
      <w:r>
        <w:rPr>
          <w:iCs/>
          <w:szCs w:val="28"/>
          <w:vertAlign w:val="subscript"/>
        </w:rPr>
        <w:t>max</w:t>
      </w:r>
      <w:r>
        <w:rPr>
          <w:iCs/>
          <w:szCs w:val="28"/>
        </w:rPr>
        <w:t xml:space="preserve"> увеличилась примерно на 4%, 23% и 48% соответственно по сравнению с субъектами с нормальной функцией печени, предполагая, что коррекция дозы эмпаглифлозина не требуется у пациентов с печеночной недостаточностью, поскольку увеличение экспозиции было менее чем в два раза [1</w:t>
      </w:r>
      <w:r w:rsidR="00171669">
        <w:rPr>
          <w:iCs/>
          <w:szCs w:val="28"/>
        </w:rPr>
        <w:t>5</w:t>
      </w:r>
      <w:r>
        <w:rPr>
          <w:iCs/>
          <w:szCs w:val="28"/>
        </w:rPr>
        <w:t>].</w:t>
      </w:r>
    </w:p>
    <w:p w14:paraId="531874AA" w14:textId="296A83BB" w:rsidR="00C035FA" w:rsidRDefault="008D5756" w:rsidP="00171669">
      <w:pPr>
        <w:spacing w:after="0" w:line="240" w:lineRule="auto"/>
        <w:ind w:firstLine="708"/>
        <w:rPr>
          <w:iCs/>
          <w:szCs w:val="28"/>
        </w:rPr>
      </w:pPr>
      <w:r>
        <w:rPr>
          <w:iCs/>
          <w:szCs w:val="28"/>
        </w:rPr>
        <w:t>Популяционный фармакокинетический анализ из 5 исследований у пациентов с СД2 показал отсутствие ковариантных эффектов, предполагая, что корректировка дозы на основе экспозиции не требовалась у исследуемой популяции при таком диапазоне доз [1</w:t>
      </w:r>
      <w:r w:rsidR="00171669">
        <w:rPr>
          <w:iCs/>
          <w:szCs w:val="28"/>
        </w:rPr>
        <w:t>6</w:t>
      </w:r>
      <w:r>
        <w:rPr>
          <w:iCs/>
          <w:szCs w:val="28"/>
        </w:rPr>
        <w:t>]. Воздействие эмпаглифлозина на японских и китайских пациентов было значительно выше после многократного перорального приема 25 мг, чем в кавказской популяции. Это может быть связано с разницей в весе пациентов [</w:t>
      </w:r>
      <w:r w:rsidR="00171669">
        <w:rPr>
          <w:iCs/>
          <w:szCs w:val="28"/>
        </w:rPr>
        <w:t>9</w:t>
      </w:r>
      <w:r>
        <w:rPr>
          <w:iCs/>
          <w:szCs w:val="28"/>
        </w:rPr>
        <w:t>].</w:t>
      </w:r>
    </w:p>
    <w:p w14:paraId="6C408EBF" w14:textId="77777777" w:rsidR="00C035FA" w:rsidRDefault="008D5756">
      <w:pPr>
        <w:pStyle w:val="Heading4"/>
        <w:spacing w:after="240" w:line="240" w:lineRule="auto"/>
        <w:rPr>
          <w:rFonts w:ascii="Times New Roman" w:hAnsi="Times New Roman"/>
          <w:color w:val="000000" w:themeColor="text1"/>
          <w:sz w:val="24"/>
          <w:szCs w:val="24"/>
        </w:rPr>
      </w:pPr>
      <w:bookmarkStart w:id="134" w:name="_Toc139366885"/>
      <w:r>
        <w:rPr>
          <w:rFonts w:ascii="Times New Roman" w:hAnsi="Times New Roman"/>
          <w:color w:val="000000" w:themeColor="text1"/>
          <w:sz w:val="24"/>
          <w:szCs w:val="24"/>
        </w:rPr>
        <w:t>4.1.6.3. Печеночная недостаточность</w:t>
      </w:r>
      <w:bookmarkEnd w:id="133"/>
      <w:bookmarkEnd w:id="134"/>
    </w:p>
    <w:p w14:paraId="3FE3394B" w14:textId="6472F8B5" w:rsidR="00C035FA" w:rsidRDefault="008D5756" w:rsidP="00171669">
      <w:pPr>
        <w:spacing w:after="0" w:line="240" w:lineRule="auto"/>
        <w:ind w:firstLine="708"/>
        <w:rPr>
          <w:szCs w:val="28"/>
        </w:rPr>
      </w:pPr>
      <w:r>
        <w:rPr>
          <w:i/>
          <w:iCs/>
          <w:szCs w:val="28"/>
        </w:rPr>
        <w:t>У</w:t>
      </w:r>
      <w:r>
        <w:rPr>
          <w:szCs w:val="28"/>
        </w:rPr>
        <w:t xml:space="preserve"> пациентов с печеночной недостаточностью легкой степени, средней тяжести и тяжелой степени (согласно классификации Чайлд-Пью) значения AUC эмпаглифлозина увеличивались, соответственно, примерно на 23 %, 47 % и 75 %, а значения </w:t>
      </w:r>
      <w:r>
        <w:t>С</w:t>
      </w:r>
      <w:r>
        <w:rPr>
          <w:vertAlign w:val="subscript"/>
          <w:lang w:val="en-US"/>
        </w:rPr>
        <w:t>m</w:t>
      </w:r>
      <w:r>
        <w:rPr>
          <w:vertAlign w:val="subscript"/>
        </w:rPr>
        <w:t>ах</w:t>
      </w:r>
      <w:r>
        <w:rPr>
          <w:szCs w:val="28"/>
        </w:rPr>
        <w:t xml:space="preserve">, соответственно, примерно на 4 %, 23 % и 48 % (по сравнению с пациентами с нормальной функцией печени) </w:t>
      </w:r>
      <w:r>
        <w:rPr>
          <w:iCs/>
          <w:szCs w:val="28"/>
        </w:rPr>
        <w:t>[</w:t>
      </w:r>
      <w:r w:rsidR="00171669">
        <w:rPr>
          <w:iCs/>
          <w:szCs w:val="28"/>
        </w:rPr>
        <w:t>1</w:t>
      </w:r>
      <w:r>
        <w:rPr>
          <w:iCs/>
          <w:szCs w:val="28"/>
        </w:rPr>
        <w:t>].</w:t>
      </w:r>
    </w:p>
    <w:p w14:paraId="0B19C81E" w14:textId="77777777" w:rsidR="00C035FA" w:rsidRDefault="008D5756">
      <w:pPr>
        <w:spacing w:before="240" w:after="240" w:line="240" w:lineRule="auto"/>
        <w:outlineLvl w:val="2"/>
        <w:rPr>
          <w:b/>
          <w:bCs/>
        </w:rPr>
      </w:pPr>
      <w:bookmarkStart w:id="135" w:name="_Toc139366886"/>
      <w:r>
        <w:rPr>
          <w:b/>
          <w:bCs/>
        </w:rPr>
        <w:t xml:space="preserve">4.1.7. </w:t>
      </w:r>
      <w:r>
        <w:rPr>
          <w:b/>
        </w:rPr>
        <w:t>Фармакокине</w:t>
      </w:r>
      <w:r>
        <w:rPr>
          <w:b/>
          <w:bCs/>
        </w:rPr>
        <w:t>тические лекарственные взаимодействия</w:t>
      </w:r>
      <w:bookmarkEnd w:id="135"/>
    </w:p>
    <w:p w14:paraId="771EE084" w14:textId="77777777" w:rsidR="00C035FA" w:rsidRPr="00B47330" w:rsidRDefault="008D5756">
      <w:pPr>
        <w:widowControl w:val="0"/>
        <w:spacing w:after="0" w:line="240" w:lineRule="auto"/>
        <w:rPr>
          <w:rFonts w:eastAsia="Times New Roman"/>
          <w:b/>
          <w:szCs w:val="28"/>
          <w:lang w:bidi="ru-RU"/>
        </w:rPr>
      </w:pPr>
      <w:r w:rsidRPr="00B47330">
        <w:rPr>
          <w:rFonts w:eastAsia="Times New Roman"/>
          <w:b/>
          <w:i/>
          <w:iCs/>
          <w:szCs w:val="28"/>
          <w:lang w:bidi="ru-RU"/>
        </w:rPr>
        <w:t>Оценка лекарственных взаимодействий in vitro</w:t>
      </w:r>
    </w:p>
    <w:p w14:paraId="76981BF0" w14:textId="5D71A81C" w:rsidR="00C035FA" w:rsidRDefault="008D5756">
      <w:pPr>
        <w:widowControl w:val="0"/>
        <w:spacing w:after="0" w:line="240" w:lineRule="auto"/>
        <w:ind w:firstLine="708"/>
        <w:rPr>
          <w:rFonts w:eastAsia="Times New Roman"/>
          <w:szCs w:val="28"/>
          <w:lang w:bidi="ru-RU"/>
        </w:rPr>
      </w:pPr>
      <w:r>
        <w:rPr>
          <w:rFonts w:eastAsia="Times New Roman"/>
          <w:szCs w:val="28"/>
          <w:lang w:bidi="ru-RU"/>
        </w:rPr>
        <w:t>Эмпаглифлозин не ингибирует, не инактивирует и не индуцирует изоферменты CYP450. Основным путем метаболизма эмпаглифлозина у человека является глюкуронидация с участием уридин-5’-дифосфо-глюкуронозилтрансфераз UGT2B7, UGT1A3, UGT1A8 и UGT1A9. Эмпаглифлозин не ингибирует UGT1A1, UGT1A3, UGT1A8, UGT1A9 или UGT2B7. Лекарственные взаимодействия эмпаглифлозина и лекарственных препаратов, являющихся субстратами изоферментов CYP450 и UGT, считаются маловероятными. Совместное применение с известными индукторами фер</w:t>
      </w:r>
      <w:r w:rsidR="00BA61A2">
        <w:rPr>
          <w:rFonts w:eastAsia="Times New Roman"/>
          <w:szCs w:val="28"/>
          <w:lang w:bidi="ru-RU"/>
        </w:rPr>
        <w:t>ментов UGT не рекомендуется из-</w:t>
      </w:r>
      <w:r>
        <w:rPr>
          <w:rFonts w:eastAsia="Times New Roman"/>
          <w:szCs w:val="28"/>
          <w:lang w:bidi="ru-RU"/>
        </w:rPr>
        <w:t>за потенциального риска снижения эффективности эмпаглифлозина. При необходимости применения индукторов UGT следует проводить мониторинг гликемического контроля для оценки эффективности терапии эмпаглифлозином.</w:t>
      </w:r>
    </w:p>
    <w:p w14:paraId="4474CD49" w14:textId="30B8D540" w:rsidR="00C035FA" w:rsidRDefault="008D5756">
      <w:pPr>
        <w:widowControl w:val="0"/>
        <w:tabs>
          <w:tab w:val="left" w:pos="709"/>
        </w:tabs>
        <w:spacing w:after="0" w:line="240" w:lineRule="auto"/>
        <w:rPr>
          <w:rFonts w:eastAsia="Times New Roman"/>
          <w:szCs w:val="28"/>
          <w:lang w:bidi="ru-RU"/>
        </w:rPr>
      </w:pPr>
      <w:r>
        <w:rPr>
          <w:rFonts w:eastAsia="Times New Roman"/>
          <w:szCs w:val="28"/>
          <w:lang w:bidi="ru-RU"/>
        </w:rPr>
        <w:tab/>
        <w:t xml:space="preserve">Эмпаглифлозин является субстратом для гликопротеина Р (P-gp) и белка, </w:t>
      </w:r>
      <w:r>
        <w:rPr>
          <w:rFonts w:eastAsia="Times New Roman"/>
          <w:szCs w:val="28"/>
          <w:lang w:bidi="ru-RU"/>
        </w:rPr>
        <w:lastRenderedPageBreak/>
        <w:t xml:space="preserve">определяющего резистентность рака молочной железы (BCRP), но в терапевтических дозах не ингибирует эти белки. На основании данных, полученных в исследованиях </w:t>
      </w:r>
      <w:r>
        <w:rPr>
          <w:rFonts w:eastAsia="Times New Roman"/>
          <w:i/>
          <w:iCs/>
          <w:szCs w:val="28"/>
          <w:lang w:bidi="ru-RU"/>
        </w:rPr>
        <w:t>in vitro,</w:t>
      </w:r>
      <w:r>
        <w:rPr>
          <w:rFonts w:eastAsia="Times New Roman"/>
          <w:szCs w:val="28"/>
          <w:lang w:bidi="ru-RU"/>
        </w:rPr>
        <w:t xml:space="preserve"> считается, что способность эмпаглифлозина вступать во взаимодействия с препаратами, которые являются субстратами для гликопротеина Р (P-gp), маловероятна. Эмпаглифлозин является субстратом для органических анионных переносчиков: ОАТЗ, ОАТР1В1 и ОАТР1ВЗ, но не является субстратом для органических анионных переносчиков 1 (ОАТ1) и органических катионных переносчиков 2</w:t>
      </w:r>
      <w:r w:rsidR="001C5933">
        <w:rPr>
          <w:rFonts w:eastAsia="Times New Roman"/>
          <w:szCs w:val="28"/>
          <w:lang w:bidi="ru-RU"/>
        </w:rPr>
        <w:t xml:space="preserve"> </w:t>
      </w:r>
      <w:r>
        <w:rPr>
          <w:rFonts w:eastAsia="Times New Roman"/>
          <w:szCs w:val="28"/>
          <w:lang w:bidi="ru-RU"/>
        </w:rPr>
        <w:t xml:space="preserve">(ОСТ2). Однако лекарственные взаимодействия эмпаглифлозина с препаратами, являющимися субстратами для вышеописанных белков- переносчиков, считаются маловероятными </w:t>
      </w:r>
      <w:r>
        <w:rPr>
          <w:iCs/>
          <w:szCs w:val="28"/>
        </w:rPr>
        <w:t>[</w:t>
      </w:r>
      <w:r w:rsidR="00171669">
        <w:rPr>
          <w:iCs/>
          <w:szCs w:val="28"/>
        </w:rPr>
        <w:t>1</w:t>
      </w:r>
      <w:r>
        <w:rPr>
          <w:iCs/>
          <w:szCs w:val="28"/>
        </w:rPr>
        <w:t>].</w:t>
      </w:r>
    </w:p>
    <w:p w14:paraId="4FF4302D" w14:textId="77777777" w:rsidR="00C035FA" w:rsidRDefault="00C035FA">
      <w:pPr>
        <w:widowControl w:val="0"/>
        <w:spacing w:after="0" w:line="240" w:lineRule="auto"/>
        <w:rPr>
          <w:rFonts w:eastAsia="Times New Roman"/>
          <w:i/>
          <w:iCs/>
          <w:szCs w:val="28"/>
          <w:lang w:bidi="ru-RU"/>
        </w:rPr>
      </w:pPr>
    </w:p>
    <w:p w14:paraId="65E91333" w14:textId="77777777" w:rsidR="00C035FA" w:rsidRPr="00B47330" w:rsidRDefault="008D5756">
      <w:pPr>
        <w:widowControl w:val="0"/>
        <w:spacing w:after="0" w:line="240" w:lineRule="auto"/>
        <w:rPr>
          <w:rFonts w:eastAsia="Times New Roman"/>
          <w:b/>
          <w:szCs w:val="28"/>
          <w:lang w:bidi="ru-RU"/>
        </w:rPr>
      </w:pPr>
      <w:r w:rsidRPr="00B47330">
        <w:rPr>
          <w:rFonts w:eastAsia="Times New Roman"/>
          <w:b/>
          <w:i/>
          <w:iCs/>
          <w:szCs w:val="28"/>
          <w:lang w:bidi="ru-RU"/>
        </w:rPr>
        <w:t>Оценка лекарственных взаимодействий in vivo</w:t>
      </w:r>
    </w:p>
    <w:p w14:paraId="39927819" w14:textId="77777777" w:rsidR="00C035FA" w:rsidRDefault="008D5756">
      <w:pPr>
        <w:spacing w:after="0" w:line="240" w:lineRule="auto"/>
        <w:ind w:firstLine="709"/>
        <w:rPr>
          <w:rFonts w:eastAsia="Times New Roman"/>
          <w:szCs w:val="28"/>
          <w:lang w:bidi="ru-RU"/>
        </w:rPr>
      </w:pPr>
      <w:r>
        <w:rPr>
          <w:rFonts w:eastAsia="Times New Roman"/>
          <w:szCs w:val="28"/>
          <w:lang w:bidi="ru-RU"/>
        </w:rPr>
        <w:t>При совместном применении эмпаглифлозина с другими часто используемыми лекарственными препаратами клинически существенных фармакокинетических взаимодействий не наблюдалось. Результаты фармакокинетических исследований свидетельствуют об отсутствии необходимости изменять дозу эмпаглифлозина при одновременном его применении с часто используемыми лекарственными препаратами. Фармакокинетика эмпаглифлозина не меняется у здоровых добровольцев в случае его совместного применения с метформином, глимепиридом, пиоглитазоном, ситаглиптином, линаглиптином, варфарином, верапамилом, рамиприлом, симвастатином и у пациентов с СД2 в случае совместного применения с торасемидом и гидрохлоротиазидом. При совместном применении эмпаглифлозина с гемфиброзилом, рифампицином и пробенецидом отмечалось увеличение значения AUC эмпаглифлозина на 59 %, 35 % и 53 %, соответственно, однако данные изменения не считались клинически значимыми.</w:t>
      </w:r>
    </w:p>
    <w:p w14:paraId="4316387D" w14:textId="126E8BF2" w:rsidR="00C035FA" w:rsidRDefault="008D5756">
      <w:pPr>
        <w:spacing w:after="0" w:line="240" w:lineRule="auto"/>
        <w:ind w:firstLine="709"/>
        <w:rPr>
          <w:rFonts w:eastAsia="Times New Roman"/>
          <w:szCs w:val="28"/>
          <w:lang w:bidi="ru-RU"/>
        </w:rPr>
      </w:pPr>
      <w:r>
        <w:rPr>
          <w:rFonts w:eastAsia="Times New Roman"/>
          <w:szCs w:val="28"/>
          <w:lang w:bidi="ru-RU"/>
        </w:rPr>
        <w:t xml:space="preserve">Эмпаглифлозин не оказывает клинически значимого влияния на фармакокинетику метформина, глимепирида, пиоглитазона, ситаглиптина, линаглиптина, варфарина, дигоксина, рамиприла, симвастатина, гидрохлоротиазида, торасемида и пероральных контрацептивных препаратов у здоровых добровольцев </w:t>
      </w:r>
      <w:r>
        <w:rPr>
          <w:iCs/>
          <w:szCs w:val="28"/>
        </w:rPr>
        <w:t>[</w:t>
      </w:r>
      <w:r w:rsidR="00171669">
        <w:rPr>
          <w:iCs/>
          <w:szCs w:val="28"/>
        </w:rPr>
        <w:t>1</w:t>
      </w:r>
      <w:r>
        <w:rPr>
          <w:iCs/>
          <w:szCs w:val="28"/>
        </w:rPr>
        <w:t>].</w:t>
      </w:r>
    </w:p>
    <w:p w14:paraId="4681F258" w14:textId="7772E7EE" w:rsidR="00C035FA" w:rsidRDefault="008D5756">
      <w:pPr>
        <w:spacing w:after="0" w:line="240" w:lineRule="auto"/>
        <w:ind w:firstLine="709"/>
      </w:pPr>
      <w:r>
        <w:t>Одновременное применение эмпаглифлозина с ситаглиптином не оказывало клинически значимого влияния на фармакокинетику обоих препаратов [1</w:t>
      </w:r>
      <w:r w:rsidR="00171669">
        <w:t>7</w:t>
      </w:r>
      <w:r>
        <w:t xml:space="preserve">] и аналогичное исследование с линаглиптином также не показало клинически значимого взаимодействия [126]. </w:t>
      </w:r>
    </w:p>
    <w:p w14:paraId="023AF922" w14:textId="6EE15B0E" w:rsidR="00C035FA" w:rsidRDefault="008D5756">
      <w:pPr>
        <w:spacing w:after="0" w:line="240" w:lineRule="auto"/>
        <w:ind w:firstLine="709"/>
      </w:pPr>
      <w:r>
        <w:t>Аналогичным образом, не было выявлено значимого фармакокинетического взаимодействия между эмпаглифлозином и метформином и с пиоглитазоном [</w:t>
      </w:r>
      <w:r w:rsidR="00171669">
        <w:t>7</w:t>
      </w:r>
      <w:r>
        <w:t>].</w:t>
      </w:r>
    </w:p>
    <w:p w14:paraId="2B7434B1" w14:textId="40783F64" w:rsidR="00C035FA" w:rsidRDefault="008D5756">
      <w:pPr>
        <w:spacing w:after="0" w:line="240" w:lineRule="auto"/>
        <w:ind w:firstLine="709"/>
      </w:pPr>
      <w:r>
        <w:t>Так как эмпаглифлозин является субстратом для некоторых переносчиков лекарственных средств захвата и оттока и ВГТ ферментов, исследования лекарственного взаимодействия проводились с эмпаглифлозином и гемфиброзилом (ингибитор OATP1B1, OATP1B3 и OAT3), рифампицином (ингибитор OATP1B1/1B3) и пробенецидом (ингибитор OAT3 и UGT) [1</w:t>
      </w:r>
      <w:r w:rsidR="00171669">
        <w:t>8</w:t>
      </w:r>
      <w:r>
        <w:t>]. Произошло статистически значимое увеличение при воздействии эмпаглифлозина с каждым из этих взаимодействующих препаратов, но все они были &lt;2-кратными, что указывает на то, что взаимодействия не оказывали клинически значимого влияния на экспозицию эмпаглифлозина [1</w:t>
      </w:r>
      <w:r w:rsidR="00171669">
        <w:t>8</w:t>
      </w:r>
      <w:r>
        <w:t>].</w:t>
      </w:r>
    </w:p>
    <w:p w14:paraId="24162BA5" w14:textId="73F554FF" w:rsidR="00C035FA" w:rsidRDefault="008D5756">
      <w:pPr>
        <w:spacing w:after="0" w:line="240" w:lineRule="auto"/>
        <w:ind w:firstLine="709"/>
        <w:rPr>
          <w:sz w:val="22"/>
        </w:rPr>
      </w:pPr>
      <w:r>
        <w:t>На экспозицию эмпаглифлозина не влияло совместное введение с верапамилом, ингибитором P-gp, и одновременное введение эмпаглифлозина с субстратом P-gp дигоксином или с рамиприлом или его активным метаболитом рамиприлатом не имели клинически значимого фармакокинетического взаимодействие [</w:t>
      </w:r>
      <w:r w:rsidR="00171669">
        <w:t>6</w:t>
      </w:r>
      <w:r>
        <w:t>]. Также не было отмечено значимого фармакокинетического взаимодействия между эмпаглифлозином и симвастатином или варфарином [1</w:t>
      </w:r>
      <w:r w:rsidR="00171669">
        <w:t>9</w:t>
      </w:r>
      <w:r>
        <w:t>].</w:t>
      </w:r>
    </w:p>
    <w:p w14:paraId="01950C0C" w14:textId="77777777" w:rsidR="00C035FA" w:rsidRDefault="008D5756">
      <w:pPr>
        <w:pStyle w:val="Heading2"/>
        <w:spacing w:line="240" w:lineRule="auto"/>
        <w:rPr>
          <w:color w:val="000000" w:themeColor="text1"/>
          <w:szCs w:val="24"/>
        </w:rPr>
      </w:pPr>
      <w:bookmarkStart w:id="136" w:name="_Toc139366887"/>
      <w:r>
        <w:rPr>
          <w:color w:val="000000" w:themeColor="text1"/>
          <w:szCs w:val="24"/>
        </w:rPr>
        <w:lastRenderedPageBreak/>
        <w:t>4.2. Фармакодинамика у человека</w:t>
      </w:r>
      <w:bookmarkEnd w:id="136"/>
    </w:p>
    <w:p w14:paraId="517B3A6F" w14:textId="000C83E1" w:rsidR="00C035FA" w:rsidRDefault="008D5756">
      <w:pPr>
        <w:spacing w:after="0" w:line="240" w:lineRule="auto"/>
        <w:ind w:firstLine="709"/>
      </w:pPr>
      <w:r>
        <w:t>Натрий-зависимый котранспортер глюкозы-2 (SGLT2) локализован в проксимальных канальцах почек, на долю которого приходится примерно 90% реабсорбции глюкозы почками. Он реабсорбирует большую часть ~ 180 г глюкозы, отфильтрованной при нормальных условиях через</w:t>
      </w:r>
      <w:r>
        <w:rPr>
          <w:i/>
        </w:rPr>
        <w:t xml:space="preserve"> </w:t>
      </w:r>
      <w:r>
        <w:t>клубочки в день. Эмпаглифлозин избирательно ингибирует SGLT2, что приводит к прямому, независимому от инсулина повышению выведения глюкозы почками и соответственно снижению уровня глюкозы в крови</w:t>
      </w:r>
      <w:r w:rsidRPr="00E14858">
        <w:t xml:space="preserve"> </w:t>
      </w:r>
      <w:r>
        <w:t>[</w:t>
      </w:r>
      <w:r w:rsidR="00171669">
        <w:t>20</w:t>
      </w:r>
      <w:r>
        <w:t>].</w:t>
      </w:r>
    </w:p>
    <w:p w14:paraId="0E76166D" w14:textId="1FD900D7" w:rsidR="00C035FA" w:rsidRDefault="008D5756">
      <w:pPr>
        <w:spacing w:after="0" w:line="240" w:lineRule="auto"/>
        <w:ind w:firstLine="709"/>
      </w:pPr>
      <w:r>
        <w:t>Как и другие ингибиторы SGLT2, эмпаглифлозин вызывает лишь частичное торможение реабсорбции глюкозы. У здоровых добровольцев прием 10 мг эмпаглифлозина уменьшает реабсорбцию глюкозы на 40%, прием более высоких доз – на 40–60%, прием в дозах более 100 мг дальнейшего увеличения реабсорбции не вызывает [</w:t>
      </w:r>
      <w:r w:rsidR="00171669">
        <w:t>2</w:t>
      </w:r>
      <w:r>
        <w:t>].</w:t>
      </w:r>
    </w:p>
    <w:p w14:paraId="634702E0" w14:textId="3DD9D443" w:rsidR="00C035FA" w:rsidRDefault="008D5756">
      <w:pPr>
        <w:spacing w:after="0" w:line="240" w:lineRule="auto"/>
        <w:ind w:firstLine="709"/>
      </w:pPr>
      <w:r>
        <w:t>Ввиду заявленного механизма действия для исследования фармакодинамики эмпаглифлозина в качестве основного параметра был выбран уровень экскреции глюкозы с мочой (UGE). UGE оценивался в трех исследованиях на здоровых добровольцах и в пяти исследованиях на пациентах с СД2. Эмпаглифлозин ингибировал реабсорбцию &lt;40% отфильтрованной глюкозы при разовых суточных дозах до 10 мг и примерно 40-60% отфильтрованной глюкозы при более высоких дозах, причем эффект достигал плато примерно при дозе 100 мг. Из трех исследований на здоровых людях сделан вывод, что пероральное применение эмпаглифлозина приводило к дозозависимому увеличению UGE. У здоровых добровольцев эмпаглифлозин не оказывает никакого влияния на уровень глюкозы в плазме крови, несмотря на повышенную глюкозурию. Однако у пациентов с СД2 эмпаглифлозин снижает уровень глюкозы в плазме крови более или менее дозозависимым образом.</w:t>
      </w:r>
    </w:p>
    <w:p w14:paraId="3F97F7EA" w14:textId="7238F554" w:rsidR="00C035FA" w:rsidRPr="00652FF7" w:rsidRDefault="008D5756" w:rsidP="00652FF7">
      <w:pPr>
        <w:spacing w:after="0" w:line="240" w:lineRule="auto"/>
        <w:ind w:firstLine="709"/>
      </w:pPr>
      <w:r>
        <w:t xml:space="preserve">На основании клинических исследований доказано, что эмпаглифлозин не отказывает влияния на интервал </w:t>
      </w:r>
      <w:r>
        <w:rPr>
          <w:lang w:val="en-US"/>
        </w:rPr>
        <w:t>QT</w:t>
      </w:r>
      <w:r w:rsidRPr="00E14858">
        <w:t xml:space="preserve">. </w:t>
      </w:r>
      <w:r>
        <w:t>В общей сложности 30 пациентов мужского и женского пола были рандомизированы для получения эмпаглифлозина в дозе 25 мг (терапевтическая доза), эмпаглифлозина в дозе 200 мг (с</w:t>
      </w:r>
      <w:r w:rsidR="008A5E05">
        <w:t>верх</w:t>
      </w:r>
      <w:r>
        <w:t>терапевтическая доза), моксифлоксацина в дозе 400 мг (положительный контроль) или 2 раза плацебо. Однократные пероральные дозы 25 мг (терапевтические) и 200 мг эмпаглифлозина (</w:t>
      </w:r>
      <w:r w:rsidR="008A5E05">
        <w:t>сверх</w:t>
      </w:r>
      <w:r>
        <w:t xml:space="preserve">терапевтические) у здоровых людей не связаны с удлинением интервала QT. Первичной конечной точкой было среднее изменение интервала QT с поправкой на частоту сердечных сокращений по сравнению с исходным уровнем в популяции через 1-4 ч после приема препарата. Также анализ первичной конечной точки в разбивке по полу и анализ вторичных конечных точек показали отсутствие клинически значимое увеличение среднего интервала QT по сравнению с исходным уровнем </w:t>
      </w:r>
      <w:r w:rsidRPr="00E14858">
        <w:t>[</w:t>
      </w:r>
      <w:r w:rsidR="00171669">
        <w:t>20</w:t>
      </w:r>
      <w:r w:rsidRPr="00E14858">
        <w:t>].</w:t>
      </w:r>
    </w:p>
    <w:p w14:paraId="440EAB9E" w14:textId="77777777" w:rsidR="00C035FA" w:rsidRDefault="008D5756">
      <w:pPr>
        <w:spacing w:before="240" w:after="240" w:line="240" w:lineRule="auto"/>
        <w:outlineLvl w:val="2"/>
        <w:rPr>
          <w:b/>
          <w:bCs/>
        </w:rPr>
      </w:pPr>
      <w:bookmarkStart w:id="137" w:name="_Toc139366888"/>
      <w:r>
        <w:rPr>
          <w:b/>
          <w:bCs/>
        </w:rPr>
        <w:t xml:space="preserve">4.2.1. </w:t>
      </w:r>
      <w:r>
        <w:rPr>
          <w:b/>
        </w:rPr>
        <w:t xml:space="preserve">Фармакодинамические </w:t>
      </w:r>
      <w:r>
        <w:rPr>
          <w:b/>
          <w:bCs/>
        </w:rPr>
        <w:t>лекарственные взаимодействия</w:t>
      </w:r>
      <w:bookmarkEnd w:id="137"/>
    </w:p>
    <w:p w14:paraId="01DA9D8D" w14:textId="77777777" w:rsidR="00C035FA" w:rsidRDefault="008D5756">
      <w:pPr>
        <w:pStyle w:val="NormalWeb"/>
        <w:shd w:val="clear" w:color="auto" w:fill="FFFFFF"/>
        <w:spacing w:before="0" w:beforeAutospacing="0" w:after="0" w:afterAutospacing="0"/>
        <w:ind w:firstLine="709"/>
        <w:jc w:val="both"/>
      </w:pPr>
      <w:r>
        <w:t>Взаимодействия эмпаглифлозина указаны в разделе 5.3.7.</w:t>
      </w:r>
    </w:p>
    <w:p w14:paraId="3ADAD2D6" w14:textId="77777777" w:rsidR="00C035FA" w:rsidRDefault="00C035FA">
      <w:pPr>
        <w:pStyle w:val="NormalWeb"/>
        <w:shd w:val="clear" w:color="auto" w:fill="FFFFFF"/>
        <w:spacing w:before="0" w:beforeAutospacing="0" w:after="0" w:afterAutospacing="0"/>
        <w:ind w:firstLine="709"/>
        <w:jc w:val="both"/>
      </w:pPr>
    </w:p>
    <w:p w14:paraId="33AEBC93" w14:textId="77777777" w:rsidR="009D7120" w:rsidRDefault="008D5756">
      <w:pPr>
        <w:pStyle w:val="Heading2"/>
        <w:spacing w:before="0" w:after="0" w:line="240" w:lineRule="auto"/>
        <w:rPr>
          <w:color w:val="000000" w:themeColor="text1"/>
          <w:szCs w:val="24"/>
        </w:rPr>
      </w:pPr>
      <w:bookmarkStart w:id="138" w:name="_Toc139366889"/>
      <w:r>
        <w:rPr>
          <w:color w:val="000000" w:themeColor="text1"/>
          <w:szCs w:val="24"/>
        </w:rPr>
        <w:t>4.3. Безопасность и эффективность</w:t>
      </w:r>
      <w:bookmarkEnd w:id="138"/>
    </w:p>
    <w:p w14:paraId="51DF5C82" w14:textId="77777777" w:rsidR="00171669" w:rsidRDefault="00171669" w:rsidP="00171669">
      <w:pPr>
        <w:pStyle w:val="OT"/>
        <w:ind w:firstLine="709"/>
        <w:contextualSpacing/>
        <w:rPr>
          <w:sz w:val="24"/>
          <w:szCs w:val="24"/>
        </w:rPr>
      </w:pPr>
    </w:p>
    <w:p w14:paraId="25835CFF" w14:textId="61E2B8FB" w:rsidR="009D7120" w:rsidRPr="00171669" w:rsidRDefault="009D7120" w:rsidP="00171669">
      <w:pPr>
        <w:pStyle w:val="OT"/>
        <w:ind w:firstLine="709"/>
        <w:contextualSpacing/>
        <w:rPr>
          <w:b/>
          <w:sz w:val="24"/>
          <w:szCs w:val="24"/>
        </w:rPr>
      </w:pPr>
      <w:r w:rsidRPr="00171669">
        <w:rPr>
          <w:sz w:val="24"/>
          <w:szCs w:val="24"/>
        </w:rPr>
        <w:t>Эмпаглифлозин является обратимым, высокоэффективным (IC</w:t>
      </w:r>
      <w:r w:rsidRPr="001B4473">
        <w:rPr>
          <w:sz w:val="24"/>
          <w:szCs w:val="24"/>
          <w:vertAlign w:val="subscript"/>
        </w:rPr>
        <w:t>50</w:t>
      </w:r>
      <w:r w:rsidRPr="00171669">
        <w:rPr>
          <w:sz w:val="24"/>
          <w:szCs w:val="24"/>
        </w:rPr>
        <w:t xml:space="preserve"> составляет 1,3 нмоль) и селективным конкурентным ингибитором натрий-глюкозного ко-транспортера 2 (SGLT2).</w:t>
      </w:r>
    </w:p>
    <w:p w14:paraId="78929455" w14:textId="5FECF902" w:rsidR="001A2903" w:rsidRPr="00171669" w:rsidRDefault="009D7120" w:rsidP="00171669">
      <w:pPr>
        <w:pStyle w:val="OT"/>
        <w:ind w:firstLine="709"/>
        <w:contextualSpacing/>
        <w:rPr>
          <w:b/>
          <w:sz w:val="24"/>
          <w:szCs w:val="24"/>
        </w:rPr>
      </w:pPr>
      <w:r w:rsidRPr="00171669">
        <w:rPr>
          <w:sz w:val="24"/>
          <w:szCs w:val="24"/>
        </w:rPr>
        <w:t xml:space="preserve">Эмпаглифлозин не ингибирует другие переносчики глюкозы, важные для </w:t>
      </w:r>
      <w:r w:rsidRPr="00171669">
        <w:rPr>
          <w:sz w:val="24"/>
          <w:szCs w:val="24"/>
        </w:rPr>
        <w:lastRenderedPageBreak/>
        <w:t xml:space="preserve">транспорта глюкозы в периферические ткани, и в 5000 раз более селективен в отношении SGLT2 по сравнению с SGLT1, основным транспортером, ответственным за всасывание глюкозы в кишечнике. SGLT2 высоко экспрессируется в почках, тогда как экспрессия в других тканях отсутствует или очень низкая. </w:t>
      </w:r>
      <w:r w:rsidR="00766D8D">
        <w:rPr>
          <w:sz w:val="24"/>
          <w:szCs w:val="24"/>
        </w:rPr>
        <w:t xml:space="preserve">Соответственно, так как эмпаглифлозин селективен в отношении </w:t>
      </w:r>
      <w:r w:rsidR="00766D8D" w:rsidRPr="00171669">
        <w:rPr>
          <w:sz w:val="24"/>
          <w:szCs w:val="24"/>
        </w:rPr>
        <w:t>SGLT2</w:t>
      </w:r>
      <w:r w:rsidR="00766D8D">
        <w:rPr>
          <w:sz w:val="24"/>
          <w:szCs w:val="24"/>
        </w:rPr>
        <w:t xml:space="preserve">, он оказывает влияние только </w:t>
      </w:r>
      <w:r w:rsidR="00CD30BF">
        <w:rPr>
          <w:sz w:val="24"/>
          <w:szCs w:val="24"/>
        </w:rPr>
        <w:t>на реабсорбцию глюкозы в почках, но не на ее поступление в организм с пищей.</w:t>
      </w:r>
      <w:r w:rsidR="009C0538" w:rsidRPr="00171669">
        <w:rPr>
          <w:sz w:val="24"/>
          <w:szCs w:val="24"/>
        </w:rPr>
        <w:t xml:space="preserve"> </w:t>
      </w:r>
    </w:p>
    <w:p w14:paraId="44D48565" w14:textId="187D7AE8" w:rsidR="001A2903" w:rsidRPr="00171669" w:rsidRDefault="009D7120" w:rsidP="00171669">
      <w:pPr>
        <w:pStyle w:val="OT"/>
        <w:ind w:firstLine="709"/>
        <w:contextualSpacing/>
        <w:rPr>
          <w:b/>
          <w:sz w:val="24"/>
          <w:szCs w:val="24"/>
        </w:rPr>
      </w:pPr>
      <w:r w:rsidRPr="00171669">
        <w:rPr>
          <w:sz w:val="24"/>
          <w:szCs w:val="24"/>
        </w:rPr>
        <w:t xml:space="preserve">Эмпаглифлозин улучшает контроль гликемии у пациентов с </w:t>
      </w:r>
      <w:r w:rsidR="008A5E05" w:rsidRPr="00171669">
        <w:rPr>
          <w:sz w:val="24"/>
          <w:szCs w:val="24"/>
        </w:rPr>
        <w:t>СД2</w:t>
      </w:r>
      <w:r w:rsidRPr="00171669">
        <w:rPr>
          <w:sz w:val="24"/>
          <w:szCs w:val="24"/>
        </w:rPr>
        <w:t xml:space="preserve"> за счет снижения реабсорбции глюкозы почками. Количество глюкозы, выводимой почками с помощью этого глюкуретического механизма, зависит от концентрации глюкозы в крови и СКФ. Ингибирование SGLT2 у пациентов с </w:t>
      </w:r>
      <w:r w:rsidR="008A5E05" w:rsidRPr="00171669">
        <w:rPr>
          <w:sz w:val="24"/>
          <w:szCs w:val="24"/>
        </w:rPr>
        <w:t xml:space="preserve">СД2 </w:t>
      </w:r>
      <w:r w:rsidRPr="00171669">
        <w:rPr>
          <w:sz w:val="24"/>
          <w:szCs w:val="24"/>
        </w:rPr>
        <w:t>приводят к избыточному выделению глюкозы с мочой.</w:t>
      </w:r>
    </w:p>
    <w:p w14:paraId="3035A736" w14:textId="1C0A6DAC" w:rsidR="009D7120" w:rsidRPr="00171669" w:rsidRDefault="009D7120" w:rsidP="006073C1">
      <w:pPr>
        <w:pStyle w:val="OT"/>
        <w:spacing w:after="0"/>
        <w:ind w:firstLine="709"/>
        <w:contextualSpacing/>
        <w:rPr>
          <w:b/>
          <w:sz w:val="24"/>
          <w:szCs w:val="24"/>
        </w:rPr>
      </w:pPr>
      <w:r w:rsidRPr="00171669">
        <w:rPr>
          <w:sz w:val="24"/>
          <w:szCs w:val="24"/>
        </w:rPr>
        <w:t>Кроме того, начало</w:t>
      </w:r>
      <w:r w:rsidR="001A2903" w:rsidRPr="00171669">
        <w:rPr>
          <w:sz w:val="24"/>
          <w:szCs w:val="24"/>
        </w:rPr>
        <w:t xml:space="preserve"> </w:t>
      </w:r>
      <w:r w:rsidRPr="00171669">
        <w:rPr>
          <w:sz w:val="24"/>
          <w:szCs w:val="24"/>
        </w:rPr>
        <w:t>приема эмпаглифлозина увеличивает выведение натрия, что приводит к осмотическому диурезу и уменьшению внутрисосудистого объема</w:t>
      </w:r>
      <w:r w:rsidR="008A0417">
        <w:rPr>
          <w:sz w:val="24"/>
          <w:szCs w:val="24"/>
        </w:rPr>
        <w:t xml:space="preserve"> </w:t>
      </w:r>
      <w:r w:rsidR="008A0417" w:rsidRPr="008A0417">
        <w:rPr>
          <w:sz w:val="24"/>
          <w:szCs w:val="24"/>
        </w:rPr>
        <w:t>[21]</w:t>
      </w:r>
      <w:r w:rsidR="00171669">
        <w:rPr>
          <w:sz w:val="24"/>
          <w:szCs w:val="24"/>
        </w:rPr>
        <w:t>.</w:t>
      </w:r>
    </w:p>
    <w:p w14:paraId="3D697311" w14:textId="77777777" w:rsidR="00C035FA" w:rsidRDefault="00C035FA" w:rsidP="006073C1">
      <w:pPr>
        <w:spacing w:after="0" w:line="240" w:lineRule="auto"/>
      </w:pPr>
    </w:p>
    <w:p w14:paraId="117032A3" w14:textId="77777777" w:rsidR="00C035FA" w:rsidRDefault="008D5756" w:rsidP="006073C1">
      <w:pPr>
        <w:pStyle w:val="Heading3"/>
        <w:spacing w:before="0" w:after="0" w:line="240" w:lineRule="auto"/>
        <w:rPr>
          <w:rFonts w:ascii="Times New Roman" w:hAnsi="Times New Roman"/>
          <w:szCs w:val="24"/>
        </w:rPr>
      </w:pPr>
      <w:bookmarkStart w:id="139" w:name="_Toc52190587"/>
      <w:bookmarkStart w:id="140" w:name="_Toc139366890"/>
      <w:r>
        <w:rPr>
          <w:rFonts w:ascii="Times New Roman" w:hAnsi="Times New Roman"/>
          <w:szCs w:val="24"/>
        </w:rPr>
        <w:t>4.3.1</w:t>
      </w:r>
      <w:bookmarkEnd w:id="139"/>
      <w:r>
        <w:rPr>
          <w:rFonts w:ascii="Times New Roman" w:hAnsi="Times New Roman"/>
          <w:szCs w:val="24"/>
        </w:rPr>
        <w:t>. Клиническая эффективность</w:t>
      </w:r>
      <w:bookmarkEnd w:id="140"/>
    </w:p>
    <w:p w14:paraId="5B1CA49D" w14:textId="77777777" w:rsidR="000F21E3" w:rsidRDefault="000F21E3">
      <w:pPr>
        <w:spacing w:after="0" w:line="240" w:lineRule="auto"/>
      </w:pPr>
    </w:p>
    <w:p w14:paraId="50C0DED0" w14:textId="1AC439E4" w:rsidR="00C035FA" w:rsidRDefault="008D5756">
      <w:pPr>
        <w:pStyle w:val="Heading4"/>
        <w:spacing w:before="0" w:after="0" w:line="240" w:lineRule="auto"/>
        <w:rPr>
          <w:rFonts w:ascii="Times New Roman" w:hAnsi="Times New Roman"/>
          <w:sz w:val="24"/>
          <w:szCs w:val="24"/>
        </w:rPr>
      </w:pPr>
      <w:bookmarkStart w:id="141" w:name="_Toc139366891"/>
      <w:r>
        <w:rPr>
          <w:rFonts w:ascii="Times New Roman" w:hAnsi="Times New Roman"/>
          <w:sz w:val="24"/>
          <w:szCs w:val="24"/>
        </w:rPr>
        <w:t>4.3.1.1. Сахарный диабет</w:t>
      </w:r>
      <w:bookmarkEnd w:id="141"/>
    </w:p>
    <w:p w14:paraId="69D3AD28" w14:textId="77777777" w:rsidR="00CD613C" w:rsidRDefault="00CD613C">
      <w:pPr>
        <w:spacing w:after="0" w:line="240" w:lineRule="auto"/>
        <w:ind w:firstLine="709"/>
      </w:pPr>
    </w:p>
    <w:p w14:paraId="1230BBE4" w14:textId="6B789B26" w:rsidR="00C035FA" w:rsidRDefault="008D5756">
      <w:pPr>
        <w:spacing w:after="0" w:line="240" w:lineRule="auto"/>
        <w:ind w:firstLine="709"/>
      </w:pPr>
      <w:r>
        <w:t>В настоящее время заболеваемость сахарным диабетом типа 2 (СД2) приобрела масштабы глобальной пандемии. Поскольку СД является прогрессирующим и мультисистемным заболеванием, ни одна терапия не может обеспечить адекватный гликемический контроль на долгосрочную перспективу. СД связан с высоким риском развития серьезных осложнений, в том числе сердечно-сосудистой патологии. В связи с чем профилактика сердечно-сосудистых осложнений уже много лет рассматривается как важная составляющая медицинской помощи пациентам с СД, однако до настоящего времени ни для одного сахароснижающего препарата не было получено статистически значимых данных о его возможности снижать уровень смертности в ходе лечения [</w:t>
      </w:r>
      <w:r w:rsidR="008A0417" w:rsidRPr="008A0417">
        <w:t>22</w:t>
      </w:r>
      <w:r>
        <w:t xml:space="preserve">]. </w:t>
      </w:r>
    </w:p>
    <w:p w14:paraId="72A4C3A3" w14:textId="5FAD65B3" w:rsidR="00C035FA" w:rsidRDefault="008D5756">
      <w:pPr>
        <w:spacing w:after="0" w:line="240" w:lineRule="auto"/>
        <w:ind w:firstLine="709"/>
      </w:pPr>
      <w:r>
        <w:t>Современным инновационным лечением пациентов высокого сердечно-сосудистого риска, включая ХСН и СД2, является применение ингибиторов натрий-глюкозного котранспортера 2-го типа (иНГЛТ-2), реализующего мультидисциплинарный подход к снижению риска сердечно-сосудистой смерти, повторных госпитализаций и снижению потери почечной функции [2</w:t>
      </w:r>
      <w:r w:rsidR="008A0417" w:rsidRPr="008A0417">
        <w:t>3-26</w:t>
      </w:r>
      <w:r>
        <w:t>].</w:t>
      </w:r>
    </w:p>
    <w:p w14:paraId="35F22BB1" w14:textId="71DE7BED" w:rsidR="00C035FA" w:rsidRDefault="008D5756">
      <w:pPr>
        <w:spacing w:after="0" w:line="240" w:lineRule="auto"/>
        <w:ind w:firstLine="567"/>
      </w:pPr>
      <w:bookmarkStart w:id="142" w:name="_Hlk130999240"/>
      <w:r>
        <w:t>Эмпаглифлозин зарекомендовал себя как высокоэффективный препарат для широкого круга пациентов с СД 2. Ингибиторы глюкозо-натриевого симпортера 2 (SGLT2) – новый класс сахароснижающих препаратов с многочисленными негликемическими эффектами. Применение препаратов данного класса открывает большие перспективы не только в плане контроля гликемии, но и в профилактике осложнений сахарного диабета (СД).</w:t>
      </w:r>
    </w:p>
    <w:p w14:paraId="30CE9127" w14:textId="481C700E" w:rsidR="000F21E3" w:rsidRDefault="000F21E3" w:rsidP="000F21E3">
      <w:pPr>
        <w:spacing w:after="0" w:line="240" w:lineRule="auto"/>
        <w:ind w:firstLine="567"/>
      </w:pPr>
      <w:r>
        <w:t>В лечении СД2 важную роль играют как улучшение гликемического контроля, так и снижение сердечно-сосудистой заболеваемости и смертности.</w:t>
      </w:r>
    </w:p>
    <w:p w14:paraId="403A6C0B" w14:textId="54A0FA5A" w:rsidR="000F21E3" w:rsidRDefault="000F21E3" w:rsidP="003760B6">
      <w:pPr>
        <w:spacing w:after="0" w:line="240" w:lineRule="auto"/>
        <w:ind w:firstLine="567"/>
      </w:pPr>
      <w:r>
        <w:t xml:space="preserve">Гликемическая эффективность и сердечно-сосудистые исходы были оценены в общей сложности у </w:t>
      </w:r>
      <w:r w:rsidR="00461069">
        <w:t xml:space="preserve">14 663 пациентов с </w:t>
      </w:r>
      <w:r>
        <w:t>диабет</w:t>
      </w:r>
      <w:r w:rsidR="00461069">
        <w:t>ом</w:t>
      </w:r>
      <w:r>
        <w:t xml:space="preserve"> 2 типа, которые </w:t>
      </w:r>
      <w:r w:rsidR="00461069">
        <w:t>участвовали</w:t>
      </w:r>
      <w:r>
        <w:t xml:space="preserve"> в 12 двойных слепых, плацебо- и активно-контролируемых клинических исследованиях, из</w:t>
      </w:r>
      <w:r w:rsidR="00461069">
        <w:t xml:space="preserve"> </w:t>
      </w:r>
      <w:r>
        <w:t xml:space="preserve">из которых 9 295 </w:t>
      </w:r>
      <w:r w:rsidR="00461069">
        <w:t xml:space="preserve">пациентов </w:t>
      </w:r>
      <w:r>
        <w:t>получали эмпаглифлозин (эмпаглифлозин 10 мг: 4 165 пациентов; эмпаглифлозин 25 мг: 5</w:t>
      </w:r>
      <w:r w:rsidR="003760B6">
        <w:t> </w:t>
      </w:r>
      <w:r>
        <w:t>130</w:t>
      </w:r>
      <w:r w:rsidR="003760B6">
        <w:t xml:space="preserve"> </w:t>
      </w:r>
      <w:r>
        <w:t xml:space="preserve">пациентов). В пяти исследованиях продолжительность лечения составляла 24 недели; </w:t>
      </w:r>
      <w:r w:rsidR="003760B6">
        <w:t xml:space="preserve">далее в этих 5-ти исследованиях и нескольких других следовала программа расширенного доступа, в ходе которой пациенты получали эмпаглифлозин в течение </w:t>
      </w:r>
      <w:r>
        <w:t>до 102 недель.</w:t>
      </w:r>
    </w:p>
    <w:p w14:paraId="3C8E17A9" w14:textId="09A7449B" w:rsidR="000F21E3" w:rsidRDefault="000F21E3" w:rsidP="000E301A">
      <w:pPr>
        <w:spacing w:after="0" w:line="240" w:lineRule="auto"/>
        <w:ind w:firstLine="567"/>
      </w:pPr>
      <w:r>
        <w:lastRenderedPageBreak/>
        <w:t>Лечение эмпаглифлозином в виде монотерапии и в комбинаци</w:t>
      </w:r>
      <w:r w:rsidR="003760B6">
        <w:t xml:space="preserve">и с метформином, пиоглитазоном, </w:t>
      </w:r>
      <w:r>
        <w:t>сульфонилмочевин</w:t>
      </w:r>
      <w:r w:rsidR="003760B6">
        <w:t>ой</w:t>
      </w:r>
      <w:r>
        <w:t>, ингибитор</w:t>
      </w:r>
      <w:r w:rsidR="003760B6">
        <w:t>ами</w:t>
      </w:r>
      <w:r>
        <w:t xml:space="preserve"> ДПП-4 и инсулин</w:t>
      </w:r>
      <w:r w:rsidR="003760B6">
        <w:t>ом</w:t>
      </w:r>
      <w:r>
        <w:t xml:space="preserve"> привод</w:t>
      </w:r>
      <w:r w:rsidR="003760B6">
        <w:t>или</w:t>
      </w:r>
      <w:r>
        <w:t xml:space="preserve"> к клинически значимым улучшениям </w:t>
      </w:r>
      <w:r w:rsidR="003760B6">
        <w:t xml:space="preserve">уровня </w:t>
      </w:r>
      <w:r>
        <w:t>HbA1c,</w:t>
      </w:r>
      <w:r w:rsidR="003760B6">
        <w:t xml:space="preserve"> </w:t>
      </w:r>
      <w:r>
        <w:t>глюкоз</w:t>
      </w:r>
      <w:r w:rsidR="003760B6">
        <w:t>ы</w:t>
      </w:r>
      <w:r>
        <w:t xml:space="preserve"> плазмы натощак (ГПН), масс</w:t>
      </w:r>
      <w:r w:rsidR="000E301A">
        <w:t>ы</w:t>
      </w:r>
      <w:r>
        <w:t xml:space="preserve"> тела, систолическо</w:t>
      </w:r>
      <w:r w:rsidR="000E301A">
        <w:t>го</w:t>
      </w:r>
      <w:r>
        <w:t xml:space="preserve"> и диастолическо</w:t>
      </w:r>
      <w:r w:rsidR="000E301A">
        <w:t>го</w:t>
      </w:r>
      <w:r>
        <w:t xml:space="preserve"> артериально</w:t>
      </w:r>
      <w:r w:rsidR="000E301A">
        <w:t>го</w:t>
      </w:r>
      <w:r>
        <w:t xml:space="preserve"> давлени</w:t>
      </w:r>
      <w:r w:rsidR="000E301A">
        <w:t>я</w:t>
      </w:r>
      <w:r>
        <w:t xml:space="preserve">. </w:t>
      </w:r>
      <w:r w:rsidR="000E301A">
        <w:t xml:space="preserve">Прием </w:t>
      </w:r>
      <w:r>
        <w:t xml:space="preserve">эмпаглифлозина в дозе 25 мг </w:t>
      </w:r>
      <w:r w:rsidR="000E301A">
        <w:t>приводил</w:t>
      </w:r>
      <w:r>
        <w:t xml:space="preserve"> к увеличению доли пациентов, достигших целевого уровня HbA1c</w:t>
      </w:r>
      <w:r w:rsidR="000E301A">
        <w:t>,</w:t>
      </w:r>
      <w:r>
        <w:t xml:space="preserve"> менее</w:t>
      </w:r>
      <w:r w:rsidR="000E301A">
        <w:t xml:space="preserve"> 7% </w:t>
      </w:r>
      <w:r>
        <w:t>пациентов нужда</w:t>
      </w:r>
      <w:r w:rsidR="000E301A">
        <w:t>лись</w:t>
      </w:r>
      <w:r>
        <w:t xml:space="preserve"> в </w:t>
      </w:r>
      <w:r w:rsidR="000E301A">
        <w:t>применении препарата спасения</w:t>
      </w:r>
      <w:r>
        <w:t xml:space="preserve">, по сравнению с </w:t>
      </w:r>
      <w:r w:rsidR="000E301A">
        <w:t xml:space="preserve">приемом </w:t>
      </w:r>
      <w:r>
        <w:t>эмпаглифлозин</w:t>
      </w:r>
      <w:r w:rsidR="000E301A">
        <w:t>а в дозе</w:t>
      </w:r>
      <w:r>
        <w:t xml:space="preserve"> 10 мг и </w:t>
      </w:r>
      <w:r w:rsidR="0079584A">
        <w:t xml:space="preserve">по сравнению с </w:t>
      </w:r>
      <w:r>
        <w:t>плацебо.</w:t>
      </w:r>
    </w:p>
    <w:p w14:paraId="7F451999" w14:textId="78B3E11E" w:rsidR="000F21E3" w:rsidRDefault="000F21E3" w:rsidP="0079584A">
      <w:pPr>
        <w:spacing w:after="0" w:line="240" w:lineRule="auto"/>
        <w:ind w:firstLine="567"/>
      </w:pPr>
      <w:r>
        <w:t>Более высокий исходный уровень HbA1c был связан с большим снижением HbA1c. Кроме того, эмпаглифлозин</w:t>
      </w:r>
      <w:r w:rsidR="0079584A">
        <w:t xml:space="preserve">, </w:t>
      </w:r>
      <w:r>
        <w:t>в качестве дополнения к стандартной терапии</w:t>
      </w:r>
      <w:r w:rsidR="0079584A">
        <w:t>,</w:t>
      </w:r>
      <w:r>
        <w:t xml:space="preserve"> снижа</w:t>
      </w:r>
      <w:r w:rsidR="0079584A">
        <w:t xml:space="preserve">л </w:t>
      </w:r>
      <w:r>
        <w:t>сердечно-сосудистую смертность у пациентов с сахарным диабетом 2 типа</w:t>
      </w:r>
      <w:r w:rsidR="0079584A">
        <w:t xml:space="preserve"> </w:t>
      </w:r>
      <w:r>
        <w:t>и установленн</w:t>
      </w:r>
      <w:r w:rsidR="0079584A">
        <w:t>ым</w:t>
      </w:r>
      <w:r>
        <w:t xml:space="preserve"> сердечно-сосудист</w:t>
      </w:r>
      <w:r w:rsidR="0079584A">
        <w:t>ым</w:t>
      </w:r>
      <w:r>
        <w:t xml:space="preserve"> заболевание</w:t>
      </w:r>
      <w:r w:rsidR="0079584A">
        <w:t>м.</w:t>
      </w:r>
    </w:p>
    <w:bookmarkEnd w:id="142"/>
    <w:p w14:paraId="3282B686" w14:textId="77777777" w:rsidR="00CD613C" w:rsidRDefault="00CD613C">
      <w:pPr>
        <w:spacing w:after="0" w:line="240" w:lineRule="auto"/>
        <w:ind w:firstLine="567"/>
      </w:pPr>
    </w:p>
    <w:p w14:paraId="2682F94C" w14:textId="7752FCB3" w:rsidR="00C035FA" w:rsidRDefault="008D5756">
      <w:pPr>
        <w:spacing w:after="0" w:line="240" w:lineRule="auto"/>
        <w:rPr>
          <w:b/>
          <w:iCs/>
        </w:rPr>
      </w:pPr>
      <w:r w:rsidRPr="00083550">
        <w:rPr>
          <w:b/>
          <w:iCs/>
        </w:rPr>
        <w:t>Монотерапия</w:t>
      </w:r>
    </w:p>
    <w:p w14:paraId="5103BD44" w14:textId="77777777" w:rsidR="00CD30BF" w:rsidRDefault="00CD30BF" w:rsidP="00CD30BF">
      <w:pPr>
        <w:spacing w:after="0" w:line="240" w:lineRule="auto"/>
        <w:rPr>
          <w:b/>
          <w:iCs/>
        </w:rPr>
      </w:pPr>
      <w:bookmarkStart w:id="143" w:name="_Hlk130996967"/>
    </w:p>
    <w:p w14:paraId="4409C565" w14:textId="77777777" w:rsidR="00083550" w:rsidRPr="00421FA2" w:rsidRDefault="00083550">
      <w:pPr>
        <w:spacing w:after="0" w:line="240" w:lineRule="auto"/>
        <w:rPr>
          <w:b/>
          <w:iCs/>
        </w:rPr>
      </w:pPr>
    </w:p>
    <w:p w14:paraId="7D70B0FB" w14:textId="5E4A235A" w:rsidR="00CD613C" w:rsidRPr="00867602" w:rsidRDefault="00CD613C">
      <w:pPr>
        <w:spacing w:after="0" w:line="240" w:lineRule="auto"/>
        <w:ind w:firstLine="567"/>
      </w:pPr>
      <w:bookmarkStart w:id="144" w:name="_Hlk115948255"/>
      <w:r w:rsidRPr="009163C8">
        <w:t>Эффективность и безопасность эмпаглифлозина в качестве монотерапии оценивали в двойном слепом плацебо- и активно-контролируемом исследовании продолжительностью 24 недели у пациентов, ранее не получавших лечения. Лечение эмпаглифлозином привело к статистически значимому (</w:t>
      </w:r>
      <w:r w:rsidRPr="009163C8">
        <w:rPr>
          <w:lang w:val="en-US"/>
        </w:rPr>
        <w:t>p</w:t>
      </w:r>
      <w:r w:rsidRPr="009163C8">
        <w:t xml:space="preserve">&lt;0,0001) снижению </w:t>
      </w:r>
      <w:proofErr w:type="spellStart"/>
      <w:r w:rsidRPr="009163C8">
        <w:rPr>
          <w:lang w:val="en-US"/>
        </w:rPr>
        <w:t>HbA</w:t>
      </w:r>
      <w:proofErr w:type="spellEnd"/>
      <w:r w:rsidRPr="009163C8">
        <w:t>1</w:t>
      </w:r>
      <w:r w:rsidRPr="009163C8">
        <w:rPr>
          <w:lang w:val="en-US"/>
        </w:rPr>
        <w:t>c</w:t>
      </w:r>
      <w:r w:rsidRPr="009163C8">
        <w:t xml:space="preserve"> по сравнению с плацебо (таблица 3) и клинически значимому снижению </w:t>
      </w:r>
      <w:r w:rsidRPr="00F23BED">
        <w:t>ГПН</w:t>
      </w:r>
      <w:r w:rsidR="00083550" w:rsidRPr="00867602">
        <w:t>.</w:t>
      </w:r>
    </w:p>
    <w:p w14:paraId="54801668" w14:textId="5A2C80E0" w:rsidR="00CD613C" w:rsidRPr="00083550" w:rsidRDefault="00CD613C" w:rsidP="00CD613C">
      <w:pPr>
        <w:spacing w:line="240" w:lineRule="auto"/>
        <w:ind w:firstLine="709"/>
        <w:contextualSpacing/>
      </w:pPr>
      <w:r w:rsidRPr="009163C8">
        <w:t>В заранее определенном анализе пациентов (</w:t>
      </w:r>
      <w:r w:rsidRPr="009163C8">
        <w:rPr>
          <w:lang w:val="en-US"/>
        </w:rPr>
        <w:t>N</w:t>
      </w:r>
      <w:r w:rsidRPr="009163C8">
        <w:t xml:space="preserve"> = 201) с исходным уровнем </w:t>
      </w:r>
      <w:proofErr w:type="spellStart"/>
      <w:r w:rsidRPr="009163C8">
        <w:rPr>
          <w:lang w:val="en-US"/>
        </w:rPr>
        <w:t>HbA</w:t>
      </w:r>
      <w:proofErr w:type="spellEnd"/>
      <w:r w:rsidRPr="009163C8">
        <w:t>1</w:t>
      </w:r>
      <w:r w:rsidRPr="009163C8">
        <w:rPr>
          <w:lang w:val="en-US"/>
        </w:rPr>
        <w:t>c</w:t>
      </w:r>
      <w:r w:rsidRPr="009163C8">
        <w:t xml:space="preserve"> ≥8,5% лечение привело к снижению </w:t>
      </w:r>
      <w:proofErr w:type="spellStart"/>
      <w:r w:rsidRPr="009163C8">
        <w:rPr>
          <w:lang w:val="en-US"/>
        </w:rPr>
        <w:t>HbA</w:t>
      </w:r>
      <w:proofErr w:type="spellEnd"/>
      <w:r w:rsidRPr="009163C8">
        <w:t>1</w:t>
      </w:r>
      <w:r w:rsidRPr="009163C8">
        <w:rPr>
          <w:lang w:val="en-US"/>
        </w:rPr>
        <w:t>c</w:t>
      </w:r>
      <w:r w:rsidRPr="009163C8">
        <w:t xml:space="preserve"> по сравнению с исходным уровнем на -1,44% для эмпаглифлозина 10 мг, -1,43% для эмпаглифлозина 25 мг, -1,04%. для ситаглиптина и увеличение на 0,01% для плацебо</w:t>
      </w:r>
      <w:r w:rsidR="00083550" w:rsidRPr="00083550">
        <w:t>.</w:t>
      </w:r>
    </w:p>
    <w:p w14:paraId="50E867ED" w14:textId="01494E55" w:rsidR="00CD613C" w:rsidRPr="00083550" w:rsidRDefault="00CD613C" w:rsidP="008A0417">
      <w:pPr>
        <w:spacing w:line="240" w:lineRule="auto"/>
        <w:ind w:firstLine="709"/>
        <w:contextualSpacing/>
      </w:pPr>
      <w:r w:rsidRPr="009163C8">
        <w:t xml:space="preserve">В двойном слепом плацебо-контролируемом расширении этого исследования снижение </w:t>
      </w:r>
      <w:proofErr w:type="spellStart"/>
      <w:r w:rsidRPr="009163C8">
        <w:rPr>
          <w:lang w:val="en-US"/>
        </w:rPr>
        <w:t>HbA</w:t>
      </w:r>
      <w:proofErr w:type="spellEnd"/>
      <w:r w:rsidRPr="009163C8">
        <w:t>1</w:t>
      </w:r>
      <w:r w:rsidRPr="009163C8">
        <w:rPr>
          <w:lang w:val="en-US"/>
        </w:rPr>
        <w:t>c</w:t>
      </w:r>
      <w:r w:rsidRPr="009163C8">
        <w:t>, массы тела и артериального давления сохранялось до 76-й недели</w:t>
      </w:r>
      <w:r w:rsidR="00083550" w:rsidRPr="00083550">
        <w:t xml:space="preserve"> [</w:t>
      </w:r>
      <w:r w:rsidR="008A0417" w:rsidRPr="008A0417">
        <w:t>21</w:t>
      </w:r>
      <w:r w:rsidR="00083550" w:rsidRPr="00083550">
        <w:t>].</w:t>
      </w:r>
    </w:p>
    <w:bookmarkEnd w:id="143"/>
    <w:p w14:paraId="7EE7C842" w14:textId="77777777" w:rsidR="00CD613C" w:rsidRPr="009163C8" w:rsidRDefault="00CD613C" w:rsidP="008A0417">
      <w:pPr>
        <w:spacing w:line="240" w:lineRule="auto"/>
        <w:ind w:firstLine="709"/>
        <w:contextualSpacing/>
      </w:pPr>
    </w:p>
    <w:p w14:paraId="1CFA9207" w14:textId="10288F50" w:rsidR="00CD613C" w:rsidRPr="009163C8" w:rsidRDefault="00CD613C" w:rsidP="008A0417">
      <w:pPr>
        <w:spacing w:line="240" w:lineRule="auto"/>
        <w:contextualSpacing/>
        <w:rPr>
          <w:vertAlign w:val="superscript"/>
        </w:rPr>
      </w:pPr>
      <w:r w:rsidRPr="002604EF">
        <w:rPr>
          <w:b/>
          <w:bCs/>
        </w:rPr>
        <w:t xml:space="preserve">Таблица </w:t>
      </w:r>
      <w:r w:rsidR="002604EF" w:rsidRPr="000C7F59">
        <w:rPr>
          <w:b/>
          <w:bCs/>
        </w:rPr>
        <w:t>4-1</w:t>
      </w:r>
      <w:r w:rsidRPr="002604EF">
        <w:rPr>
          <w:b/>
          <w:bCs/>
        </w:rPr>
        <w:t>.</w:t>
      </w:r>
      <w:r w:rsidRPr="002604EF">
        <w:t xml:space="preserve"> Эффективность</w:t>
      </w:r>
      <w:r w:rsidRPr="009163C8">
        <w:t xml:space="preserve"> </w:t>
      </w:r>
      <w:r>
        <w:t>по</w:t>
      </w:r>
      <w:r w:rsidRPr="009163C8">
        <w:t xml:space="preserve"> </w:t>
      </w:r>
      <w:r>
        <w:t>данным</w:t>
      </w:r>
      <w:r w:rsidRPr="009163C8">
        <w:t xml:space="preserve"> 24</w:t>
      </w:r>
      <w:r>
        <w:t>-х недельного плацебо-контролируемого исследования монотерапии эмпаглифлозином</w:t>
      </w:r>
      <w:r w:rsidRPr="009163C8">
        <w:rPr>
          <w:vertAlign w:val="superscript"/>
        </w:rPr>
        <w:t>а</w:t>
      </w:r>
    </w:p>
    <w:tbl>
      <w:tblPr>
        <w:tblStyle w:val="TableGrid"/>
        <w:tblW w:w="9345" w:type="dxa"/>
        <w:tblLayout w:type="fixed"/>
        <w:tblLook w:val="04A0" w:firstRow="1" w:lastRow="0" w:firstColumn="1" w:lastColumn="0" w:noHBand="0" w:noVBand="1"/>
      </w:tblPr>
      <w:tblGrid>
        <w:gridCol w:w="3539"/>
        <w:gridCol w:w="1276"/>
        <w:gridCol w:w="1417"/>
        <w:gridCol w:w="1418"/>
        <w:gridCol w:w="1695"/>
      </w:tblGrid>
      <w:tr w:rsidR="00CD613C" w:rsidRPr="009163C8" w14:paraId="3B4EBDAA" w14:textId="77777777" w:rsidTr="000232EA">
        <w:trPr>
          <w:tblHeader/>
        </w:trPr>
        <w:tc>
          <w:tcPr>
            <w:tcW w:w="3539" w:type="dxa"/>
            <w:vMerge w:val="restart"/>
            <w:shd w:val="clear" w:color="auto" w:fill="D9D9D9" w:themeFill="background1" w:themeFillShade="D9"/>
            <w:vAlign w:val="center"/>
          </w:tcPr>
          <w:p w14:paraId="53C0C85F" w14:textId="77777777" w:rsidR="00CD613C" w:rsidRPr="00FB191F" w:rsidRDefault="00CD613C" w:rsidP="008A0417">
            <w:pPr>
              <w:spacing w:line="240" w:lineRule="auto"/>
              <w:contextualSpacing/>
              <w:jc w:val="center"/>
              <w:rPr>
                <w:b/>
                <w:bCs/>
              </w:rPr>
            </w:pPr>
          </w:p>
        </w:tc>
        <w:tc>
          <w:tcPr>
            <w:tcW w:w="1276" w:type="dxa"/>
            <w:vMerge w:val="restart"/>
            <w:shd w:val="clear" w:color="auto" w:fill="D9D9D9" w:themeFill="background1" w:themeFillShade="D9"/>
            <w:vAlign w:val="center"/>
          </w:tcPr>
          <w:p w14:paraId="25D3B656" w14:textId="77777777" w:rsidR="00CD613C" w:rsidRPr="00FB191F" w:rsidRDefault="00CD613C" w:rsidP="008A0417">
            <w:pPr>
              <w:spacing w:line="240" w:lineRule="auto"/>
              <w:contextualSpacing/>
              <w:jc w:val="center"/>
              <w:rPr>
                <w:b/>
                <w:bCs/>
              </w:rPr>
            </w:pPr>
            <w:r w:rsidRPr="00FB191F">
              <w:rPr>
                <w:b/>
                <w:bCs/>
              </w:rPr>
              <w:t>Плацебо</w:t>
            </w:r>
          </w:p>
        </w:tc>
        <w:tc>
          <w:tcPr>
            <w:tcW w:w="2835" w:type="dxa"/>
            <w:gridSpan w:val="2"/>
            <w:shd w:val="clear" w:color="auto" w:fill="D9D9D9" w:themeFill="background1" w:themeFillShade="D9"/>
            <w:vAlign w:val="center"/>
          </w:tcPr>
          <w:p w14:paraId="4606C234" w14:textId="77777777" w:rsidR="00CD613C" w:rsidRPr="00FB191F" w:rsidRDefault="00CD613C" w:rsidP="008A0417">
            <w:pPr>
              <w:spacing w:line="240" w:lineRule="auto"/>
              <w:contextualSpacing/>
              <w:jc w:val="center"/>
              <w:rPr>
                <w:b/>
                <w:bCs/>
              </w:rPr>
            </w:pPr>
            <w:r w:rsidRPr="00FB191F">
              <w:rPr>
                <w:b/>
                <w:bCs/>
              </w:rPr>
              <w:t>Эмпаглифлозин</w:t>
            </w:r>
          </w:p>
        </w:tc>
        <w:tc>
          <w:tcPr>
            <w:tcW w:w="1695" w:type="dxa"/>
            <w:shd w:val="clear" w:color="auto" w:fill="D9D9D9" w:themeFill="background1" w:themeFillShade="D9"/>
            <w:vAlign w:val="center"/>
          </w:tcPr>
          <w:p w14:paraId="0C55313E" w14:textId="77777777" w:rsidR="00CD613C" w:rsidRPr="00FB191F" w:rsidRDefault="00CD613C" w:rsidP="008A0417">
            <w:pPr>
              <w:spacing w:line="240" w:lineRule="auto"/>
              <w:contextualSpacing/>
              <w:jc w:val="center"/>
              <w:rPr>
                <w:b/>
                <w:bCs/>
              </w:rPr>
            </w:pPr>
            <w:r w:rsidRPr="00FB191F">
              <w:rPr>
                <w:b/>
                <w:bCs/>
              </w:rPr>
              <w:t>Ситаглиптин</w:t>
            </w:r>
          </w:p>
        </w:tc>
      </w:tr>
      <w:tr w:rsidR="00CD613C" w:rsidRPr="009163C8" w14:paraId="5E073FC0" w14:textId="77777777" w:rsidTr="000232EA">
        <w:trPr>
          <w:tblHeader/>
        </w:trPr>
        <w:tc>
          <w:tcPr>
            <w:tcW w:w="3539" w:type="dxa"/>
            <w:vMerge/>
            <w:shd w:val="clear" w:color="auto" w:fill="D9D9D9" w:themeFill="background1" w:themeFillShade="D9"/>
            <w:vAlign w:val="center"/>
          </w:tcPr>
          <w:p w14:paraId="56CEE7B1" w14:textId="77777777" w:rsidR="00CD613C" w:rsidRPr="00FB191F" w:rsidRDefault="00CD613C" w:rsidP="008A0417">
            <w:pPr>
              <w:spacing w:line="240" w:lineRule="auto"/>
              <w:contextualSpacing/>
              <w:jc w:val="center"/>
              <w:rPr>
                <w:b/>
                <w:bCs/>
              </w:rPr>
            </w:pPr>
          </w:p>
        </w:tc>
        <w:tc>
          <w:tcPr>
            <w:tcW w:w="1276" w:type="dxa"/>
            <w:vMerge/>
            <w:shd w:val="clear" w:color="auto" w:fill="D9D9D9" w:themeFill="background1" w:themeFillShade="D9"/>
            <w:vAlign w:val="center"/>
          </w:tcPr>
          <w:p w14:paraId="5A9B4F56" w14:textId="77777777" w:rsidR="00CD613C" w:rsidRPr="00FB191F" w:rsidRDefault="00CD613C" w:rsidP="008A0417">
            <w:pPr>
              <w:spacing w:line="240" w:lineRule="auto"/>
              <w:contextualSpacing/>
              <w:jc w:val="center"/>
              <w:rPr>
                <w:b/>
                <w:bCs/>
              </w:rPr>
            </w:pPr>
          </w:p>
        </w:tc>
        <w:tc>
          <w:tcPr>
            <w:tcW w:w="1417" w:type="dxa"/>
            <w:shd w:val="clear" w:color="auto" w:fill="D9D9D9" w:themeFill="background1" w:themeFillShade="D9"/>
            <w:vAlign w:val="center"/>
          </w:tcPr>
          <w:p w14:paraId="133F6E83" w14:textId="77777777" w:rsidR="00CD613C" w:rsidRPr="00FB191F" w:rsidRDefault="00CD613C" w:rsidP="008A0417">
            <w:pPr>
              <w:spacing w:line="240" w:lineRule="auto"/>
              <w:contextualSpacing/>
              <w:jc w:val="center"/>
              <w:rPr>
                <w:b/>
                <w:bCs/>
                <w:lang w:val="en-US"/>
              </w:rPr>
            </w:pPr>
            <w:r w:rsidRPr="00FB191F">
              <w:rPr>
                <w:b/>
                <w:bCs/>
              </w:rPr>
              <w:t>10 мг</w:t>
            </w:r>
          </w:p>
        </w:tc>
        <w:tc>
          <w:tcPr>
            <w:tcW w:w="1418" w:type="dxa"/>
            <w:shd w:val="clear" w:color="auto" w:fill="D9D9D9" w:themeFill="background1" w:themeFillShade="D9"/>
            <w:vAlign w:val="center"/>
          </w:tcPr>
          <w:p w14:paraId="037F4A05" w14:textId="77777777" w:rsidR="00CD613C" w:rsidRPr="00FB191F" w:rsidRDefault="00CD613C" w:rsidP="008A0417">
            <w:pPr>
              <w:spacing w:line="240" w:lineRule="auto"/>
              <w:contextualSpacing/>
              <w:jc w:val="center"/>
              <w:rPr>
                <w:b/>
                <w:bCs/>
              </w:rPr>
            </w:pPr>
            <w:r w:rsidRPr="00FB191F">
              <w:rPr>
                <w:b/>
                <w:bCs/>
              </w:rPr>
              <w:t>25 мг</w:t>
            </w:r>
          </w:p>
        </w:tc>
        <w:tc>
          <w:tcPr>
            <w:tcW w:w="1695" w:type="dxa"/>
            <w:shd w:val="clear" w:color="auto" w:fill="D9D9D9" w:themeFill="background1" w:themeFillShade="D9"/>
            <w:vAlign w:val="center"/>
          </w:tcPr>
          <w:p w14:paraId="45475EA8" w14:textId="77777777" w:rsidR="00CD613C" w:rsidRPr="00FB191F" w:rsidRDefault="00CD613C" w:rsidP="008A0417">
            <w:pPr>
              <w:spacing w:line="240" w:lineRule="auto"/>
              <w:contextualSpacing/>
              <w:jc w:val="center"/>
              <w:rPr>
                <w:b/>
                <w:bCs/>
              </w:rPr>
            </w:pPr>
            <w:r w:rsidRPr="00FB191F">
              <w:rPr>
                <w:b/>
                <w:bCs/>
              </w:rPr>
              <w:t>100 мг</w:t>
            </w:r>
          </w:p>
        </w:tc>
      </w:tr>
      <w:tr w:rsidR="00CD613C" w:rsidRPr="009163C8" w14:paraId="5B46A0D1" w14:textId="77777777" w:rsidTr="000232EA">
        <w:tc>
          <w:tcPr>
            <w:tcW w:w="3539" w:type="dxa"/>
          </w:tcPr>
          <w:p w14:paraId="57259818" w14:textId="77777777" w:rsidR="00CD613C" w:rsidRPr="009163C8" w:rsidRDefault="00CD613C" w:rsidP="008A0417">
            <w:pPr>
              <w:spacing w:line="240" w:lineRule="auto"/>
              <w:contextualSpacing/>
            </w:pPr>
            <w:r>
              <w:t>Количество пациентов</w:t>
            </w:r>
          </w:p>
        </w:tc>
        <w:tc>
          <w:tcPr>
            <w:tcW w:w="1276" w:type="dxa"/>
          </w:tcPr>
          <w:p w14:paraId="5848A769" w14:textId="77777777" w:rsidR="00CD613C" w:rsidRPr="009163C8" w:rsidRDefault="00CD613C" w:rsidP="008A0417">
            <w:pPr>
              <w:spacing w:line="240" w:lineRule="auto"/>
              <w:contextualSpacing/>
              <w:jc w:val="center"/>
            </w:pPr>
            <w:r>
              <w:t>228</w:t>
            </w:r>
          </w:p>
        </w:tc>
        <w:tc>
          <w:tcPr>
            <w:tcW w:w="1417" w:type="dxa"/>
          </w:tcPr>
          <w:p w14:paraId="764B470D" w14:textId="77777777" w:rsidR="00CD613C" w:rsidRPr="009163C8" w:rsidRDefault="00CD613C" w:rsidP="008A0417">
            <w:pPr>
              <w:spacing w:line="240" w:lineRule="auto"/>
              <w:contextualSpacing/>
              <w:jc w:val="center"/>
            </w:pPr>
            <w:r>
              <w:t>224</w:t>
            </w:r>
          </w:p>
        </w:tc>
        <w:tc>
          <w:tcPr>
            <w:tcW w:w="1418" w:type="dxa"/>
          </w:tcPr>
          <w:p w14:paraId="40F1AABE" w14:textId="77777777" w:rsidR="00CD613C" w:rsidRPr="009163C8" w:rsidRDefault="00CD613C" w:rsidP="008A0417">
            <w:pPr>
              <w:spacing w:line="240" w:lineRule="auto"/>
              <w:contextualSpacing/>
              <w:jc w:val="center"/>
            </w:pPr>
            <w:r>
              <w:t>224</w:t>
            </w:r>
          </w:p>
        </w:tc>
        <w:tc>
          <w:tcPr>
            <w:tcW w:w="1695" w:type="dxa"/>
          </w:tcPr>
          <w:p w14:paraId="12301FF4" w14:textId="77777777" w:rsidR="00CD613C" w:rsidRPr="009163C8" w:rsidRDefault="00CD613C" w:rsidP="008A0417">
            <w:pPr>
              <w:spacing w:line="240" w:lineRule="auto"/>
              <w:contextualSpacing/>
              <w:jc w:val="center"/>
            </w:pPr>
            <w:r>
              <w:t>223</w:t>
            </w:r>
          </w:p>
        </w:tc>
      </w:tr>
      <w:tr w:rsidR="00CD613C" w:rsidRPr="009163C8" w14:paraId="37AFA9ED" w14:textId="77777777" w:rsidTr="000232EA">
        <w:tc>
          <w:tcPr>
            <w:tcW w:w="9345" w:type="dxa"/>
            <w:gridSpan w:val="5"/>
          </w:tcPr>
          <w:p w14:paraId="3F944F36" w14:textId="77777777" w:rsidR="00CD613C" w:rsidRPr="00166A50" w:rsidRDefault="00CD613C" w:rsidP="008A0417">
            <w:pPr>
              <w:spacing w:line="240" w:lineRule="auto"/>
              <w:contextualSpacing/>
              <w:rPr>
                <w:b/>
                <w:bCs/>
                <w:lang w:val="en-US"/>
              </w:rPr>
            </w:pPr>
            <w:r w:rsidRPr="00166A50">
              <w:rPr>
                <w:b/>
                <w:bCs/>
                <w:lang w:val="en-US"/>
              </w:rPr>
              <w:t>HbA1c (%)</w:t>
            </w:r>
          </w:p>
        </w:tc>
      </w:tr>
      <w:tr w:rsidR="00CD613C" w:rsidRPr="009163C8" w14:paraId="174CF2F3" w14:textId="77777777" w:rsidTr="000232EA">
        <w:tc>
          <w:tcPr>
            <w:tcW w:w="3539" w:type="dxa"/>
          </w:tcPr>
          <w:p w14:paraId="6916C4BC" w14:textId="77777777" w:rsidR="00CD613C" w:rsidRPr="00FB191F" w:rsidRDefault="00CD613C" w:rsidP="008A0417">
            <w:pPr>
              <w:spacing w:line="240" w:lineRule="auto"/>
              <w:ind w:left="175"/>
              <w:contextualSpacing/>
            </w:pPr>
            <w:r>
              <w:t>Исходное значение (среднее)</w:t>
            </w:r>
          </w:p>
        </w:tc>
        <w:tc>
          <w:tcPr>
            <w:tcW w:w="1276" w:type="dxa"/>
            <w:vAlign w:val="center"/>
          </w:tcPr>
          <w:p w14:paraId="29863FC2" w14:textId="77777777" w:rsidR="00CD613C" w:rsidRPr="009163C8" w:rsidRDefault="00CD613C" w:rsidP="008A0417">
            <w:pPr>
              <w:spacing w:line="240" w:lineRule="auto"/>
              <w:contextualSpacing/>
              <w:jc w:val="center"/>
            </w:pPr>
            <w:r>
              <w:t>7,91</w:t>
            </w:r>
          </w:p>
        </w:tc>
        <w:tc>
          <w:tcPr>
            <w:tcW w:w="1417" w:type="dxa"/>
            <w:vAlign w:val="center"/>
          </w:tcPr>
          <w:p w14:paraId="1E48B8B1" w14:textId="77777777" w:rsidR="00CD613C" w:rsidRPr="009163C8" w:rsidRDefault="00CD613C" w:rsidP="008A0417">
            <w:pPr>
              <w:spacing w:line="240" w:lineRule="auto"/>
              <w:contextualSpacing/>
              <w:jc w:val="center"/>
            </w:pPr>
            <w:r>
              <w:t>7,87</w:t>
            </w:r>
          </w:p>
        </w:tc>
        <w:tc>
          <w:tcPr>
            <w:tcW w:w="1418" w:type="dxa"/>
            <w:vAlign w:val="center"/>
          </w:tcPr>
          <w:p w14:paraId="66E20F27" w14:textId="77777777" w:rsidR="00CD613C" w:rsidRPr="009163C8" w:rsidRDefault="00CD613C" w:rsidP="008A0417">
            <w:pPr>
              <w:spacing w:line="240" w:lineRule="auto"/>
              <w:contextualSpacing/>
              <w:jc w:val="center"/>
            </w:pPr>
            <w:r>
              <w:t>7,86</w:t>
            </w:r>
          </w:p>
        </w:tc>
        <w:tc>
          <w:tcPr>
            <w:tcW w:w="1695" w:type="dxa"/>
            <w:vAlign w:val="center"/>
          </w:tcPr>
          <w:p w14:paraId="096C357F" w14:textId="77777777" w:rsidR="00CD613C" w:rsidRPr="009163C8" w:rsidRDefault="00CD613C" w:rsidP="008A0417">
            <w:pPr>
              <w:spacing w:line="240" w:lineRule="auto"/>
              <w:contextualSpacing/>
              <w:jc w:val="center"/>
            </w:pPr>
            <w:r>
              <w:t>7,85</w:t>
            </w:r>
          </w:p>
        </w:tc>
      </w:tr>
      <w:tr w:rsidR="00CD613C" w:rsidRPr="009163C8" w14:paraId="41F9D98B" w14:textId="77777777" w:rsidTr="000232EA">
        <w:tc>
          <w:tcPr>
            <w:tcW w:w="3539" w:type="dxa"/>
          </w:tcPr>
          <w:p w14:paraId="7E111563" w14:textId="77777777" w:rsidR="00CD613C" w:rsidRPr="009163C8" w:rsidRDefault="00CD613C" w:rsidP="008A0417">
            <w:pPr>
              <w:spacing w:line="240" w:lineRule="auto"/>
              <w:ind w:left="175"/>
              <w:contextualSpacing/>
            </w:pPr>
            <w:r>
              <w:t>Изменение от исходного значения</w:t>
            </w:r>
            <w:r w:rsidRPr="00FB191F">
              <w:rPr>
                <w:vertAlign w:val="superscript"/>
              </w:rPr>
              <w:t>1</w:t>
            </w:r>
          </w:p>
        </w:tc>
        <w:tc>
          <w:tcPr>
            <w:tcW w:w="1276" w:type="dxa"/>
            <w:vAlign w:val="center"/>
          </w:tcPr>
          <w:p w14:paraId="706E713F" w14:textId="77777777" w:rsidR="00CD613C" w:rsidRPr="009163C8" w:rsidRDefault="00CD613C" w:rsidP="008A0417">
            <w:pPr>
              <w:spacing w:line="240" w:lineRule="auto"/>
              <w:contextualSpacing/>
              <w:jc w:val="center"/>
            </w:pPr>
            <w:r>
              <w:t>0,08</w:t>
            </w:r>
          </w:p>
        </w:tc>
        <w:tc>
          <w:tcPr>
            <w:tcW w:w="1417" w:type="dxa"/>
            <w:vAlign w:val="center"/>
          </w:tcPr>
          <w:p w14:paraId="57FB6882" w14:textId="77777777" w:rsidR="00CD613C" w:rsidRPr="009163C8" w:rsidRDefault="00CD613C" w:rsidP="008A0417">
            <w:pPr>
              <w:spacing w:line="240" w:lineRule="auto"/>
              <w:contextualSpacing/>
              <w:jc w:val="center"/>
            </w:pPr>
            <w:r>
              <w:t>-0,66</w:t>
            </w:r>
          </w:p>
        </w:tc>
        <w:tc>
          <w:tcPr>
            <w:tcW w:w="1418" w:type="dxa"/>
            <w:vAlign w:val="center"/>
          </w:tcPr>
          <w:p w14:paraId="62E52F59" w14:textId="77777777" w:rsidR="00CD613C" w:rsidRPr="009163C8" w:rsidRDefault="00CD613C" w:rsidP="008A0417">
            <w:pPr>
              <w:spacing w:line="240" w:lineRule="auto"/>
              <w:contextualSpacing/>
              <w:jc w:val="center"/>
            </w:pPr>
            <w:r>
              <w:t>-0,78</w:t>
            </w:r>
          </w:p>
        </w:tc>
        <w:tc>
          <w:tcPr>
            <w:tcW w:w="1695" w:type="dxa"/>
            <w:vAlign w:val="center"/>
          </w:tcPr>
          <w:p w14:paraId="0D56474C" w14:textId="77777777" w:rsidR="00CD613C" w:rsidRPr="009163C8" w:rsidRDefault="00CD613C" w:rsidP="008A0417">
            <w:pPr>
              <w:spacing w:line="240" w:lineRule="auto"/>
              <w:contextualSpacing/>
              <w:jc w:val="center"/>
            </w:pPr>
            <w:r>
              <w:t>-0,66</w:t>
            </w:r>
          </w:p>
        </w:tc>
      </w:tr>
      <w:tr w:rsidR="00CD613C" w:rsidRPr="009163C8" w14:paraId="531C6AC9" w14:textId="77777777" w:rsidTr="000232EA">
        <w:tc>
          <w:tcPr>
            <w:tcW w:w="3539" w:type="dxa"/>
          </w:tcPr>
          <w:p w14:paraId="291B8669" w14:textId="77777777" w:rsidR="00CD613C" w:rsidRPr="009163C8" w:rsidRDefault="00CD613C" w:rsidP="008A0417">
            <w:pPr>
              <w:spacing w:line="240" w:lineRule="auto"/>
              <w:ind w:left="175"/>
              <w:contextualSpacing/>
            </w:pPr>
            <w:r>
              <w:t>Разница с плацебо (97,5% ДИ)</w:t>
            </w:r>
            <w:r w:rsidRPr="00166A50">
              <w:rPr>
                <w:vertAlign w:val="superscript"/>
              </w:rPr>
              <w:t>1</w:t>
            </w:r>
          </w:p>
        </w:tc>
        <w:tc>
          <w:tcPr>
            <w:tcW w:w="1276" w:type="dxa"/>
            <w:vAlign w:val="center"/>
          </w:tcPr>
          <w:p w14:paraId="2000269D" w14:textId="77777777" w:rsidR="00CD613C" w:rsidRPr="009163C8" w:rsidRDefault="00CD613C" w:rsidP="008A0417">
            <w:pPr>
              <w:spacing w:line="240" w:lineRule="auto"/>
              <w:contextualSpacing/>
              <w:jc w:val="center"/>
            </w:pPr>
          </w:p>
        </w:tc>
        <w:tc>
          <w:tcPr>
            <w:tcW w:w="1417" w:type="dxa"/>
            <w:vAlign w:val="center"/>
          </w:tcPr>
          <w:p w14:paraId="40D61EEA" w14:textId="77777777" w:rsidR="00CD613C" w:rsidRPr="009163C8" w:rsidRDefault="00CD613C" w:rsidP="008A0417">
            <w:pPr>
              <w:spacing w:line="240" w:lineRule="auto"/>
              <w:contextualSpacing/>
              <w:jc w:val="center"/>
            </w:pPr>
            <w:r>
              <w:t>-0,74*</w:t>
            </w:r>
            <w:r>
              <w:br/>
            </w:r>
            <w:r w:rsidRPr="00166A50">
              <w:t>(-0,90; -0,57)</w:t>
            </w:r>
          </w:p>
        </w:tc>
        <w:tc>
          <w:tcPr>
            <w:tcW w:w="1418" w:type="dxa"/>
            <w:vAlign w:val="center"/>
          </w:tcPr>
          <w:p w14:paraId="716CD497" w14:textId="77777777" w:rsidR="00CD613C" w:rsidRPr="009163C8" w:rsidRDefault="00CD613C" w:rsidP="008A0417">
            <w:pPr>
              <w:spacing w:line="240" w:lineRule="auto"/>
              <w:contextualSpacing/>
              <w:jc w:val="center"/>
            </w:pPr>
            <w:r>
              <w:t>-0,85*</w:t>
            </w:r>
            <w:r>
              <w:br/>
            </w:r>
            <w:r w:rsidRPr="00166A50">
              <w:t>(-1,01: -0,69)</w:t>
            </w:r>
          </w:p>
        </w:tc>
        <w:tc>
          <w:tcPr>
            <w:tcW w:w="1695" w:type="dxa"/>
            <w:vAlign w:val="center"/>
          </w:tcPr>
          <w:p w14:paraId="7724A009" w14:textId="77777777" w:rsidR="00CD613C" w:rsidRPr="009163C8" w:rsidRDefault="00CD613C" w:rsidP="008A0417">
            <w:pPr>
              <w:spacing w:line="240" w:lineRule="auto"/>
              <w:contextualSpacing/>
              <w:jc w:val="center"/>
            </w:pPr>
            <w:r>
              <w:t>-0,73</w:t>
            </w:r>
            <w:r>
              <w:br/>
            </w:r>
            <w:r w:rsidRPr="008C5730">
              <w:t>(-0,88; -0,59)</w:t>
            </w:r>
          </w:p>
        </w:tc>
      </w:tr>
      <w:tr w:rsidR="00CD613C" w:rsidRPr="009163C8" w14:paraId="00AD59B3" w14:textId="77777777" w:rsidTr="000232EA">
        <w:tc>
          <w:tcPr>
            <w:tcW w:w="3539" w:type="dxa"/>
          </w:tcPr>
          <w:p w14:paraId="0439820E" w14:textId="77777777" w:rsidR="00CD613C" w:rsidRPr="009163C8" w:rsidRDefault="00CD613C" w:rsidP="008A0417">
            <w:pPr>
              <w:spacing w:line="240" w:lineRule="auto"/>
              <w:contextualSpacing/>
            </w:pPr>
            <w:r>
              <w:t>Количество пациентов</w:t>
            </w:r>
          </w:p>
        </w:tc>
        <w:tc>
          <w:tcPr>
            <w:tcW w:w="1276" w:type="dxa"/>
            <w:vAlign w:val="center"/>
          </w:tcPr>
          <w:p w14:paraId="2D3F0F2E" w14:textId="77777777" w:rsidR="00CD613C" w:rsidRPr="009163C8" w:rsidRDefault="00CD613C" w:rsidP="008A0417">
            <w:pPr>
              <w:spacing w:line="240" w:lineRule="auto"/>
              <w:contextualSpacing/>
              <w:jc w:val="center"/>
            </w:pPr>
            <w:r>
              <w:t>208</w:t>
            </w:r>
          </w:p>
        </w:tc>
        <w:tc>
          <w:tcPr>
            <w:tcW w:w="1417" w:type="dxa"/>
            <w:vAlign w:val="center"/>
          </w:tcPr>
          <w:p w14:paraId="6736251C" w14:textId="77777777" w:rsidR="00CD613C" w:rsidRPr="009163C8" w:rsidRDefault="00CD613C" w:rsidP="008A0417">
            <w:pPr>
              <w:spacing w:line="240" w:lineRule="auto"/>
              <w:contextualSpacing/>
              <w:jc w:val="center"/>
            </w:pPr>
            <w:r>
              <w:t>204</w:t>
            </w:r>
          </w:p>
        </w:tc>
        <w:tc>
          <w:tcPr>
            <w:tcW w:w="1418" w:type="dxa"/>
            <w:vAlign w:val="center"/>
          </w:tcPr>
          <w:p w14:paraId="233A955D" w14:textId="77777777" w:rsidR="00CD613C" w:rsidRPr="009163C8" w:rsidRDefault="00CD613C" w:rsidP="008A0417">
            <w:pPr>
              <w:spacing w:line="240" w:lineRule="auto"/>
              <w:contextualSpacing/>
              <w:jc w:val="center"/>
            </w:pPr>
            <w:r>
              <w:t>202</w:t>
            </w:r>
          </w:p>
        </w:tc>
        <w:tc>
          <w:tcPr>
            <w:tcW w:w="1695" w:type="dxa"/>
            <w:vAlign w:val="center"/>
          </w:tcPr>
          <w:p w14:paraId="1980E3BC" w14:textId="77777777" w:rsidR="00CD613C" w:rsidRPr="009163C8" w:rsidRDefault="00CD613C" w:rsidP="008A0417">
            <w:pPr>
              <w:spacing w:line="240" w:lineRule="auto"/>
              <w:contextualSpacing/>
              <w:jc w:val="center"/>
            </w:pPr>
            <w:r>
              <w:t>200</w:t>
            </w:r>
          </w:p>
        </w:tc>
      </w:tr>
      <w:tr w:rsidR="00CD613C" w:rsidRPr="009163C8" w14:paraId="21ADF3AD" w14:textId="77777777" w:rsidTr="000232EA">
        <w:tc>
          <w:tcPr>
            <w:tcW w:w="3539" w:type="dxa"/>
          </w:tcPr>
          <w:p w14:paraId="1556D690" w14:textId="77777777" w:rsidR="00CD613C" w:rsidRPr="00166A50" w:rsidRDefault="00CD613C" w:rsidP="008A0417">
            <w:pPr>
              <w:spacing w:line="240" w:lineRule="auto"/>
              <w:contextualSpacing/>
              <w:rPr>
                <w:b/>
                <w:bCs/>
              </w:rPr>
            </w:pPr>
            <w:r w:rsidRPr="00166A50">
              <w:rPr>
                <w:b/>
                <w:bCs/>
              </w:rPr>
              <w:t xml:space="preserve">Пациенты с исходным уровнем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≥7%, достигнувшие уровня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&lt;7% (%)</w:t>
            </w:r>
            <w:r w:rsidRPr="00166A50">
              <w:rPr>
                <w:b/>
                <w:bCs/>
                <w:vertAlign w:val="superscript"/>
              </w:rPr>
              <w:t>2</w:t>
            </w:r>
          </w:p>
        </w:tc>
        <w:tc>
          <w:tcPr>
            <w:tcW w:w="1276" w:type="dxa"/>
            <w:vAlign w:val="center"/>
          </w:tcPr>
          <w:p w14:paraId="3F71FE12" w14:textId="77777777" w:rsidR="00CD613C" w:rsidRPr="009163C8" w:rsidRDefault="00CD613C" w:rsidP="008A0417">
            <w:pPr>
              <w:spacing w:line="240" w:lineRule="auto"/>
              <w:contextualSpacing/>
              <w:jc w:val="center"/>
            </w:pPr>
            <w:r>
              <w:t>12,0</w:t>
            </w:r>
          </w:p>
        </w:tc>
        <w:tc>
          <w:tcPr>
            <w:tcW w:w="1417" w:type="dxa"/>
            <w:vAlign w:val="center"/>
          </w:tcPr>
          <w:p w14:paraId="132CE0E1" w14:textId="77777777" w:rsidR="00CD613C" w:rsidRPr="009163C8" w:rsidRDefault="00CD613C" w:rsidP="008A0417">
            <w:pPr>
              <w:spacing w:line="240" w:lineRule="auto"/>
              <w:contextualSpacing/>
              <w:jc w:val="center"/>
            </w:pPr>
            <w:r>
              <w:t>35,3</w:t>
            </w:r>
          </w:p>
        </w:tc>
        <w:tc>
          <w:tcPr>
            <w:tcW w:w="1418" w:type="dxa"/>
            <w:vAlign w:val="center"/>
          </w:tcPr>
          <w:p w14:paraId="3BBBDBEC" w14:textId="77777777" w:rsidR="00CD613C" w:rsidRPr="009163C8" w:rsidRDefault="00CD613C" w:rsidP="008A0417">
            <w:pPr>
              <w:spacing w:line="240" w:lineRule="auto"/>
              <w:contextualSpacing/>
              <w:jc w:val="center"/>
            </w:pPr>
            <w:r>
              <w:t>43,6</w:t>
            </w:r>
          </w:p>
        </w:tc>
        <w:tc>
          <w:tcPr>
            <w:tcW w:w="1695" w:type="dxa"/>
            <w:vAlign w:val="center"/>
          </w:tcPr>
          <w:p w14:paraId="30F0D1D0" w14:textId="77777777" w:rsidR="00CD613C" w:rsidRPr="009163C8" w:rsidRDefault="00CD613C" w:rsidP="008A0417">
            <w:pPr>
              <w:spacing w:line="240" w:lineRule="auto"/>
              <w:contextualSpacing/>
              <w:jc w:val="center"/>
            </w:pPr>
            <w:r>
              <w:t>37,5</w:t>
            </w:r>
          </w:p>
        </w:tc>
      </w:tr>
      <w:tr w:rsidR="00CD613C" w:rsidRPr="009163C8" w14:paraId="7AA726ED" w14:textId="77777777" w:rsidTr="000232EA">
        <w:tc>
          <w:tcPr>
            <w:tcW w:w="3539" w:type="dxa"/>
          </w:tcPr>
          <w:p w14:paraId="296A08E5" w14:textId="77777777" w:rsidR="00CD613C" w:rsidRPr="009163C8" w:rsidRDefault="00CD613C" w:rsidP="008A0417">
            <w:pPr>
              <w:spacing w:line="240" w:lineRule="auto"/>
              <w:contextualSpacing/>
            </w:pPr>
            <w:r>
              <w:t>Количество пациентов</w:t>
            </w:r>
          </w:p>
        </w:tc>
        <w:tc>
          <w:tcPr>
            <w:tcW w:w="1276" w:type="dxa"/>
            <w:vAlign w:val="center"/>
          </w:tcPr>
          <w:p w14:paraId="63E3F2E2" w14:textId="77777777" w:rsidR="00CD613C" w:rsidRPr="009163C8" w:rsidRDefault="00CD613C" w:rsidP="008A0417">
            <w:pPr>
              <w:spacing w:line="240" w:lineRule="auto"/>
              <w:contextualSpacing/>
              <w:jc w:val="center"/>
            </w:pPr>
            <w:r>
              <w:t>228</w:t>
            </w:r>
          </w:p>
        </w:tc>
        <w:tc>
          <w:tcPr>
            <w:tcW w:w="1417" w:type="dxa"/>
            <w:vAlign w:val="center"/>
          </w:tcPr>
          <w:p w14:paraId="3AE9C30F" w14:textId="77777777" w:rsidR="00CD613C" w:rsidRPr="009163C8" w:rsidRDefault="00CD613C" w:rsidP="008A0417">
            <w:pPr>
              <w:spacing w:line="240" w:lineRule="auto"/>
              <w:contextualSpacing/>
              <w:jc w:val="center"/>
            </w:pPr>
            <w:r>
              <w:t>224</w:t>
            </w:r>
          </w:p>
        </w:tc>
        <w:tc>
          <w:tcPr>
            <w:tcW w:w="1418" w:type="dxa"/>
            <w:vAlign w:val="center"/>
          </w:tcPr>
          <w:p w14:paraId="34ECF310" w14:textId="77777777" w:rsidR="00CD613C" w:rsidRPr="009163C8" w:rsidRDefault="00CD613C" w:rsidP="008A0417">
            <w:pPr>
              <w:spacing w:line="240" w:lineRule="auto"/>
              <w:contextualSpacing/>
              <w:jc w:val="center"/>
            </w:pPr>
            <w:r>
              <w:t>224</w:t>
            </w:r>
          </w:p>
        </w:tc>
        <w:tc>
          <w:tcPr>
            <w:tcW w:w="1695" w:type="dxa"/>
            <w:vAlign w:val="center"/>
          </w:tcPr>
          <w:p w14:paraId="013573C6" w14:textId="77777777" w:rsidR="00CD613C" w:rsidRPr="009163C8" w:rsidRDefault="00CD613C" w:rsidP="008A0417">
            <w:pPr>
              <w:spacing w:line="240" w:lineRule="auto"/>
              <w:contextualSpacing/>
              <w:jc w:val="center"/>
            </w:pPr>
            <w:r>
              <w:t>223</w:t>
            </w:r>
          </w:p>
        </w:tc>
      </w:tr>
      <w:tr w:rsidR="00CD613C" w:rsidRPr="009163C8" w14:paraId="3DF16D61" w14:textId="77777777" w:rsidTr="000232EA">
        <w:tc>
          <w:tcPr>
            <w:tcW w:w="9345" w:type="dxa"/>
            <w:gridSpan w:val="5"/>
          </w:tcPr>
          <w:p w14:paraId="798D548C" w14:textId="77777777" w:rsidR="00CD613C" w:rsidRPr="009163C8" w:rsidRDefault="00CD613C" w:rsidP="008A0417">
            <w:pPr>
              <w:spacing w:line="240" w:lineRule="auto"/>
              <w:contextualSpacing/>
            </w:pPr>
            <w:r w:rsidRPr="00166A50">
              <w:rPr>
                <w:b/>
                <w:bCs/>
              </w:rPr>
              <w:t>Масса тела (кг)</w:t>
            </w:r>
          </w:p>
        </w:tc>
      </w:tr>
      <w:tr w:rsidR="00CD613C" w:rsidRPr="009163C8" w14:paraId="0AD32FAC" w14:textId="77777777" w:rsidTr="000232EA">
        <w:tc>
          <w:tcPr>
            <w:tcW w:w="3539" w:type="dxa"/>
          </w:tcPr>
          <w:p w14:paraId="71FDF914" w14:textId="77777777" w:rsidR="00CD613C" w:rsidRPr="009163C8" w:rsidRDefault="00CD613C" w:rsidP="008A0417">
            <w:pPr>
              <w:spacing w:line="240" w:lineRule="auto"/>
              <w:ind w:left="175"/>
              <w:contextualSpacing/>
            </w:pPr>
            <w:r>
              <w:t>Исходное значение (среднее)</w:t>
            </w:r>
          </w:p>
        </w:tc>
        <w:tc>
          <w:tcPr>
            <w:tcW w:w="1276" w:type="dxa"/>
            <w:vAlign w:val="center"/>
          </w:tcPr>
          <w:p w14:paraId="3749621D" w14:textId="77777777" w:rsidR="00CD613C" w:rsidRPr="009163C8" w:rsidRDefault="00CD613C" w:rsidP="008A0417">
            <w:pPr>
              <w:spacing w:line="240" w:lineRule="auto"/>
              <w:contextualSpacing/>
              <w:jc w:val="center"/>
            </w:pPr>
            <w:r>
              <w:t>78,23</w:t>
            </w:r>
          </w:p>
        </w:tc>
        <w:tc>
          <w:tcPr>
            <w:tcW w:w="1417" w:type="dxa"/>
            <w:vAlign w:val="center"/>
          </w:tcPr>
          <w:p w14:paraId="1545B11A" w14:textId="77777777" w:rsidR="00CD613C" w:rsidRPr="009163C8" w:rsidRDefault="00CD613C" w:rsidP="008A0417">
            <w:pPr>
              <w:spacing w:line="240" w:lineRule="auto"/>
              <w:contextualSpacing/>
              <w:jc w:val="center"/>
            </w:pPr>
            <w:r>
              <w:t>78,35</w:t>
            </w:r>
          </w:p>
        </w:tc>
        <w:tc>
          <w:tcPr>
            <w:tcW w:w="1418" w:type="dxa"/>
            <w:vAlign w:val="center"/>
          </w:tcPr>
          <w:p w14:paraId="2DA7FF9F" w14:textId="77777777" w:rsidR="00CD613C" w:rsidRPr="009163C8" w:rsidRDefault="00CD613C" w:rsidP="008A0417">
            <w:pPr>
              <w:spacing w:line="240" w:lineRule="auto"/>
              <w:contextualSpacing/>
              <w:jc w:val="center"/>
            </w:pPr>
            <w:r>
              <w:t>77,80</w:t>
            </w:r>
          </w:p>
        </w:tc>
        <w:tc>
          <w:tcPr>
            <w:tcW w:w="1695" w:type="dxa"/>
            <w:vAlign w:val="center"/>
          </w:tcPr>
          <w:p w14:paraId="2106540D" w14:textId="77777777" w:rsidR="00CD613C" w:rsidRPr="009163C8" w:rsidRDefault="00CD613C" w:rsidP="008A0417">
            <w:pPr>
              <w:spacing w:line="240" w:lineRule="auto"/>
              <w:contextualSpacing/>
              <w:jc w:val="center"/>
            </w:pPr>
            <w:r>
              <w:t>79,31</w:t>
            </w:r>
          </w:p>
        </w:tc>
      </w:tr>
      <w:tr w:rsidR="00CD613C" w:rsidRPr="009163C8" w14:paraId="76256293" w14:textId="77777777" w:rsidTr="000232EA">
        <w:tc>
          <w:tcPr>
            <w:tcW w:w="3539" w:type="dxa"/>
          </w:tcPr>
          <w:p w14:paraId="62D88EC2" w14:textId="77777777" w:rsidR="00CD613C" w:rsidRPr="009163C8" w:rsidRDefault="00CD613C" w:rsidP="008A0417">
            <w:pPr>
              <w:spacing w:line="240" w:lineRule="auto"/>
              <w:ind w:left="175"/>
              <w:contextualSpacing/>
            </w:pPr>
            <w:r>
              <w:lastRenderedPageBreak/>
              <w:t>Изменение от исходного значения</w:t>
            </w:r>
            <w:r w:rsidRPr="00FB191F">
              <w:rPr>
                <w:vertAlign w:val="superscript"/>
              </w:rPr>
              <w:t>1</w:t>
            </w:r>
          </w:p>
        </w:tc>
        <w:tc>
          <w:tcPr>
            <w:tcW w:w="1276" w:type="dxa"/>
            <w:vAlign w:val="center"/>
          </w:tcPr>
          <w:p w14:paraId="28E987F0" w14:textId="77777777" w:rsidR="00CD613C" w:rsidRPr="009163C8" w:rsidRDefault="00CD613C" w:rsidP="008A0417">
            <w:pPr>
              <w:spacing w:line="240" w:lineRule="auto"/>
              <w:contextualSpacing/>
              <w:jc w:val="center"/>
            </w:pPr>
            <w:r>
              <w:t>-0,33</w:t>
            </w:r>
          </w:p>
        </w:tc>
        <w:tc>
          <w:tcPr>
            <w:tcW w:w="1417" w:type="dxa"/>
            <w:vAlign w:val="center"/>
          </w:tcPr>
          <w:p w14:paraId="2210C566" w14:textId="77777777" w:rsidR="00CD613C" w:rsidRPr="009163C8" w:rsidRDefault="00CD613C" w:rsidP="008A0417">
            <w:pPr>
              <w:spacing w:line="240" w:lineRule="auto"/>
              <w:contextualSpacing/>
              <w:jc w:val="center"/>
            </w:pPr>
            <w:r>
              <w:t>-2,26</w:t>
            </w:r>
          </w:p>
        </w:tc>
        <w:tc>
          <w:tcPr>
            <w:tcW w:w="1418" w:type="dxa"/>
            <w:vAlign w:val="center"/>
          </w:tcPr>
          <w:p w14:paraId="7871B145" w14:textId="77777777" w:rsidR="00CD613C" w:rsidRPr="009163C8" w:rsidRDefault="00CD613C" w:rsidP="008A0417">
            <w:pPr>
              <w:spacing w:line="240" w:lineRule="auto"/>
              <w:contextualSpacing/>
              <w:jc w:val="center"/>
            </w:pPr>
            <w:r>
              <w:t>-2,48</w:t>
            </w:r>
          </w:p>
        </w:tc>
        <w:tc>
          <w:tcPr>
            <w:tcW w:w="1695" w:type="dxa"/>
            <w:vAlign w:val="center"/>
          </w:tcPr>
          <w:p w14:paraId="3CAA8E64" w14:textId="77777777" w:rsidR="00CD613C" w:rsidRPr="009163C8" w:rsidRDefault="00CD613C" w:rsidP="008A0417">
            <w:pPr>
              <w:spacing w:line="240" w:lineRule="auto"/>
              <w:contextualSpacing/>
              <w:jc w:val="center"/>
            </w:pPr>
            <w:r>
              <w:t>0,18</w:t>
            </w:r>
          </w:p>
        </w:tc>
      </w:tr>
      <w:tr w:rsidR="00CD613C" w:rsidRPr="009163C8" w14:paraId="1696236A" w14:textId="77777777" w:rsidTr="00421FA2">
        <w:tc>
          <w:tcPr>
            <w:tcW w:w="3539" w:type="dxa"/>
            <w:vAlign w:val="center"/>
          </w:tcPr>
          <w:p w14:paraId="13438FDA" w14:textId="77777777" w:rsidR="00CD613C" w:rsidRPr="009163C8" w:rsidRDefault="00CD613C" w:rsidP="008A0417">
            <w:pPr>
              <w:spacing w:line="240" w:lineRule="auto"/>
              <w:ind w:left="175"/>
              <w:contextualSpacing/>
            </w:pPr>
            <w:r>
              <w:t>Разница с плацебо (97,5% ДИ)</w:t>
            </w:r>
            <w:r w:rsidRPr="00166A50">
              <w:rPr>
                <w:vertAlign w:val="superscript"/>
              </w:rPr>
              <w:t>1</w:t>
            </w:r>
          </w:p>
        </w:tc>
        <w:tc>
          <w:tcPr>
            <w:tcW w:w="1276" w:type="dxa"/>
            <w:vAlign w:val="center"/>
          </w:tcPr>
          <w:p w14:paraId="21F247C8" w14:textId="77777777" w:rsidR="00CD613C" w:rsidRPr="009163C8" w:rsidRDefault="00CD613C" w:rsidP="008A0417">
            <w:pPr>
              <w:spacing w:line="240" w:lineRule="auto"/>
              <w:contextualSpacing/>
              <w:jc w:val="center"/>
            </w:pPr>
          </w:p>
        </w:tc>
        <w:tc>
          <w:tcPr>
            <w:tcW w:w="1417" w:type="dxa"/>
            <w:vAlign w:val="center"/>
          </w:tcPr>
          <w:p w14:paraId="66B8963A" w14:textId="77777777" w:rsidR="00CD613C" w:rsidRPr="009163C8" w:rsidRDefault="00CD613C" w:rsidP="008A0417">
            <w:pPr>
              <w:spacing w:line="240" w:lineRule="auto"/>
              <w:contextualSpacing/>
              <w:jc w:val="center"/>
            </w:pPr>
            <w:r>
              <w:t>-1,93*</w:t>
            </w:r>
            <w:r>
              <w:br/>
            </w:r>
            <w:r w:rsidRPr="008C5730">
              <w:t>(-2,48; -1,38)</w:t>
            </w:r>
          </w:p>
        </w:tc>
        <w:tc>
          <w:tcPr>
            <w:tcW w:w="1418" w:type="dxa"/>
            <w:vAlign w:val="center"/>
          </w:tcPr>
          <w:p w14:paraId="52680F5A" w14:textId="77777777" w:rsidR="00CD613C" w:rsidRPr="009163C8" w:rsidRDefault="00CD613C" w:rsidP="008A0417">
            <w:pPr>
              <w:spacing w:line="240" w:lineRule="auto"/>
              <w:contextualSpacing/>
              <w:jc w:val="center"/>
            </w:pPr>
            <w:r>
              <w:t>-2,15*</w:t>
            </w:r>
            <w:r>
              <w:br/>
            </w:r>
            <w:r w:rsidRPr="008C5730">
              <w:t>(-2,70; -1,60)</w:t>
            </w:r>
          </w:p>
        </w:tc>
        <w:tc>
          <w:tcPr>
            <w:tcW w:w="1695" w:type="dxa"/>
            <w:vAlign w:val="center"/>
          </w:tcPr>
          <w:p w14:paraId="7D21D931" w14:textId="77777777" w:rsidR="00CD613C" w:rsidRPr="009163C8" w:rsidRDefault="00CD613C" w:rsidP="008A0417">
            <w:pPr>
              <w:spacing w:line="240" w:lineRule="auto"/>
              <w:contextualSpacing/>
              <w:jc w:val="center"/>
            </w:pPr>
            <w:r>
              <w:t>0,52</w:t>
            </w:r>
            <w:r>
              <w:br/>
            </w:r>
            <w:r w:rsidRPr="008C5730">
              <w:t>(-0,04; 1,00)</w:t>
            </w:r>
            <w:r w:rsidRPr="008C5730">
              <w:rPr>
                <w:vertAlign w:val="superscript"/>
              </w:rPr>
              <w:t>3</w:t>
            </w:r>
          </w:p>
        </w:tc>
      </w:tr>
      <w:tr w:rsidR="00CD613C" w:rsidRPr="009163C8" w14:paraId="50996C7A" w14:textId="77777777" w:rsidTr="000232EA">
        <w:tc>
          <w:tcPr>
            <w:tcW w:w="3539" w:type="dxa"/>
          </w:tcPr>
          <w:p w14:paraId="18D961AB" w14:textId="77777777" w:rsidR="00CD613C" w:rsidRPr="009163C8" w:rsidRDefault="00CD613C" w:rsidP="008A0417">
            <w:pPr>
              <w:spacing w:line="240" w:lineRule="auto"/>
              <w:contextualSpacing/>
            </w:pPr>
            <w:r>
              <w:t>Количество пациентов</w:t>
            </w:r>
          </w:p>
        </w:tc>
        <w:tc>
          <w:tcPr>
            <w:tcW w:w="1276" w:type="dxa"/>
          </w:tcPr>
          <w:p w14:paraId="66848D86" w14:textId="77777777" w:rsidR="00CD613C" w:rsidRPr="009163C8" w:rsidRDefault="00CD613C" w:rsidP="008A0417">
            <w:pPr>
              <w:spacing w:line="240" w:lineRule="auto"/>
              <w:contextualSpacing/>
              <w:jc w:val="center"/>
            </w:pPr>
            <w:r>
              <w:t>228</w:t>
            </w:r>
          </w:p>
        </w:tc>
        <w:tc>
          <w:tcPr>
            <w:tcW w:w="1417" w:type="dxa"/>
          </w:tcPr>
          <w:p w14:paraId="0636348F" w14:textId="77777777" w:rsidR="00CD613C" w:rsidRPr="009163C8" w:rsidRDefault="00CD613C" w:rsidP="008A0417">
            <w:pPr>
              <w:spacing w:line="240" w:lineRule="auto"/>
              <w:contextualSpacing/>
              <w:jc w:val="center"/>
            </w:pPr>
            <w:r>
              <w:t>224</w:t>
            </w:r>
          </w:p>
        </w:tc>
        <w:tc>
          <w:tcPr>
            <w:tcW w:w="1418" w:type="dxa"/>
          </w:tcPr>
          <w:p w14:paraId="688B147C" w14:textId="77777777" w:rsidR="00CD613C" w:rsidRPr="009163C8" w:rsidRDefault="00CD613C" w:rsidP="008A0417">
            <w:pPr>
              <w:spacing w:line="240" w:lineRule="auto"/>
              <w:contextualSpacing/>
              <w:jc w:val="center"/>
            </w:pPr>
            <w:r>
              <w:t>224</w:t>
            </w:r>
          </w:p>
        </w:tc>
        <w:tc>
          <w:tcPr>
            <w:tcW w:w="1695" w:type="dxa"/>
          </w:tcPr>
          <w:p w14:paraId="3A9DBE47" w14:textId="77777777" w:rsidR="00CD613C" w:rsidRPr="009163C8" w:rsidRDefault="00CD613C" w:rsidP="008A0417">
            <w:pPr>
              <w:spacing w:line="240" w:lineRule="auto"/>
              <w:contextualSpacing/>
              <w:jc w:val="center"/>
            </w:pPr>
            <w:r>
              <w:t>223</w:t>
            </w:r>
          </w:p>
        </w:tc>
      </w:tr>
      <w:tr w:rsidR="00CD613C" w:rsidRPr="009163C8" w14:paraId="396BB0DB" w14:textId="77777777" w:rsidTr="000232EA">
        <w:tc>
          <w:tcPr>
            <w:tcW w:w="9345" w:type="dxa"/>
            <w:gridSpan w:val="5"/>
          </w:tcPr>
          <w:p w14:paraId="28E3777D" w14:textId="77777777" w:rsidR="00CD613C" w:rsidRPr="009163C8" w:rsidRDefault="00CD613C" w:rsidP="008A0417">
            <w:pPr>
              <w:spacing w:line="240" w:lineRule="auto"/>
              <w:contextualSpacing/>
            </w:pPr>
            <w:r w:rsidRPr="00166A50">
              <w:rPr>
                <w:b/>
                <w:bCs/>
              </w:rPr>
              <w:t>САД (мм.рт.ст)</w:t>
            </w:r>
            <w:r w:rsidRPr="008C5730">
              <w:rPr>
                <w:b/>
                <w:bCs/>
                <w:vertAlign w:val="superscript"/>
              </w:rPr>
              <w:t>4</w:t>
            </w:r>
          </w:p>
        </w:tc>
      </w:tr>
      <w:tr w:rsidR="00CD613C" w:rsidRPr="009163C8" w14:paraId="25763DED" w14:textId="77777777" w:rsidTr="00421FA2">
        <w:tc>
          <w:tcPr>
            <w:tcW w:w="3539" w:type="dxa"/>
            <w:vAlign w:val="center"/>
          </w:tcPr>
          <w:p w14:paraId="736C8F1B" w14:textId="77777777" w:rsidR="00CD613C" w:rsidRPr="009163C8" w:rsidRDefault="00CD613C" w:rsidP="008A0417">
            <w:pPr>
              <w:spacing w:line="240" w:lineRule="auto"/>
              <w:ind w:left="175"/>
              <w:contextualSpacing/>
            </w:pPr>
            <w:r>
              <w:t>Исходное значение (среднее)</w:t>
            </w:r>
          </w:p>
        </w:tc>
        <w:tc>
          <w:tcPr>
            <w:tcW w:w="1276" w:type="dxa"/>
            <w:vAlign w:val="center"/>
          </w:tcPr>
          <w:p w14:paraId="26BAFEF0" w14:textId="77777777" w:rsidR="00CD613C" w:rsidRPr="009163C8" w:rsidRDefault="00CD613C" w:rsidP="008A0417">
            <w:pPr>
              <w:spacing w:line="240" w:lineRule="auto"/>
              <w:contextualSpacing/>
              <w:jc w:val="center"/>
            </w:pPr>
            <w:r>
              <w:t>130,4</w:t>
            </w:r>
          </w:p>
        </w:tc>
        <w:tc>
          <w:tcPr>
            <w:tcW w:w="1417" w:type="dxa"/>
            <w:vAlign w:val="center"/>
          </w:tcPr>
          <w:p w14:paraId="6ED3080A" w14:textId="77777777" w:rsidR="00CD613C" w:rsidRPr="009163C8" w:rsidRDefault="00CD613C" w:rsidP="008A0417">
            <w:pPr>
              <w:spacing w:line="240" w:lineRule="auto"/>
              <w:contextualSpacing/>
              <w:jc w:val="center"/>
            </w:pPr>
            <w:r>
              <w:t>133,0</w:t>
            </w:r>
          </w:p>
        </w:tc>
        <w:tc>
          <w:tcPr>
            <w:tcW w:w="1418" w:type="dxa"/>
            <w:vAlign w:val="center"/>
          </w:tcPr>
          <w:p w14:paraId="30E85315" w14:textId="77777777" w:rsidR="00CD613C" w:rsidRPr="009163C8" w:rsidRDefault="00CD613C" w:rsidP="008A0417">
            <w:pPr>
              <w:spacing w:line="240" w:lineRule="auto"/>
              <w:contextualSpacing/>
              <w:jc w:val="center"/>
            </w:pPr>
            <w:r>
              <w:t>129,9</w:t>
            </w:r>
          </w:p>
        </w:tc>
        <w:tc>
          <w:tcPr>
            <w:tcW w:w="1695" w:type="dxa"/>
            <w:vAlign w:val="center"/>
          </w:tcPr>
          <w:p w14:paraId="5BC81263" w14:textId="77777777" w:rsidR="00CD613C" w:rsidRPr="009163C8" w:rsidRDefault="00CD613C" w:rsidP="008A0417">
            <w:pPr>
              <w:spacing w:line="240" w:lineRule="auto"/>
              <w:contextualSpacing/>
              <w:jc w:val="center"/>
            </w:pPr>
            <w:r>
              <w:t>132,5</w:t>
            </w:r>
          </w:p>
        </w:tc>
      </w:tr>
      <w:tr w:rsidR="00CD613C" w:rsidRPr="009163C8" w14:paraId="04D7159A" w14:textId="77777777" w:rsidTr="00421FA2">
        <w:tc>
          <w:tcPr>
            <w:tcW w:w="3539" w:type="dxa"/>
            <w:vAlign w:val="center"/>
          </w:tcPr>
          <w:p w14:paraId="44327E65" w14:textId="77777777" w:rsidR="00CD613C" w:rsidRPr="009163C8" w:rsidRDefault="00CD613C" w:rsidP="008A0417">
            <w:pPr>
              <w:spacing w:line="240" w:lineRule="auto"/>
              <w:ind w:left="175"/>
              <w:contextualSpacing/>
            </w:pPr>
            <w:r>
              <w:t>Изменение от исходного значения</w:t>
            </w:r>
            <w:r w:rsidRPr="00FB191F">
              <w:rPr>
                <w:vertAlign w:val="superscript"/>
              </w:rPr>
              <w:t>1</w:t>
            </w:r>
          </w:p>
        </w:tc>
        <w:tc>
          <w:tcPr>
            <w:tcW w:w="1276" w:type="dxa"/>
            <w:vAlign w:val="center"/>
          </w:tcPr>
          <w:p w14:paraId="6027C59A" w14:textId="77777777" w:rsidR="00CD613C" w:rsidRPr="009163C8" w:rsidRDefault="00CD613C" w:rsidP="008A0417">
            <w:pPr>
              <w:spacing w:line="240" w:lineRule="auto"/>
              <w:contextualSpacing/>
              <w:jc w:val="center"/>
            </w:pPr>
            <w:r>
              <w:t>-0,3</w:t>
            </w:r>
          </w:p>
        </w:tc>
        <w:tc>
          <w:tcPr>
            <w:tcW w:w="1417" w:type="dxa"/>
            <w:vAlign w:val="center"/>
          </w:tcPr>
          <w:p w14:paraId="70D487C6" w14:textId="77777777" w:rsidR="00CD613C" w:rsidRPr="009163C8" w:rsidRDefault="00CD613C" w:rsidP="008A0417">
            <w:pPr>
              <w:spacing w:line="240" w:lineRule="auto"/>
              <w:contextualSpacing/>
              <w:jc w:val="center"/>
            </w:pPr>
            <w:r>
              <w:t>-2,9</w:t>
            </w:r>
          </w:p>
        </w:tc>
        <w:tc>
          <w:tcPr>
            <w:tcW w:w="1418" w:type="dxa"/>
            <w:vAlign w:val="center"/>
          </w:tcPr>
          <w:p w14:paraId="2469A72D" w14:textId="77777777" w:rsidR="00CD613C" w:rsidRPr="009163C8" w:rsidRDefault="00CD613C" w:rsidP="008A0417">
            <w:pPr>
              <w:spacing w:line="240" w:lineRule="auto"/>
              <w:contextualSpacing/>
              <w:jc w:val="center"/>
            </w:pPr>
            <w:r>
              <w:t>-3,7</w:t>
            </w:r>
          </w:p>
        </w:tc>
        <w:tc>
          <w:tcPr>
            <w:tcW w:w="1695" w:type="dxa"/>
            <w:vAlign w:val="center"/>
          </w:tcPr>
          <w:p w14:paraId="043F20B9" w14:textId="77777777" w:rsidR="00CD613C" w:rsidRPr="009163C8" w:rsidRDefault="00CD613C" w:rsidP="008A0417">
            <w:pPr>
              <w:spacing w:line="240" w:lineRule="auto"/>
              <w:contextualSpacing/>
              <w:jc w:val="center"/>
            </w:pPr>
            <w:r>
              <w:t>0,5</w:t>
            </w:r>
          </w:p>
        </w:tc>
      </w:tr>
      <w:tr w:rsidR="00CD613C" w:rsidRPr="009163C8" w14:paraId="20B1C7B8" w14:textId="77777777" w:rsidTr="00421FA2">
        <w:tc>
          <w:tcPr>
            <w:tcW w:w="3539" w:type="dxa"/>
            <w:vAlign w:val="center"/>
          </w:tcPr>
          <w:p w14:paraId="4A6477DB" w14:textId="77777777" w:rsidR="00CD613C" w:rsidRPr="009163C8" w:rsidRDefault="00CD613C" w:rsidP="008A0417">
            <w:pPr>
              <w:spacing w:line="240" w:lineRule="auto"/>
              <w:ind w:left="175"/>
              <w:contextualSpacing/>
            </w:pPr>
            <w:r>
              <w:t>Разница с плацебо (97,5% ДИ)</w:t>
            </w:r>
            <w:r w:rsidRPr="00166A50">
              <w:rPr>
                <w:vertAlign w:val="superscript"/>
              </w:rPr>
              <w:t>1</w:t>
            </w:r>
          </w:p>
        </w:tc>
        <w:tc>
          <w:tcPr>
            <w:tcW w:w="1276" w:type="dxa"/>
            <w:vAlign w:val="center"/>
          </w:tcPr>
          <w:p w14:paraId="0B56EE45" w14:textId="77777777" w:rsidR="00CD613C" w:rsidRPr="009163C8" w:rsidRDefault="00CD613C" w:rsidP="008A0417">
            <w:pPr>
              <w:spacing w:line="240" w:lineRule="auto"/>
              <w:contextualSpacing/>
              <w:jc w:val="center"/>
            </w:pPr>
          </w:p>
        </w:tc>
        <w:tc>
          <w:tcPr>
            <w:tcW w:w="1417" w:type="dxa"/>
            <w:vAlign w:val="center"/>
          </w:tcPr>
          <w:p w14:paraId="20FF7B26" w14:textId="77777777" w:rsidR="00CD613C" w:rsidRPr="009163C8" w:rsidRDefault="00CD613C" w:rsidP="008A0417">
            <w:pPr>
              <w:spacing w:line="240" w:lineRule="auto"/>
              <w:contextualSpacing/>
              <w:jc w:val="center"/>
            </w:pPr>
            <w:r>
              <w:t>-2,6*</w:t>
            </w:r>
            <w:r>
              <w:br/>
            </w:r>
            <w:r w:rsidRPr="008C5730">
              <w:t>(-5,2; 0,0)</w:t>
            </w:r>
          </w:p>
        </w:tc>
        <w:tc>
          <w:tcPr>
            <w:tcW w:w="1418" w:type="dxa"/>
            <w:vAlign w:val="center"/>
          </w:tcPr>
          <w:p w14:paraId="04242F7C" w14:textId="77777777" w:rsidR="00CD613C" w:rsidRPr="009163C8" w:rsidRDefault="00CD613C" w:rsidP="008A0417">
            <w:pPr>
              <w:spacing w:line="240" w:lineRule="auto"/>
              <w:contextualSpacing/>
              <w:jc w:val="center"/>
            </w:pPr>
            <w:r>
              <w:t>-3,4*</w:t>
            </w:r>
            <w:r>
              <w:br/>
            </w:r>
            <w:r w:rsidRPr="008C5730">
              <w:t>(-6,0; -0,9)</w:t>
            </w:r>
          </w:p>
        </w:tc>
        <w:tc>
          <w:tcPr>
            <w:tcW w:w="1695" w:type="dxa"/>
            <w:vAlign w:val="center"/>
          </w:tcPr>
          <w:p w14:paraId="7B3E50E1" w14:textId="77777777" w:rsidR="00CD613C" w:rsidRPr="009163C8" w:rsidRDefault="00CD613C" w:rsidP="008A0417">
            <w:pPr>
              <w:spacing w:line="240" w:lineRule="auto"/>
              <w:contextualSpacing/>
              <w:jc w:val="center"/>
            </w:pPr>
            <w:r>
              <w:t>0,8</w:t>
            </w:r>
            <w:r>
              <w:br/>
              <w:t>(-1,4; 3,1)</w:t>
            </w:r>
            <w:r w:rsidRPr="008C5730">
              <w:rPr>
                <w:vertAlign w:val="superscript"/>
              </w:rPr>
              <w:t>3</w:t>
            </w:r>
          </w:p>
        </w:tc>
      </w:tr>
      <w:tr w:rsidR="00CD613C" w:rsidRPr="009163C8" w14:paraId="59B87BB5" w14:textId="77777777" w:rsidTr="000232EA">
        <w:tc>
          <w:tcPr>
            <w:tcW w:w="9345" w:type="dxa"/>
            <w:gridSpan w:val="5"/>
          </w:tcPr>
          <w:p w14:paraId="5F479A9C" w14:textId="77777777" w:rsidR="00CD613C" w:rsidRPr="00A40FCE" w:rsidRDefault="00CD613C" w:rsidP="008A0417">
            <w:pPr>
              <w:spacing w:line="240" w:lineRule="auto"/>
              <w:contextualSpacing/>
              <w:rPr>
                <w:b/>
                <w:bCs/>
                <w:sz w:val="20"/>
                <w:szCs w:val="20"/>
              </w:rPr>
            </w:pPr>
            <w:r w:rsidRPr="009163C8">
              <w:rPr>
                <w:b/>
                <w:bCs/>
                <w:sz w:val="20"/>
                <w:szCs w:val="20"/>
              </w:rPr>
              <w:t>Примечание</w:t>
            </w:r>
            <w:r w:rsidRPr="00A40FCE">
              <w:rPr>
                <w:b/>
                <w:bCs/>
                <w:sz w:val="20"/>
                <w:szCs w:val="20"/>
              </w:rPr>
              <w:t>:</w:t>
            </w:r>
          </w:p>
          <w:p w14:paraId="5903386C" w14:textId="77777777" w:rsidR="00CD613C" w:rsidRPr="00166A50" w:rsidRDefault="00CD613C" w:rsidP="008A0417">
            <w:pPr>
              <w:spacing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САД – систолическое артериальное давление, </w:t>
            </w:r>
            <w:r>
              <w:rPr>
                <w:rFonts w:eastAsia="TimesNewRoman"/>
                <w:sz w:val="20"/>
                <w:szCs w:val="20"/>
              </w:rPr>
              <w:t>ДИ – доверительный интервал</w:t>
            </w:r>
            <w:r>
              <w:rPr>
                <w:sz w:val="20"/>
                <w:szCs w:val="20"/>
              </w:rPr>
              <w:t>.</w:t>
            </w:r>
          </w:p>
          <w:p w14:paraId="6B987AB2" w14:textId="77777777" w:rsidR="00CD613C" w:rsidRPr="009163C8" w:rsidRDefault="00CD613C" w:rsidP="008A0417">
            <w:pPr>
              <w:spacing w:line="240" w:lineRule="auto"/>
              <w:contextualSpacing/>
              <w:rPr>
                <w:sz w:val="20"/>
                <w:szCs w:val="20"/>
              </w:rPr>
            </w:pPr>
            <w:r w:rsidRPr="009163C8">
              <w:rPr>
                <w:sz w:val="20"/>
                <w:szCs w:val="20"/>
                <w:lang w:val="en-US"/>
              </w:rPr>
              <w:t>a</w:t>
            </w:r>
            <w:r w:rsidRPr="009163C8">
              <w:rPr>
                <w:sz w:val="20"/>
                <w:szCs w:val="20"/>
              </w:rPr>
              <w:t xml:space="preserve"> </w:t>
            </w:r>
            <w:r>
              <w:rPr>
                <w:sz w:val="20"/>
                <w:szCs w:val="20"/>
              </w:rPr>
              <w:t xml:space="preserve">- </w:t>
            </w:r>
            <w:r w:rsidRPr="009163C8">
              <w:rPr>
                <w:sz w:val="20"/>
                <w:szCs w:val="20"/>
              </w:rPr>
              <w:t>Полный набор анализов с использованием переноса последнего наблюдения до гликемической терапии</w:t>
            </w:r>
            <w:r>
              <w:rPr>
                <w:sz w:val="20"/>
                <w:szCs w:val="20"/>
              </w:rPr>
              <w:t xml:space="preserve"> спасения;</w:t>
            </w:r>
          </w:p>
          <w:p w14:paraId="53A7FB58" w14:textId="77777777" w:rsidR="00CD613C" w:rsidRPr="009163C8" w:rsidRDefault="00CD613C" w:rsidP="008A0417">
            <w:pPr>
              <w:spacing w:line="240" w:lineRule="auto"/>
              <w:contextualSpacing/>
              <w:rPr>
                <w:sz w:val="20"/>
                <w:szCs w:val="20"/>
              </w:rPr>
            </w:pPr>
            <w:r w:rsidRPr="009163C8">
              <w:rPr>
                <w:sz w:val="20"/>
                <w:szCs w:val="20"/>
              </w:rPr>
              <w:t xml:space="preserve">1 </w:t>
            </w:r>
            <w:r>
              <w:rPr>
                <w:sz w:val="20"/>
                <w:szCs w:val="20"/>
              </w:rPr>
              <w:t xml:space="preserve">- </w:t>
            </w:r>
            <w:r w:rsidRPr="009163C8">
              <w:rPr>
                <w:sz w:val="20"/>
                <w:szCs w:val="20"/>
              </w:rPr>
              <w:t xml:space="preserve">Среднее с поправкой на </w:t>
            </w:r>
            <w:r>
              <w:rPr>
                <w:sz w:val="20"/>
                <w:szCs w:val="20"/>
              </w:rPr>
              <w:t>исходное</w:t>
            </w:r>
            <w:r w:rsidRPr="009163C8">
              <w:rPr>
                <w:sz w:val="20"/>
                <w:szCs w:val="20"/>
              </w:rPr>
              <w:t xml:space="preserve"> значение</w:t>
            </w:r>
            <w:r>
              <w:rPr>
                <w:sz w:val="20"/>
                <w:szCs w:val="20"/>
              </w:rPr>
              <w:t>;</w:t>
            </w:r>
          </w:p>
          <w:p w14:paraId="6E624265" w14:textId="77777777" w:rsidR="00CD613C" w:rsidRPr="009163C8" w:rsidRDefault="00CD613C" w:rsidP="008A0417">
            <w:pPr>
              <w:spacing w:line="240" w:lineRule="auto"/>
              <w:contextualSpacing/>
              <w:rPr>
                <w:sz w:val="20"/>
                <w:szCs w:val="20"/>
              </w:rPr>
            </w:pPr>
            <w:r w:rsidRPr="009163C8">
              <w:rPr>
                <w:sz w:val="20"/>
                <w:szCs w:val="20"/>
              </w:rPr>
              <w:t xml:space="preserve">2 </w:t>
            </w:r>
            <w:r>
              <w:rPr>
                <w:sz w:val="20"/>
                <w:szCs w:val="20"/>
              </w:rPr>
              <w:t xml:space="preserve">- </w:t>
            </w:r>
            <w:r w:rsidRPr="009163C8">
              <w:rPr>
                <w:sz w:val="20"/>
                <w:szCs w:val="20"/>
              </w:rPr>
              <w:t>Статистическая значимость не оценена в результате процедуры последовательного подтверждающего тестирования</w:t>
            </w:r>
            <w:r>
              <w:rPr>
                <w:sz w:val="20"/>
                <w:szCs w:val="20"/>
              </w:rPr>
              <w:t>;</w:t>
            </w:r>
          </w:p>
          <w:p w14:paraId="4A9A1E51" w14:textId="77777777" w:rsidR="00CD613C" w:rsidRPr="009163C8" w:rsidRDefault="00CD613C" w:rsidP="008A0417">
            <w:pPr>
              <w:spacing w:line="240" w:lineRule="auto"/>
              <w:contextualSpacing/>
              <w:rPr>
                <w:sz w:val="20"/>
                <w:szCs w:val="20"/>
              </w:rPr>
            </w:pPr>
            <w:r w:rsidRPr="003E3E7E">
              <w:rPr>
                <w:sz w:val="20"/>
                <w:szCs w:val="20"/>
              </w:rPr>
              <w:t xml:space="preserve">3 </w:t>
            </w:r>
            <w:r>
              <w:rPr>
                <w:sz w:val="20"/>
                <w:szCs w:val="20"/>
              </w:rPr>
              <w:t xml:space="preserve">- </w:t>
            </w:r>
            <w:r w:rsidRPr="003E3E7E">
              <w:rPr>
                <w:sz w:val="20"/>
                <w:szCs w:val="20"/>
              </w:rPr>
              <w:t xml:space="preserve">95% </w:t>
            </w:r>
            <w:r>
              <w:rPr>
                <w:sz w:val="20"/>
                <w:szCs w:val="20"/>
              </w:rPr>
              <w:t>доверительный интервал;</w:t>
            </w:r>
          </w:p>
          <w:p w14:paraId="1589EC8F" w14:textId="77777777" w:rsidR="00CD613C" w:rsidRPr="009163C8" w:rsidRDefault="00CD613C" w:rsidP="008A0417">
            <w:pPr>
              <w:spacing w:line="240" w:lineRule="auto"/>
              <w:contextualSpacing/>
              <w:rPr>
                <w:sz w:val="20"/>
                <w:szCs w:val="20"/>
              </w:rPr>
            </w:pPr>
            <w:r w:rsidRPr="009163C8">
              <w:rPr>
                <w:sz w:val="20"/>
                <w:szCs w:val="20"/>
              </w:rPr>
              <w:t xml:space="preserve">4 </w:t>
            </w:r>
            <w:r>
              <w:rPr>
                <w:sz w:val="20"/>
                <w:szCs w:val="20"/>
              </w:rPr>
              <w:t>- П</w:t>
            </w:r>
            <w:r w:rsidRPr="009163C8">
              <w:rPr>
                <w:sz w:val="20"/>
                <w:szCs w:val="20"/>
              </w:rPr>
              <w:t xml:space="preserve">еренос последнего наблюдения, значения после антигипертензивной </w:t>
            </w:r>
            <w:r>
              <w:rPr>
                <w:sz w:val="20"/>
                <w:szCs w:val="20"/>
              </w:rPr>
              <w:t>терапии спасения</w:t>
            </w:r>
            <w:r w:rsidRPr="009163C8">
              <w:rPr>
                <w:sz w:val="20"/>
                <w:szCs w:val="20"/>
              </w:rPr>
              <w:t xml:space="preserve"> цензурированы</w:t>
            </w:r>
          </w:p>
          <w:p w14:paraId="6744E956" w14:textId="77777777" w:rsidR="00CD613C" w:rsidRPr="009163C8" w:rsidRDefault="00CD613C" w:rsidP="008A0417">
            <w:pPr>
              <w:spacing w:line="240" w:lineRule="auto"/>
              <w:contextualSpacing/>
            </w:pPr>
            <w:r w:rsidRPr="009163C8">
              <w:rPr>
                <w:sz w:val="20"/>
                <w:szCs w:val="20"/>
                <w:lang w:val="en-US"/>
              </w:rPr>
              <w:t>*</w:t>
            </w:r>
            <w:r>
              <w:rPr>
                <w:sz w:val="20"/>
                <w:szCs w:val="20"/>
              </w:rPr>
              <w:t xml:space="preserve">  </w:t>
            </w:r>
            <w:r w:rsidRPr="009163C8">
              <w:rPr>
                <w:sz w:val="20"/>
                <w:szCs w:val="20"/>
                <w:lang w:val="en-US"/>
              </w:rPr>
              <w:t>p</w:t>
            </w:r>
            <w:r>
              <w:rPr>
                <w:sz w:val="20"/>
                <w:szCs w:val="20"/>
              </w:rPr>
              <w:t xml:space="preserve"> </w:t>
            </w:r>
            <w:r w:rsidRPr="009163C8">
              <w:rPr>
                <w:sz w:val="20"/>
                <w:szCs w:val="20"/>
                <w:lang w:val="en-US"/>
              </w:rPr>
              <w:t>&lt;</w:t>
            </w:r>
            <w:r>
              <w:rPr>
                <w:sz w:val="20"/>
                <w:szCs w:val="20"/>
              </w:rPr>
              <w:t xml:space="preserve"> </w:t>
            </w:r>
            <w:r w:rsidRPr="009163C8">
              <w:rPr>
                <w:sz w:val="20"/>
                <w:szCs w:val="20"/>
                <w:lang w:val="en-US"/>
              </w:rPr>
              <w:t>0.0001</w:t>
            </w:r>
            <w:r>
              <w:rPr>
                <w:sz w:val="20"/>
                <w:szCs w:val="20"/>
              </w:rPr>
              <w:t>.</w:t>
            </w:r>
          </w:p>
        </w:tc>
      </w:tr>
    </w:tbl>
    <w:p w14:paraId="7C76A078" w14:textId="77777777" w:rsidR="00CD613C" w:rsidRDefault="00CD613C">
      <w:pPr>
        <w:spacing w:after="0" w:line="240" w:lineRule="auto"/>
        <w:ind w:firstLine="567"/>
      </w:pPr>
    </w:p>
    <w:p w14:paraId="09A2A3D7" w14:textId="159DC83B" w:rsidR="00C035FA" w:rsidRDefault="008D5756">
      <w:pPr>
        <w:spacing w:after="0" w:line="240" w:lineRule="auto"/>
        <w:ind w:firstLine="567"/>
      </w:pPr>
      <w:r>
        <w:t>По результатам исследования №1245.20 на 24-й неделе скорректированное среднее изменение (SE) HbA1c по сравнению с исходным уровнем на 24-й неделе составило -0,08 (0,05)%, -0,66 (0,05)% и -0,78 (0,05)% для плацебо, эмпаглифлозина 10 мг один раз в день и эмпаглифлозин 25 мг 1 раз в сутки</w:t>
      </w:r>
      <w:r w:rsidR="00B14B2D">
        <w:t>,</w:t>
      </w:r>
      <w:r>
        <w:t xml:space="preserve"> соответственно. </w:t>
      </w:r>
      <w:r w:rsidR="00B14B2D">
        <w:t>Р</w:t>
      </w:r>
      <w:r>
        <w:t xml:space="preserve">азница по сравнению с плацебо для скорректированного среднего изменения (95% ДИ) HbA1c от исходного уровня на 24 неделе составила -0,74 (-0,88, -0,59) % для группы, принимавшей 10 мг эмпаглифлозина один раз в сутки, и -0,85 (-0,99, -0,71) % для группы, принимавшей 25 мг эмпаглифлозина один раз в сутки, демонстрируя численно более высокое снижение HbA1c в последней группе. Доля субъектов, достигших целевого уровня HbA1c &lt;7,0% к 24-й неделе, была выше в группе, принимавшей 25 мг один раз в день (43,6%), чем в группе, принимавшей 10 мг один раз в день (35,3%), и в обоих случаях выше, чем в группе плацебо </w:t>
      </w:r>
      <w:bookmarkEnd w:id="144"/>
      <w:r>
        <w:t>[</w:t>
      </w:r>
      <w:r w:rsidR="008A0417" w:rsidRPr="008A0417">
        <w:t>27</w:t>
      </w:r>
      <w:r>
        <w:t>].</w:t>
      </w:r>
    </w:p>
    <w:p w14:paraId="2257C9FE" w14:textId="1CECD3FE" w:rsidR="00345876" w:rsidRDefault="00345876">
      <w:pPr>
        <w:spacing w:after="0" w:line="240" w:lineRule="auto"/>
        <w:ind w:firstLine="567"/>
      </w:pPr>
    </w:p>
    <w:p w14:paraId="448D6C06" w14:textId="17ABEF03" w:rsidR="00345876" w:rsidRPr="00345876" w:rsidRDefault="00345876" w:rsidP="00345876">
      <w:pPr>
        <w:spacing w:after="0" w:line="240" w:lineRule="auto"/>
        <w:rPr>
          <w:b/>
          <w:bCs/>
        </w:rPr>
      </w:pPr>
      <w:r w:rsidRPr="00345876">
        <w:rPr>
          <w:b/>
          <w:bCs/>
        </w:rPr>
        <w:t>Комбинированная</w:t>
      </w:r>
      <w:r>
        <w:rPr>
          <w:b/>
          <w:bCs/>
        </w:rPr>
        <w:t xml:space="preserve"> пероральная</w:t>
      </w:r>
      <w:r w:rsidRPr="00345876">
        <w:rPr>
          <w:b/>
          <w:bCs/>
        </w:rPr>
        <w:t xml:space="preserve"> терапия</w:t>
      </w:r>
    </w:p>
    <w:p w14:paraId="6CCEEA00" w14:textId="1B6A84F1" w:rsidR="00345876" w:rsidRDefault="00345876" w:rsidP="00421FA2">
      <w:pPr>
        <w:spacing w:after="0" w:line="240" w:lineRule="auto"/>
      </w:pPr>
    </w:p>
    <w:p w14:paraId="6015400E" w14:textId="77777777" w:rsidR="00624196" w:rsidRDefault="00624196" w:rsidP="00624196">
      <w:pPr>
        <w:autoSpaceDE w:val="0"/>
        <w:autoSpaceDN w:val="0"/>
        <w:adjustRightInd w:val="0"/>
        <w:spacing w:after="0" w:line="240" w:lineRule="auto"/>
        <w:contextualSpacing/>
        <w:rPr>
          <w:rFonts w:eastAsia="TimesNewRoman"/>
          <w:b/>
          <w:bCs/>
          <w:i/>
          <w:iCs/>
        </w:rPr>
      </w:pPr>
      <w:r>
        <w:rPr>
          <w:rFonts w:eastAsia="TimesNewRoman"/>
          <w:b/>
          <w:bCs/>
          <w:i/>
          <w:iCs/>
        </w:rPr>
        <w:t>Добавление</w:t>
      </w:r>
      <w:r w:rsidRPr="008C2F58">
        <w:rPr>
          <w:rFonts w:eastAsia="TimesNewRoman"/>
          <w:b/>
          <w:bCs/>
          <w:i/>
          <w:iCs/>
        </w:rPr>
        <w:t xml:space="preserve"> </w:t>
      </w:r>
      <w:r>
        <w:rPr>
          <w:rFonts w:eastAsia="TimesNewRoman"/>
          <w:b/>
          <w:bCs/>
          <w:i/>
          <w:iCs/>
        </w:rPr>
        <w:t>эмпаглифлазина</w:t>
      </w:r>
      <w:r w:rsidRPr="008C2F58">
        <w:rPr>
          <w:rFonts w:eastAsia="TimesNewRoman"/>
          <w:b/>
          <w:bCs/>
          <w:i/>
          <w:iCs/>
        </w:rPr>
        <w:t xml:space="preserve"> </w:t>
      </w:r>
      <w:r>
        <w:rPr>
          <w:rFonts w:eastAsia="TimesNewRoman"/>
          <w:b/>
          <w:bCs/>
          <w:i/>
          <w:iCs/>
        </w:rPr>
        <w:t>к</w:t>
      </w:r>
      <w:r w:rsidRPr="008C2F58">
        <w:rPr>
          <w:rFonts w:eastAsia="TimesNewRoman"/>
          <w:b/>
          <w:bCs/>
          <w:i/>
          <w:iCs/>
        </w:rPr>
        <w:t xml:space="preserve"> </w:t>
      </w:r>
      <w:r>
        <w:rPr>
          <w:rFonts w:eastAsia="TimesNewRoman"/>
          <w:b/>
          <w:bCs/>
          <w:i/>
          <w:iCs/>
        </w:rPr>
        <w:t>терапии</w:t>
      </w:r>
      <w:r w:rsidRPr="008C2F58">
        <w:rPr>
          <w:rFonts w:eastAsia="TimesNewRoman"/>
          <w:b/>
          <w:bCs/>
          <w:i/>
          <w:iCs/>
        </w:rPr>
        <w:t xml:space="preserve"> </w:t>
      </w:r>
      <w:r>
        <w:rPr>
          <w:rFonts w:eastAsia="TimesNewRoman"/>
          <w:b/>
          <w:bCs/>
          <w:i/>
          <w:iCs/>
        </w:rPr>
        <w:t>метформином</w:t>
      </w:r>
      <w:r w:rsidRPr="008C2F58">
        <w:rPr>
          <w:rFonts w:eastAsia="TimesNewRoman"/>
          <w:b/>
          <w:bCs/>
          <w:i/>
          <w:iCs/>
        </w:rPr>
        <w:t xml:space="preserve">, </w:t>
      </w:r>
      <w:r>
        <w:rPr>
          <w:rFonts w:eastAsia="TimesNewRoman"/>
          <w:b/>
          <w:bCs/>
          <w:i/>
          <w:iCs/>
        </w:rPr>
        <w:t>препаратами</w:t>
      </w:r>
      <w:r w:rsidRPr="008C2F58">
        <w:rPr>
          <w:rFonts w:eastAsia="TimesNewRoman"/>
          <w:b/>
          <w:bCs/>
          <w:i/>
          <w:iCs/>
        </w:rPr>
        <w:t xml:space="preserve"> </w:t>
      </w:r>
      <w:r>
        <w:rPr>
          <w:rFonts w:eastAsia="TimesNewRoman"/>
          <w:b/>
          <w:bCs/>
          <w:i/>
          <w:iCs/>
        </w:rPr>
        <w:t>сульфонилмочевины</w:t>
      </w:r>
      <w:r w:rsidRPr="008C2F58">
        <w:rPr>
          <w:rFonts w:eastAsia="TimesNewRoman"/>
          <w:b/>
          <w:bCs/>
          <w:i/>
          <w:iCs/>
        </w:rPr>
        <w:t xml:space="preserve">, </w:t>
      </w:r>
      <w:r>
        <w:rPr>
          <w:rFonts w:eastAsia="TimesNewRoman"/>
          <w:b/>
          <w:bCs/>
          <w:i/>
          <w:iCs/>
        </w:rPr>
        <w:t>пиоглитазону</w:t>
      </w:r>
    </w:p>
    <w:p w14:paraId="25D8D235" w14:textId="77777777" w:rsidR="00B47330" w:rsidRDefault="00B47330" w:rsidP="00624196">
      <w:pPr>
        <w:spacing w:after="0" w:line="240" w:lineRule="auto"/>
        <w:ind w:firstLine="709"/>
      </w:pPr>
    </w:p>
    <w:p w14:paraId="0027A993" w14:textId="6EB160BB" w:rsidR="00624196" w:rsidRDefault="00624196" w:rsidP="00624196">
      <w:pPr>
        <w:spacing w:after="0" w:line="240" w:lineRule="auto"/>
        <w:ind w:firstLine="709"/>
      </w:pPr>
      <w:r>
        <w:t>При добавлении эмпаглифлозина к метформину, метформину и сульфонилмочевине или пиоглитазону с или без метформина отмечалось статистически значимое (p&lt;0,0001) снижение HbA1c и массы тела по сравнению с плацебо (таблица 4-2). Кроме того, добавление эмпаглифлозина приводило к клинически значимому снижению ГПН, систолического и диастолического артериального давления по сравнению с плацебо.</w:t>
      </w:r>
    </w:p>
    <w:p w14:paraId="65CE8FE7" w14:textId="5AE20D1F" w:rsidR="00624196" w:rsidRDefault="00624196" w:rsidP="00421FA2">
      <w:pPr>
        <w:spacing w:after="0" w:line="240" w:lineRule="auto"/>
        <w:ind w:firstLine="709"/>
      </w:pPr>
      <w:r>
        <w:lastRenderedPageBreak/>
        <w:t>В двойном слепом плацебо-контролируемом периоде продленного лечения в этих исследованиях снижение HbA1c, массы тела и артериального давления сохранялись до 76-й недели.</w:t>
      </w:r>
    </w:p>
    <w:p w14:paraId="2D1E50AE" w14:textId="63C9C4A1" w:rsidR="00624196" w:rsidRDefault="00624196" w:rsidP="00421FA2">
      <w:pPr>
        <w:spacing w:after="0" w:line="240" w:lineRule="auto"/>
      </w:pPr>
    </w:p>
    <w:p w14:paraId="4E892F73" w14:textId="22EA3F75" w:rsidR="00624196" w:rsidRPr="00421FA2" w:rsidRDefault="00624196" w:rsidP="00421FA2">
      <w:pPr>
        <w:spacing w:after="0" w:line="240" w:lineRule="auto"/>
        <w:rPr>
          <w:vertAlign w:val="superscript"/>
        </w:rPr>
      </w:pPr>
      <w:r w:rsidRPr="00421FA2">
        <w:rPr>
          <w:b/>
        </w:rPr>
        <w:t>Таблица 4-2.</w:t>
      </w:r>
      <w:r>
        <w:t xml:space="preserve"> Результаты эффективности в 24-недельных плацебо-контролируемых исследованиях эффективности.</w:t>
      </w:r>
      <w:r w:rsidR="0018646E">
        <w:rPr>
          <w:vertAlign w:val="superscript"/>
          <w:lang w:val="en-US"/>
        </w:rPr>
        <w:t>a</w:t>
      </w:r>
    </w:p>
    <w:tbl>
      <w:tblPr>
        <w:tblStyle w:val="TableGrid"/>
        <w:tblW w:w="0" w:type="auto"/>
        <w:tblLook w:val="04A0" w:firstRow="1" w:lastRow="0" w:firstColumn="1" w:lastColumn="0" w:noHBand="0" w:noVBand="1"/>
      </w:tblPr>
      <w:tblGrid>
        <w:gridCol w:w="4673"/>
        <w:gridCol w:w="1559"/>
        <w:gridCol w:w="1560"/>
        <w:gridCol w:w="1552"/>
      </w:tblGrid>
      <w:tr w:rsidR="0018646E" w14:paraId="002E5F65" w14:textId="77777777" w:rsidTr="00421FA2">
        <w:trPr>
          <w:tblHeader/>
        </w:trPr>
        <w:tc>
          <w:tcPr>
            <w:tcW w:w="4673" w:type="dxa"/>
            <w:vMerge w:val="restart"/>
            <w:shd w:val="clear" w:color="auto" w:fill="D9D9D9" w:themeFill="background1" w:themeFillShade="D9"/>
          </w:tcPr>
          <w:p w14:paraId="7D820F2C" w14:textId="77777777" w:rsidR="0018646E" w:rsidRDefault="0018646E" w:rsidP="00624196">
            <w:pPr>
              <w:spacing w:after="0" w:line="240" w:lineRule="auto"/>
            </w:pPr>
          </w:p>
        </w:tc>
        <w:tc>
          <w:tcPr>
            <w:tcW w:w="1559" w:type="dxa"/>
            <w:vMerge w:val="restart"/>
            <w:shd w:val="clear" w:color="auto" w:fill="D9D9D9" w:themeFill="background1" w:themeFillShade="D9"/>
            <w:vAlign w:val="center"/>
          </w:tcPr>
          <w:p w14:paraId="018CF995" w14:textId="2D738BA6" w:rsidR="0018646E" w:rsidRPr="00421FA2" w:rsidRDefault="0018646E" w:rsidP="00421FA2">
            <w:pPr>
              <w:spacing w:after="0" w:line="240" w:lineRule="auto"/>
              <w:jc w:val="center"/>
              <w:rPr>
                <w:b/>
              </w:rPr>
            </w:pPr>
            <w:r w:rsidRPr="00421FA2">
              <w:rPr>
                <w:b/>
              </w:rPr>
              <w:t>Плацебо</w:t>
            </w:r>
          </w:p>
        </w:tc>
        <w:tc>
          <w:tcPr>
            <w:tcW w:w="3112" w:type="dxa"/>
            <w:gridSpan w:val="2"/>
            <w:shd w:val="clear" w:color="auto" w:fill="D9D9D9" w:themeFill="background1" w:themeFillShade="D9"/>
            <w:vAlign w:val="center"/>
          </w:tcPr>
          <w:p w14:paraId="3D019142" w14:textId="29B329A1" w:rsidR="0018646E" w:rsidRPr="00421FA2" w:rsidRDefault="0018646E" w:rsidP="00421FA2">
            <w:pPr>
              <w:spacing w:after="0" w:line="240" w:lineRule="auto"/>
              <w:jc w:val="center"/>
              <w:rPr>
                <w:b/>
              </w:rPr>
            </w:pPr>
            <w:r>
              <w:rPr>
                <w:b/>
              </w:rPr>
              <w:t>Эмпаглифлозин</w:t>
            </w:r>
          </w:p>
        </w:tc>
      </w:tr>
      <w:tr w:rsidR="0018646E" w14:paraId="45786D99" w14:textId="77777777" w:rsidTr="00421FA2">
        <w:trPr>
          <w:tblHeader/>
        </w:trPr>
        <w:tc>
          <w:tcPr>
            <w:tcW w:w="4673" w:type="dxa"/>
            <w:vMerge/>
            <w:shd w:val="clear" w:color="auto" w:fill="D9D9D9" w:themeFill="background1" w:themeFillShade="D9"/>
          </w:tcPr>
          <w:p w14:paraId="0E0E495C" w14:textId="77777777" w:rsidR="0018646E" w:rsidRDefault="0018646E" w:rsidP="00624196">
            <w:pPr>
              <w:spacing w:after="0" w:line="240" w:lineRule="auto"/>
            </w:pPr>
          </w:p>
        </w:tc>
        <w:tc>
          <w:tcPr>
            <w:tcW w:w="1559" w:type="dxa"/>
            <w:vMerge/>
            <w:shd w:val="clear" w:color="auto" w:fill="D9D9D9" w:themeFill="background1" w:themeFillShade="D9"/>
            <w:vAlign w:val="center"/>
          </w:tcPr>
          <w:p w14:paraId="55211395" w14:textId="77777777" w:rsidR="0018646E" w:rsidRPr="00421FA2" w:rsidRDefault="0018646E" w:rsidP="00421FA2">
            <w:pPr>
              <w:spacing w:after="0" w:line="240" w:lineRule="auto"/>
              <w:jc w:val="center"/>
              <w:rPr>
                <w:b/>
              </w:rPr>
            </w:pPr>
          </w:p>
        </w:tc>
        <w:tc>
          <w:tcPr>
            <w:tcW w:w="1560" w:type="dxa"/>
            <w:shd w:val="clear" w:color="auto" w:fill="D9D9D9" w:themeFill="background1" w:themeFillShade="D9"/>
            <w:vAlign w:val="center"/>
          </w:tcPr>
          <w:p w14:paraId="70F91612" w14:textId="2A624EAA" w:rsidR="0018646E" w:rsidRPr="00421FA2" w:rsidRDefault="0018646E" w:rsidP="00421FA2">
            <w:pPr>
              <w:spacing w:after="0" w:line="240" w:lineRule="auto"/>
              <w:jc w:val="center"/>
              <w:rPr>
                <w:b/>
              </w:rPr>
            </w:pPr>
            <w:r>
              <w:rPr>
                <w:b/>
              </w:rPr>
              <w:t>10 мг</w:t>
            </w:r>
          </w:p>
        </w:tc>
        <w:tc>
          <w:tcPr>
            <w:tcW w:w="1552" w:type="dxa"/>
            <w:shd w:val="clear" w:color="auto" w:fill="D9D9D9" w:themeFill="background1" w:themeFillShade="D9"/>
            <w:vAlign w:val="center"/>
          </w:tcPr>
          <w:p w14:paraId="1ED0A5E1" w14:textId="51AB50B2" w:rsidR="0018646E" w:rsidRPr="00421FA2" w:rsidRDefault="0018646E" w:rsidP="00421FA2">
            <w:pPr>
              <w:spacing w:after="0" w:line="240" w:lineRule="auto"/>
              <w:jc w:val="center"/>
              <w:rPr>
                <w:b/>
              </w:rPr>
            </w:pPr>
            <w:r>
              <w:rPr>
                <w:b/>
              </w:rPr>
              <w:t>25 мг</w:t>
            </w:r>
          </w:p>
        </w:tc>
      </w:tr>
      <w:tr w:rsidR="0020635D" w14:paraId="2963226D" w14:textId="77777777" w:rsidTr="00421FA2">
        <w:tc>
          <w:tcPr>
            <w:tcW w:w="9344" w:type="dxa"/>
            <w:gridSpan w:val="4"/>
            <w:shd w:val="clear" w:color="auto" w:fill="D9D9D9" w:themeFill="background1" w:themeFillShade="D9"/>
          </w:tcPr>
          <w:p w14:paraId="1DA6F71F" w14:textId="72F49908" w:rsidR="0020635D" w:rsidRDefault="0020635D" w:rsidP="0020635D">
            <w:pPr>
              <w:spacing w:after="0" w:line="240" w:lineRule="auto"/>
              <w:jc w:val="center"/>
              <w:rPr>
                <w:lang w:val="en-US"/>
              </w:rPr>
            </w:pPr>
            <w:r>
              <w:rPr>
                <w:b/>
              </w:rPr>
              <w:t>Дополнение к терапии метформином</w:t>
            </w:r>
          </w:p>
        </w:tc>
      </w:tr>
      <w:tr w:rsidR="00624196" w14:paraId="52905A37" w14:textId="77777777" w:rsidTr="0020635D">
        <w:tc>
          <w:tcPr>
            <w:tcW w:w="4673" w:type="dxa"/>
          </w:tcPr>
          <w:p w14:paraId="38115DA6" w14:textId="3CBDB467" w:rsidR="00624196" w:rsidRPr="00421FA2" w:rsidRDefault="0018646E">
            <w:pPr>
              <w:spacing w:after="0" w:line="240" w:lineRule="auto"/>
              <w:rPr>
                <w:lang w:val="en-US"/>
              </w:rPr>
            </w:pPr>
            <w:r>
              <w:rPr>
                <w:lang w:val="en-US"/>
              </w:rPr>
              <w:t>N</w:t>
            </w:r>
          </w:p>
        </w:tc>
        <w:tc>
          <w:tcPr>
            <w:tcW w:w="1559" w:type="dxa"/>
          </w:tcPr>
          <w:p w14:paraId="0D4285B2" w14:textId="3279C5A1" w:rsidR="00624196" w:rsidRPr="00421FA2" w:rsidRDefault="0018646E">
            <w:pPr>
              <w:spacing w:after="0" w:line="240" w:lineRule="auto"/>
              <w:jc w:val="center"/>
              <w:rPr>
                <w:lang w:val="en-US"/>
              </w:rPr>
            </w:pPr>
            <w:r>
              <w:rPr>
                <w:lang w:val="en-US"/>
              </w:rPr>
              <w:t>207</w:t>
            </w:r>
          </w:p>
        </w:tc>
        <w:tc>
          <w:tcPr>
            <w:tcW w:w="1560" w:type="dxa"/>
          </w:tcPr>
          <w:p w14:paraId="4C0FAFB7" w14:textId="6D97F62C" w:rsidR="00624196" w:rsidRPr="00421FA2" w:rsidRDefault="0018646E">
            <w:pPr>
              <w:spacing w:after="0" w:line="240" w:lineRule="auto"/>
              <w:jc w:val="center"/>
              <w:rPr>
                <w:lang w:val="en-US"/>
              </w:rPr>
            </w:pPr>
            <w:r>
              <w:rPr>
                <w:lang w:val="en-US"/>
              </w:rPr>
              <w:t>217</w:t>
            </w:r>
          </w:p>
        </w:tc>
        <w:tc>
          <w:tcPr>
            <w:tcW w:w="1552" w:type="dxa"/>
          </w:tcPr>
          <w:p w14:paraId="10D4E636" w14:textId="0E310B1A" w:rsidR="00624196" w:rsidRPr="00421FA2" w:rsidRDefault="0018646E">
            <w:pPr>
              <w:spacing w:after="0" w:line="240" w:lineRule="auto"/>
              <w:jc w:val="center"/>
              <w:rPr>
                <w:lang w:val="en-US"/>
              </w:rPr>
            </w:pPr>
            <w:r>
              <w:rPr>
                <w:lang w:val="en-US"/>
              </w:rPr>
              <w:t>213</w:t>
            </w:r>
          </w:p>
        </w:tc>
      </w:tr>
      <w:tr w:rsidR="0018646E" w14:paraId="32B9FBF9" w14:textId="77777777" w:rsidTr="00993180">
        <w:tc>
          <w:tcPr>
            <w:tcW w:w="9344" w:type="dxa"/>
            <w:gridSpan w:val="4"/>
          </w:tcPr>
          <w:p w14:paraId="6E7251D3" w14:textId="3C229857" w:rsidR="0018646E" w:rsidRPr="00421FA2" w:rsidRDefault="0018646E">
            <w:pPr>
              <w:spacing w:after="0" w:line="240" w:lineRule="auto"/>
              <w:rPr>
                <w:b/>
              </w:rPr>
            </w:pPr>
            <w:r w:rsidRPr="00421FA2">
              <w:rPr>
                <w:b/>
              </w:rPr>
              <w:t>HbA1c</w:t>
            </w:r>
            <w:r w:rsidRPr="00421FA2">
              <w:rPr>
                <w:b/>
                <w:lang w:val="en-US"/>
              </w:rPr>
              <w:t xml:space="preserve"> (%)</w:t>
            </w:r>
          </w:p>
        </w:tc>
      </w:tr>
      <w:tr w:rsidR="00624196" w14:paraId="301931F5" w14:textId="77777777" w:rsidTr="00421FA2">
        <w:tc>
          <w:tcPr>
            <w:tcW w:w="4673" w:type="dxa"/>
          </w:tcPr>
          <w:p w14:paraId="24043DB9" w14:textId="2BB1D5C7" w:rsidR="00624196" w:rsidRDefault="0018646E" w:rsidP="00421FA2">
            <w:pPr>
              <w:spacing w:after="0" w:line="240" w:lineRule="auto"/>
              <w:ind w:left="306"/>
            </w:pPr>
            <w:r>
              <w:t>Исходное значение (среднее)</w:t>
            </w:r>
          </w:p>
        </w:tc>
        <w:tc>
          <w:tcPr>
            <w:tcW w:w="1559" w:type="dxa"/>
            <w:vAlign w:val="center"/>
          </w:tcPr>
          <w:p w14:paraId="51C0B9DF" w14:textId="2CDAAF50" w:rsidR="00624196" w:rsidRDefault="001F23B5" w:rsidP="00421FA2">
            <w:pPr>
              <w:spacing w:after="0" w:line="240" w:lineRule="auto"/>
              <w:jc w:val="center"/>
            </w:pPr>
            <w:r>
              <w:t>7,90</w:t>
            </w:r>
          </w:p>
        </w:tc>
        <w:tc>
          <w:tcPr>
            <w:tcW w:w="1560" w:type="dxa"/>
            <w:vAlign w:val="center"/>
          </w:tcPr>
          <w:p w14:paraId="69A78DC8" w14:textId="5B7183EA" w:rsidR="00624196" w:rsidRDefault="001F23B5" w:rsidP="00421FA2">
            <w:pPr>
              <w:spacing w:after="0" w:line="240" w:lineRule="auto"/>
              <w:jc w:val="center"/>
            </w:pPr>
            <w:r>
              <w:t>7,94</w:t>
            </w:r>
          </w:p>
        </w:tc>
        <w:tc>
          <w:tcPr>
            <w:tcW w:w="1552" w:type="dxa"/>
            <w:vAlign w:val="center"/>
          </w:tcPr>
          <w:p w14:paraId="5BF70F77" w14:textId="371C8B3D" w:rsidR="00624196" w:rsidRDefault="001F23B5" w:rsidP="00421FA2">
            <w:pPr>
              <w:spacing w:after="0" w:line="240" w:lineRule="auto"/>
              <w:jc w:val="center"/>
            </w:pPr>
            <w:r>
              <w:t>7,86</w:t>
            </w:r>
          </w:p>
        </w:tc>
      </w:tr>
      <w:tr w:rsidR="00624196" w14:paraId="08911FD6" w14:textId="77777777" w:rsidTr="00421FA2">
        <w:tc>
          <w:tcPr>
            <w:tcW w:w="4673" w:type="dxa"/>
          </w:tcPr>
          <w:p w14:paraId="519E42CB" w14:textId="4846A001" w:rsidR="00624196" w:rsidRPr="00421FA2" w:rsidRDefault="0018646E" w:rsidP="00421FA2">
            <w:pPr>
              <w:spacing w:after="0" w:line="240" w:lineRule="auto"/>
              <w:ind w:left="306"/>
              <w:rPr>
                <w:vertAlign w:val="superscript"/>
              </w:rPr>
            </w:pPr>
            <w:r>
              <w:t>Изменение относительно исходного значения</w:t>
            </w:r>
            <w:r>
              <w:rPr>
                <w:vertAlign w:val="superscript"/>
              </w:rPr>
              <w:t>1</w:t>
            </w:r>
          </w:p>
        </w:tc>
        <w:tc>
          <w:tcPr>
            <w:tcW w:w="1559" w:type="dxa"/>
            <w:vAlign w:val="center"/>
          </w:tcPr>
          <w:p w14:paraId="3F7547D4" w14:textId="6CA570CE" w:rsidR="00624196" w:rsidRDefault="001F23B5" w:rsidP="00421FA2">
            <w:pPr>
              <w:spacing w:after="0" w:line="240" w:lineRule="auto"/>
              <w:jc w:val="center"/>
            </w:pPr>
            <w:r>
              <w:t>-0,13</w:t>
            </w:r>
          </w:p>
        </w:tc>
        <w:tc>
          <w:tcPr>
            <w:tcW w:w="1560" w:type="dxa"/>
            <w:vAlign w:val="center"/>
          </w:tcPr>
          <w:p w14:paraId="115160F1" w14:textId="636AF0D8" w:rsidR="00624196" w:rsidRDefault="001F23B5" w:rsidP="00421FA2">
            <w:pPr>
              <w:spacing w:after="0" w:line="240" w:lineRule="auto"/>
              <w:jc w:val="center"/>
            </w:pPr>
            <w:r>
              <w:t>-0,70</w:t>
            </w:r>
          </w:p>
        </w:tc>
        <w:tc>
          <w:tcPr>
            <w:tcW w:w="1552" w:type="dxa"/>
            <w:vAlign w:val="center"/>
          </w:tcPr>
          <w:p w14:paraId="7A00B79E" w14:textId="75282902" w:rsidR="00624196" w:rsidRDefault="001F23B5" w:rsidP="00421FA2">
            <w:pPr>
              <w:spacing w:after="0" w:line="240" w:lineRule="auto"/>
              <w:jc w:val="center"/>
            </w:pPr>
            <w:r>
              <w:t>-0,77</w:t>
            </w:r>
          </w:p>
        </w:tc>
      </w:tr>
      <w:tr w:rsidR="00624196" w14:paraId="0EC0BE43" w14:textId="77777777" w:rsidTr="00421FA2">
        <w:tc>
          <w:tcPr>
            <w:tcW w:w="4673" w:type="dxa"/>
          </w:tcPr>
          <w:p w14:paraId="427F1CE6" w14:textId="2C6FDBF8" w:rsidR="00624196" w:rsidRPr="00421FA2" w:rsidRDefault="0018646E" w:rsidP="00421FA2">
            <w:pPr>
              <w:spacing w:after="0" w:line="240" w:lineRule="auto"/>
              <w:ind w:left="306"/>
              <w:rPr>
                <w:lang w:val="en-US"/>
              </w:rPr>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vAlign w:val="center"/>
          </w:tcPr>
          <w:p w14:paraId="21847A53" w14:textId="77777777" w:rsidR="00624196" w:rsidRDefault="00624196" w:rsidP="00421FA2">
            <w:pPr>
              <w:spacing w:after="0" w:line="240" w:lineRule="auto"/>
              <w:jc w:val="center"/>
            </w:pPr>
          </w:p>
        </w:tc>
        <w:tc>
          <w:tcPr>
            <w:tcW w:w="1560" w:type="dxa"/>
            <w:vAlign w:val="center"/>
          </w:tcPr>
          <w:p w14:paraId="14B8211F" w14:textId="77777777" w:rsidR="00993180" w:rsidRDefault="001F23B5" w:rsidP="00421FA2">
            <w:pPr>
              <w:spacing w:after="0" w:line="240" w:lineRule="auto"/>
              <w:jc w:val="center"/>
            </w:pPr>
            <w:r>
              <w:t xml:space="preserve">-0,57* </w:t>
            </w:r>
          </w:p>
          <w:p w14:paraId="725582AA" w14:textId="66F30949" w:rsidR="00624196" w:rsidRDefault="001F23B5" w:rsidP="00421FA2">
            <w:pPr>
              <w:spacing w:after="0" w:line="240" w:lineRule="auto"/>
              <w:jc w:val="center"/>
            </w:pPr>
            <w:r>
              <w:t>(-0,72; -0,42)</w:t>
            </w:r>
          </w:p>
        </w:tc>
        <w:tc>
          <w:tcPr>
            <w:tcW w:w="1552" w:type="dxa"/>
            <w:vAlign w:val="center"/>
          </w:tcPr>
          <w:p w14:paraId="0544DA27" w14:textId="77777777" w:rsidR="00993180" w:rsidRDefault="001F23B5" w:rsidP="00421FA2">
            <w:pPr>
              <w:spacing w:after="0" w:line="240" w:lineRule="auto"/>
              <w:jc w:val="center"/>
            </w:pPr>
            <w:r>
              <w:t xml:space="preserve">-0,64* </w:t>
            </w:r>
          </w:p>
          <w:p w14:paraId="55829CA8" w14:textId="4CF59AEA" w:rsidR="00624196" w:rsidRDefault="001F23B5" w:rsidP="00421FA2">
            <w:pPr>
              <w:spacing w:after="0" w:line="240" w:lineRule="auto"/>
              <w:jc w:val="center"/>
            </w:pPr>
            <w:r>
              <w:t>(-0,79; -0,48)</w:t>
            </w:r>
          </w:p>
        </w:tc>
      </w:tr>
      <w:tr w:rsidR="00624196" w14:paraId="2E904FCE" w14:textId="77777777" w:rsidTr="00421FA2">
        <w:tc>
          <w:tcPr>
            <w:tcW w:w="4673" w:type="dxa"/>
          </w:tcPr>
          <w:p w14:paraId="6AC61D1B" w14:textId="0E2D153C" w:rsidR="00624196" w:rsidRPr="00421FA2" w:rsidRDefault="0018646E" w:rsidP="00624196">
            <w:pPr>
              <w:spacing w:after="0" w:line="240" w:lineRule="auto"/>
              <w:rPr>
                <w:lang w:val="en-US"/>
              </w:rPr>
            </w:pPr>
            <w:r>
              <w:rPr>
                <w:lang w:val="en-US"/>
              </w:rPr>
              <w:t>N</w:t>
            </w:r>
          </w:p>
        </w:tc>
        <w:tc>
          <w:tcPr>
            <w:tcW w:w="1559" w:type="dxa"/>
            <w:vAlign w:val="center"/>
          </w:tcPr>
          <w:p w14:paraId="4D5780C8" w14:textId="697178B5" w:rsidR="00624196" w:rsidRDefault="001F23B5" w:rsidP="00421FA2">
            <w:pPr>
              <w:spacing w:after="0" w:line="240" w:lineRule="auto"/>
              <w:jc w:val="center"/>
            </w:pPr>
            <w:r>
              <w:t>184</w:t>
            </w:r>
          </w:p>
        </w:tc>
        <w:tc>
          <w:tcPr>
            <w:tcW w:w="1560" w:type="dxa"/>
            <w:vAlign w:val="center"/>
          </w:tcPr>
          <w:p w14:paraId="30F448C1" w14:textId="5BF77B3A" w:rsidR="00624196" w:rsidRDefault="001F23B5" w:rsidP="00421FA2">
            <w:pPr>
              <w:spacing w:after="0" w:line="240" w:lineRule="auto"/>
              <w:jc w:val="center"/>
            </w:pPr>
            <w:r>
              <w:t>199</w:t>
            </w:r>
          </w:p>
        </w:tc>
        <w:tc>
          <w:tcPr>
            <w:tcW w:w="1552" w:type="dxa"/>
            <w:vAlign w:val="center"/>
          </w:tcPr>
          <w:p w14:paraId="2697F49F" w14:textId="417D8431" w:rsidR="00624196" w:rsidRDefault="001F23B5" w:rsidP="00421FA2">
            <w:pPr>
              <w:spacing w:after="0" w:line="240" w:lineRule="auto"/>
              <w:jc w:val="center"/>
            </w:pPr>
            <w:r>
              <w:t>191</w:t>
            </w:r>
          </w:p>
        </w:tc>
      </w:tr>
      <w:tr w:rsidR="00624196" w14:paraId="2A439C95" w14:textId="77777777" w:rsidTr="00421FA2">
        <w:tc>
          <w:tcPr>
            <w:tcW w:w="4673" w:type="dxa"/>
          </w:tcPr>
          <w:p w14:paraId="715255B8" w14:textId="56161932" w:rsidR="00624196" w:rsidRPr="00421FA2" w:rsidRDefault="0018646E" w:rsidP="00624196">
            <w:pPr>
              <w:spacing w:after="0" w:line="240" w:lineRule="auto"/>
              <w:rPr>
                <w:b/>
                <w:vertAlign w:val="superscript"/>
              </w:rPr>
            </w:pPr>
            <w:r w:rsidRPr="00421FA2">
              <w:rPr>
                <w:b/>
              </w:rPr>
              <w:t xml:space="preserve">Пациенты (%), достигшие </w:t>
            </w:r>
            <w:r w:rsidRPr="0018646E">
              <w:rPr>
                <w:b/>
              </w:rPr>
              <w:t xml:space="preserve">HbA1c </w:t>
            </w:r>
            <w:r w:rsidRPr="00421FA2">
              <w:rPr>
                <w:b/>
              </w:rPr>
              <w:t xml:space="preserve">&lt;7%, у которых исходное значение </w:t>
            </w:r>
            <w:r w:rsidRPr="0018646E">
              <w:rPr>
                <w:b/>
              </w:rPr>
              <w:t>HbA1c≥7%</w:t>
            </w:r>
            <w:r w:rsidRPr="0018646E">
              <w:rPr>
                <w:b/>
                <w:vertAlign w:val="superscript"/>
              </w:rPr>
              <w:t>2</w:t>
            </w:r>
          </w:p>
        </w:tc>
        <w:tc>
          <w:tcPr>
            <w:tcW w:w="1559" w:type="dxa"/>
            <w:vAlign w:val="center"/>
          </w:tcPr>
          <w:p w14:paraId="7EAF6369" w14:textId="685652D2" w:rsidR="00624196" w:rsidRDefault="001F23B5" w:rsidP="00421FA2">
            <w:pPr>
              <w:spacing w:after="0" w:line="240" w:lineRule="auto"/>
              <w:jc w:val="center"/>
            </w:pPr>
            <w:r>
              <w:t>12,5</w:t>
            </w:r>
          </w:p>
        </w:tc>
        <w:tc>
          <w:tcPr>
            <w:tcW w:w="1560" w:type="dxa"/>
            <w:vAlign w:val="center"/>
          </w:tcPr>
          <w:p w14:paraId="29859ED1" w14:textId="3ED619ED" w:rsidR="00624196" w:rsidRDefault="001F23B5" w:rsidP="00421FA2">
            <w:pPr>
              <w:spacing w:after="0" w:line="240" w:lineRule="auto"/>
              <w:jc w:val="center"/>
            </w:pPr>
            <w:r>
              <w:t>37,7</w:t>
            </w:r>
          </w:p>
        </w:tc>
        <w:tc>
          <w:tcPr>
            <w:tcW w:w="1552" w:type="dxa"/>
            <w:vAlign w:val="center"/>
          </w:tcPr>
          <w:p w14:paraId="062A9285" w14:textId="69E1DE42" w:rsidR="00624196" w:rsidRDefault="001F23B5" w:rsidP="00421FA2">
            <w:pPr>
              <w:spacing w:after="0" w:line="240" w:lineRule="auto"/>
              <w:jc w:val="center"/>
            </w:pPr>
            <w:r>
              <w:t>38,7</w:t>
            </w:r>
          </w:p>
        </w:tc>
      </w:tr>
      <w:tr w:rsidR="00624196" w14:paraId="729AD9B6" w14:textId="77777777" w:rsidTr="00421FA2">
        <w:tc>
          <w:tcPr>
            <w:tcW w:w="4673" w:type="dxa"/>
          </w:tcPr>
          <w:p w14:paraId="7EDAD6AB" w14:textId="34617FA0" w:rsidR="00624196" w:rsidRPr="00421FA2" w:rsidRDefault="0018646E" w:rsidP="00624196">
            <w:pPr>
              <w:spacing w:after="0" w:line="240" w:lineRule="auto"/>
              <w:rPr>
                <w:lang w:val="en-US"/>
              </w:rPr>
            </w:pPr>
            <w:r>
              <w:rPr>
                <w:lang w:val="en-US"/>
              </w:rPr>
              <w:t>N</w:t>
            </w:r>
          </w:p>
        </w:tc>
        <w:tc>
          <w:tcPr>
            <w:tcW w:w="1559" w:type="dxa"/>
            <w:vAlign w:val="center"/>
          </w:tcPr>
          <w:p w14:paraId="2C6A5675" w14:textId="7661890F" w:rsidR="00624196" w:rsidRDefault="001F23B5" w:rsidP="00421FA2">
            <w:pPr>
              <w:spacing w:after="0" w:line="240" w:lineRule="auto"/>
              <w:jc w:val="center"/>
            </w:pPr>
            <w:r>
              <w:t>207</w:t>
            </w:r>
          </w:p>
        </w:tc>
        <w:tc>
          <w:tcPr>
            <w:tcW w:w="1560" w:type="dxa"/>
            <w:vAlign w:val="center"/>
          </w:tcPr>
          <w:p w14:paraId="0683958F" w14:textId="5C6971CC" w:rsidR="00624196" w:rsidRDefault="001F23B5" w:rsidP="00421FA2">
            <w:pPr>
              <w:spacing w:after="0" w:line="240" w:lineRule="auto"/>
              <w:jc w:val="center"/>
            </w:pPr>
            <w:r>
              <w:t>217</w:t>
            </w:r>
          </w:p>
        </w:tc>
        <w:tc>
          <w:tcPr>
            <w:tcW w:w="1552" w:type="dxa"/>
            <w:vAlign w:val="center"/>
          </w:tcPr>
          <w:p w14:paraId="010D3445" w14:textId="12264B91" w:rsidR="00624196" w:rsidRDefault="001F23B5" w:rsidP="00421FA2">
            <w:pPr>
              <w:spacing w:after="0" w:line="240" w:lineRule="auto"/>
              <w:jc w:val="center"/>
            </w:pPr>
            <w:r>
              <w:t>213</w:t>
            </w:r>
          </w:p>
        </w:tc>
      </w:tr>
      <w:tr w:rsidR="0018646E" w14:paraId="084E76ED" w14:textId="77777777" w:rsidTr="00421FA2">
        <w:tc>
          <w:tcPr>
            <w:tcW w:w="9344" w:type="dxa"/>
            <w:gridSpan w:val="4"/>
            <w:vAlign w:val="center"/>
          </w:tcPr>
          <w:p w14:paraId="495CCDC2" w14:textId="699FC781" w:rsidR="0018646E" w:rsidRPr="00421FA2" w:rsidRDefault="0018646E">
            <w:pPr>
              <w:spacing w:after="0" w:line="240" w:lineRule="auto"/>
              <w:rPr>
                <w:b/>
              </w:rPr>
            </w:pPr>
            <w:r w:rsidRPr="00421FA2">
              <w:rPr>
                <w:b/>
              </w:rPr>
              <w:t>Масса тела (кг)</w:t>
            </w:r>
          </w:p>
        </w:tc>
      </w:tr>
      <w:tr w:rsidR="0018646E" w14:paraId="0444A803" w14:textId="77777777" w:rsidTr="00421FA2">
        <w:tc>
          <w:tcPr>
            <w:tcW w:w="4673" w:type="dxa"/>
          </w:tcPr>
          <w:p w14:paraId="453527B5" w14:textId="7D4E0C5A" w:rsidR="0018646E" w:rsidRDefault="0018646E" w:rsidP="00421FA2">
            <w:pPr>
              <w:spacing w:after="0" w:line="240" w:lineRule="auto"/>
              <w:ind w:left="306"/>
            </w:pPr>
            <w:r>
              <w:t>Исходное значение (среднее)</w:t>
            </w:r>
          </w:p>
        </w:tc>
        <w:tc>
          <w:tcPr>
            <w:tcW w:w="1559" w:type="dxa"/>
            <w:vAlign w:val="center"/>
          </w:tcPr>
          <w:p w14:paraId="23411AC8" w14:textId="79D5D1BB" w:rsidR="0018646E" w:rsidRDefault="001F23B5" w:rsidP="00421FA2">
            <w:pPr>
              <w:spacing w:after="0" w:line="240" w:lineRule="auto"/>
              <w:jc w:val="center"/>
            </w:pPr>
            <w:r>
              <w:t>79,73</w:t>
            </w:r>
          </w:p>
        </w:tc>
        <w:tc>
          <w:tcPr>
            <w:tcW w:w="1560" w:type="dxa"/>
            <w:vAlign w:val="center"/>
          </w:tcPr>
          <w:p w14:paraId="13AD1DD6" w14:textId="644DD8DF" w:rsidR="0018646E" w:rsidRDefault="001F23B5" w:rsidP="00421FA2">
            <w:pPr>
              <w:spacing w:after="0" w:line="240" w:lineRule="auto"/>
              <w:jc w:val="center"/>
            </w:pPr>
            <w:r>
              <w:t>81,59</w:t>
            </w:r>
          </w:p>
        </w:tc>
        <w:tc>
          <w:tcPr>
            <w:tcW w:w="1552" w:type="dxa"/>
            <w:vAlign w:val="center"/>
          </w:tcPr>
          <w:p w14:paraId="735E508A" w14:textId="6DD44A64" w:rsidR="0018646E" w:rsidRDefault="001F23B5" w:rsidP="00421FA2">
            <w:pPr>
              <w:spacing w:after="0" w:line="240" w:lineRule="auto"/>
              <w:jc w:val="center"/>
            </w:pPr>
            <w:r>
              <w:t>82,21</w:t>
            </w:r>
          </w:p>
        </w:tc>
      </w:tr>
      <w:tr w:rsidR="0018646E" w14:paraId="40D247DF" w14:textId="77777777" w:rsidTr="00421FA2">
        <w:tc>
          <w:tcPr>
            <w:tcW w:w="4673" w:type="dxa"/>
          </w:tcPr>
          <w:p w14:paraId="58EE2187" w14:textId="363CC63E" w:rsidR="0018646E" w:rsidRDefault="0018646E" w:rsidP="00421FA2">
            <w:pPr>
              <w:spacing w:after="0" w:line="240" w:lineRule="auto"/>
              <w:ind w:left="306"/>
            </w:pPr>
            <w:r>
              <w:t>Изменение относительно исходного значения</w:t>
            </w:r>
            <w:r>
              <w:rPr>
                <w:vertAlign w:val="superscript"/>
              </w:rPr>
              <w:t>1</w:t>
            </w:r>
          </w:p>
        </w:tc>
        <w:tc>
          <w:tcPr>
            <w:tcW w:w="1559" w:type="dxa"/>
            <w:vAlign w:val="center"/>
          </w:tcPr>
          <w:p w14:paraId="428918DA" w14:textId="29DB5606" w:rsidR="0018646E" w:rsidRDefault="001F23B5" w:rsidP="00421FA2">
            <w:pPr>
              <w:spacing w:after="0" w:line="240" w:lineRule="auto"/>
              <w:jc w:val="center"/>
            </w:pPr>
            <w:r>
              <w:t>-0,45</w:t>
            </w:r>
          </w:p>
        </w:tc>
        <w:tc>
          <w:tcPr>
            <w:tcW w:w="1560" w:type="dxa"/>
            <w:vAlign w:val="center"/>
          </w:tcPr>
          <w:p w14:paraId="208B30C0" w14:textId="515D728C" w:rsidR="0018646E" w:rsidRDefault="001F23B5" w:rsidP="00421FA2">
            <w:pPr>
              <w:spacing w:after="0" w:line="240" w:lineRule="auto"/>
              <w:jc w:val="center"/>
            </w:pPr>
            <w:r>
              <w:t>-2,08</w:t>
            </w:r>
          </w:p>
        </w:tc>
        <w:tc>
          <w:tcPr>
            <w:tcW w:w="1552" w:type="dxa"/>
            <w:vAlign w:val="center"/>
          </w:tcPr>
          <w:p w14:paraId="16D9E927" w14:textId="2C43786E" w:rsidR="0018646E" w:rsidRDefault="001F23B5" w:rsidP="00421FA2">
            <w:pPr>
              <w:spacing w:after="0" w:line="240" w:lineRule="auto"/>
              <w:jc w:val="center"/>
            </w:pPr>
            <w:r>
              <w:t>-2,46</w:t>
            </w:r>
          </w:p>
        </w:tc>
      </w:tr>
      <w:tr w:rsidR="001F23B5" w14:paraId="5CACEE7F" w14:textId="77777777" w:rsidTr="00421FA2">
        <w:tc>
          <w:tcPr>
            <w:tcW w:w="4673" w:type="dxa"/>
          </w:tcPr>
          <w:p w14:paraId="5E1C1385" w14:textId="548E0194" w:rsidR="001F23B5" w:rsidRDefault="001F23B5" w:rsidP="00421FA2">
            <w:pPr>
              <w:spacing w:after="0" w:line="240" w:lineRule="auto"/>
              <w:ind w:left="306"/>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vAlign w:val="center"/>
          </w:tcPr>
          <w:p w14:paraId="7625C987" w14:textId="77777777" w:rsidR="001F23B5" w:rsidRDefault="001F23B5" w:rsidP="00421FA2">
            <w:pPr>
              <w:spacing w:after="0" w:line="240" w:lineRule="auto"/>
              <w:jc w:val="center"/>
            </w:pPr>
          </w:p>
        </w:tc>
        <w:tc>
          <w:tcPr>
            <w:tcW w:w="1560" w:type="dxa"/>
            <w:vAlign w:val="center"/>
          </w:tcPr>
          <w:p w14:paraId="4EE5C248" w14:textId="77777777" w:rsidR="00993180" w:rsidRDefault="001F23B5" w:rsidP="00421FA2">
            <w:pPr>
              <w:spacing w:after="0" w:line="240" w:lineRule="auto"/>
              <w:jc w:val="center"/>
            </w:pPr>
            <w:r>
              <w:t xml:space="preserve">-1,63* </w:t>
            </w:r>
          </w:p>
          <w:p w14:paraId="22B135AF" w14:textId="5CA8B2F1" w:rsidR="001F23B5" w:rsidRDefault="001F23B5" w:rsidP="00421FA2">
            <w:pPr>
              <w:spacing w:after="0" w:line="240" w:lineRule="auto"/>
              <w:jc w:val="center"/>
            </w:pPr>
            <w:r>
              <w:t>(-2,17; -1,08)</w:t>
            </w:r>
          </w:p>
        </w:tc>
        <w:tc>
          <w:tcPr>
            <w:tcW w:w="1552" w:type="dxa"/>
            <w:vAlign w:val="center"/>
          </w:tcPr>
          <w:p w14:paraId="38ED85A4" w14:textId="77777777" w:rsidR="00993180" w:rsidRDefault="001F23B5" w:rsidP="00421FA2">
            <w:pPr>
              <w:spacing w:after="0" w:line="240" w:lineRule="auto"/>
              <w:jc w:val="center"/>
            </w:pPr>
            <w:r>
              <w:t xml:space="preserve">-2,01* </w:t>
            </w:r>
          </w:p>
          <w:p w14:paraId="036534F3" w14:textId="03C508C1" w:rsidR="001F23B5" w:rsidRDefault="001F23B5" w:rsidP="00421FA2">
            <w:pPr>
              <w:spacing w:after="0" w:line="240" w:lineRule="auto"/>
              <w:jc w:val="center"/>
            </w:pPr>
            <w:r>
              <w:t>(-2,56; -1,46)</w:t>
            </w:r>
          </w:p>
        </w:tc>
      </w:tr>
      <w:tr w:rsidR="001F23B5" w14:paraId="3A5525E0" w14:textId="77777777" w:rsidTr="00421FA2">
        <w:tc>
          <w:tcPr>
            <w:tcW w:w="4673" w:type="dxa"/>
          </w:tcPr>
          <w:p w14:paraId="71465C05" w14:textId="3CAFA4B8" w:rsidR="001F23B5" w:rsidRPr="00421FA2" w:rsidRDefault="001F23B5" w:rsidP="001F23B5">
            <w:pPr>
              <w:spacing w:after="0" w:line="240" w:lineRule="auto"/>
              <w:rPr>
                <w:lang w:val="en-US"/>
              </w:rPr>
            </w:pPr>
            <w:r>
              <w:rPr>
                <w:lang w:val="en-US"/>
              </w:rPr>
              <w:t>N</w:t>
            </w:r>
          </w:p>
        </w:tc>
        <w:tc>
          <w:tcPr>
            <w:tcW w:w="1559" w:type="dxa"/>
            <w:vAlign w:val="center"/>
          </w:tcPr>
          <w:p w14:paraId="33451C82" w14:textId="13E67C7A" w:rsidR="001F23B5" w:rsidRDefault="001F23B5" w:rsidP="00421FA2">
            <w:pPr>
              <w:spacing w:after="0" w:line="240" w:lineRule="auto"/>
              <w:jc w:val="center"/>
            </w:pPr>
            <w:r>
              <w:t>207</w:t>
            </w:r>
          </w:p>
        </w:tc>
        <w:tc>
          <w:tcPr>
            <w:tcW w:w="1560" w:type="dxa"/>
            <w:vAlign w:val="center"/>
          </w:tcPr>
          <w:p w14:paraId="7D638841" w14:textId="0C42168F" w:rsidR="001F23B5" w:rsidRDefault="001F23B5" w:rsidP="00421FA2">
            <w:pPr>
              <w:spacing w:after="0" w:line="240" w:lineRule="auto"/>
              <w:jc w:val="center"/>
            </w:pPr>
            <w:r>
              <w:t>217</w:t>
            </w:r>
          </w:p>
        </w:tc>
        <w:tc>
          <w:tcPr>
            <w:tcW w:w="1552" w:type="dxa"/>
            <w:vAlign w:val="center"/>
          </w:tcPr>
          <w:p w14:paraId="6E6F2E6E" w14:textId="5E68354D" w:rsidR="001F23B5" w:rsidRDefault="001F23B5" w:rsidP="00421FA2">
            <w:pPr>
              <w:spacing w:after="0" w:line="240" w:lineRule="auto"/>
              <w:jc w:val="center"/>
            </w:pPr>
            <w:r>
              <w:t>213</w:t>
            </w:r>
          </w:p>
        </w:tc>
      </w:tr>
      <w:tr w:rsidR="0018646E" w14:paraId="17AACAA2" w14:textId="77777777" w:rsidTr="00421FA2">
        <w:tc>
          <w:tcPr>
            <w:tcW w:w="4673" w:type="dxa"/>
          </w:tcPr>
          <w:p w14:paraId="37639EDB" w14:textId="0A4AF478" w:rsidR="0018646E" w:rsidRPr="00421FA2" w:rsidRDefault="0018646E" w:rsidP="00624196">
            <w:pPr>
              <w:spacing w:after="0" w:line="240" w:lineRule="auto"/>
              <w:rPr>
                <w:b/>
                <w:vertAlign w:val="superscript"/>
              </w:rPr>
            </w:pPr>
            <w:r w:rsidRPr="00421FA2">
              <w:rPr>
                <w:b/>
              </w:rPr>
              <w:t>САД (мм рт. ст.)</w:t>
            </w:r>
            <w:r w:rsidRPr="00421FA2">
              <w:rPr>
                <w:b/>
                <w:vertAlign w:val="superscript"/>
              </w:rPr>
              <w:t>2</w:t>
            </w:r>
          </w:p>
        </w:tc>
        <w:tc>
          <w:tcPr>
            <w:tcW w:w="1559" w:type="dxa"/>
            <w:vAlign w:val="center"/>
          </w:tcPr>
          <w:p w14:paraId="03D1FCB9" w14:textId="77777777" w:rsidR="0018646E" w:rsidRDefault="0018646E" w:rsidP="00421FA2">
            <w:pPr>
              <w:spacing w:after="0" w:line="240" w:lineRule="auto"/>
              <w:jc w:val="center"/>
            </w:pPr>
          </w:p>
        </w:tc>
        <w:tc>
          <w:tcPr>
            <w:tcW w:w="1560" w:type="dxa"/>
            <w:vAlign w:val="center"/>
          </w:tcPr>
          <w:p w14:paraId="29D8EB6C" w14:textId="77777777" w:rsidR="0018646E" w:rsidRDefault="0018646E" w:rsidP="00421FA2">
            <w:pPr>
              <w:spacing w:after="0" w:line="240" w:lineRule="auto"/>
              <w:jc w:val="center"/>
            </w:pPr>
          </w:p>
        </w:tc>
        <w:tc>
          <w:tcPr>
            <w:tcW w:w="1552" w:type="dxa"/>
            <w:vAlign w:val="center"/>
          </w:tcPr>
          <w:p w14:paraId="01CC5A24" w14:textId="77777777" w:rsidR="0018646E" w:rsidRDefault="0018646E" w:rsidP="00421FA2">
            <w:pPr>
              <w:spacing w:after="0" w:line="240" w:lineRule="auto"/>
              <w:jc w:val="center"/>
            </w:pPr>
          </w:p>
        </w:tc>
      </w:tr>
      <w:tr w:rsidR="0020635D" w14:paraId="2AA8339F" w14:textId="77777777" w:rsidTr="00421FA2">
        <w:tc>
          <w:tcPr>
            <w:tcW w:w="4673" w:type="dxa"/>
          </w:tcPr>
          <w:p w14:paraId="0E2C5B22" w14:textId="107A1445" w:rsidR="0020635D" w:rsidRDefault="0020635D" w:rsidP="00421FA2">
            <w:pPr>
              <w:spacing w:after="0" w:line="240" w:lineRule="auto"/>
              <w:ind w:left="306"/>
            </w:pPr>
            <w:r>
              <w:t>Исходное значение (среднее)</w:t>
            </w:r>
          </w:p>
        </w:tc>
        <w:tc>
          <w:tcPr>
            <w:tcW w:w="1559" w:type="dxa"/>
            <w:vAlign w:val="center"/>
          </w:tcPr>
          <w:p w14:paraId="56B0ED42" w14:textId="75580AC9" w:rsidR="0020635D" w:rsidRDefault="001F23B5" w:rsidP="00421FA2">
            <w:pPr>
              <w:spacing w:after="0" w:line="240" w:lineRule="auto"/>
              <w:jc w:val="center"/>
            </w:pPr>
            <w:r>
              <w:t>128,6</w:t>
            </w:r>
          </w:p>
        </w:tc>
        <w:tc>
          <w:tcPr>
            <w:tcW w:w="1560" w:type="dxa"/>
            <w:vAlign w:val="center"/>
          </w:tcPr>
          <w:p w14:paraId="5C8AE8DF" w14:textId="252CE7AF" w:rsidR="0020635D" w:rsidRDefault="001F23B5" w:rsidP="00421FA2">
            <w:pPr>
              <w:spacing w:after="0" w:line="240" w:lineRule="auto"/>
              <w:jc w:val="center"/>
            </w:pPr>
            <w:r>
              <w:t>129,6</w:t>
            </w:r>
          </w:p>
        </w:tc>
        <w:tc>
          <w:tcPr>
            <w:tcW w:w="1552" w:type="dxa"/>
            <w:vAlign w:val="center"/>
          </w:tcPr>
          <w:p w14:paraId="5814A26E" w14:textId="0A576FBA" w:rsidR="0020635D" w:rsidRDefault="001F23B5" w:rsidP="00421FA2">
            <w:pPr>
              <w:spacing w:after="0" w:line="240" w:lineRule="auto"/>
              <w:jc w:val="center"/>
            </w:pPr>
            <w:r>
              <w:t>130,0</w:t>
            </w:r>
          </w:p>
        </w:tc>
      </w:tr>
      <w:tr w:rsidR="0020635D" w14:paraId="54E01604" w14:textId="77777777" w:rsidTr="00421FA2">
        <w:tc>
          <w:tcPr>
            <w:tcW w:w="4673" w:type="dxa"/>
          </w:tcPr>
          <w:p w14:paraId="11D1368D" w14:textId="36684E2B" w:rsidR="0020635D" w:rsidRDefault="0020635D" w:rsidP="00421FA2">
            <w:pPr>
              <w:spacing w:after="0" w:line="240" w:lineRule="auto"/>
              <w:ind w:left="306"/>
            </w:pPr>
            <w:r>
              <w:t>Изменение относительно исходного значения</w:t>
            </w:r>
            <w:r>
              <w:rPr>
                <w:vertAlign w:val="superscript"/>
              </w:rPr>
              <w:t>1</w:t>
            </w:r>
          </w:p>
        </w:tc>
        <w:tc>
          <w:tcPr>
            <w:tcW w:w="1559" w:type="dxa"/>
            <w:vAlign w:val="center"/>
          </w:tcPr>
          <w:p w14:paraId="22268642" w14:textId="1C76B220" w:rsidR="0020635D" w:rsidRDefault="001F23B5" w:rsidP="00421FA2">
            <w:pPr>
              <w:spacing w:after="0" w:line="240" w:lineRule="auto"/>
              <w:jc w:val="center"/>
            </w:pPr>
            <w:r>
              <w:t>-0,4</w:t>
            </w:r>
          </w:p>
        </w:tc>
        <w:tc>
          <w:tcPr>
            <w:tcW w:w="1560" w:type="dxa"/>
            <w:vAlign w:val="center"/>
          </w:tcPr>
          <w:p w14:paraId="3AF94CF2" w14:textId="1DE6DB2E" w:rsidR="0020635D" w:rsidRDefault="001F23B5" w:rsidP="00421FA2">
            <w:pPr>
              <w:spacing w:after="0" w:line="240" w:lineRule="auto"/>
              <w:jc w:val="center"/>
            </w:pPr>
            <w:r>
              <w:t>-4,5</w:t>
            </w:r>
          </w:p>
        </w:tc>
        <w:tc>
          <w:tcPr>
            <w:tcW w:w="1552" w:type="dxa"/>
            <w:vAlign w:val="center"/>
          </w:tcPr>
          <w:p w14:paraId="0909B7E2" w14:textId="13303F1E" w:rsidR="0020635D" w:rsidRDefault="001F23B5" w:rsidP="00421FA2">
            <w:pPr>
              <w:spacing w:after="0" w:line="240" w:lineRule="auto"/>
              <w:jc w:val="center"/>
            </w:pPr>
            <w:r>
              <w:t>-5,2</w:t>
            </w:r>
          </w:p>
        </w:tc>
      </w:tr>
      <w:tr w:rsidR="001F23B5" w14:paraId="78821833" w14:textId="77777777" w:rsidTr="00421FA2">
        <w:tc>
          <w:tcPr>
            <w:tcW w:w="4673" w:type="dxa"/>
          </w:tcPr>
          <w:p w14:paraId="26AD22CC" w14:textId="765353F7" w:rsidR="001F23B5" w:rsidRDefault="001F23B5" w:rsidP="00421FA2">
            <w:pPr>
              <w:spacing w:after="0" w:line="240" w:lineRule="auto"/>
              <w:ind w:left="306"/>
            </w:pPr>
            <w:r>
              <w:t>Различие с плацебо</w:t>
            </w:r>
            <w:r>
              <w:rPr>
                <w:vertAlign w:val="superscript"/>
              </w:rPr>
              <w:t>1</w:t>
            </w:r>
            <w:r>
              <w:rPr>
                <w:lang w:val="en-US"/>
              </w:rPr>
              <w:t xml:space="preserve"> (</w:t>
            </w:r>
            <w:r>
              <w:t>9</w:t>
            </w:r>
            <w:r>
              <w:rPr>
                <w:lang w:val="en-US"/>
              </w:rPr>
              <w:t xml:space="preserve">5% </w:t>
            </w:r>
            <w:r>
              <w:t>ДИ</w:t>
            </w:r>
            <w:r>
              <w:rPr>
                <w:lang w:val="en-US"/>
              </w:rPr>
              <w:t>)</w:t>
            </w:r>
          </w:p>
        </w:tc>
        <w:tc>
          <w:tcPr>
            <w:tcW w:w="1559" w:type="dxa"/>
            <w:vAlign w:val="center"/>
          </w:tcPr>
          <w:p w14:paraId="5B1CA4FB" w14:textId="77777777" w:rsidR="001F23B5" w:rsidRDefault="001F23B5" w:rsidP="00421FA2">
            <w:pPr>
              <w:spacing w:after="0" w:line="240" w:lineRule="auto"/>
              <w:jc w:val="center"/>
            </w:pPr>
          </w:p>
        </w:tc>
        <w:tc>
          <w:tcPr>
            <w:tcW w:w="1560" w:type="dxa"/>
            <w:vAlign w:val="center"/>
          </w:tcPr>
          <w:p w14:paraId="75F2000A" w14:textId="77777777" w:rsidR="00993180" w:rsidRDefault="001F23B5" w:rsidP="00421FA2">
            <w:pPr>
              <w:spacing w:after="0" w:line="240" w:lineRule="auto"/>
              <w:jc w:val="center"/>
            </w:pPr>
            <w:r>
              <w:t xml:space="preserve">-4,1* </w:t>
            </w:r>
          </w:p>
          <w:p w14:paraId="74F205DA" w14:textId="230E4822" w:rsidR="001F23B5" w:rsidRDefault="001F23B5" w:rsidP="00421FA2">
            <w:pPr>
              <w:spacing w:after="0" w:line="240" w:lineRule="auto"/>
              <w:jc w:val="center"/>
            </w:pPr>
            <w:r>
              <w:t>(-6,2; -2,1)</w:t>
            </w:r>
          </w:p>
        </w:tc>
        <w:tc>
          <w:tcPr>
            <w:tcW w:w="1552" w:type="dxa"/>
            <w:vAlign w:val="center"/>
          </w:tcPr>
          <w:p w14:paraId="1EB1A000" w14:textId="77777777" w:rsidR="00993180" w:rsidRDefault="001F23B5" w:rsidP="00421FA2">
            <w:pPr>
              <w:spacing w:after="0" w:line="240" w:lineRule="auto"/>
              <w:jc w:val="center"/>
            </w:pPr>
            <w:r>
              <w:t>-</w:t>
            </w:r>
            <w:r w:rsidR="00993180">
              <w:t>4,8</w:t>
            </w:r>
            <w:r>
              <w:t xml:space="preserve">* </w:t>
            </w:r>
          </w:p>
          <w:p w14:paraId="03D75FC7" w14:textId="79ED465F" w:rsidR="001F23B5" w:rsidRDefault="001F23B5" w:rsidP="00421FA2">
            <w:pPr>
              <w:spacing w:after="0" w:line="240" w:lineRule="auto"/>
              <w:jc w:val="center"/>
            </w:pPr>
            <w:r>
              <w:t>(-</w:t>
            </w:r>
            <w:r w:rsidR="00993180">
              <w:t>6,9</w:t>
            </w:r>
            <w:r>
              <w:t>; -</w:t>
            </w:r>
            <w:r w:rsidR="00993180">
              <w:t>2,7</w:t>
            </w:r>
            <w:r>
              <w:t>)</w:t>
            </w:r>
          </w:p>
        </w:tc>
      </w:tr>
      <w:tr w:rsidR="0020635D" w14:paraId="295E961D" w14:textId="77777777" w:rsidTr="00421FA2">
        <w:tc>
          <w:tcPr>
            <w:tcW w:w="9344" w:type="dxa"/>
            <w:gridSpan w:val="4"/>
            <w:shd w:val="clear" w:color="auto" w:fill="D9D9D9" w:themeFill="background1" w:themeFillShade="D9"/>
          </w:tcPr>
          <w:p w14:paraId="1C92088C" w14:textId="781D88C7" w:rsidR="0020635D" w:rsidRDefault="00F46B54" w:rsidP="00421FA2">
            <w:pPr>
              <w:spacing w:after="0" w:line="240" w:lineRule="auto"/>
              <w:jc w:val="center"/>
            </w:pPr>
            <w:r>
              <w:rPr>
                <w:b/>
              </w:rPr>
              <w:t>Дополнение к терапии метформином и сульфонилмочевиной</w:t>
            </w:r>
          </w:p>
        </w:tc>
      </w:tr>
      <w:tr w:rsidR="00F46B54" w14:paraId="4B9581E7" w14:textId="77777777" w:rsidTr="00421FA2">
        <w:tc>
          <w:tcPr>
            <w:tcW w:w="4673" w:type="dxa"/>
          </w:tcPr>
          <w:p w14:paraId="2CB1934E" w14:textId="4212C792" w:rsidR="00F46B54" w:rsidRDefault="00F46B54" w:rsidP="00F46B54">
            <w:pPr>
              <w:spacing w:after="0" w:line="240" w:lineRule="auto"/>
            </w:pPr>
            <w:r>
              <w:rPr>
                <w:lang w:val="en-US"/>
              </w:rPr>
              <w:t>N</w:t>
            </w:r>
          </w:p>
        </w:tc>
        <w:tc>
          <w:tcPr>
            <w:tcW w:w="1559" w:type="dxa"/>
          </w:tcPr>
          <w:p w14:paraId="336CD6BA" w14:textId="32241B2A" w:rsidR="00F46B54" w:rsidRDefault="00993180" w:rsidP="00421FA2">
            <w:pPr>
              <w:spacing w:after="0" w:line="240" w:lineRule="auto"/>
              <w:jc w:val="center"/>
            </w:pPr>
            <w:r>
              <w:t>225</w:t>
            </w:r>
          </w:p>
        </w:tc>
        <w:tc>
          <w:tcPr>
            <w:tcW w:w="1560" w:type="dxa"/>
          </w:tcPr>
          <w:p w14:paraId="71766AAB" w14:textId="18BEE1B8" w:rsidR="00F46B54" w:rsidRDefault="00993180" w:rsidP="00421FA2">
            <w:pPr>
              <w:spacing w:after="0" w:line="240" w:lineRule="auto"/>
              <w:jc w:val="center"/>
            </w:pPr>
            <w:r>
              <w:t>225</w:t>
            </w:r>
          </w:p>
        </w:tc>
        <w:tc>
          <w:tcPr>
            <w:tcW w:w="1552" w:type="dxa"/>
          </w:tcPr>
          <w:p w14:paraId="66E71ECD" w14:textId="5ED4F68C" w:rsidR="00F46B54" w:rsidRDefault="00993180" w:rsidP="00421FA2">
            <w:pPr>
              <w:spacing w:after="0" w:line="240" w:lineRule="auto"/>
              <w:jc w:val="center"/>
            </w:pPr>
            <w:r>
              <w:t>216</w:t>
            </w:r>
          </w:p>
        </w:tc>
      </w:tr>
      <w:tr w:rsidR="00993180" w14:paraId="64988B17" w14:textId="77777777" w:rsidTr="00993180">
        <w:tc>
          <w:tcPr>
            <w:tcW w:w="9344" w:type="dxa"/>
            <w:gridSpan w:val="4"/>
          </w:tcPr>
          <w:p w14:paraId="7B2F673D" w14:textId="0E2A6685" w:rsidR="00993180" w:rsidRDefault="00993180" w:rsidP="00F46B54">
            <w:pPr>
              <w:spacing w:after="0" w:line="240" w:lineRule="auto"/>
            </w:pPr>
            <w:r w:rsidRPr="000E436B">
              <w:rPr>
                <w:b/>
              </w:rPr>
              <w:t>HbA1c</w:t>
            </w:r>
            <w:r w:rsidRPr="000E436B">
              <w:rPr>
                <w:b/>
                <w:lang w:val="en-US"/>
              </w:rPr>
              <w:t xml:space="preserve"> (%)</w:t>
            </w:r>
          </w:p>
        </w:tc>
      </w:tr>
      <w:tr w:rsidR="00F46B54" w14:paraId="0493C32D" w14:textId="77777777" w:rsidTr="00421FA2">
        <w:tc>
          <w:tcPr>
            <w:tcW w:w="4673" w:type="dxa"/>
            <w:vAlign w:val="center"/>
          </w:tcPr>
          <w:p w14:paraId="4B1CDBFA" w14:textId="53315002" w:rsidR="00F46B54" w:rsidRDefault="00F46B54" w:rsidP="00421FA2">
            <w:pPr>
              <w:spacing w:after="0" w:line="240" w:lineRule="auto"/>
              <w:ind w:left="306"/>
            </w:pPr>
            <w:r>
              <w:t>Исходное значение (среднее)</w:t>
            </w:r>
          </w:p>
        </w:tc>
        <w:tc>
          <w:tcPr>
            <w:tcW w:w="1559" w:type="dxa"/>
          </w:tcPr>
          <w:p w14:paraId="2D2FF1DE" w14:textId="4C4C8BB9" w:rsidR="00F46B54" w:rsidRDefault="00993180" w:rsidP="00421FA2">
            <w:pPr>
              <w:spacing w:after="0" w:line="240" w:lineRule="auto"/>
              <w:jc w:val="center"/>
            </w:pPr>
            <w:r>
              <w:t>8,15</w:t>
            </w:r>
          </w:p>
        </w:tc>
        <w:tc>
          <w:tcPr>
            <w:tcW w:w="1560" w:type="dxa"/>
          </w:tcPr>
          <w:p w14:paraId="235EA8A4" w14:textId="6B7D319C" w:rsidR="00F46B54" w:rsidRDefault="00993180" w:rsidP="00421FA2">
            <w:pPr>
              <w:spacing w:after="0" w:line="240" w:lineRule="auto"/>
              <w:jc w:val="center"/>
            </w:pPr>
            <w:r>
              <w:t>8,07</w:t>
            </w:r>
          </w:p>
        </w:tc>
        <w:tc>
          <w:tcPr>
            <w:tcW w:w="1552" w:type="dxa"/>
          </w:tcPr>
          <w:p w14:paraId="01787100" w14:textId="79A83649" w:rsidR="00F46B54" w:rsidRDefault="00993180" w:rsidP="00421FA2">
            <w:pPr>
              <w:spacing w:after="0" w:line="240" w:lineRule="auto"/>
              <w:jc w:val="center"/>
            </w:pPr>
            <w:r>
              <w:t>8,10</w:t>
            </w:r>
          </w:p>
        </w:tc>
      </w:tr>
      <w:tr w:rsidR="00F46B54" w14:paraId="542C5BD7" w14:textId="77777777" w:rsidTr="00421FA2">
        <w:tc>
          <w:tcPr>
            <w:tcW w:w="4673" w:type="dxa"/>
            <w:vAlign w:val="center"/>
          </w:tcPr>
          <w:p w14:paraId="33B35557" w14:textId="25D733CC"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tcPr>
          <w:p w14:paraId="01DDAE3A" w14:textId="57EF8262" w:rsidR="00F46B54" w:rsidRDefault="00993180" w:rsidP="00421FA2">
            <w:pPr>
              <w:spacing w:after="0" w:line="240" w:lineRule="auto"/>
              <w:jc w:val="center"/>
            </w:pPr>
            <w:r>
              <w:t>-0,17</w:t>
            </w:r>
          </w:p>
        </w:tc>
        <w:tc>
          <w:tcPr>
            <w:tcW w:w="1560" w:type="dxa"/>
          </w:tcPr>
          <w:p w14:paraId="3071A36D" w14:textId="19FF6D51" w:rsidR="00F46B54" w:rsidRDefault="00993180" w:rsidP="00421FA2">
            <w:pPr>
              <w:spacing w:after="0" w:line="240" w:lineRule="auto"/>
              <w:jc w:val="center"/>
            </w:pPr>
            <w:r>
              <w:t>-0,82</w:t>
            </w:r>
          </w:p>
        </w:tc>
        <w:tc>
          <w:tcPr>
            <w:tcW w:w="1552" w:type="dxa"/>
          </w:tcPr>
          <w:p w14:paraId="12975F36" w14:textId="041798F2" w:rsidR="00F46B54" w:rsidRDefault="00993180" w:rsidP="00421FA2">
            <w:pPr>
              <w:spacing w:after="0" w:line="240" w:lineRule="auto"/>
              <w:jc w:val="center"/>
            </w:pPr>
            <w:r>
              <w:t>-0,77</w:t>
            </w:r>
          </w:p>
        </w:tc>
      </w:tr>
      <w:tr w:rsidR="00993180" w14:paraId="23B0AE75" w14:textId="77777777" w:rsidTr="00421FA2">
        <w:tc>
          <w:tcPr>
            <w:tcW w:w="4673" w:type="dxa"/>
            <w:vAlign w:val="center"/>
          </w:tcPr>
          <w:p w14:paraId="44CC38A9" w14:textId="4BEACF22" w:rsidR="00993180" w:rsidRDefault="00993180" w:rsidP="00421FA2">
            <w:pPr>
              <w:spacing w:after="0" w:line="240" w:lineRule="auto"/>
              <w:ind w:left="306"/>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tcPr>
          <w:p w14:paraId="69A67C9D" w14:textId="77777777" w:rsidR="00993180" w:rsidRDefault="00993180" w:rsidP="00421FA2">
            <w:pPr>
              <w:spacing w:after="0" w:line="240" w:lineRule="auto"/>
              <w:jc w:val="center"/>
            </w:pPr>
          </w:p>
        </w:tc>
        <w:tc>
          <w:tcPr>
            <w:tcW w:w="1560" w:type="dxa"/>
            <w:vAlign w:val="center"/>
          </w:tcPr>
          <w:p w14:paraId="071B2B94" w14:textId="2CCF8E0E" w:rsidR="00993180" w:rsidRDefault="00993180">
            <w:pPr>
              <w:spacing w:after="0" w:line="240" w:lineRule="auto"/>
              <w:jc w:val="center"/>
            </w:pPr>
            <w:r>
              <w:t>-0,64*</w:t>
            </w:r>
          </w:p>
          <w:p w14:paraId="33078F58" w14:textId="7E7103D1" w:rsidR="00993180" w:rsidRDefault="00993180" w:rsidP="00421FA2">
            <w:pPr>
              <w:spacing w:after="0" w:line="240" w:lineRule="auto"/>
              <w:jc w:val="center"/>
            </w:pPr>
            <w:r>
              <w:t>(-0,79; -0,49)</w:t>
            </w:r>
          </w:p>
        </w:tc>
        <w:tc>
          <w:tcPr>
            <w:tcW w:w="1552" w:type="dxa"/>
            <w:vAlign w:val="center"/>
          </w:tcPr>
          <w:p w14:paraId="5D0D72C1" w14:textId="3189699B" w:rsidR="00993180" w:rsidRDefault="00993180">
            <w:pPr>
              <w:spacing w:after="0" w:line="240" w:lineRule="auto"/>
              <w:jc w:val="center"/>
            </w:pPr>
            <w:r>
              <w:t>-0,59*</w:t>
            </w:r>
          </w:p>
          <w:p w14:paraId="4412E38F" w14:textId="7F07D2E3" w:rsidR="00993180" w:rsidRDefault="00993180" w:rsidP="00421FA2">
            <w:pPr>
              <w:spacing w:after="0" w:line="240" w:lineRule="auto"/>
              <w:jc w:val="center"/>
            </w:pPr>
            <w:r>
              <w:t>(-0,74; -0,44)</w:t>
            </w:r>
          </w:p>
        </w:tc>
      </w:tr>
      <w:tr w:rsidR="00F46B54" w14:paraId="3CF6F80C" w14:textId="77777777" w:rsidTr="00421FA2">
        <w:tc>
          <w:tcPr>
            <w:tcW w:w="4673" w:type="dxa"/>
            <w:vAlign w:val="center"/>
          </w:tcPr>
          <w:p w14:paraId="33B98B25" w14:textId="0A1923C5" w:rsidR="00F46B54" w:rsidRDefault="00F46B54" w:rsidP="00F46B54">
            <w:pPr>
              <w:spacing w:after="0" w:line="240" w:lineRule="auto"/>
            </w:pPr>
            <w:r>
              <w:rPr>
                <w:lang w:val="en-US"/>
              </w:rPr>
              <w:t>N</w:t>
            </w:r>
          </w:p>
        </w:tc>
        <w:tc>
          <w:tcPr>
            <w:tcW w:w="1559" w:type="dxa"/>
          </w:tcPr>
          <w:p w14:paraId="701BCF4C" w14:textId="6CC6F74A" w:rsidR="00F46B54" w:rsidRDefault="00993180" w:rsidP="00421FA2">
            <w:pPr>
              <w:spacing w:after="0" w:line="240" w:lineRule="auto"/>
              <w:jc w:val="center"/>
            </w:pPr>
            <w:r>
              <w:t>216</w:t>
            </w:r>
          </w:p>
        </w:tc>
        <w:tc>
          <w:tcPr>
            <w:tcW w:w="1560" w:type="dxa"/>
          </w:tcPr>
          <w:p w14:paraId="75EC9409" w14:textId="10F1F450" w:rsidR="00F46B54" w:rsidRDefault="00993180" w:rsidP="00421FA2">
            <w:pPr>
              <w:spacing w:after="0" w:line="240" w:lineRule="auto"/>
              <w:jc w:val="center"/>
            </w:pPr>
            <w:r>
              <w:t>209</w:t>
            </w:r>
          </w:p>
        </w:tc>
        <w:tc>
          <w:tcPr>
            <w:tcW w:w="1552" w:type="dxa"/>
          </w:tcPr>
          <w:p w14:paraId="0FF8202C" w14:textId="6FE03D59" w:rsidR="00F46B54" w:rsidRDefault="00993180" w:rsidP="00421FA2">
            <w:pPr>
              <w:spacing w:after="0" w:line="240" w:lineRule="auto"/>
              <w:jc w:val="center"/>
            </w:pPr>
            <w:r>
              <w:t>202</w:t>
            </w:r>
          </w:p>
        </w:tc>
      </w:tr>
      <w:tr w:rsidR="00F46B54" w14:paraId="134D30B8" w14:textId="77777777" w:rsidTr="00421FA2">
        <w:tc>
          <w:tcPr>
            <w:tcW w:w="4673" w:type="dxa"/>
            <w:vAlign w:val="center"/>
          </w:tcPr>
          <w:p w14:paraId="790A4951" w14:textId="017DFCEF" w:rsidR="00F46B54" w:rsidRDefault="00F46B54" w:rsidP="00F46B54">
            <w:pPr>
              <w:spacing w:after="0" w:line="240" w:lineRule="auto"/>
            </w:pPr>
            <w:r w:rsidRPr="000E436B">
              <w:rPr>
                <w:b/>
              </w:rPr>
              <w:t>Пациенты (%), достигшие HbA1c &lt;7%, у которых исходное значение HbA1c≥7%</w:t>
            </w:r>
            <w:r w:rsidRPr="000E436B">
              <w:rPr>
                <w:b/>
                <w:vertAlign w:val="superscript"/>
              </w:rPr>
              <w:t>2</w:t>
            </w:r>
          </w:p>
        </w:tc>
        <w:tc>
          <w:tcPr>
            <w:tcW w:w="1559" w:type="dxa"/>
          </w:tcPr>
          <w:p w14:paraId="1AAB979F" w14:textId="7EE3C352" w:rsidR="00F46B54" w:rsidRDefault="00993180" w:rsidP="00421FA2">
            <w:pPr>
              <w:spacing w:after="0" w:line="240" w:lineRule="auto"/>
              <w:jc w:val="center"/>
            </w:pPr>
            <w:r>
              <w:t>9,3</w:t>
            </w:r>
          </w:p>
        </w:tc>
        <w:tc>
          <w:tcPr>
            <w:tcW w:w="1560" w:type="dxa"/>
          </w:tcPr>
          <w:p w14:paraId="43E47784" w14:textId="2DDD4137" w:rsidR="00F46B54" w:rsidRDefault="00993180" w:rsidP="00421FA2">
            <w:pPr>
              <w:spacing w:after="0" w:line="240" w:lineRule="auto"/>
              <w:jc w:val="center"/>
            </w:pPr>
            <w:r>
              <w:t>26,3</w:t>
            </w:r>
          </w:p>
        </w:tc>
        <w:tc>
          <w:tcPr>
            <w:tcW w:w="1552" w:type="dxa"/>
          </w:tcPr>
          <w:p w14:paraId="2EC9EB1B" w14:textId="50EFAF37" w:rsidR="00F46B54" w:rsidRDefault="00993180" w:rsidP="00421FA2">
            <w:pPr>
              <w:spacing w:after="0" w:line="240" w:lineRule="auto"/>
              <w:jc w:val="center"/>
            </w:pPr>
            <w:r>
              <w:t>32,2</w:t>
            </w:r>
          </w:p>
        </w:tc>
      </w:tr>
      <w:tr w:rsidR="00993180" w14:paraId="0EE0E593" w14:textId="77777777" w:rsidTr="00421FA2">
        <w:tc>
          <w:tcPr>
            <w:tcW w:w="4673" w:type="dxa"/>
            <w:vAlign w:val="center"/>
          </w:tcPr>
          <w:p w14:paraId="1352C861" w14:textId="595D116C" w:rsidR="00993180" w:rsidRDefault="00993180" w:rsidP="00993180">
            <w:pPr>
              <w:spacing w:after="0" w:line="240" w:lineRule="auto"/>
            </w:pPr>
            <w:r>
              <w:rPr>
                <w:lang w:val="en-US"/>
              </w:rPr>
              <w:t>N</w:t>
            </w:r>
          </w:p>
        </w:tc>
        <w:tc>
          <w:tcPr>
            <w:tcW w:w="1559" w:type="dxa"/>
          </w:tcPr>
          <w:p w14:paraId="69DDFA4B" w14:textId="0068887E" w:rsidR="00993180" w:rsidRDefault="00993180" w:rsidP="00421FA2">
            <w:pPr>
              <w:spacing w:after="0" w:line="240" w:lineRule="auto"/>
              <w:jc w:val="center"/>
            </w:pPr>
            <w:r>
              <w:t>225</w:t>
            </w:r>
          </w:p>
        </w:tc>
        <w:tc>
          <w:tcPr>
            <w:tcW w:w="1560" w:type="dxa"/>
          </w:tcPr>
          <w:p w14:paraId="03D7ECE9" w14:textId="4548F023" w:rsidR="00993180" w:rsidRDefault="00993180" w:rsidP="00421FA2">
            <w:pPr>
              <w:spacing w:after="0" w:line="240" w:lineRule="auto"/>
              <w:jc w:val="center"/>
            </w:pPr>
            <w:r>
              <w:t>225</w:t>
            </w:r>
          </w:p>
        </w:tc>
        <w:tc>
          <w:tcPr>
            <w:tcW w:w="1552" w:type="dxa"/>
          </w:tcPr>
          <w:p w14:paraId="0DA85C12" w14:textId="1A31488F" w:rsidR="00993180" w:rsidRDefault="00993180" w:rsidP="00421FA2">
            <w:pPr>
              <w:spacing w:after="0" w:line="240" w:lineRule="auto"/>
              <w:jc w:val="center"/>
            </w:pPr>
            <w:r>
              <w:t>216</w:t>
            </w:r>
          </w:p>
        </w:tc>
      </w:tr>
      <w:tr w:rsidR="00993180" w14:paraId="50B3894A" w14:textId="77777777" w:rsidTr="00421FA2">
        <w:tc>
          <w:tcPr>
            <w:tcW w:w="9344" w:type="dxa"/>
            <w:gridSpan w:val="4"/>
            <w:vAlign w:val="center"/>
          </w:tcPr>
          <w:p w14:paraId="1EDAF346" w14:textId="1AF31D67" w:rsidR="00993180" w:rsidRDefault="00993180" w:rsidP="00F46B54">
            <w:pPr>
              <w:spacing w:after="0" w:line="240" w:lineRule="auto"/>
            </w:pPr>
            <w:r w:rsidRPr="000E436B">
              <w:rPr>
                <w:b/>
              </w:rPr>
              <w:t>Масса тела (кг)</w:t>
            </w:r>
          </w:p>
        </w:tc>
      </w:tr>
      <w:tr w:rsidR="00F46B54" w14:paraId="63ECF914" w14:textId="77777777" w:rsidTr="00421FA2">
        <w:tc>
          <w:tcPr>
            <w:tcW w:w="4673" w:type="dxa"/>
            <w:vAlign w:val="center"/>
          </w:tcPr>
          <w:p w14:paraId="12A6B2F4" w14:textId="55827227" w:rsidR="00F46B54" w:rsidRDefault="00F46B54" w:rsidP="00421FA2">
            <w:pPr>
              <w:spacing w:after="0" w:line="240" w:lineRule="auto"/>
              <w:ind w:left="306"/>
            </w:pPr>
            <w:r>
              <w:lastRenderedPageBreak/>
              <w:t>Исходное значение (среднее)</w:t>
            </w:r>
          </w:p>
        </w:tc>
        <w:tc>
          <w:tcPr>
            <w:tcW w:w="1559" w:type="dxa"/>
          </w:tcPr>
          <w:p w14:paraId="202BF0AB" w14:textId="5B38ABDF" w:rsidR="00F46B54" w:rsidRDefault="00993180" w:rsidP="00421FA2">
            <w:pPr>
              <w:spacing w:after="0" w:line="240" w:lineRule="auto"/>
              <w:jc w:val="center"/>
            </w:pPr>
            <w:r>
              <w:t>76,23</w:t>
            </w:r>
          </w:p>
        </w:tc>
        <w:tc>
          <w:tcPr>
            <w:tcW w:w="1560" w:type="dxa"/>
          </w:tcPr>
          <w:p w14:paraId="50BC822C" w14:textId="0C2B064E" w:rsidR="00F46B54" w:rsidRDefault="00993180" w:rsidP="00421FA2">
            <w:pPr>
              <w:spacing w:after="0" w:line="240" w:lineRule="auto"/>
              <w:jc w:val="center"/>
            </w:pPr>
            <w:r>
              <w:t>77,08</w:t>
            </w:r>
          </w:p>
        </w:tc>
        <w:tc>
          <w:tcPr>
            <w:tcW w:w="1552" w:type="dxa"/>
          </w:tcPr>
          <w:p w14:paraId="6ADAB8B5" w14:textId="5589E10D" w:rsidR="00F46B54" w:rsidRDefault="00993180" w:rsidP="00421FA2">
            <w:pPr>
              <w:spacing w:after="0" w:line="240" w:lineRule="auto"/>
              <w:jc w:val="center"/>
            </w:pPr>
            <w:r>
              <w:t>77,50</w:t>
            </w:r>
          </w:p>
        </w:tc>
      </w:tr>
      <w:tr w:rsidR="00F46B54" w14:paraId="6E9DE906" w14:textId="77777777" w:rsidTr="00421FA2">
        <w:tc>
          <w:tcPr>
            <w:tcW w:w="4673" w:type="dxa"/>
            <w:vAlign w:val="center"/>
          </w:tcPr>
          <w:p w14:paraId="151C61E3" w14:textId="0862345D"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tcPr>
          <w:p w14:paraId="7CE41156" w14:textId="7D88E79F" w:rsidR="00F46B54" w:rsidRDefault="00993180" w:rsidP="00421FA2">
            <w:pPr>
              <w:spacing w:after="0" w:line="240" w:lineRule="auto"/>
              <w:jc w:val="center"/>
            </w:pPr>
            <w:r>
              <w:t>-0,39</w:t>
            </w:r>
          </w:p>
        </w:tc>
        <w:tc>
          <w:tcPr>
            <w:tcW w:w="1560" w:type="dxa"/>
          </w:tcPr>
          <w:p w14:paraId="547A0235" w14:textId="712FE365" w:rsidR="00F46B54" w:rsidRDefault="00993180" w:rsidP="00421FA2">
            <w:pPr>
              <w:spacing w:after="0" w:line="240" w:lineRule="auto"/>
              <w:jc w:val="center"/>
            </w:pPr>
            <w:r>
              <w:t>-2,16</w:t>
            </w:r>
          </w:p>
        </w:tc>
        <w:tc>
          <w:tcPr>
            <w:tcW w:w="1552" w:type="dxa"/>
          </w:tcPr>
          <w:p w14:paraId="67B38FBB" w14:textId="0284EAD4" w:rsidR="00F46B54" w:rsidRDefault="00993180" w:rsidP="00421FA2">
            <w:pPr>
              <w:spacing w:after="0" w:line="240" w:lineRule="auto"/>
              <w:jc w:val="center"/>
            </w:pPr>
            <w:r>
              <w:t>-2,39</w:t>
            </w:r>
          </w:p>
        </w:tc>
      </w:tr>
      <w:tr w:rsidR="00993180" w14:paraId="36C56DBA" w14:textId="77777777" w:rsidTr="00421FA2">
        <w:tc>
          <w:tcPr>
            <w:tcW w:w="4673" w:type="dxa"/>
            <w:vAlign w:val="center"/>
          </w:tcPr>
          <w:p w14:paraId="3B018131" w14:textId="3A7F805E" w:rsidR="00993180" w:rsidRDefault="00993180" w:rsidP="00421FA2">
            <w:pPr>
              <w:spacing w:after="0" w:line="240" w:lineRule="auto"/>
              <w:ind w:left="306"/>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tcPr>
          <w:p w14:paraId="43C611F0" w14:textId="77777777" w:rsidR="00993180" w:rsidRDefault="00993180" w:rsidP="00421FA2">
            <w:pPr>
              <w:spacing w:after="0" w:line="240" w:lineRule="auto"/>
              <w:jc w:val="center"/>
            </w:pPr>
          </w:p>
        </w:tc>
        <w:tc>
          <w:tcPr>
            <w:tcW w:w="1560" w:type="dxa"/>
            <w:vAlign w:val="center"/>
          </w:tcPr>
          <w:p w14:paraId="762555D2" w14:textId="65FFE283" w:rsidR="00993180" w:rsidRDefault="00993180">
            <w:pPr>
              <w:spacing w:after="0" w:line="240" w:lineRule="auto"/>
              <w:jc w:val="center"/>
            </w:pPr>
            <w:r>
              <w:t>-0,64*</w:t>
            </w:r>
          </w:p>
          <w:p w14:paraId="20AAF590" w14:textId="115A4BB5" w:rsidR="00993180" w:rsidRDefault="00993180" w:rsidP="00421FA2">
            <w:pPr>
              <w:spacing w:after="0" w:line="240" w:lineRule="auto"/>
              <w:jc w:val="center"/>
            </w:pPr>
            <w:r>
              <w:t>(-0,79; -0,49)</w:t>
            </w:r>
          </w:p>
        </w:tc>
        <w:tc>
          <w:tcPr>
            <w:tcW w:w="1552" w:type="dxa"/>
            <w:vAlign w:val="center"/>
          </w:tcPr>
          <w:p w14:paraId="50172051" w14:textId="24A1B769" w:rsidR="00993180" w:rsidRDefault="00993180">
            <w:pPr>
              <w:spacing w:after="0" w:line="240" w:lineRule="auto"/>
              <w:jc w:val="center"/>
            </w:pPr>
            <w:r>
              <w:t>-0,59*</w:t>
            </w:r>
          </w:p>
          <w:p w14:paraId="599B52D4" w14:textId="223F9ACB" w:rsidR="00993180" w:rsidRDefault="00993180" w:rsidP="00421FA2">
            <w:pPr>
              <w:spacing w:after="0" w:line="240" w:lineRule="auto"/>
              <w:jc w:val="center"/>
            </w:pPr>
            <w:r>
              <w:t>(-0,74; -0,44)</w:t>
            </w:r>
          </w:p>
        </w:tc>
      </w:tr>
      <w:tr w:rsidR="00F46B54" w14:paraId="4CEFD8AB" w14:textId="77777777" w:rsidTr="00421FA2">
        <w:tc>
          <w:tcPr>
            <w:tcW w:w="4673" w:type="dxa"/>
          </w:tcPr>
          <w:p w14:paraId="4F0F42D3" w14:textId="486C72E9" w:rsidR="00F46B54" w:rsidRDefault="00F46B54" w:rsidP="00F46B54">
            <w:pPr>
              <w:spacing w:after="0" w:line="240" w:lineRule="auto"/>
            </w:pPr>
            <w:r>
              <w:rPr>
                <w:lang w:val="en-US"/>
              </w:rPr>
              <w:t>N</w:t>
            </w:r>
          </w:p>
        </w:tc>
        <w:tc>
          <w:tcPr>
            <w:tcW w:w="1559" w:type="dxa"/>
          </w:tcPr>
          <w:p w14:paraId="178372B8" w14:textId="4C2E2208" w:rsidR="00F46B54" w:rsidRDefault="00993180" w:rsidP="00421FA2">
            <w:pPr>
              <w:spacing w:after="0" w:line="240" w:lineRule="auto"/>
              <w:jc w:val="center"/>
            </w:pPr>
            <w:r>
              <w:t>225</w:t>
            </w:r>
          </w:p>
        </w:tc>
        <w:tc>
          <w:tcPr>
            <w:tcW w:w="1560" w:type="dxa"/>
          </w:tcPr>
          <w:p w14:paraId="28D4BD0F" w14:textId="2B1E012D" w:rsidR="00F46B54" w:rsidRDefault="00993180" w:rsidP="00421FA2">
            <w:pPr>
              <w:spacing w:after="0" w:line="240" w:lineRule="auto"/>
              <w:jc w:val="center"/>
            </w:pPr>
            <w:r>
              <w:t>225</w:t>
            </w:r>
          </w:p>
        </w:tc>
        <w:tc>
          <w:tcPr>
            <w:tcW w:w="1552" w:type="dxa"/>
          </w:tcPr>
          <w:p w14:paraId="0465B57B" w14:textId="0086B79B" w:rsidR="00F46B54" w:rsidRDefault="00993180" w:rsidP="00421FA2">
            <w:pPr>
              <w:spacing w:after="0" w:line="240" w:lineRule="auto"/>
              <w:jc w:val="center"/>
            </w:pPr>
            <w:r>
              <w:t>216</w:t>
            </w:r>
          </w:p>
        </w:tc>
      </w:tr>
      <w:tr w:rsidR="0020231D" w14:paraId="7934C70F" w14:textId="77777777" w:rsidTr="00DC32F1">
        <w:tc>
          <w:tcPr>
            <w:tcW w:w="9344" w:type="dxa"/>
            <w:gridSpan w:val="4"/>
          </w:tcPr>
          <w:p w14:paraId="263C7A83" w14:textId="714FE618" w:rsidR="0020231D" w:rsidRDefault="0020231D" w:rsidP="00F46B54">
            <w:pPr>
              <w:spacing w:after="0" w:line="240" w:lineRule="auto"/>
            </w:pPr>
            <w:r w:rsidRPr="000E436B">
              <w:rPr>
                <w:b/>
              </w:rPr>
              <w:t>САД (мм рт. ст.)</w:t>
            </w:r>
            <w:r w:rsidRPr="000E436B">
              <w:rPr>
                <w:b/>
                <w:vertAlign w:val="superscript"/>
              </w:rPr>
              <w:t>2</w:t>
            </w:r>
          </w:p>
        </w:tc>
      </w:tr>
      <w:tr w:rsidR="00F46B54" w14:paraId="507D6EE3" w14:textId="77777777" w:rsidTr="00421FA2">
        <w:tc>
          <w:tcPr>
            <w:tcW w:w="4673" w:type="dxa"/>
          </w:tcPr>
          <w:p w14:paraId="78C5719F" w14:textId="4EE21754" w:rsidR="00F46B54" w:rsidRDefault="00F46B54" w:rsidP="00421FA2">
            <w:pPr>
              <w:spacing w:after="0" w:line="240" w:lineRule="auto"/>
              <w:ind w:left="306"/>
            </w:pPr>
            <w:r>
              <w:t>Исходное значение (среднее)</w:t>
            </w:r>
          </w:p>
        </w:tc>
        <w:tc>
          <w:tcPr>
            <w:tcW w:w="1559" w:type="dxa"/>
            <w:vAlign w:val="center"/>
          </w:tcPr>
          <w:p w14:paraId="49A4E59C" w14:textId="04439E32" w:rsidR="00F46B54" w:rsidRDefault="00993180" w:rsidP="00421FA2">
            <w:pPr>
              <w:spacing w:after="0" w:line="240" w:lineRule="auto"/>
              <w:jc w:val="center"/>
            </w:pPr>
            <w:r>
              <w:t>128,8</w:t>
            </w:r>
          </w:p>
        </w:tc>
        <w:tc>
          <w:tcPr>
            <w:tcW w:w="1560" w:type="dxa"/>
            <w:vAlign w:val="center"/>
          </w:tcPr>
          <w:p w14:paraId="56096D75" w14:textId="4DADF57E" w:rsidR="00F46B54" w:rsidRDefault="00993180" w:rsidP="00421FA2">
            <w:pPr>
              <w:spacing w:after="0" w:line="240" w:lineRule="auto"/>
              <w:jc w:val="center"/>
            </w:pPr>
            <w:r>
              <w:t>128,7</w:t>
            </w:r>
          </w:p>
        </w:tc>
        <w:tc>
          <w:tcPr>
            <w:tcW w:w="1552" w:type="dxa"/>
            <w:vAlign w:val="center"/>
          </w:tcPr>
          <w:p w14:paraId="42B90EE6" w14:textId="1966A153" w:rsidR="00F46B54" w:rsidRDefault="00993180" w:rsidP="00421FA2">
            <w:pPr>
              <w:spacing w:after="0" w:line="240" w:lineRule="auto"/>
              <w:jc w:val="center"/>
            </w:pPr>
            <w:r>
              <w:t>129,3</w:t>
            </w:r>
          </w:p>
        </w:tc>
      </w:tr>
      <w:tr w:rsidR="00F46B54" w14:paraId="38831BC9" w14:textId="77777777" w:rsidTr="00421FA2">
        <w:tc>
          <w:tcPr>
            <w:tcW w:w="4673" w:type="dxa"/>
          </w:tcPr>
          <w:p w14:paraId="1502E79A" w14:textId="52A5DE63"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vAlign w:val="center"/>
          </w:tcPr>
          <w:p w14:paraId="2B7BB9D7" w14:textId="6A48C384" w:rsidR="00F46B54" w:rsidRDefault="00993180" w:rsidP="00421FA2">
            <w:pPr>
              <w:spacing w:after="0" w:line="240" w:lineRule="auto"/>
              <w:jc w:val="center"/>
            </w:pPr>
            <w:r>
              <w:t>-1,4</w:t>
            </w:r>
          </w:p>
        </w:tc>
        <w:tc>
          <w:tcPr>
            <w:tcW w:w="1560" w:type="dxa"/>
            <w:vAlign w:val="center"/>
          </w:tcPr>
          <w:p w14:paraId="44953E1A" w14:textId="29F4FD90" w:rsidR="00F46B54" w:rsidRDefault="00993180" w:rsidP="00421FA2">
            <w:pPr>
              <w:spacing w:after="0" w:line="240" w:lineRule="auto"/>
              <w:jc w:val="center"/>
            </w:pPr>
            <w:r>
              <w:t>-4,1</w:t>
            </w:r>
          </w:p>
        </w:tc>
        <w:tc>
          <w:tcPr>
            <w:tcW w:w="1552" w:type="dxa"/>
            <w:vAlign w:val="center"/>
          </w:tcPr>
          <w:p w14:paraId="2C7C52D9" w14:textId="3BBD809A" w:rsidR="00F46B54" w:rsidRDefault="00993180" w:rsidP="00421FA2">
            <w:pPr>
              <w:spacing w:after="0" w:line="240" w:lineRule="auto"/>
              <w:jc w:val="center"/>
            </w:pPr>
            <w:r>
              <w:t>-3,5</w:t>
            </w:r>
          </w:p>
        </w:tc>
      </w:tr>
      <w:tr w:rsidR="00F46B54" w14:paraId="2CD9F855" w14:textId="77777777" w:rsidTr="0020635D">
        <w:tc>
          <w:tcPr>
            <w:tcW w:w="4673" w:type="dxa"/>
          </w:tcPr>
          <w:p w14:paraId="18CDB667" w14:textId="265A6E9E" w:rsidR="00F46B54" w:rsidRDefault="00F46B54" w:rsidP="00421FA2">
            <w:pPr>
              <w:spacing w:after="0" w:line="240" w:lineRule="auto"/>
              <w:ind w:left="306"/>
            </w:pPr>
            <w:r>
              <w:t>Различие с плацебо</w:t>
            </w:r>
            <w:r>
              <w:rPr>
                <w:vertAlign w:val="superscript"/>
              </w:rPr>
              <w:t>1</w:t>
            </w:r>
            <w:r>
              <w:rPr>
                <w:lang w:val="en-US"/>
              </w:rPr>
              <w:t xml:space="preserve"> (95% </w:t>
            </w:r>
            <w:r>
              <w:t>ДИ</w:t>
            </w:r>
            <w:r>
              <w:rPr>
                <w:lang w:val="en-US"/>
              </w:rPr>
              <w:t>)</w:t>
            </w:r>
          </w:p>
        </w:tc>
        <w:tc>
          <w:tcPr>
            <w:tcW w:w="1559" w:type="dxa"/>
          </w:tcPr>
          <w:p w14:paraId="26DB52BA" w14:textId="77777777" w:rsidR="00F46B54" w:rsidRDefault="00F46B54" w:rsidP="00421FA2">
            <w:pPr>
              <w:spacing w:after="0" w:line="240" w:lineRule="auto"/>
              <w:jc w:val="center"/>
            </w:pPr>
          </w:p>
        </w:tc>
        <w:tc>
          <w:tcPr>
            <w:tcW w:w="1560" w:type="dxa"/>
          </w:tcPr>
          <w:p w14:paraId="45275CB8" w14:textId="1661A35D" w:rsidR="00A3218F" w:rsidRDefault="00993180" w:rsidP="00421FA2">
            <w:pPr>
              <w:spacing w:after="0" w:line="240" w:lineRule="auto"/>
              <w:jc w:val="center"/>
            </w:pPr>
            <w:r>
              <w:t>-2,7</w:t>
            </w:r>
          </w:p>
          <w:p w14:paraId="47018415" w14:textId="03253322" w:rsidR="00F46B54" w:rsidRDefault="00993180" w:rsidP="00421FA2">
            <w:pPr>
              <w:spacing w:after="0" w:line="240" w:lineRule="auto"/>
              <w:jc w:val="center"/>
            </w:pPr>
            <w:r>
              <w:t>(-4,6; -0,8)</w:t>
            </w:r>
          </w:p>
        </w:tc>
        <w:tc>
          <w:tcPr>
            <w:tcW w:w="1552" w:type="dxa"/>
          </w:tcPr>
          <w:p w14:paraId="4CADD196" w14:textId="3AC4E7C0" w:rsidR="00A3218F" w:rsidRDefault="00A3218F" w:rsidP="00421FA2">
            <w:pPr>
              <w:spacing w:after="0" w:line="240" w:lineRule="auto"/>
              <w:jc w:val="center"/>
            </w:pPr>
            <w:r>
              <w:t>-2,1</w:t>
            </w:r>
          </w:p>
          <w:p w14:paraId="203503A8" w14:textId="2BD2AFC5" w:rsidR="00F46B54" w:rsidRDefault="00A3218F" w:rsidP="00421FA2">
            <w:pPr>
              <w:spacing w:after="0" w:line="240" w:lineRule="auto"/>
              <w:jc w:val="center"/>
            </w:pPr>
            <w:r>
              <w:t>(-4,0; -0,2)</w:t>
            </w:r>
          </w:p>
        </w:tc>
      </w:tr>
      <w:tr w:rsidR="00F46B54" w14:paraId="4DAA7054" w14:textId="77777777" w:rsidTr="00421FA2">
        <w:tc>
          <w:tcPr>
            <w:tcW w:w="9344" w:type="dxa"/>
            <w:gridSpan w:val="4"/>
            <w:shd w:val="clear" w:color="auto" w:fill="D9D9D9" w:themeFill="background1" w:themeFillShade="D9"/>
          </w:tcPr>
          <w:p w14:paraId="1B05EEE4" w14:textId="0823ED5E" w:rsidR="00F46B54" w:rsidRDefault="00F46B54" w:rsidP="00421FA2">
            <w:pPr>
              <w:spacing w:after="0" w:line="240" w:lineRule="auto"/>
              <w:jc w:val="center"/>
            </w:pPr>
            <w:r>
              <w:rPr>
                <w:b/>
              </w:rPr>
              <w:t>Дополнение к терапии пиоглитазоном с или без метформина</w:t>
            </w:r>
          </w:p>
        </w:tc>
      </w:tr>
      <w:tr w:rsidR="00F46B54" w14:paraId="3A5F083A" w14:textId="77777777" w:rsidTr="0020635D">
        <w:tc>
          <w:tcPr>
            <w:tcW w:w="4673" w:type="dxa"/>
          </w:tcPr>
          <w:p w14:paraId="1EA415A4" w14:textId="3B0C7F6E" w:rsidR="00F46B54" w:rsidRDefault="00F46B54" w:rsidP="00F46B54">
            <w:pPr>
              <w:spacing w:after="0" w:line="240" w:lineRule="auto"/>
            </w:pPr>
            <w:r>
              <w:rPr>
                <w:lang w:val="en-US"/>
              </w:rPr>
              <w:t>N</w:t>
            </w:r>
          </w:p>
        </w:tc>
        <w:tc>
          <w:tcPr>
            <w:tcW w:w="1559" w:type="dxa"/>
          </w:tcPr>
          <w:p w14:paraId="17DF073A" w14:textId="6B944C5D" w:rsidR="00F46B54" w:rsidRDefault="00A3218F" w:rsidP="00421FA2">
            <w:pPr>
              <w:spacing w:after="0" w:line="240" w:lineRule="auto"/>
              <w:jc w:val="center"/>
            </w:pPr>
            <w:r>
              <w:t>165</w:t>
            </w:r>
          </w:p>
        </w:tc>
        <w:tc>
          <w:tcPr>
            <w:tcW w:w="1560" w:type="dxa"/>
          </w:tcPr>
          <w:p w14:paraId="6224FCF5" w14:textId="2437B378" w:rsidR="00F46B54" w:rsidRDefault="00A3218F" w:rsidP="00421FA2">
            <w:pPr>
              <w:spacing w:after="0" w:line="240" w:lineRule="auto"/>
              <w:jc w:val="center"/>
            </w:pPr>
            <w:r>
              <w:t>165</w:t>
            </w:r>
          </w:p>
        </w:tc>
        <w:tc>
          <w:tcPr>
            <w:tcW w:w="1552" w:type="dxa"/>
          </w:tcPr>
          <w:p w14:paraId="40092862" w14:textId="6CBEA88B" w:rsidR="00F46B54" w:rsidRDefault="00A3218F" w:rsidP="00421FA2">
            <w:pPr>
              <w:spacing w:after="0" w:line="240" w:lineRule="auto"/>
              <w:jc w:val="center"/>
            </w:pPr>
            <w:r>
              <w:t>168</w:t>
            </w:r>
          </w:p>
        </w:tc>
      </w:tr>
      <w:tr w:rsidR="00A3218F" w14:paraId="5766C4E8" w14:textId="77777777" w:rsidTr="00DC32F1">
        <w:tc>
          <w:tcPr>
            <w:tcW w:w="9344" w:type="dxa"/>
            <w:gridSpan w:val="4"/>
          </w:tcPr>
          <w:p w14:paraId="5754484E" w14:textId="086CB9E1" w:rsidR="00A3218F" w:rsidRDefault="00A3218F">
            <w:pPr>
              <w:spacing w:after="0" w:line="240" w:lineRule="auto"/>
            </w:pPr>
            <w:r w:rsidRPr="000E436B">
              <w:rPr>
                <w:b/>
              </w:rPr>
              <w:t>HbA1c</w:t>
            </w:r>
            <w:r w:rsidRPr="000E436B">
              <w:rPr>
                <w:b/>
                <w:lang w:val="en-US"/>
              </w:rPr>
              <w:t xml:space="preserve"> (%)</w:t>
            </w:r>
          </w:p>
        </w:tc>
      </w:tr>
      <w:tr w:rsidR="00F46B54" w14:paraId="6DBB4B59" w14:textId="77777777" w:rsidTr="00421FA2">
        <w:tc>
          <w:tcPr>
            <w:tcW w:w="4673" w:type="dxa"/>
            <w:vAlign w:val="center"/>
          </w:tcPr>
          <w:p w14:paraId="1C9CD9B1" w14:textId="254C55EF" w:rsidR="00F46B54" w:rsidRDefault="00F46B54" w:rsidP="00421FA2">
            <w:pPr>
              <w:spacing w:after="0" w:line="240" w:lineRule="auto"/>
              <w:ind w:left="306"/>
            </w:pPr>
            <w:r>
              <w:t>Исходное значение (среднее)</w:t>
            </w:r>
          </w:p>
        </w:tc>
        <w:tc>
          <w:tcPr>
            <w:tcW w:w="1559" w:type="dxa"/>
          </w:tcPr>
          <w:p w14:paraId="485813DF" w14:textId="5B968E42" w:rsidR="00F46B54" w:rsidRDefault="00A3218F" w:rsidP="00421FA2">
            <w:pPr>
              <w:spacing w:after="0" w:line="240" w:lineRule="auto"/>
              <w:jc w:val="center"/>
            </w:pPr>
            <w:r>
              <w:t>8,16</w:t>
            </w:r>
          </w:p>
        </w:tc>
        <w:tc>
          <w:tcPr>
            <w:tcW w:w="1560" w:type="dxa"/>
          </w:tcPr>
          <w:p w14:paraId="75FF312B" w14:textId="782B4AAF" w:rsidR="00F46B54" w:rsidRDefault="00A3218F" w:rsidP="00421FA2">
            <w:pPr>
              <w:spacing w:after="0" w:line="240" w:lineRule="auto"/>
              <w:jc w:val="center"/>
            </w:pPr>
            <w:r>
              <w:t>8,07</w:t>
            </w:r>
          </w:p>
        </w:tc>
        <w:tc>
          <w:tcPr>
            <w:tcW w:w="1552" w:type="dxa"/>
          </w:tcPr>
          <w:p w14:paraId="5A0E32AF" w14:textId="3751BB7B" w:rsidR="00F46B54" w:rsidRDefault="00A3218F" w:rsidP="00421FA2">
            <w:pPr>
              <w:spacing w:after="0" w:line="240" w:lineRule="auto"/>
              <w:jc w:val="center"/>
            </w:pPr>
            <w:r>
              <w:t>8,06</w:t>
            </w:r>
          </w:p>
        </w:tc>
      </w:tr>
      <w:tr w:rsidR="00F46B54" w14:paraId="372644BC" w14:textId="77777777" w:rsidTr="00421FA2">
        <w:tc>
          <w:tcPr>
            <w:tcW w:w="4673" w:type="dxa"/>
            <w:vAlign w:val="center"/>
          </w:tcPr>
          <w:p w14:paraId="45468520" w14:textId="7C89758E"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tcPr>
          <w:p w14:paraId="3D6DF6C4" w14:textId="0102A580" w:rsidR="00F46B54" w:rsidRDefault="00A3218F" w:rsidP="00421FA2">
            <w:pPr>
              <w:spacing w:after="0" w:line="240" w:lineRule="auto"/>
              <w:jc w:val="center"/>
            </w:pPr>
            <w:r>
              <w:t>-0,11</w:t>
            </w:r>
          </w:p>
        </w:tc>
        <w:tc>
          <w:tcPr>
            <w:tcW w:w="1560" w:type="dxa"/>
          </w:tcPr>
          <w:p w14:paraId="3EA08463" w14:textId="4944019A" w:rsidR="00F46B54" w:rsidRDefault="00A3218F" w:rsidP="00421FA2">
            <w:pPr>
              <w:spacing w:after="0" w:line="240" w:lineRule="auto"/>
              <w:jc w:val="center"/>
            </w:pPr>
            <w:r>
              <w:t>-0,59</w:t>
            </w:r>
          </w:p>
        </w:tc>
        <w:tc>
          <w:tcPr>
            <w:tcW w:w="1552" w:type="dxa"/>
          </w:tcPr>
          <w:p w14:paraId="2F0392DF" w14:textId="66A3958D" w:rsidR="00F46B54" w:rsidRDefault="00A3218F" w:rsidP="00421FA2">
            <w:pPr>
              <w:spacing w:after="0" w:line="240" w:lineRule="auto"/>
              <w:jc w:val="center"/>
            </w:pPr>
            <w:r>
              <w:t>-0,72</w:t>
            </w:r>
          </w:p>
        </w:tc>
      </w:tr>
      <w:tr w:rsidR="00A3218F" w14:paraId="51F9C474" w14:textId="77777777" w:rsidTr="00421FA2">
        <w:tc>
          <w:tcPr>
            <w:tcW w:w="4673" w:type="dxa"/>
            <w:vAlign w:val="center"/>
          </w:tcPr>
          <w:p w14:paraId="5227C453" w14:textId="406FD095" w:rsidR="00A3218F" w:rsidRDefault="00A3218F" w:rsidP="00421FA2">
            <w:pPr>
              <w:spacing w:after="0" w:line="240" w:lineRule="auto"/>
              <w:ind w:left="306"/>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tcPr>
          <w:p w14:paraId="5AA390CC" w14:textId="77777777" w:rsidR="00A3218F" w:rsidRDefault="00A3218F" w:rsidP="00421FA2">
            <w:pPr>
              <w:spacing w:after="0" w:line="240" w:lineRule="auto"/>
              <w:jc w:val="center"/>
            </w:pPr>
          </w:p>
        </w:tc>
        <w:tc>
          <w:tcPr>
            <w:tcW w:w="1560" w:type="dxa"/>
            <w:vAlign w:val="center"/>
          </w:tcPr>
          <w:p w14:paraId="4BF6A2FC" w14:textId="750F954B" w:rsidR="00A3218F" w:rsidRDefault="00A3218F" w:rsidP="00A3218F">
            <w:pPr>
              <w:spacing w:after="0" w:line="240" w:lineRule="auto"/>
              <w:jc w:val="center"/>
            </w:pPr>
            <w:r>
              <w:t>-0,48*</w:t>
            </w:r>
          </w:p>
          <w:p w14:paraId="4FF6CA7C" w14:textId="1858FF04" w:rsidR="00A3218F" w:rsidRDefault="00A3218F" w:rsidP="00421FA2">
            <w:pPr>
              <w:spacing w:after="0" w:line="240" w:lineRule="auto"/>
              <w:jc w:val="center"/>
            </w:pPr>
            <w:r>
              <w:t>(-0,69; -0,27)</w:t>
            </w:r>
          </w:p>
        </w:tc>
        <w:tc>
          <w:tcPr>
            <w:tcW w:w="1552" w:type="dxa"/>
            <w:vAlign w:val="center"/>
          </w:tcPr>
          <w:p w14:paraId="1967C9FE" w14:textId="5804AD62" w:rsidR="00A3218F" w:rsidRDefault="00A3218F" w:rsidP="00A3218F">
            <w:pPr>
              <w:spacing w:after="0" w:line="240" w:lineRule="auto"/>
              <w:jc w:val="center"/>
            </w:pPr>
            <w:r>
              <w:t>-0,61*</w:t>
            </w:r>
          </w:p>
          <w:p w14:paraId="49C2D1DC" w14:textId="6980CC2A" w:rsidR="00A3218F" w:rsidRDefault="00A3218F" w:rsidP="00421FA2">
            <w:pPr>
              <w:spacing w:after="0" w:line="240" w:lineRule="auto"/>
              <w:jc w:val="center"/>
            </w:pPr>
            <w:r>
              <w:t>(-0,82; -0,40)</w:t>
            </w:r>
          </w:p>
        </w:tc>
      </w:tr>
      <w:tr w:rsidR="00F46B54" w14:paraId="41D7EA2F" w14:textId="77777777" w:rsidTr="00421FA2">
        <w:tc>
          <w:tcPr>
            <w:tcW w:w="4673" w:type="dxa"/>
            <w:vAlign w:val="center"/>
          </w:tcPr>
          <w:p w14:paraId="75F286AE" w14:textId="1CA1B1AF" w:rsidR="00F46B54" w:rsidRDefault="00F46B54" w:rsidP="00F46B54">
            <w:pPr>
              <w:spacing w:after="0" w:line="240" w:lineRule="auto"/>
            </w:pPr>
            <w:r>
              <w:rPr>
                <w:lang w:val="en-US"/>
              </w:rPr>
              <w:t>N</w:t>
            </w:r>
          </w:p>
        </w:tc>
        <w:tc>
          <w:tcPr>
            <w:tcW w:w="1559" w:type="dxa"/>
            <w:vAlign w:val="center"/>
          </w:tcPr>
          <w:p w14:paraId="7425BAAB" w14:textId="692E7DE7" w:rsidR="00F46B54" w:rsidRDefault="00A3218F" w:rsidP="00421FA2">
            <w:pPr>
              <w:spacing w:after="0" w:line="240" w:lineRule="auto"/>
              <w:jc w:val="center"/>
            </w:pPr>
            <w:r>
              <w:t>155</w:t>
            </w:r>
          </w:p>
        </w:tc>
        <w:tc>
          <w:tcPr>
            <w:tcW w:w="1560" w:type="dxa"/>
            <w:vAlign w:val="center"/>
          </w:tcPr>
          <w:p w14:paraId="66771CE4" w14:textId="7FD1CFED" w:rsidR="00F46B54" w:rsidRDefault="00A3218F" w:rsidP="00421FA2">
            <w:pPr>
              <w:spacing w:after="0" w:line="240" w:lineRule="auto"/>
              <w:jc w:val="center"/>
            </w:pPr>
            <w:r>
              <w:t>151</w:t>
            </w:r>
          </w:p>
        </w:tc>
        <w:tc>
          <w:tcPr>
            <w:tcW w:w="1552" w:type="dxa"/>
            <w:vAlign w:val="center"/>
          </w:tcPr>
          <w:p w14:paraId="029C50E4" w14:textId="09714AC6" w:rsidR="00F46B54" w:rsidRDefault="00A3218F" w:rsidP="00421FA2">
            <w:pPr>
              <w:spacing w:after="0" w:line="240" w:lineRule="auto"/>
              <w:jc w:val="center"/>
            </w:pPr>
            <w:r>
              <w:t>160</w:t>
            </w:r>
          </w:p>
        </w:tc>
      </w:tr>
      <w:tr w:rsidR="00F46B54" w14:paraId="12D4A99D" w14:textId="77777777" w:rsidTr="00421FA2">
        <w:tc>
          <w:tcPr>
            <w:tcW w:w="4673" w:type="dxa"/>
            <w:vAlign w:val="center"/>
          </w:tcPr>
          <w:p w14:paraId="133FDF20" w14:textId="022A39FB" w:rsidR="00F46B54" w:rsidRDefault="00F46B54" w:rsidP="00F46B54">
            <w:pPr>
              <w:spacing w:after="0" w:line="240" w:lineRule="auto"/>
            </w:pPr>
            <w:r w:rsidRPr="000E436B">
              <w:rPr>
                <w:b/>
              </w:rPr>
              <w:t>Пациенты (%), достигшие HbA1c &lt;7%, у которых исходное значение HbA1c≥7%</w:t>
            </w:r>
            <w:r w:rsidRPr="000E436B">
              <w:rPr>
                <w:b/>
                <w:vertAlign w:val="superscript"/>
              </w:rPr>
              <w:t>2</w:t>
            </w:r>
          </w:p>
        </w:tc>
        <w:tc>
          <w:tcPr>
            <w:tcW w:w="1559" w:type="dxa"/>
            <w:vAlign w:val="center"/>
          </w:tcPr>
          <w:p w14:paraId="145F9523" w14:textId="1D8B8B94" w:rsidR="00F46B54" w:rsidRDefault="00A3218F" w:rsidP="00421FA2">
            <w:pPr>
              <w:spacing w:after="0" w:line="240" w:lineRule="auto"/>
              <w:jc w:val="center"/>
            </w:pPr>
            <w:r>
              <w:t>7,7</w:t>
            </w:r>
          </w:p>
        </w:tc>
        <w:tc>
          <w:tcPr>
            <w:tcW w:w="1560" w:type="dxa"/>
            <w:vAlign w:val="center"/>
          </w:tcPr>
          <w:p w14:paraId="31E91045" w14:textId="5E309EAA" w:rsidR="00F46B54" w:rsidRDefault="00A3218F" w:rsidP="00421FA2">
            <w:pPr>
              <w:spacing w:after="0" w:line="240" w:lineRule="auto"/>
              <w:jc w:val="center"/>
            </w:pPr>
            <w:r>
              <w:t>24</w:t>
            </w:r>
          </w:p>
        </w:tc>
        <w:tc>
          <w:tcPr>
            <w:tcW w:w="1552" w:type="dxa"/>
            <w:vAlign w:val="center"/>
          </w:tcPr>
          <w:p w14:paraId="5521F584" w14:textId="6345047B" w:rsidR="00F46B54" w:rsidRDefault="00A3218F" w:rsidP="00421FA2">
            <w:pPr>
              <w:spacing w:after="0" w:line="240" w:lineRule="auto"/>
              <w:jc w:val="center"/>
            </w:pPr>
            <w:r>
              <w:t>30</w:t>
            </w:r>
          </w:p>
        </w:tc>
      </w:tr>
      <w:tr w:rsidR="00F46B54" w14:paraId="6117876C" w14:textId="77777777" w:rsidTr="00421FA2">
        <w:tc>
          <w:tcPr>
            <w:tcW w:w="4673" w:type="dxa"/>
            <w:vAlign w:val="center"/>
          </w:tcPr>
          <w:p w14:paraId="037BABA7" w14:textId="28FEF687" w:rsidR="00F46B54" w:rsidRDefault="00F46B54" w:rsidP="00F46B54">
            <w:pPr>
              <w:spacing w:after="0" w:line="240" w:lineRule="auto"/>
            </w:pPr>
            <w:r>
              <w:rPr>
                <w:lang w:val="en-US"/>
              </w:rPr>
              <w:t>N</w:t>
            </w:r>
          </w:p>
        </w:tc>
        <w:tc>
          <w:tcPr>
            <w:tcW w:w="1559" w:type="dxa"/>
            <w:vAlign w:val="center"/>
          </w:tcPr>
          <w:p w14:paraId="3A74E150" w14:textId="27B0C609" w:rsidR="00F46B54" w:rsidRDefault="00A3218F" w:rsidP="00421FA2">
            <w:pPr>
              <w:spacing w:after="0" w:line="240" w:lineRule="auto"/>
              <w:jc w:val="center"/>
            </w:pPr>
            <w:r>
              <w:t>165</w:t>
            </w:r>
          </w:p>
        </w:tc>
        <w:tc>
          <w:tcPr>
            <w:tcW w:w="1560" w:type="dxa"/>
            <w:vAlign w:val="center"/>
          </w:tcPr>
          <w:p w14:paraId="30F48405" w14:textId="6BF9C52E" w:rsidR="00F46B54" w:rsidRDefault="00A3218F" w:rsidP="00421FA2">
            <w:pPr>
              <w:spacing w:after="0" w:line="240" w:lineRule="auto"/>
              <w:jc w:val="center"/>
            </w:pPr>
            <w:r>
              <w:t>165</w:t>
            </w:r>
          </w:p>
        </w:tc>
        <w:tc>
          <w:tcPr>
            <w:tcW w:w="1552" w:type="dxa"/>
            <w:vAlign w:val="center"/>
          </w:tcPr>
          <w:p w14:paraId="2F797202" w14:textId="646D4C83" w:rsidR="00F46B54" w:rsidRDefault="00A3218F" w:rsidP="00421FA2">
            <w:pPr>
              <w:spacing w:after="0" w:line="240" w:lineRule="auto"/>
              <w:jc w:val="center"/>
            </w:pPr>
            <w:r>
              <w:t>168</w:t>
            </w:r>
          </w:p>
        </w:tc>
      </w:tr>
      <w:tr w:rsidR="00A3218F" w14:paraId="212964A9" w14:textId="77777777" w:rsidTr="00421FA2">
        <w:tc>
          <w:tcPr>
            <w:tcW w:w="9344" w:type="dxa"/>
            <w:gridSpan w:val="4"/>
            <w:vAlign w:val="center"/>
          </w:tcPr>
          <w:p w14:paraId="29B50910" w14:textId="7C5E4305" w:rsidR="00A3218F" w:rsidRDefault="00A3218F">
            <w:pPr>
              <w:spacing w:after="0" w:line="240" w:lineRule="auto"/>
            </w:pPr>
            <w:r w:rsidRPr="000E436B">
              <w:rPr>
                <w:b/>
              </w:rPr>
              <w:t>Масса тела (кг)</w:t>
            </w:r>
          </w:p>
        </w:tc>
      </w:tr>
      <w:tr w:rsidR="00F46B54" w14:paraId="5C26CE8F" w14:textId="77777777" w:rsidTr="00421FA2">
        <w:tc>
          <w:tcPr>
            <w:tcW w:w="4673" w:type="dxa"/>
            <w:vAlign w:val="center"/>
          </w:tcPr>
          <w:p w14:paraId="4C076390" w14:textId="4FC54CA7" w:rsidR="00F46B54" w:rsidRDefault="00F46B54" w:rsidP="00421FA2">
            <w:pPr>
              <w:spacing w:after="0" w:line="240" w:lineRule="auto"/>
              <w:ind w:left="306"/>
            </w:pPr>
            <w:r>
              <w:t>Исходное значение (среднее)</w:t>
            </w:r>
          </w:p>
        </w:tc>
        <w:tc>
          <w:tcPr>
            <w:tcW w:w="1559" w:type="dxa"/>
            <w:vAlign w:val="center"/>
          </w:tcPr>
          <w:p w14:paraId="52835FAE" w14:textId="7644DBF2" w:rsidR="00F46B54" w:rsidRDefault="00A4776F" w:rsidP="00421FA2">
            <w:pPr>
              <w:spacing w:after="0" w:line="240" w:lineRule="auto"/>
              <w:jc w:val="center"/>
            </w:pPr>
            <w:r>
              <w:t>78,1</w:t>
            </w:r>
          </w:p>
        </w:tc>
        <w:tc>
          <w:tcPr>
            <w:tcW w:w="1560" w:type="dxa"/>
            <w:vAlign w:val="center"/>
          </w:tcPr>
          <w:p w14:paraId="14FA8449" w14:textId="5C3CFD1C" w:rsidR="00F46B54" w:rsidRDefault="00A4776F" w:rsidP="00421FA2">
            <w:pPr>
              <w:spacing w:after="0" w:line="240" w:lineRule="auto"/>
              <w:jc w:val="center"/>
            </w:pPr>
            <w:r>
              <w:t>77,97</w:t>
            </w:r>
          </w:p>
        </w:tc>
        <w:tc>
          <w:tcPr>
            <w:tcW w:w="1552" w:type="dxa"/>
            <w:vAlign w:val="center"/>
          </w:tcPr>
          <w:p w14:paraId="69B19179" w14:textId="6D3ADDDA" w:rsidR="00F46B54" w:rsidRDefault="00A4776F" w:rsidP="00421FA2">
            <w:pPr>
              <w:spacing w:after="0" w:line="240" w:lineRule="auto"/>
              <w:jc w:val="center"/>
            </w:pPr>
            <w:r>
              <w:t>78,93</w:t>
            </w:r>
          </w:p>
        </w:tc>
      </w:tr>
      <w:tr w:rsidR="00F46B54" w14:paraId="2117C2B6" w14:textId="77777777" w:rsidTr="00421FA2">
        <w:tc>
          <w:tcPr>
            <w:tcW w:w="4673" w:type="dxa"/>
            <w:vAlign w:val="center"/>
          </w:tcPr>
          <w:p w14:paraId="57CF2A9A" w14:textId="5F1A8F3D"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vAlign w:val="center"/>
          </w:tcPr>
          <w:p w14:paraId="41A229F1" w14:textId="31E6E50B" w:rsidR="00F46B54" w:rsidRDefault="00A4776F" w:rsidP="00421FA2">
            <w:pPr>
              <w:spacing w:after="0" w:line="240" w:lineRule="auto"/>
              <w:jc w:val="center"/>
            </w:pPr>
            <w:r>
              <w:t>0,34</w:t>
            </w:r>
          </w:p>
        </w:tc>
        <w:tc>
          <w:tcPr>
            <w:tcW w:w="1560" w:type="dxa"/>
            <w:vAlign w:val="center"/>
          </w:tcPr>
          <w:p w14:paraId="052FCDC8" w14:textId="42B754D8" w:rsidR="00F46B54" w:rsidRDefault="00A4776F" w:rsidP="00421FA2">
            <w:pPr>
              <w:spacing w:after="0" w:line="240" w:lineRule="auto"/>
              <w:jc w:val="center"/>
            </w:pPr>
            <w:r>
              <w:t>-1,62</w:t>
            </w:r>
          </w:p>
        </w:tc>
        <w:tc>
          <w:tcPr>
            <w:tcW w:w="1552" w:type="dxa"/>
            <w:vAlign w:val="center"/>
          </w:tcPr>
          <w:p w14:paraId="15F63339" w14:textId="5B6D9EE0" w:rsidR="00F46B54" w:rsidRDefault="00A4776F" w:rsidP="00421FA2">
            <w:pPr>
              <w:spacing w:after="0" w:line="240" w:lineRule="auto"/>
              <w:jc w:val="center"/>
            </w:pPr>
            <w:r>
              <w:t>-1,47</w:t>
            </w:r>
          </w:p>
        </w:tc>
      </w:tr>
      <w:tr w:rsidR="00A4776F" w14:paraId="17B61221" w14:textId="77777777" w:rsidTr="00421FA2">
        <w:tc>
          <w:tcPr>
            <w:tcW w:w="4673" w:type="dxa"/>
            <w:vAlign w:val="center"/>
          </w:tcPr>
          <w:p w14:paraId="4D364D90" w14:textId="18F5F892" w:rsidR="00A4776F" w:rsidRDefault="00A4776F" w:rsidP="00421FA2">
            <w:pPr>
              <w:spacing w:after="0" w:line="240" w:lineRule="auto"/>
              <w:ind w:left="306"/>
            </w:pPr>
            <w:r>
              <w:t>Различие с плацебо</w:t>
            </w:r>
            <w:r>
              <w:rPr>
                <w:vertAlign w:val="superscript"/>
              </w:rPr>
              <w:t>1</w:t>
            </w:r>
            <w:r>
              <w:rPr>
                <w:lang w:val="en-US"/>
              </w:rPr>
              <w:t xml:space="preserve"> (97</w:t>
            </w:r>
            <w:r>
              <w:t>,</w:t>
            </w:r>
            <w:r>
              <w:rPr>
                <w:lang w:val="en-US"/>
              </w:rPr>
              <w:t xml:space="preserve">5% </w:t>
            </w:r>
            <w:r>
              <w:t>ДИ</w:t>
            </w:r>
            <w:r>
              <w:rPr>
                <w:lang w:val="en-US"/>
              </w:rPr>
              <w:t>)</w:t>
            </w:r>
          </w:p>
        </w:tc>
        <w:tc>
          <w:tcPr>
            <w:tcW w:w="1559" w:type="dxa"/>
            <w:vAlign w:val="center"/>
          </w:tcPr>
          <w:p w14:paraId="374A710B" w14:textId="77777777" w:rsidR="00A4776F" w:rsidRDefault="00A4776F" w:rsidP="00421FA2">
            <w:pPr>
              <w:spacing w:after="0" w:line="240" w:lineRule="auto"/>
              <w:jc w:val="center"/>
            </w:pPr>
          </w:p>
        </w:tc>
        <w:tc>
          <w:tcPr>
            <w:tcW w:w="1560" w:type="dxa"/>
            <w:vAlign w:val="center"/>
          </w:tcPr>
          <w:p w14:paraId="51AD1B4D" w14:textId="168D2B0E" w:rsidR="00A4776F" w:rsidRDefault="00A4776F" w:rsidP="00A4776F">
            <w:pPr>
              <w:spacing w:after="0" w:line="240" w:lineRule="auto"/>
              <w:jc w:val="center"/>
            </w:pPr>
            <w:r>
              <w:t>-1,95*</w:t>
            </w:r>
          </w:p>
          <w:p w14:paraId="3DDF83C5" w14:textId="1793ACC5" w:rsidR="00A4776F" w:rsidRDefault="00A4776F" w:rsidP="00421FA2">
            <w:pPr>
              <w:spacing w:after="0" w:line="240" w:lineRule="auto"/>
              <w:jc w:val="center"/>
            </w:pPr>
            <w:r>
              <w:t>(-2,64; -1,27)</w:t>
            </w:r>
          </w:p>
        </w:tc>
        <w:tc>
          <w:tcPr>
            <w:tcW w:w="1552" w:type="dxa"/>
            <w:vAlign w:val="center"/>
          </w:tcPr>
          <w:p w14:paraId="23821386" w14:textId="61D019F6" w:rsidR="00A4776F" w:rsidRDefault="00A4776F" w:rsidP="00A4776F">
            <w:pPr>
              <w:spacing w:after="0" w:line="240" w:lineRule="auto"/>
              <w:jc w:val="center"/>
            </w:pPr>
            <w:r>
              <w:t>-1,81*</w:t>
            </w:r>
          </w:p>
          <w:p w14:paraId="42CEEF10" w14:textId="378E5BF5" w:rsidR="00A4776F" w:rsidRDefault="00A4776F" w:rsidP="00421FA2">
            <w:pPr>
              <w:spacing w:after="0" w:line="240" w:lineRule="auto"/>
              <w:jc w:val="center"/>
            </w:pPr>
            <w:r>
              <w:t>(-2,49; -1,13)</w:t>
            </w:r>
          </w:p>
        </w:tc>
      </w:tr>
      <w:tr w:rsidR="00F46B54" w14:paraId="20540944" w14:textId="77777777" w:rsidTr="00421FA2">
        <w:tc>
          <w:tcPr>
            <w:tcW w:w="4673" w:type="dxa"/>
            <w:vAlign w:val="center"/>
          </w:tcPr>
          <w:p w14:paraId="3EE2433F" w14:textId="2F4DB19C" w:rsidR="00F46B54" w:rsidRDefault="00F46B54" w:rsidP="00F46B54">
            <w:pPr>
              <w:spacing w:after="0" w:line="240" w:lineRule="auto"/>
            </w:pPr>
            <w:r>
              <w:rPr>
                <w:lang w:val="en-US"/>
              </w:rPr>
              <w:t>N</w:t>
            </w:r>
          </w:p>
        </w:tc>
        <w:tc>
          <w:tcPr>
            <w:tcW w:w="1559" w:type="dxa"/>
            <w:vAlign w:val="center"/>
          </w:tcPr>
          <w:p w14:paraId="093A97C4" w14:textId="2AFC251D" w:rsidR="00F46B54" w:rsidRDefault="0020231D" w:rsidP="00421FA2">
            <w:pPr>
              <w:spacing w:after="0" w:line="240" w:lineRule="auto"/>
              <w:jc w:val="center"/>
            </w:pPr>
            <w:r>
              <w:t>165</w:t>
            </w:r>
          </w:p>
        </w:tc>
        <w:tc>
          <w:tcPr>
            <w:tcW w:w="1560" w:type="dxa"/>
            <w:vAlign w:val="center"/>
          </w:tcPr>
          <w:p w14:paraId="27DCDF72" w14:textId="165E0A2E" w:rsidR="00F46B54" w:rsidRDefault="0020231D" w:rsidP="00421FA2">
            <w:pPr>
              <w:spacing w:after="0" w:line="240" w:lineRule="auto"/>
              <w:jc w:val="center"/>
            </w:pPr>
            <w:r>
              <w:t>165</w:t>
            </w:r>
          </w:p>
        </w:tc>
        <w:tc>
          <w:tcPr>
            <w:tcW w:w="1552" w:type="dxa"/>
            <w:vAlign w:val="center"/>
          </w:tcPr>
          <w:p w14:paraId="5F74D674" w14:textId="3FE31F5F" w:rsidR="00F46B54" w:rsidRDefault="0020231D" w:rsidP="00421FA2">
            <w:pPr>
              <w:spacing w:after="0" w:line="240" w:lineRule="auto"/>
              <w:jc w:val="center"/>
            </w:pPr>
            <w:r>
              <w:t>168</w:t>
            </w:r>
          </w:p>
        </w:tc>
      </w:tr>
      <w:tr w:rsidR="0020231D" w14:paraId="4BC612CA" w14:textId="77777777" w:rsidTr="00421FA2">
        <w:tc>
          <w:tcPr>
            <w:tcW w:w="9344" w:type="dxa"/>
            <w:gridSpan w:val="4"/>
            <w:vAlign w:val="center"/>
          </w:tcPr>
          <w:p w14:paraId="5B8300E4" w14:textId="68C87A4B" w:rsidR="0020231D" w:rsidRDefault="0020231D">
            <w:pPr>
              <w:spacing w:after="0" w:line="240" w:lineRule="auto"/>
            </w:pPr>
            <w:r w:rsidRPr="000E436B">
              <w:rPr>
                <w:b/>
              </w:rPr>
              <w:t>САД (мм рт. ст.)</w:t>
            </w:r>
            <w:r>
              <w:rPr>
                <w:b/>
                <w:vertAlign w:val="superscript"/>
              </w:rPr>
              <w:t>3</w:t>
            </w:r>
          </w:p>
        </w:tc>
      </w:tr>
      <w:tr w:rsidR="00F46B54" w14:paraId="66104494" w14:textId="77777777" w:rsidTr="00421FA2">
        <w:tc>
          <w:tcPr>
            <w:tcW w:w="4673" w:type="dxa"/>
            <w:vAlign w:val="center"/>
          </w:tcPr>
          <w:p w14:paraId="08CBA674" w14:textId="675E9514" w:rsidR="00F46B54" w:rsidRDefault="00F46B54" w:rsidP="00421FA2">
            <w:pPr>
              <w:spacing w:after="0" w:line="240" w:lineRule="auto"/>
              <w:ind w:left="306"/>
            </w:pPr>
            <w:r>
              <w:t>Исходное значение (среднее)</w:t>
            </w:r>
          </w:p>
        </w:tc>
        <w:tc>
          <w:tcPr>
            <w:tcW w:w="1559" w:type="dxa"/>
            <w:vAlign w:val="center"/>
          </w:tcPr>
          <w:p w14:paraId="07BD662B" w14:textId="54C71C02" w:rsidR="00F46B54" w:rsidRDefault="0020231D" w:rsidP="00421FA2">
            <w:pPr>
              <w:spacing w:after="0" w:line="240" w:lineRule="auto"/>
              <w:jc w:val="center"/>
            </w:pPr>
            <w:r>
              <w:t>125,7</w:t>
            </w:r>
          </w:p>
        </w:tc>
        <w:tc>
          <w:tcPr>
            <w:tcW w:w="1560" w:type="dxa"/>
            <w:vAlign w:val="center"/>
          </w:tcPr>
          <w:p w14:paraId="080531AD" w14:textId="0A103B7D" w:rsidR="00F46B54" w:rsidRDefault="0020231D" w:rsidP="00421FA2">
            <w:pPr>
              <w:spacing w:after="0" w:line="240" w:lineRule="auto"/>
              <w:jc w:val="center"/>
            </w:pPr>
            <w:r>
              <w:t>126,5</w:t>
            </w:r>
          </w:p>
        </w:tc>
        <w:tc>
          <w:tcPr>
            <w:tcW w:w="1552" w:type="dxa"/>
            <w:vAlign w:val="center"/>
          </w:tcPr>
          <w:p w14:paraId="4A4F7A36" w14:textId="4B4E23CE" w:rsidR="00F46B54" w:rsidRDefault="0020231D" w:rsidP="00421FA2">
            <w:pPr>
              <w:spacing w:after="0" w:line="240" w:lineRule="auto"/>
              <w:jc w:val="center"/>
            </w:pPr>
            <w:r>
              <w:t>126</w:t>
            </w:r>
          </w:p>
        </w:tc>
      </w:tr>
      <w:tr w:rsidR="00F46B54" w14:paraId="18783FEC" w14:textId="77777777" w:rsidTr="00421FA2">
        <w:tc>
          <w:tcPr>
            <w:tcW w:w="4673" w:type="dxa"/>
            <w:vAlign w:val="center"/>
          </w:tcPr>
          <w:p w14:paraId="1923CF3D" w14:textId="328A07F8" w:rsidR="00F46B54" w:rsidRDefault="00F46B54" w:rsidP="00421FA2">
            <w:pPr>
              <w:spacing w:after="0" w:line="240" w:lineRule="auto"/>
              <w:ind w:left="306"/>
            </w:pPr>
            <w:r>
              <w:t>Изменение относительно исходного значения</w:t>
            </w:r>
            <w:r>
              <w:rPr>
                <w:vertAlign w:val="superscript"/>
              </w:rPr>
              <w:t>1</w:t>
            </w:r>
          </w:p>
        </w:tc>
        <w:tc>
          <w:tcPr>
            <w:tcW w:w="1559" w:type="dxa"/>
            <w:vAlign w:val="center"/>
          </w:tcPr>
          <w:p w14:paraId="0DD2191A" w14:textId="3CC4177D" w:rsidR="00F46B54" w:rsidRDefault="0020231D" w:rsidP="00421FA2">
            <w:pPr>
              <w:spacing w:after="0" w:line="240" w:lineRule="auto"/>
              <w:jc w:val="center"/>
            </w:pPr>
            <w:r>
              <w:t>0,7</w:t>
            </w:r>
          </w:p>
        </w:tc>
        <w:tc>
          <w:tcPr>
            <w:tcW w:w="1560" w:type="dxa"/>
            <w:vAlign w:val="center"/>
          </w:tcPr>
          <w:p w14:paraId="5019A7ED" w14:textId="6ED973AD" w:rsidR="00F46B54" w:rsidRDefault="0020231D" w:rsidP="00421FA2">
            <w:pPr>
              <w:spacing w:after="0" w:line="240" w:lineRule="auto"/>
              <w:jc w:val="center"/>
            </w:pPr>
            <w:r>
              <w:t>-3,1</w:t>
            </w:r>
          </w:p>
        </w:tc>
        <w:tc>
          <w:tcPr>
            <w:tcW w:w="1552" w:type="dxa"/>
            <w:vAlign w:val="center"/>
          </w:tcPr>
          <w:p w14:paraId="034C12C2" w14:textId="32C013F7" w:rsidR="00F46B54" w:rsidRDefault="0020231D" w:rsidP="00421FA2">
            <w:pPr>
              <w:spacing w:after="0" w:line="240" w:lineRule="auto"/>
              <w:jc w:val="center"/>
            </w:pPr>
            <w:r>
              <w:t>-4,0</w:t>
            </w:r>
          </w:p>
        </w:tc>
      </w:tr>
      <w:tr w:rsidR="0020231D" w14:paraId="1A556A2B" w14:textId="77777777" w:rsidTr="00421FA2">
        <w:tc>
          <w:tcPr>
            <w:tcW w:w="4673" w:type="dxa"/>
            <w:vAlign w:val="center"/>
          </w:tcPr>
          <w:p w14:paraId="5838F0FD" w14:textId="7460778D" w:rsidR="0020231D" w:rsidRDefault="0020231D" w:rsidP="00421FA2">
            <w:pPr>
              <w:spacing w:after="0" w:line="240" w:lineRule="auto"/>
              <w:ind w:left="306"/>
            </w:pPr>
            <w:r>
              <w:t>Различие с плацебо</w:t>
            </w:r>
            <w:r>
              <w:rPr>
                <w:vertAlign w:val="superscript"/>
              </w:rPr>
              <w:t>1</w:t>
            </w:r>
            <w:r>
              <w:rPr>
                <w:lang w:val="en-US"/>
              </w:rPr>
              <w:t xml:space="preserve"> (95% </w:t>
            </w:r>
            <w:r>
              <w:t>ДИ</w:t>
            </w:r>
            <w:r>
              <w:rPr>
                <w:lang w:val="en-US"/>
              </w:rPr>
              <w:t>)</w:t>
            </w:r>
          </w:p>
        </w:tc>
        <w:tc>
          <w:tcPr>
            <w:tcW w:w="1559" w:type="dxa"/>
            <w:vAlign w:val="center"/>
          </w:tcPr>
          <w:p w14:paraId="1B8209DB" w14:textId="4343B90C" w:rsidR="0020231D" w:rsidRDefault="0020231D" w:rsidP="00421FA2">
            <w:pPr>
              <w:spacing w:after="0" w:line="240" w:lineRule="auto"/>
              <w:jc w:val="center"/>
            </w:pPr>
          </w:p>
        </w:tc>
        <w:tc>
          <w:tcPr>
            <w:tcW w:w="1560" w:type="dxa"/>
            <w:vAlign w:val="center"/>
          </w:tcPr>
          <w:p w14:paraId="24A68A64" w14:textId="4462DEAD" w:rsidR="0020231D" w:rsidRDefault="0020231D" w:rsidP="0020231D">
            <w:pPr>
              <w:spacing w:after="0" w:line="240" w:lineRule="auto"/>
              <w:jc w:val="center"/>
            </w:pPr>
            <w:r>
              <w:t>-3,9</w:t>
            </w:r>
          </w:p>
          <w:p w14:paraId="66C0D845" w14:textId="42922B91" w:rsidR="0020231D" w:rsidRDefault="0020231D" w:rsidP="00421FA2">
            <w:pPr>
              <w:spacing w:after="0" w:line="240" w:lineRule="auto"/>
              <w:jc w:val="center"/>
            </w:pPr>
            <w:r>
              <w:t>(-6,23; -1,50)</w:t>
            </w:r>
          </w:p>
        </w:tc>
        <w:tc>
          <w:tcPr>
            <w:tcW w:w="1552" w:type="dxa"/>
            <w:vAlign w:val="center"/>
          </w:tcPr>
          <w:p w14:paraId="44CF4FDB" w14:textId="161EB506" w:rsidR="0020231D" w:rsidRDefault="0020231D" w:rsidP="0020231D">
            <w:pPr>
              <w:spacing w:after="0" w:line="240" w:lineRule="auto"/>
              <w:jc w:val="center"/>
            </w:pPr>
            <w:r>
              <w:t>-4,7</w:t>
            </w:r>
          </w:p>
          <w:p w14:paraId="0F35B45F" w14:textId="6701676F" w:rsidR="0020231D" w:rsidRDefault="0020231D" w:rsidP="00421FA2">
            <w:pPr>
              <w:spacing w:after="0" w:line="240" w:lineRule="auto"/>
              <w:jc w:val="center"/>
            </w:pPr>
            <w:r>
              <w:t>(-7,08; -2,37)</w:t>
            </w:r>
          </w:p>
        </w:tc>
      </w:tr>
      <w:tr w:rsidR="0018646E" w14:paraId="1B41660C" w14:textId="77777777" w:rsidTr="00993180">
        <w:tc>
          <w:tcPr>
            <w:tcW w:w="9344" w:type="dxa"/>
            <w:gridSpan w:val="4"/>
          </w:tcPr>
          <w:p w14:paraId="5C164DD1" w14:textId="77777777" w:rsidR="0018646E" w:rsidRPr="00421FA2" w:rsidRDefault="0018646E">
            <w:pPr>
              <w:spacing w:after="0" w:line="240" w:lineRule="auto"/>
              <w:rPr>
                <w:b/>
                <w:sz w:val="20"/>
                <w:szCs w:val="20"/>
              </w:rPr>
            </w:pPr>
            <w:r w:rsidRPr="00421FA2">
              <w:rPr>
                <w:b/>
                <w:sz w:val="20"/>
                <w:szCs w:val="20"/>
              </w:rPr>
              <w:t>Примечание:</w:t>
            </w:r>
          </w:p>
          <w:p w14:paraId="6C02C5AA" w14:textId="77777777" w:rsidR="00DC32F1" w:rsidRDefault="00DC32F1" w:rsidP="00DC32F1">
            <w:pPr>
              <w:autoSpaceDE w:val="0"/>
              <w:autoSpaceDN w:val="0"/>
              <w:adjustRightInd w:val="0"/>
              <w:spacing w:after="0" w:line="240" w:lineRule="auto"/>
              <w:contextualSpacing/>
              <w:rPr>
                <w:rFonts w:eastAsia="TimesNewRoman"/>
                <w:bCs/>
                <w:sz w:val="20"/>
                <w:szCs w:val="20"/>
              </w:rPr>
            </w:pPr>
            <w:r>
              <w:rPr>
                <w:rFonts w:eastAsia="TimesNewRoman"/>
                <w:bCs/>
                <w:sz w:val="20"/>
                <w:szCs w:val="20"/>
                <w:vertAlign w:val="superscript"/>
                <w:lang w:val="en-US"/>
              </w:rPr>
              <w:t>a</w:t>
            </w:r>
            <w:r>
              <w:rPr>
                <w:rFonts w:eastAsia="TimesNewRoman"/>
                <w:bCs/>
                <w:sz w:val="20"/>
                <w:szCs w:val="20"/>
                <w:vertAlign w:val="superscript"/>
              </w:rPr>
              <w:t xml:space="preserve"> </w:t>
            </w:r>
            <w:r>
              <w:rPr>
                <w:rFonts w:eastAsia="TimesNewRoman"/>
                <w:bCs/>
                <w:sz w:val="20"/>
                <w:szCs w:val="20"/>
              </w:rPr>
              <w:t>Полный набор данных, с переносом данных последнего измерения вперед, вплоть до применения терапии спасения.</w:t>
            </w:r>
          </w:p>
          <w:p w14:paraId="4165F18F" w14:textId="77777777" w:rsidR="00DC32F1" w:rsidRDefault="00DC32F1" w:rsidP="00DC32F1">
            <w:pPr>
              <w:autoSpaceDE w:val="0"/>
              <w:autoSpaceDN w:val="0"/>
              <w:adjustRightInd w:val="0"/>
              <w:spacing w:after="0" w:line="240" w:lineRule="auto"/>
              <w:contextualSpacing/>
              <w:rPr>
                <w:rFonts w:eastAsia="TimesNewRoman"/>
                <w:bCs/>
                <w:sz w:val="20"/>
                <w:szCs w:val="20"/>
              </w:rPr>
            </w:pPr>
            <w:r>
              <w:rPr>
                <w:rFonts w:eastAsia="TimesNewRoman"/>
                <w:bCs/>
                <w:sz w:val="20"/>
                <w:szCs w:val="20"/>
                <w:vertAlign w:val="superscript"/>
              </w:rPr>
              <w:t xml:space="preserve">1 </w:t>
            </w:r>
            <w:r>
              <w:rPr>
                <w:rFonts w:eastAsia="TimesNewRoman"/>
                <w:bCs/>
                <w:sz w:val="20"/>
                <w:szCs w:val="20"/>
              </w:rPr>
              <w:t>Среднее с поправкой на исходное значение.</w:t>
            </w:r>
          </w:p>
          <w:p w14:paraId="7EF0DCE1" w14:textId="77777777" w:rsidR="00DC32F1" w:rsidRDefault="00DC32F1" w:rsidP="00DC32F1">
            <w:pPr>
              <w:autoSpaceDE w:val="0"/>
              <w:autoSpaceDN w:val="0"/>
              <w:adjustRightInd w:val="0"/>
              <w:spacing w:after="0" w:line="240" w:lineRule="auto"/>
              <w:contextualSpacing/>
              <w:rPr>
                <w:rFonts w:eastAsia="TimesNewRoman"/>
                <w:bCs/>
                <w:sz w:val="20"/>
                <w:szCs w:val="20"/>
              </w:rPr>
            </w:pPr>
            <w:r>
              <w:rPr>
                <w:rFonts w:eastAsia="TimesNewRoman"/>
                <w:bCs/>
                <w:sz w:val="20"/>
                <w:szCs w:val="20"/>
                <w:vertAlign w:val="superscript"/>
              </w:rPr>
              <w:t xml:space="preserve">2 </w:t>
            </w:r>
            <w:r>
              <w:rPr>
                <w:rFonts w:eastAsia="TimesNewRoman"/>
                <w:bCs/>
                <w:sz w:val="20"/>
                <w:szCs w:val="20"/>
              </w:rPr>
              <w:t>Статистическая значимость не оценивалась, так как использовалось последовательное подтверждающее тестирование.</w:t>
            </w:r>
          </w:p>
          <w:p w14:paraId="79568D16" w14:textId="77777777" w:rsidR="00DC32F1" w:rsidRDefault="00DC32F1" w:rsidP="00DC32F1">
            <w:pPr>
              <w:autoSpaceDE w:val="0"/>
              <w:autoSpaceDN w:val="0"/>
              <w:adjustRightInd w:val="0"/>
              <w:spacing w:after="0" w:line="240" w:lineRule="auto"/>
              <w:contextualSpacing/>
              <w:rPr>
                <w:rFonts w:eastAsia="TimesNewRoman"/>
                <w:bCs/>
                <w:sz w:val="20"/>
                <w:szCs w:val="20"/>
              </w:rPr>
            </w:pPr>
            <w:r>
              <w:rPr>
                <w:rFonts w:eastAsia="TimesNewRoman"/>
                <w:bCs/>
                <w:sz w:val="20"/>
                <w:szCs w:val="20"/>
                <w:vertAlign w:val="superscript"/>
              </w:rPr>
              <w:t>3</w:t>
            </w:r>
            <w:r>
              <w:rPr>
                <w:rFonts w:eastAsia="TimesNewRoman"/>
                <w:bCs/>
                <w:sz w:val="20"/>
                <w:szCs w:val="20"/>
              </w:rPr>
              <w:t xml:space="preserve"> Значения после гипертензивной реанимации цензурированы.</w:t>
            </w:r>
          </w:p>
          <w:p w14:paraId="086F6DD2" w14:textId="77777777" w:rsidR="00DC32F1" w:rsidRPr="009268BB" w:rsidRDefault="00DC32F1" w:rsidP="00DC32F1">
            <w:pPr>
              <w:autoSpaceDE w:val="0"/>
              <w:autoSpaceDN w:val="0"/>
              <w:adjustRightInd w:val="0"/>
              <w:spacing w:after="0" w:line="240" w:lineRule="auto"/>
              <w:contextualSpacing/>
              <w:rPr>
                <w:rFonts w:eastAsia="TimesNewRoman"/>
                <w:bCs/>
                <w:sz w:val="20"/>
                <w:szCs w:val="20"/>
              </w:rPr>
            </w:pPr>
            <w:r>
              <w:rPr>
                <w:rFonts w:eastAsia="TimesNewRoman"/>
                <w:bCs/>
                <w:sz w:val="20"/>
                <w:szCs w:val="20"/>
              </w:rPr>
              <w:t xml:space="preserve">* </w:t>
            </w:r>
            <w:r>
              <w:rPr>
                <w:rFonts w:eastAsia="TimesNewRoman"/>
                <w:bCs/>
                <w:sz w:val="20"/>
                <w:szCs w:val="20"/>
                <w:lang w:val="en-US"/>
              </w:rPr>
              <w:t>p</w:t>
            </w:r>
            <w:r>
              <w:rPr>
                <w:rFonts w:eastAsia="TimesNewRoman"/>
                <w:bCs/>
                <w:sz w:val="20"/>
                <w:szCs w:val="20"/>
              </w:rPr>
              <w:t xml:space="preserve">-значение </w:t>
            </w:r>
            <w:r w:rsidRPr="0051188B">
              <w:rPr>
                <w:rFonts w:eastAsia="TimesNewRoman"/>
                <w:bCs/>
                <w:sz w:val="20"/>
                <w:szCs w:val="20"/>
              </w:rPr>
              <w:t>&lt;</w:t>
            </w:r>
            <w:r>
              <w:rPr>
                <w:rFonts w:eastAsia="TimesNewRoman"/>
                <w:bCs/>
                <w:sz w:val="20"/>
                <w:szCs w:val="20"/>
              </w:rPr>
              <w:t xml:space="preserve"> 0,0001</w:t>
            </w:r>
          </w:p>
          <w:p w14:paraId="79465BEC" w14:textId="75C9284F" w:rsidR="0020231D" w:rsidRPr="00585F77" w:rsidRDefault="00DC32F1" w:rsidP="00DC32F1">
            <w:pPr>
              <w:spacing w:after="0" w:line="240" w:lineRule="auto"/>
            </w:pPr>
            <w:r w:rsidRPr="008F0BBA">
              <w:rPr>
                <w:rFonts w:eastAsia="TimesNewRoman"/>
                <w:bCs/>
                <w:sz w:val="20"/>
                <w:szCs w:val="20"/>
              </w:rPr>
              <w:t>ДИ – доверительный интервал; САД – систолическое артериальное давление.</w:t>
            </w:r>
          </w:p>
        </w:tc>
      </w:tr>
    </w:tbl>
    <w:p w14:paraId="6BE43AB8" w14:textId="77777777" w:rsidR="00345876" w:rsidRPr="003E3E7E" w:rsidRDefault="00345876" w:rsidP="00345876">
      <w:pPr>
        <w:autoSpaceDE w:val="0"/>
        <w:autoSpaceDN w:val="0"/>
        <w:adjustRightInd w:val="0"/>
        <w:spacing w:after="0" w:line="240" w:lineRule="auto"/>
        <w:contextualSpacing/>
        <w:rPr>
          <w:b/>
          <w:bCs/>
          <w:i/>
          <w:iCs/>
        </w:rPr>
      </w:pPr>
      <w:r>
        <w:rPr>
          <w:b/>
          <w:bCs/>
          <w:i/>
          <w:iCs/>
        </w:rPr>
        <w:lastRenderedPageBreak/>
        <w:t>Эмпаглифлозин в комбинации с метформином у ранее не леченных (наивных) пациентов</w:t>
      </w:r>
    </w:p>
    <w:p w14:paraId="2DADA173" w14:textId="77777777" w:rsidR="00345876" w:rsidRPr="003E3E7E" w:rsidRDefault="00345876" w:rsidP="00345876">
      <w:pPr>
        <w:autoSpaceDE w:val="0"/>
        <w:autoSpaceDN w:val="0"/>
        <w:adjustRightInd w:val="0"/>
        <w:spacing w:after="0" w:line="240" w:lineRule="auto"/>
        <w:ind w:firstLine="709"/>
        <w:contextualSpacing/>
        <w:rPr>
          <w:rFonts w:eastAsia="TimesNewRoman"/>
        </w:rPr>
      </w:pPr>
    </w:p>
    <w:p w14:paraId="79179550" w14:textId="411C4906" w:rsidR="00345876" w:rsidRPr="002604EF" w:rsidRDefault="000232EA" w:rsidP="00345876">
      <w:pPr>
        <w:autoSpaceDE w:val="0"/>
        <w:autoSpaceDN w:val="0"/>
        <w:adjustRightInd w:val="0"/>
        <w:spacing w:after="0" w:line="240" w:lineRule="auto"/>
        <w:ind w:firstLine="709"/>
        <w:contextualSpacing/>
        <w:rPr>
          <w:rFonts w:eastAsia="TimesNewRoman"/>
        </w:rPr>
      </w:pPr>
      <w:r>
        <w:rPr>
          <w:rFonts w:eastAsia="TimesNewRoman"/>
        </w:rPr>
        <w:t>П</w:t>
      </w:r>
      <w:r w:rsidR="00345876" w:rsidRPr="003E3E7E">
        <w:rPr>
          <w:rFonts w:eastAsia="TimesNewRoman"/>
        </w:rPr>
        <w:t xml:space="preserve">роведено факторное исследование продолжительностью 24 недели для оценки эффективности и безопасности эмпаглифлозина у пациентов, ранее не получавших </w:t>
      </w:r>
      <w:r w:rsidR="00345876">
        <w:rPr>
          <w:rFonts w:eastAsia="TimesNewRoman"/>
        </w:rPr>
        <w:t>лечения</w:t>
      </w:r>
      <w:r w:rsidR="00345876" w:rsidRPr="003E3E7E">
        <w:rPr>
          <w:rFonts w:eastAsia="TimesNewRoman"/>
        </w:rPr>
        <w:t>. Лечение эмпаглифлозином в комбинации с метформином (5 мг и 500 мг; 5 мг и 1000 мг; 12,</w:t>
      </w:r>
      <w:r w:rsidR="00345876" w:rsidRPr="002604EF">
        <w:rPr>
          <w:rFonts w:eastAsia="TimesNewRoman"/>
        </w:rPr>
        <w:t xml:space="preserve">5 мг и 500 мг и 12,5 мг и 1000 мг два раза в день) обеспечило статистически значимое улучшение уровня </w:t>
      </w:r>
      <w:proofErr w:type="spellStart"/>
      <w:r w:rsidR="00345876" w:rsidRPr="002604EF">
        <w:rPr>
          <w:rFonts w:eastAsia="TimesNewRoman"/>
          <w:lang w:val="en-US"/>
        </w:rPr>
        <w:t>HbA</w:t>
      </w:r>
      <w:proofErr w:type="spellEnd"/>
      <w:r w:rsidR="00345876" w:rsidRPr="002604EF">
        <w:rPr>
          <w:rFonts w:eastAsia="TimesNewRoman"/>
        </w:rPr>
        <w:t>1</w:t>
      </w:r>
      <w:r w:rsidR="00345876" w:rsidRPr="002604EF">
        <w:rPr>
          <w:rFonts w:eastAsia="TimesNewRoman"/>
          <w:lang w:val="en-US"/>
        </w:rPr>
        <w:t>c</w:t>
      </w:r>
      <w:r w:rsidR="00345876" w:rsidRPr="002604EF">
        <w:rPr>
          <w:rFonts w:eastAsia="TimesNewRoman"/>
        </w:rPr>
        <w:t xml:space="preserve"> (таблица </w:t>
      </w:r>
      <w:r w:rsidR="002604EF" w:rsidRPr="002604EF">
        <w:rPr>
          <w:rFonts w:eastAsia="TimesNewRoman"/>
        </w:rPr>
        <w:t>4-</w:t>
      </w:r>
      <w:r w:rsidR="00DC32F1">
        <w:rPr>
          <w:rFonts w:eastAsia="TimesNewRoman"/>
        </w:rPr>
        <w:t>3</w:t>
      </w:r>
      <w:r w:rsidR="00345876" w:rsidRPr="002604EF">
        <w:rPr>
          <w:rFonts w:eastAsia="TimesNewRoman"/>
        </w:rPr>
        <w:t>) и привело к более значимому снижению ГПН (по сравнению с терапией отдельными компонентами) и массы тела (по сравнению с терапией метформином)</w:t>
      </w:r>
      <w:r w:rsidR="008A0417" w:rsidRPr="002604EF">
        <w:rPr>
          <w:rFonts w:eastAsia="TimesNewRoman"/>
        </w:rPr>
        <w:t xml:space="preserve"> [21]</w:t>
      </w:r>
      <w:r w:rsidR="00345876" w:rsidRPr="002604EF">
        <w:rPr>
          <w:rFonts w:eastAsia="TimesNewRoman"/>
        </w:rPr>
        <w:t>.</w:t>
      </w:r>
    </w:p>
    <w:p w14:paraId="18C8046B"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4C5E3524" w14:textId="752A3B6D" w:rsidR="00345876" w:rsidRPr="003E3E7E"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w:t>
      </w:r>
      <w:r w:rsidR="00DC32F1">
        <w:rPr>
          <w:rFonts w:eastAsia="TimesNewRoman"/>
          <w:b/>
          <w:bCs/>
        </w:rPr>
        <w:t>3</w:t>
      </w:r>
      <w:r w:rsidRPr="002604EF">
        <w:rPr>
          <w:rFonts w:eastAsia="TimesNewRoman"/>
          <w:b/>
          <w:bCs/>
        </w:rPr>
        <w:t>.</w:t>
      </w:r>
      <w:r w:rsidRPr="002604EF">
        <w:rPr>
          <w:rFonts w:eastAsia="TimesNewRoman"/>
        </w:rPr>
        <w:t xml:space="preserve"> Эффективность</w:t>
      </w:r>
      <w:r w:rsidRPr="003E3E7E">
        <w:rPr>
          <w:rFonts w:eastAsia="TimesNewRoman"/>
        </w:rPr>
        <w:t xml:space="preserve"> </w:t>
      </w:r>
      <w:r>
        <w:rPr>
          <w:rFonts w:eastAsia="TimesNewRoman"/>
        </w:rPr>
        <w:t>по</w:t>
      </w:r>
      <w:r w:rsidRPr="003E3E7E">
        <w:rPr>
          <w:rFonts w:eastAsia="TimesNewRoman"/>
        </w:rPr>
        <w:t xml:space="preserve"> </w:t>
      </w:r>
      <w:r>
        <w:rPr>
          <w:rFonts w:eastAsia="TimesNewRoman"/>
        </w:rPr>
        <w:t>данным</w:t>
      </w:r>
      <w:r w:rsidRPr="003E3E7E">
        <w:rPr>
          <w:rFonts w:eastAsia="TimesNewRoman"/>
        </w:rPr>
        <w:t xml:space="preserve"> 24-</w:t>
      </w:r>
      <w:r>
        <w:rPr>
          <w:rFonts w:eastAsia="TimesNewRoman"/>
        </w:rPr>
        <w:t>х</w:t>
      </w:r>
      <w:r w:rsidRPr="003E3E7E">
        <w:rPr>
          <w:rFonts w:eastAsia="TimesNewRoman"/>
        </w:rPr>
        <w:t xml:space="preserve"> </w:t>
      </w:r>
      <w:r>
        <w:rPr>
          <w:rFonts w:eastAsia="TimesNewRoman"/>
        </w:rPr>
        <w:t>недельного</w:t>
      </w:r>
      <w:r w:rsidRPr="003E3E7E">
        <w:rPr>
          <w:rFonts w:eastAsia="TimesNewRoman"/>
        </w:rPr>
        <w:t xml:space="preserve"> </w:t>
      </w:r>
      <w:r>
        <w:rPr>
          <w:rFonts w:eastAsia="TimesNewRoman"/>
        </w:rPr>
        <w:t>исследования</w:t>
      </w:r>
      <w:r w:rsidRPr="003E3E7E">
        <w:rPr>
          <w:rFonts w:eastAsia="TimesNewRoman"/>
        </w:rPr>
        <w:t xml:space="preserve"> </w:t>
      </w:r>
      <w:r>
        <w:rPr>
          <w:rFonts w:eastAsia="TimesNewRoman"/>
        </w:rPr>
        <w:t>эмпаглифлозина</w:t>
      </w:r>
      <w:r w:rsidRPr="003E3E7E">
        <w:rPr>
          <w:rFonts w:eastAsia="TimesNewRoman"/>
        </w:rPr>
        <w:t xml:space="preserve"> </w:t>
      </w:r>
      <w:r>
        <w:rPr>
          <w:rFonts w:eastAsia="TimesNewRoman"/>
        </w:rPr>
        <w:t>в</w:t>
      </w:r>
      <w:r w:rsidRPr="003E3E7E">
        <w:rPr>
          <w:rFonts w:eastAsia="TimesNewRoman"/>
        </w:rPr>
        <w:t xml:space="preserve"> </w:t>
      </w:r>
      <w:r>
        <w:rPr>
          <w:rFonts w:eastAsia="TimesNewRoman"/>
        </w:rPr>
        <w:t>комбинации</w:t>
      </w:r>
      <w:r w:rsidRPr="003E3E7E">
        <w:rPr>
          <w:rFonts w:eastAsia="TimesNewRoman"/>
        </w:rPr>
        <w:t xml:space="preserve"> </w:t>
      </w:r>
      <w:r>
        <w:rPr>
          <w:rFonts w:eastAsia="TimesNewRoman"/>
        </w:rPr>
        <w:t>с</w:t>
      </w:r>
      <w:r w:rsidRPr="003E3E7E">
        <w:rPr>
          <w:rFonts w:eastAsia="TimesNewRoman"/>
        </w:rPr>
        <w:t xml:space="preserve"> </w:t>
      </w:r>
      <w:r>
        <w:rPr>
          <w:rFonts w:eastAsia="TimesNewRoman"/>
        </w:rPr>
        <w:t>метформином</w:t>
      </w:r>
      <w:r w:rsidRPr="003E3E7E">
        <w:rPr>
          <w:rFonts w:eastAsia="TimesNewRoman"/>
        </w:rPr>
        <w:t xml:space="preserve"> </w:t>
      </w:r>
      <w:r>
        <w:rPr>
          <w:rFonts w:eastAsia="TimesNewRoman"/>
        </w:rPr>
        <w:t>в сравнении с</w:t>
      </w:r>
      <w:r w:rsidRPr="003E3E7E">
        <w:rPr>
          <w:rFonts w:eastAsia="TimesNewRoman"/>
        </w:rPr>
        <w:t xml:space="preserve"> </w:t>
      </w:r>
      <w:r>
        <w:rPr>
          <w:rFonts w:eastAsia="TimesNewRoman"/>
        </w:rPr>
        <w:t>отдельными</w:t>
      </w:r>
      <w:r w:rsidRPr="003E3E7E">
        <w:rPr>
          <w:rFonts w:eastAsia="TimesNewRoman"/>
        </w:rPr>
        <w:t xml:space="preserve"> </w:t>
      </w:r>
      <w:r>
        <w:rPr>
          <w:rFonts w:eastAsia="TimesNewRoman"/>
        </w:rPr>
        <w:t>компонентами</w:t>
      </w:r>
      <w:r w:rsidRPr="003E3E7E">
        <w:rPr>
          <w:rFonts w:eastAsia="TimesNewRoman"/>
        </w:rPr>
        <w:t xml:space="preserve"> </w:t>
      </w:r>
      <w:r>
        <w:rPr>
          <w:rFonts w:eastAsia="TimesNewRoman"/>
        </w:rPr>
        <w:t>схемы</w:t>
      </w:r>
      <w:r w:rsidRPr="003E3E7E">
        <w:rPr>
          <w:rFonts w:eastAsia="TimesNewRoman"/>
        </w:rPr>
        <w:t>.</w:t>
      </w:r>
    </w:p>
    <w:tbl>
      <w:tblPr>
        <w:tblStyle w:val="TableGrid"/>
        <w:tblW w:w="0" w:type="auto"/>
        <w:tblLook w:val="04A0" w:firstRow="1" w:lastRow="0" w:firstColumn="1" w:lastColumn="0" w:noHBand="0" w:noVBand="1"/>
      </w:tblPr>
      <w:tblGrid>
        <w:gridCol w:w="1342"/>
        <w:gridCol w:w="1003"/>
        <w:gridCol w:w="1003"/>
        <w:gridCol w:w="987"/>
        <w:gridCol w:w="1002"/>
        <w:gridCol w:w="1002"/>
        <w:gridCol w:w="988"/>
        <w:gridCol w:w="1012"/>
        <w:gridCol w:w="1005"/>
      </w:tblGrid>
      <w:tr w:rsidR="00345876" w:rsidRPr="003E3E7E" w14:paraId="4B1ECD69" w14:textId="77777777" w:rsidTr="007756D8">
        <w:trPr>
          <w:tblHeader/>
        </w:trPr>
        <w:tc>
          <w:tcPr>
            <w:tcW w:w="1038" w:type="dxa"/>
            <w:vMerge w:val="restart"/>
            <w:shd w:val="clear" w:color="auto" w:fill="D9D9D9" w:themeFill="background1" w:themeFillShade="D9"/>
            <w:vAlign w:val="center"/>
          </w:tcPr>
          <w:p w14:paraId="55298FBA" w14:textId="77777777" w:rsidR="00345876" w:rsidRPr="002856F7" w:rsidRDefault="00345876" w:rsidP="008A0417">
            <w:pPr>
              <w:autoSpaceDE w:val="0"/>
              <w:autoSpaceDN w:val="0"/>
              <w:adjustRightInd w:val="0"/>
              <w:spacing w:line="240" w:lineRule="auto"/>
              <w:contextualSpacing/>
              <w:jc w:val="center"/>
              <w:rPr>
                <w:rFonts w:eastAsia="TimesNewRoman"/>
                <w:b/>
                <w:bCs/>
              </w:rPr>
            </w:pPr>
          </w:p>
        </w:tc>
        <w:tc>
          <w:tcPr>
            <w:tcW w:w="3114" w:type="dxa"/>
            <w:gridSpan w:val="3"/>
            <w:shd w:val="clear" w:color="auto" w:fill="D9D9D9" w:themeFill="background1" w:themeFillShade="D9"/>
            <w:vAlign w:val="center"/>
          </w:tcPr>
          <w:p w14:paraId="367BB0C2" w14:textId="77777777" w:rsidR="00345876" w:rsidRPr="002856F7" w:rsidRDefault="00345876" w:rsidP="008A0417">
            <w:pPr>
              <w:autoSpaceDE w:val="0"/>
              <w:autoSpaceDN w:val="0"/>
              <w:adjustRightInd w:val="0"/>
              <w:spacing w:line="240" w:lineRule="auto"/>
              <w:contextualSpacing/>
              <w:jc w:val="center"/>
              <w:rPr>
                <w:rFonts w:eastAsia="TimesNewRoman"/>
                <w:b/>
                <w:bCs/>
                <w:lang w:val="en-US"/>
              </w:rPr>
            </w:pPr>
            <w:r w:rsidRPr="002856F7">
              <w:rPr>
                <w:rFonts w:eastAsia="TimesNewRoman"/>
                <w:b/>
                <w:bCs/>
              </w:rPr>
              <w:t>Эмпаглифлозин 10 мг</w:t>
            </w:r>
            <w:r w:rsidRPr="002856F7">
              <w:rPr>
                <w:rFonts w:eastAsia="TimesNewRoman"/>
                <w:b/>
                <w:bCs/>
                <w:vertAlign w:val="superscript"/>
              </w:rPr>
              <w:t>b</w:t>
            </w:r>
          </w:p>
        </w:tc>
        <w:tc>
          <w:tcPr>
            <w:tcW w:w="3115" w:type="dxa"/>
            <w:gridSpan w:val="3"/>
            <w:shd w:val="clear" w:color="auto" w:fill="D9D9D9" w:themeFill="background1" w:themeFillShade="D9"/>
            <w:vAlign w:val="center"/>
          </w:tcPr>
          <w:p w14:paraId="4238C251"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Эмпаглифлозин </w:t>
            </w:r>
            <w:r w:rsidRPr="002856F7">
              <w:rPr>
                <w:rFonts w:eastAsia="TimesNewRoman"/>
                <w:b/>
                <w:bCs/>
                <w:lang w:val="en-US"/>
              </w:rPr>
              <w:t>25</w:t>
            </w:r>
            <w:r w:rsidRPr="002856F7">
              <w:rPr>
                <w:rFonts w:eastAsia="TimesNewRoman"/>
                <w:b/>
                <w:bCs/>
              </w:rPr>
              <w:t xml:space="preserve"> мг</w:t>
            </w:r>
            <w:r w:rsidRPr="002856F7">
              <w:rPr>
                <w:rFonts w:eastAsia="TimesNewRoman"/>
                <w:b/>
                <w:bCs/>
                <w:vertAlign w:val="superscript"/>
              </w:rPr>
              <w:t>b</w:t>
            </w:r>
          </w:p>
        </w:tc>
        <w:tc>
          <w:tcPr>
            <w:tcW w:w="2078" w:type="dxa"/>
            <w:gridSpan w:val="2"/>
            <w:shd w:val="clear" w:color="auto" w:fill="D9D9D9" w:themeFill="background1" w:themeFillShade="D9"/>
            <w:vAlign w:val="center"/>
          </w:tcPr>
          <w:p w14:paraId="16836DFA"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Метформин</w:t>
            </w:r>
            <w:r w:rsidRPr="002856F7">
              <w:rPr>
                <w:rFonts w:eastAsia="TimesNewRoman"/>
                <w:b/>
                <w:bCs/>
                <w:vertAlign w:val="superscript"/>
              </w:rPr>
              <w:t>с</w:t>
            </w:r>
          </w:p>
        </w:tc>
      </w:tr>
      <w:tr w:rsidR="00345876" w:rsidRPr="003E3E7E" w14:paraId="431CE2BA" w14:textId="77777777" w:rsidTr="007756D8">
        <w:trPr>
          <w:tblHeader/>
        </w:trPr>
        <w:tc>
          <w:tcPr>
            <w:tcW w:w="1038" w:type="dxa"/>
            <w:vMerge/>
            <w:shd w:val="clear" w:color="auto" w:fill="D9D9D9" w:themeFill="background1" w:themeFillShade="D9"/>
            <w:vAlign w:val="center"/>
          </w:tcPr>
          <w:p w14:paraId="77BB1AD2" w14:textId="77777777" w:rsidR="00345876" w:rsidRPr="002856F7" w:rsidRDefault="00345876" w:rsidP="008A0417">
            <w:pPr>
              <w:autoSpaceDE w:val="0"/>
              <w:autoSpaceDN w:val="0"/>
              <w:adjustRightInd w:val="0"/>
              <w:spacing w:line="240" w:lineRule="auto"/>
              <w:contextualSpacing/>
              <w:jc w:val="center"/>
              <w:rPr>
                <w:rFonts w:eastAsia="TimesNewRoman"/>
                <w:b/>
                <w:bCs/>
              </w:rPr>
            </w:pPr>
          </w:p>
        </w:tc>
        <w:tc>
          <w:tcPr>
            <w:tcW w:w="1038" w:type="dxa"/>
            <w:shd w:val="clear" w:color="auto" w:fill="D9D9D9" w:themeFill="background1" w:themeFillShade="D9"/>
            <w:vAlign w:val="center"/>
          </w:tcPr>
          <w:p w14:paraId="6000D6C9"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 </w:t>
            </w:r>
            <w:r w:rsidRPr="002856F7">
              <w:rPr>
                <w:rFonts w:eastAsia="TimesNewRoman"/>
                <w:b/>
                <w:bCs/>
                <w:lang w:val="en-US"/>
              </w:rPr>
              <w:t>Met</w:t>
            </w:r>
            <w:r w:rsidRPr="002856F7">
              <w:rPr>
                <w:rFonts w:eastAsia="TimesNewRoman"/>
                <w:b/>
                <w:bCs/>
              </w:rPr>
              <w:t xml:space="preserve"> 1000 мг</w:t>
            </w:r>
            <w:r w:rsidRPr="002856F7">
              <w:rPr>
                <w:rFonts w:eastAsia="TimesNewRoman"/>
                <w:b/>
                <w:bCs/>
                <w:vertAlign w:val="superscript"/>
              </w:rPr>
              <w:t>с</w:t>
            </w:r>
          </w:p>
        </w:tc>
        <w:tc>
          <w:tcPr>
            <w:tcW w:w="1038" w:type="dxa"/>
            <w:shd w:val="clear" w:color="auto" w:fill="D9D9D9" w:themeFill="background1" w:themeFillShade="D9"/>
            <w:vAlign w:val="center"/>
          </w:tcPr>
          <w:p w14:paraId="1B3CB776"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 </w:t>
            </w:r>
            <w:r w:rsidRPr="002856F7">
              <w:rPr>
                <w:rFonts w:eastAsia="TimesNewRoman"/>
                <w:b/>
                <w:bCs/>
                <w:lang w:val="en-US"/>
              </w:rPr>
              <w:t>Met</w:t>
            </w:r>
            <w:r w:rsidRPr="002856F7">
              <w:rPr>
                <w:rFonts w:eastAsia="TimesNewRoman"/>
                <w:b/>
                <w:bCs/>
              </w:rPr>
              <w:t xml:space="preserve"> 2000 мг</w:t>
            </w:r>
            <w:r w:rsidRPr="002856F7">
              <w:rPr>
                <w:rFonts w:eastAsia="TimesNewRoman"/>
                <w:b/>
                <w:bCs/>
                <w:vertAlign w:val="superscript"/>
              </w:rPr>
              <w:t>с</w:t>
            </w:r>
          </w:p>
        </w:tc>
        <w:tc>
          <w:tcPr>
            <w:tcW w:w="1038" w:type="dxa"/>
            <w:shd w:val="clear" w:color="auto" w:fill="D9D9D9" w:themeFill="background1" w:themeFillShade="D9"/>
            <w:vAlign w:val="center"/>
          </w:tcPr>
          <w:p w14:paraId="0356E690"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Без </w:t>
            </w:r>
            <w:r w:rsidRPr="002856F7">
              <w:rPr>
                <w:rFonts w:eastAsia="TimesNewRoman"/>
                <w:b/>
                <w:bCs/>
                <w:lang w:val="en-US"/>
              </w:rPr>
              <w:t>Met</w:t>
            </w:r>
          </w:p>
        </w:tc>
        <w:tc>
          <w:tcPr>
            <w:tcW w:w="1038" w:type="dxa"/>
            <w:shd w:val="clear" w:color="auto" w:fill="D9D9D9" w:themeFill="background1" w:themeFillShade="D9"/>
            <w:vAlign w:val="center"/>
          </w:tcPr>
          <w:p w14:paraId="37D7DABC"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 </w:t>
            </w:r>
            <w:r w:rsidRPr="002856F7">
              <w:rPr>
                <w:rFonts w:eastAsia="TimesNewRoman"/>
                <w:b/>
                <w:bCs/>
                <w:lang w:val="en-US"/>
              </w:rPr>
              <w:t>Met</w:t>
            </w:r>
            <w:r w:rsidRPr="002856F7">
              <w:rPr>
                <w:rFonts w:eastAsia="TimesNewRoman"/>
                <w:b/>
                <w:bCs/>
              </w:rPr>
              <w:t xml:space="preserve"> 1000 мг</w:t>
            </w:r>
            <w:r w:rsidRPr="002856F7">
              <w:rPr>
                <w:rFonts w:eastAsia="TimesNewRoman"/>
                <w:b/>
                <w:bCs/>
                <w:vertAlign w:val="superscript"/>
              </w:rPr>
              <w:t>с</w:t>
            </w:r>
          </w:p>
        </w:tc>
        <w:tc>
          <w:tcPr>
            <w:tcW w:w="1038" w:type="dxa"/>
            <w:shd w:val="clear" w:color="auto" w:fill="D9D9D9" w:themeFill="background1" w:themeFillShade="D9"/>
            <w:vAlign w:val="center"/>
          </w:tcPr>
          <w:p w14:paraId="6EEF2F84"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 </w:t>
            </w:r>
            <w:r w:rsidRPr="002856F7">
              <w:rPr>
                <w:rFonts w:eastAsia="TimesNewRoman"/>
                <w:b/>
                <w:bCs/>
                <w:lang w:val="en-US"/>
              </w:rPr>
              <w:t>Met</w:t>
            </w:r>
            <w:r w:rsidRPr="002856F7">
              <w:rPr>
                <w:rFonts w:eastAsia="TimesNewRoman"/>
                <w:b/>
                <w:bCs/>
              </w:rPr>
              <w:t xml:space="preserve"> 2000 мг</w:t>
            </w:r>
            <w:r w:rsidRPr="002856F7">
              <w:rPr>
                <w:rFonts w:eastAsia="TimesNewRoman"/>
                <w:b/>
                <w:bCs/>
                <w:vertAlign w:val="superscript"/>
              </w:rPr>
              <w:t>с</w:t>
            </w:r>
          </w:p>
        </w:tc>
        <w:tc>
          <w:tcPr>
            <w:tcW w:w="1039" w:type="dxa"/>
            <w:shd w:val="clear" w:color="auto" w:fill="D9D9D9" w:themeFill="background1" w:themeFillShade="D9"/>
            <w:vAlign w:val="center"/>
          </w:tcPr>
          <w:p w14:paraId="68FED742"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 xml:space="preserve">Без </w:t>
            </w:r>
            <w:r w:rsidRPr="002856F7">
              <w:rPr>
                <w:rFonts w:eastAsia="TimesNewRoman"/>
                <w:b/>
                <w:bCs/>
                <w:lang w:val="en-US"/>
              </w:rPr>
              <w:t>Met</w:t>
            </w:r>
          </w:p>
        </w:tc>
        <w:tc>
          <w:tcPr>
            <w:tcW w:w="1039" w:type="dxa"/>
            <w:shd w:val="clear" w:color="auto" w:fill="D9D9D9" w:themeFill="background1" w:themeFillShade="D9"/>
            <w:vAlign w:val="center"/>
          </w:tcPr>
          <w:p w14:paraId="1394E602"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1000 мг</w:t>
            </w:r>
          </w:p>
        </w:tc>
        <w:tc>
          <w:tcPr>
            <w:tcW w:w="1039" w:type="dxa"/>
            <w:shd w:val="clear" w:color="auto" w:fill="D9D9D9" w:themeFill="background1" w:themeFillShade="D9"/>
            <w:vAlign w:val="center"/>
          </w:tcPr>
          <w:p w14:paraId="524884D6" w14:textId="77777777" w:rsidR="00345876" w:rsidRPr="002856F7" w:rsidRDefault="00345876" w:rsidP="008A0417">
            <w:pPr>
              <w:autoSpaceDE w:val="0"/>
              <w:autoSpaceDN w:val="0"/>
              <w:adjustRightInd w:val="0"/>
              <w:spacing w:line="240" w:lineRule="auto"/>
              <w:contextualSpacing/>
              <w:jc w:val="center"/>
              <w:rPr>
                <w:rFonts w:eastAsia="TimesNewRoman"/>
                <w:b/>
                <w:bCs/>
              </w:rPr>
            </w:pPr>
            <w:r w:rsidRPr="002856F7">
              <w:rPr>
                <w:rFonts w:eastAsia="TimesNewRoman"/>
                <w:b/>
                <w:bCs/>
              </w:rPr>
              <w:t>2000 мг</w:t>
            </w:r>
          </w:p>
        </w:tc>
      </w:tr>
      <w:tr w:rsidR="00345876" w:rsidRPr="003E3E7E" w14:paraId="707C4E7D" w14:textId="77777777" w:rsidTr="007756D8">
        <w:tc>
          <w:tcPr>
            <w:tcW w:w="1038" w:type="dxa"/>
            <w:vAlign w:val="center"/>
          </w:tcPr>
          <w:p w14:paraId="4632E35E" w14:textId="77777777" w:rsidR="00345876" w:rsidRPr="002856F7" w:rsidRDefault="00345876" w:rsidP="008A0417">
            <w:pPr>
              <w:autoSpaceDE w:val="0"/>
              <w:autoSpaceDN w:val="0"/>
              <w:adjustRightInd w:val="0"/>
              <w:spacing w:line="240" w:lineRule="auto"/>
              <w:contextualSpacing/>
              <w:jc w:val="center"/>
              <w:rPr>
                <w:rFonts w:eastAsia="TimesNewRoman"/>
                <w:lang w:val="en-US"/>
              </w:rPr>
            </w:pPr>
            <w:r>
              <w:rPr>
                <w:rFonts w:eastAsia="TimesNewRoman"/>
                <w:lang w:val="en-US"/>
              </w:rPr>
              <w:t>N</w:t>
            </w:r>
          </w:p>
        </w:tc>
        <w:tc>
          <w:tcPr>
            <w:tcW w:w="1038" w:type="dxa"/>
            <w:vAlign w:val="center"/>
          </w:tcPr>
          <w:p w14:paraId="29497946"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161</w:t>
            </w:r>
          </w:p>
        </w:tc>
        <w:tc>
          <w:tcPr>
            <w:tcW w:w="1038" w:type="dxa"/>
            <w:vAlign w:val="center"/>
          </w:tcPr>
          <w:p w14:paraId="02BE2A08"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167</w:t>
            </w:r>
          </w:p>
        </w:tc>
        <w:tc>
          <w:tcPr>
            <w:tcW w:w="1038" w:type="dxa"/>
            <w:vAlign w:val="center"/>
          </w:tcPr>
          <w:p w14:paraId="545F1FD7"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169</w:t>
            </w:r>
          </w:p>
        </w:tc>
        <w:tc>
          <w:tcPr>
            <w:tcW w:w="1038" w:type="dxa"/>
            <w:vAlign w:val="center"/>
          </w:tcPr>
          <w:p w14:paraId="60555804"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165</w:t>
            </w:r>
          </w:p>
        </w:tc>
        <w:tc>
          <w:tcPr>
            <w:tcW w:w="1038" w:type="dxa"/>
            <w:vAlign w:val="center"/>
          </w:tcPr>
          <w:p w14:paraId="451E8B49"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169</w:t>
            </w:r>
          </w:p>
        </w:tc>
        <w:tc>
          <w:tcPr>
            <w:tcW w:w="1039" w:type="dxa"/>
            <w:vAlign w:val="center"/>
          </w:tcPr>
          <w:p w14:paraId="3FD256B2"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163</w:t>
            </w:r>
          </w:p>
        </w:tc>
        <w:tc>
          <w:tcPr>
            <w:tcW w:w="1039" w:type="dxa"/>
            <w:vAlign w:val="center"/>
          </w:tcPr>
          <w:p w14:paraId="0354C914"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167</w:t>
            </w:r>
          </w:p>
        </w:tc>
        <w:tc>
          <w:tcPr>
            <w:tcW w:w="1039" w:type="dxa"/>
            <w:vAlign w:val="center"/>
          </w:tcPr>
          <w:p w14:paraId="66B2B2A5"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162</w:t>
            </w:r>
          </w:p>
        </w:tc>
      </w:tr>
      <w:tr w:rsidR="00345876" w:rsidRPr="003E3E7E" w14:paraId="73FE6CD1" w14:textId="77777777" w:rsidTr="007756D8">
        <w:tc>
          <w:tcPr>
            <w:tcW w:w="9345" w:type="dxa"/>
            <w:gridSpan w:val="9"/>
            <w:vAlign w:val="center"/>
          </w:tcPr>
          <w:p w14:paraId="6BDC0D7D" w14:textId="77777777" w:rsidR="00345876" w:rsidRPr="003E3E7E" w:rsidRDefault="00345876" w:rsidP="008A0417">
            <w:pPr>
              <w:autoSpaceDE w:val="0"/>
              <w:autoSpaceDN w:val="0"/>
              <w:adjustRightInd w:val="0"/>
              <w:spacing w:line="240" w:lineRule="auto"/>
              <w:contextualSpacing/>
              <w:rPr>
                <w:rFonts w:eastAsia="TimesNewRoman"/>
              </w:rPr>
            </w:pPr>
            <w:r w:rsidRPr="00166A50">
              <w:rPr>
                <w:b/>
                <w:bCs/>
                <w:lang w:val="en-US"/>
              </w:rPr>
              <w:t>HbA1c (%)</w:t>
            </w:r>
          </w:p>
        </w:tc>
      </w:tr>
      <w:tr w:rsidR="00345876" w:rsidRPr="003E3E7E" w14:paraId="0EB5FDC1" w14:textId="77777777" w:rsidTr="007756D8">
        <w:tc>
          <w:tcPr>
            <w:tcW w:w="1038" w:type="dxa"/>
            <w:vAlign w:val="center"/>
          </w:tcPr>
          <w:p w14:paraId="02A18A3C" w14:textId="77777777" w:rsidR="00345876" w:rsidRPr="002856F7" w:rsidRDefault="00345876" w:rsidP="008A0417">
            <w:pPr>
              <w:autoSpaceDE w:val="0"/>
              <w:autoSpaceDN w:val="0"/>
              <w:adjustRightInd w:val="0"/>
              <w:spacing w:line="240" w:lineRule="auto"/>
              <w:contextualSpacing/>
              <w:rPr>
                <w:rFonts w:eastAsia="TimesNewRoman"/>
              </w:rPr>
            </w:pPr>
            <w:r w:rsidRPr="002856F7">
              <w:rPr>
                <w:rFonts w:eastAsia="TimesNewRoman"/>
              </w:rPr>
              <w:t>Исходное значение (среднее)</w:t>
            </w:r>
          </w:p>
        </w:tc>
        <w:tc>
          <w:tcPr>
            <w:tcW w:w="1038" w:type="dxa"/>
            <w:vAlign w:val="center"/>
          </w:tcPr>
          <w:p w14:paraId="0A40E077"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8,68</w:t>
            </w:r>
          </w:p>
        </w:tc>
        <w:tc>
          <w:tcPr>
            <w:tcW w:w="1038" w:type="dxa"/>
            <w:vAlign w:val="center"/>
          </w:tcPr>
          <w:p w14:paraId="75EFDF57"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8,65</w:t>
            </w:r>
          </w:p>
        </w:tc>
        <w:tc>
          <w:tcPr>
            <w:tcW w:w="1038" w:type="dxa"/>
            <w:vAlign w:val="center"/>
          </w:tcPr>
          <w:p w14:paraId="0E580097"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8,62</w:t>
            </w:r>
          </w:p>
        </w:tc>
        <w:tc>
          <w:tcPr>
            <w:tcW w:w="1038" w:type="dxa"/>
            <w:vAlign w:val="center"/>
          </w:tcPr>
          <w:p w14:paraId="611B4C16"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8,84</w:t>
            </w:r>
          </w:p>
        </w:tc>
        <w:tc>
          <w:tcPr>
            <w:tcW w:w="1038" w:type="dxa"/>
            <w:vAlign w:val="center"/>
          </w:tcPr>
          <w:p w14:paraId="6F42E0C6"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8,66</w:t>
            </w:r>
          </w:p>
        </w:tc>
        <w:tc>
          <w:tcPr>
            <w:tcW w:w="1039" w:type="dxa"/>
            <w:vAlign w:val="center"/>
          </w:tcPr>
          <w:p w14:paraId="73B604A3"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8,86</w:t>
            </w:r>
          </w:p>
        </w:tc>
        <w:tc>
          <w:tcPr>
            <w:tcW w:w="1039" w:type="dxa"/>
            <w:vAlign w:val="center"/>
          </w:tcPr>
          <w:p w14:paraId="28DCD308"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8,69</w:t>
            </w:r>
          </w:p>
        </w:tc>
        <w:tc>
          <w:tcPr>
            <w:tcW w:w="1039" w:type="dxa"/>
            <w:vAlign w:val="center"/>
          </w:tcPr>
          <w:p w14:paraId="3A98B073"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8,55</w:t>
            </w:r>
          </w:p>
        </w:tc>
      </w:tr>
      <w:tr w:rsidR="00345876" w:rsidRPr="003E3E7E" w14:paraId="53435747" w14:textId="77777777" w:rsidTr="007756D8">
        <w:tc>
          <w:tcPr>
            <w:tcW w:w="1038" w:type="dxa"/>
            <w:vAlign w:val="center"/>
          </w:tcPr>
          <w:p w14:paraId="76D47DA5" w14:textId="77777777" w:rsidR="00345876" w:rsidRPr="002856F7" w:rsidRDefault="00345876" w:rsidP="008A0417">
            <w:pPr>
              <w:autoSpaceDE w:val="0"/>
              <w:autoSpaceDN w:val="0"/>
              <w:adjustRightInd w:val="0"/>
              <w:spacing w:line="240" w:lineRule="auto"/>
              <w:contextualSpacing/>
              <w:rPr>
                <w:rFonts w:eastAsia="TimesNewRoman"/>
              </w:rPr>
            </w:pPr>
            <w:r w:rsidRPr="002856F7">
              <w:t>Изменение от исходного значения</w:t>
            </w:r>
            <w:r w:rsidRPr="002856F7">
              <w:rPr>
                <w:vertAlign w:val="superscript"/>
              </w:rPr>
              <w:t>1</w:t>
            </w:r>
          </w:p>
        </w:tc>
        <w:tc>
          <w:tcPr>
            <w:tcW w:w="1038" w:type="dxa"/>
            <w:vAlign w:val="center"/>
          </w:tcPr>
          <w:p w14:paraId="50E52D68"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-1,98</w:t>
            </w:r>
          </w:p>
        </w:tc>
        <w:tc>
          <w:tcPr>
            <w:tcW w:w="1038" w:type="dxa"/>
            <w:vAlign w:val="center"/>
          </w:tcPr>
          <w:p w14:paraId="030BE266"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-2,07</w:t>
            </w:r>
          </w:p>
        </w:tc>
        <w:tc>
          <w:tcPr>
            <w:tcW w:w="1038" w:type="dxa"/>
            <w:vAlign w:val="center"/>
          </w:tcPr>
          <w:p w14:paraId="79F920F1"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-1,45</w:t>
            </w:r>
          </w:p>
        </w:tc>
        <w:tc>
          <w:tcPr>
            <w:tcW w:w="1038" w:type="dxa"/>
            <w:vAlign w:val="center"/>
          </w:tcPr>
          <w:p w14:paraId="6571BF1A"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-1,93</w:t>
            </w:r>
          </w:p>
        </w:tc>
        <w:tc>
          <w:tcPr>
            <w:tcW w:w="1038" w:type="dxa"/>
            <w:vAlign w:val="center"/>
          </w:tcPr>
          <w:p w14:paraId="57BD3B76"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-2,08</w:t>
            </w:r>
          </w:p>
        </w:tc>
        <w:tc>
          <w:tcPr>
            <w:tcW w:w="1039" w:type="dxa"/>
            <w:vAlign w:val="center"/>
          </w:tcPr>
          <w:p w14:paraId="119EF0BE"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-1,36</w:t>
            </w:r>
          </w:p>
        </w:tc>
        <w:tc>
          <w:tcPr>
            <w:tcW w:w="1039" w:type="dxa"/>
            <w:vAlign w:val="center"/>
          </w:tcPr>
          <w:p w14:paraId="19865875"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-1,18</w:t>
            </w:r>
          </w:p>
        </w:tc>
        <w:tc>
          <w:tcPr>
            <w:tcW w:w="1039" w:type="dxa"/>
            <w:vAlign w:val="center"/>
          </w:tcPr>
          <w:p w14:paraId="51FC3328"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-1,75</w:t>
            </w:r>
          </w:p>
        </w:tc>
      </w:tr>
      <w:tr w:rsidR="00345876" w:rsidRPr="003E3E7E" w14:paraId="03CCB7E1" w14:textId="77777777" w:rsidTr="007756D8">
        <w:tc>
          <w:tcPr>
            <w:tcW w:w="1038" w:type="dxa"/>
            <w:vAlign w:val="center"/>
          </w:tcPr>
          <w:p w14:paraId="59781F26" w14:textId="77777777" w:rsidR="00345876" w:rsidRPr="002856F7" w:rsidRDefault="00345876" w:rsidP="008A0417">
            <w:pPr>
              <w:autoSpaceDE w:val="0"/>
              <w:autoSpaceDN w:val="0"/>
              <w:adjustRightInd w:val="0"/>
              <w:spacing w:line="240" w:lineRule="auto"/>
              <w:contextualSpacing/>
              <w:rPr>
                <w:rFonts w:eastAsia="TimesNewRoman"/>
              </w:rPr>
            </w:pPr>
            <w:r w:rsidRPr="002856F7">
              <w:rPr>
                <w:rFonts w:eastAsia="TimesNewRoman"/>
              </w:rPr>
              <w:t xml:space="preserve">Сравнение с </w:t>
            </w:r>
            <w:proofErr w:type="spellStart"/>
            <w:r w:rsidRPr="002856F7">
              <w:rPr>
                <w:rFonts w:eastAsia="TimesNewRoman"/>
                <w:lang w:val="en-US"/>
              </w:rPr>
              <w:t>empa</w:t>
            </w:r>
            <w:proofErr w:type="spellEnd"/>
            <w:r w:rsidRPr="002856F7">
              <w:rPr>
                <w:rFonts w:eastAsia="TimesNewRoman"/>
              </w:rPr>
              <w:t xml:space="preserve"> (95% ДИ)</w:t>
            </w:r>
            <w:r w:rsidRPr="002856F7">
              <w:rPr>
                <w:rFonts w:eastAsia="TimesNewRoman"/>
                <w:vertAlign w:val="superscript"/>
              </w:rPr>
              <w:t>1</w:t>
            </w:r>
          </w:p>
        </w:tc>
        <w:tc>
          <w:tcPr>
            <w:tcW w:w="1038" w:type="dxa"/>
            <w:vAlign w:val="center"/>
          </w:tcPr>
          <w:p w14:paraId="704FE545"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-0,63*</w:t>
            </w:r>
            <w:r>
              <w:rPr>
                <w:rFonts w:eastAsia="TimesNewRoman"/>
              </w:rPr>
              <w:br/>
              <w:t>(-0,86;</w:t>
            </w:r>
            <w:r>
              <w:rPr>
                <w:rFonts w:eastAsia="TimesNewRoman"/>
              </w:rPr>
              <w:br/>
              <w:t>-0,40)</w:t>
            </w:r>
          </w:p>
        </w:tc>
        <w:tc>
          <w:tcPr>
            <w:tcW w:w="1038" w:type="dxa"/>
            <w:vAlign w:val="center"/>
          </w:tcPr>
          <w:p w14:paraId="441B7A8F"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-0,72*</w:t>
            </w:r>
            <w:r>
              <w:rPr>
                <w:rFonts w:eastAsia="TimesNewRoman"/>
              </w:rPr>
              <w:br/>
              <w:t>(-0,96;</w:t>
            </w:r>
            <w:r>
              <w:rPr>
                <w:rFonts w:eastAsia="TimesNewRoman"/>
              </w:rPr>
              <w:br/>
              <w:t>-0,49)</w:t>
            </w:r>
          </w:p>
        </w:tc>
        <w:tc>
          <w:tcPr>
            <w:tcW w:w="1038" w:type="dxa"/>
            <w:vAlign w:val="center"/>
          </w:tcPr>
          <w:p w14:paraId="6D398867"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8" w:type="dxa"/>
            <w:vAlign w:val="center"/>
          </w:tcPr>
          <w:p w14:paraId="5332CA0F"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-0,57*</w:t>
            </w:r>
            <w:r>
              <w:rPr>
                <w:rFonts w:eastAsia="TimesNewRoman"/>
              </w:rPr>
              <w:br/>
              <w:t>(-0,81;</w:t>
            </w:r>
            <w:r>
              <w:rPr>
                <w:rFonts w:eastAsia="TimesNewRoman"/>
              </w:rPr>
              <w:br/>
              <w:t>-0,34)</w:t>
            </w:r>
          </w:p>
        </w:tc>
        <w:tc>
          <w:tcPr>
            <w:tcW w:w="1038" w:type="dxa"/>
            <w:vAlign w:val="center"/>
          </w:tcPr>
          <w:p w14:paraId="5E7E77FD"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-0,72*</w:t>
            </w:r>
            <w:r>
              <w:rPr>
                <w:rFonts w:eastAsia="TimesNewRoman"/>
              </w:rPr>
              <w:br/>
              <w:t>(-0,95;</w:t>
            </w:r>
            <w:r>
              <w:rPr>
                <w:rFonts w:eastAsia="TimesNewRoman"/>
              </w:rPr>
              <w:br/>
              <w:t>-0,48)</w:t>
            </w:r>
          </w:p>
        </w:tc>
        <w:tc>
          <w:tcPr>
            <w:tcW w:w="1039" w:type="dxa"/>
            <w:vAlign w:val="center"/>
          </w:tcPr>
          <w:p w14:paraId="34CE1D3F"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9" w:type="dxa"/>
            <w:vAlign w:val="center"/>
          </w:tcPr>
          <w:p w14:paraId="6244C8C9"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9" w:type="dxa"/>
            <w:vAlign w:val="center"/>
          </w:tcPr>
          <w:p w14:paraId="03D7AB21" w14:textId="77777777" w:rsidR="00345876" w:rsidRPr="003E3E7E" w:rsidRDefault="00345876" w:rsidP="008A0417">
            <w:pPr>
              <w:autoSpaceDE w:val="0"/>
              <w:autoSpaceDN w:val="0"/>
              <w:adjustRightInd w:val="0"/>
              <w:spacing w:line="240" w:lineRule="auto"/>
              <w:contextualSpacing/>
              <w:jc w:val="center"/>
              <w:rPr>
                <w:rFonts w:eastAsia="TimesNewRoman"/>
              </w:rPr>
            </w:pPr>
          </w:p>
        </w:tc>
      </w:tr>
      <w:tr w:rsidR="00345876" w:rsidRPr="003E3E7E" w14:paraId="4B5EBBD1" w14:textId="77777777" w:rsidTr="007756D8">
        <w:tc>
          <w:tcPr>
            <w:tcW w:w="1038" w:type="dxa"/>
            <w:vAlign w:val="center"/>
          </w:tcPr>
          <w:p w14:paraId="5FB6F0A1" w14:textId="77777777" w:rsidR="00345876" w:rsidRPr="002856F7" w:rsidRDefault="00345876" w:rsidP="008A0417">
            <w:pPr>
              <w:autoSpaceDE w:val="0"/>
              <w:autoSpaceDN w:val="0"/>
              <w:adjustRightInd w:val="0"/>
              <w:spacing w:line="240" w:lineRule="auto"/>
              <w:contextualSpacing/>
              <w:rPr>
                <w:rFonts w:eastAsia="TimesNewRoman"/>
              </w:rPr>
            </w:pPr>
            <w:r w:rsidRPr="002856F7">
              <w:rPr>
                <w:rFonts w:eastAsia="TimesNewRoman"/>
              </w:rPr>
              <w:t xml:space="preserve">Сравнение с </w:t>
            </w:r>
            <w:r w:rsidRPr="002856F7">
              <w:rPr>
                <w:rFonts w:eastAsia="TimesNewRoman"/>
                <w:lang w:val="en-US"/>
              </w:rPr>
              <w:t>Met</w:t>
            </w:r>
            <w:r w:rsidRPr="002856F7">
              <w:rPr>
                <w:rFonts w:eastAsia="TimesNewRoman"/>
              </w:rPr>
              <w:t xml:space="preserve"> (95% ДИ)</w:t>
            </w:r>
            <w:r w:rsidRPr="002856F7">
              <w:rPr>
                <w:rFonts w:eastAsia="TimesNewRoman"/>
                <w:vertAlign w:val="superscript"/>
              </w:rPr>
              <w:t>1</w:t>
            </w:r>
          </w:p>
        </w:tc>
        <w:tc>
          <w:tcPr>
            <w:tcW w:w="1038" w:type="dxa"/>
            <w:vAlign w:val="center"/>
          </w:tcPr>
          <w:p w14:paraId="083A2BAE"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-0,79*</w:t>
            </w:r>
            <w:r>
              <w:rPr>
                <w:rFonts w:eastAsia="TimesNewRoman"/>
              </w:rPr>
              <w:br/>
              <w:t>(-1,03;</w:t>
            </w:r>
            <w:r>
              <w:rPr>
                <w:rFonts w:eastAsia="TimesNewRoman"/>
              </w:rPr>
              <w:br/>
              <w:t>-0,56)</w:t>
            </w:r>
          </w:p>
        </w:tc>
        <w:tc>
          <w:tcPr>
            <w:tcW w:w="1038" w:type="dxa"/>
            <w:vAlign w:val="center"/>
          </w:tcPr>
          <w:p w14:paraId="3AAA67DC"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-0,33*</w:t>
            </w:r>
            <w:r>
              <w:rPr>
                <w:rFonts w:eastAsia="TimesNewRoman"/>
              </w:rPr>
              <w:br/>
              <w:t>(-0,56;</w:t>
            </w:r>
            <w:r>
              <w:rPr>
                <w:rFonts w:eastAsia="TimesNewRoman"/>
              </w:rPr>
              <w:br/>
              <w:t>-0,09)</w:t>
            </w:r>
          </w:p>
        </w:tc>
        <w:tc>
          <w:tcPr>
            <w:tcW w:w="1038" w:type="dxa"/>
            <w:vAlign w:val="center"/>
          </w:tcPr>
          <w:p w14:paraId="365F3EDC"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8" w:type="dxa"/>
            <w:vAlign w:val="center"/>
          </w:tcPr>
          <w:p w14:paraId="7EFB52E3"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-0,75*</w:t>
            </w:r>
            <w:r>
              <w:rPr>
                <w:rFonts w:eastAsia="TimesNewRoman"/>
              </w:rPr>
              <w:br/>
              <w:t>(-0,98;</w:t>
            </w:r>
            <w:r>
              <w:rPr>
                <w:rFonts w:eastAsia="TimesNewRoman"/>
              </w:rPr>
              <w:br/>
              <w:t>-0,51)</w:t>
            </w:r>
          </w:p>
        </w:tc>
        <w:tc>
          <w:tcPr>
            <w:tcW w:w="1038" w:type="dxa"/>
            <w:vAlign w:val="center"/>
          </w:tcPr>
          <w:p w14:paraId="0AA7CDEC" w14:textId="77777777" w:rsidR="00345876" w:rsidRPr="003E3E7E" w:rsidRDefault="00345876" w:rsidP="008A0417">
            <w:pPr>
              <w:autoSpaceDE w:val="0"/>
              <w:autoSpaceDN w:val="0"/>
              <w:adjustRightInd w:val="0"/>
              <w:spacing w:line="240" w:lineRule="auto"/>
              <w:contextualSpacing/>
              <w:jc w:val="center"/>
              <w:rPr>
                <w:rFonts w:eastAsia="TimesNewRoman"/>
              </w:rPr>
            </w:pPr>
            <w:r>
              <w:rPr>
                <w:rFonts w:eastAsia="TimesNewRoman"/>
              </w:rPr>
              <w:t>-0,33*</w:t>
            </w:r>
            <w:r>
              <w:rPr>
                <w:rFonts w:eastAsia="TimesNewRoman"/>
              </w:rPr>
              <w:br/>
              <w:t>(-0,56;</w:t>
            </w:r>
            <w:r>
              <w:rPr>
                <w:rFonts w:eastAsia="TimesNewRoman"/>
              </w:rPr>
              <w:br/>
              <w:t>-0,10)</w:t>
            </w:r>
          </w:p>
        </w:tc>
        <w:tc>
          <w:tcPr>
            <w:tcW w:w="1039" w:type="dxa"/>
            <w:vAlign w:val="center"/>
          </w:tcPr>
          <w:p w14:paraId="62938929"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9" w:type="dxa"/>
            <w:vAlign w:val="center"/>
          </w:tcPr>
          <w:p w14:paraId="5101CD19" w14:textId="77777777" w:rsidR="00345876" w:rsidRPr="003E3E7E" w:rsidRDefault="00345876" w:rsidP="008A0417">
            <w:pPr>
              <w:autoSpaceDE w:val="0"/>
              <w:autoSpaceDN w:val="0"/>
              <w:adjustRightInd w:val="0"/>
              <w:spacing w:line="240" w:lineRule="auto"/>
              <w:contextualSpacing/>
              <w:jc w:val="center"/>
              <w:rPr>
                <w:rFonts w:eastAsia="TimesNewRoman"/>
              </w:rPr>
            </w:pPr>
          </w:p>
        </w:tc>
        <w:tc>
          <w:tcPr>
            <w:tcW w:w="1039" w:type="dxa"/>
            <w:vAlign w:val="center"/>
          </w:tcPr>
          <w:p w14:paraId="4D2624CD" w14:textId="77777777" w:rsidR="00345876" w:rsidRPr="003E3E7E" w:rsidRDefault="00345876" w:rsidP="008A0417">
            <w:pPr>
              <w:autoSpaceDE w:val="0"/>
              <w:autoSpaceDN w:val="0"/>
              <w:adjustRightInd w:val="0"/>
              <w:spacing w:line="240" w:lineRule="auto"/>
              <w:contextualSpacing/>
              <w:jc w:val="center"/>
              <w:rPr>
                <w:rFonts w:eastAsia="TimesNewRoman"/>
              </w:rPr>
            </w:pPr>
          </w:p>
        </w:tc>
      </w:tr>
      <w:tr w:rsidR="00345876" w:rsidRPr="008F4D02" w14:paraId="02DA7CB8" w14:textId="77777777" w:rsidTr="007756D8">
        <w:tc>
          <w:tcPr>
            <w:tcW w:w="9345" w:type="dxa"/>
            <w:gridSpan w:val="9"/>
          </w:tcPr>
          <w:p w14:paraId="0C58179F" w14:textId="77777777" w:rsidR="00345876" w:rsidRPr="003E3E7E" w:rsidRDefault="00345876" w:rsidP="008A0417">
            <w:pPr>
              <w:autoSpaceDE w:val="0"/>
              <w:autoSpaceDN w:val="0"/>
              <w:adjustRightInd w:val="0"/>
              <w:spacing w:line="240" w:lineRule="auto"/>
              <w:contextualSpacing/>
              <w:rPr>
                <w:rFonts w:eastAsia="TimesNewRoman"/>
                <w:b/>
                <w:bCs/>
                <w:sz w:val="20"/>
                <w:szCs w:val="20"/>
              </w:rPr>
            </w:pPr>
            <w:r w:rsidRPr="003E3E7E">
              <w:rPr>
                <w:rFonts w:eastAsia="TimesNewRoman"/>
                <w:b/>
                <w:bCs/>
                <w:sz w:val="20"/>
                <w:szCs w:val="20"/>
              </w:rPr>
              <w:t>Примечание:</w:t>
            </w:r>
          </w:p>
          <w:p w14:paraId="2A8EE84F" w14:textId="77777777" w:rsidR="00345876" w:rsidRPr="002856F7" w:rsidRDefault="00345876" w:rsidP="008A0417">
            <w:pPr>
              <w:autoSpaceDE w:val="0"/>
              <w:autoSpaceDN w:val="0"/>
              <w:adjustRightInd w:val="0"/>
              <w:spacing w:line="240" w:lineRule="auto"/>
              <w:contextualSpacing/>
              <w:rPr>
                <w:rFonts w:eastAsia="TimesNewRoman"/>
                <w:sz w:val="20"/>
                <w:szCs w:val="20"/>
              </w:rPr>
            </w:pPr>
            <w:r w:rsidRPr="003E3E7E">
              <w:rPr>
                <w:rFonts w:eastAsia="TimesNewRoman"/>
                <w:sz w:val="20"/>
                <w:szCs w:val="20"/>
                <w:lang w:val="en-US"/>
              </w:rPr>
              <w:t>Met</w:t>
            </w:r>
            <w:r w:rsidRPr="00A40FCE">
              <w:rPr>
                <w:rFonts w:eastAsia="TimesNewRoman"/>
                <w:sz w:val="20"/>
                <w:szCs w:val="20"/>
              </w:rPr>
              <w:t xml:space="preserve"> = </w:t>
            </w:r>
            <w:r>
              <w:rPr>
                <w:rFonts w:eastAsia="TimesNewRoman"/>
                <w:sz w:val="20"/>
                <w:szCs w:val="20"/>
              </w:rPr>
              <w:t>метформин</w:t>
            </w:r>
            <w:r w:rsidRPr="00A40FCE">
              <w:rPr>
                <w:rFonts w:eastAsia="TimesNewRoman"/>
                <w:sz w:val="20"/>
                <w:szCs w:val="20"/>
              </w:rPr>
              <w:t xml:space="preserve">; </w:t>
            </w:r>
            <w:proofErr w:type="spellStart"/>
            <w:r w:rsidRPr="003E3E7E">
              <w:rPr>
                <w:rFonts w:eastAsia="TimesNewRoman"/>
                <w:sz w:val="20"/>
                <w:szCs w:val="20"/>
                <w:lang w:val="en-US"/>
              </w:rPr>
              <w:t>empa</w:t>
            </w:r>
            <w:proofErr w:type="spellEnd"/>
            <w:r w:rsidRPr="00A40FCE">
              <w:rPr>
                <w:rFonts w:eastAsia="TimesNewRoman"/>
                <w:sz w:val="20"/>
                <w:szCs w:val="20"/>
              </w:rPr>
              <w:t xml:space="preserve"> = </w:t>
            </w:r>
            <w:r>
              <w:rPr>
                <w:rFonts w:eastAsia="TimesNewRoman"/>
                <w:sz w:val="20"/>
                <w:szCs w:val="20"/>
              </w:rPr>
              <w:t>эмпаглифлозин</w:t>
            </w:r>
            <w:r w:rsidRPr="00A40FCE">
              <w:rPr>
                <w:rFonts w:eastAsia="TimesNewRoman"/>
                <w:sz w:val="20"/>
                <w:szCs w:val="20"/>
              </w:rPr>
              <w:t>;</w:t>
            </w:r>
            <w:r w:rsidRPr="002856F7">
              <w:rPr>
                <w:rFonts w:eastAsia="TimesNewRoman"/>
                <w:sz w:val="20"/>
                <w:szCs w:val="20"/>
              </w:rPr>
              <w:t xml:space="preserve"> </w:t>
            </w:r>
            <w:r>
              <w:rPr>
                <w:rFonts w:eastAsia="TimesNewRoman"/>
                <w:sz w:val="20"/>
                <w:szCs w:val="20"/>
                <w:lang w:val="en-US"/>
              </w:rPr>
              <w:t>n</w:t>
            </w:r>
            <w:r w:rsidRPr="002856F7">
              <w:rPr>
                <w:rFonts w:eastAsia="TimesNewRoman"/>
                <w:sz w:val="20"/>
                <w:szCs w:val="20"/>
              </w:rPr>
              <w:t xml:space="preserve"> – </w:t>
            </w:r>
            <w:r>
              <w:rPr>
                <w:rFonts w:eastAsia="TimesNewRoman"/>
                <w:sz w:val="20"/>
                <w:szCs w:val="20"/>
              </w:rPr>
              <w:t>количество пациентов, ДИ – доверительный интервал;</w:t>
            </w:r>
          </w:p>
          <w:p w14:paraId="4772E55B" w14:textId="77777777" w:rsidR="00345876" w:rsidRPr="003E3E7E" w:rsidRDefault="00345876" w:rsidP="008A0417">
            <w:pPr>
              <w:autoSpaceDE w:val="0"/>
              <w:autoSpaceDN w:val="0"/>
              <w:adjustRightInd w:val="0"/>
              <w:spacing w:line="240" w:lineRule="auto"/>
              <w:contextualSpacing/>
              <w:rPr>
                <w:rFonts w:eastAsia="TimesNewRoman"/>
                <w:sz w:val="20"/>
                <w:szCs w:val="20"/>
              </w:rPr>
            </w:pPr>
            <w:r w:rsidRPr="003E3E7E">
              <w:rPr>
                <w:rFonts w:eastAsia="TimesNewRoman"/>
                <w:sz w:val="20"/>
                <w:szCs w:val="20"/>
              </w:rPr>
              <w:t xml:space="preserve">1 - 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1DD5B8EA" w14:textId="77777777" w:rsidR="00345876" w:rsidRDefault="00345876" w:rsidP="008A0417">
            <w:pPr>
              <w:autoSpaceDE w:val="0"/>
              <w:autoSpaceDN w:val="0"/>
              <w:adjustRightInd w:val="0"/>
              <w:spacing w:line="240" w:lineRule="auto"/>
              <w:contextualSpacing/>
              <w:rPr>
                <w:rFonts w:eastAsia="TimesNewRoman"/>
                <w:sz w:val="20"/>
                <w:szCs w:val="20"/>
              </w:rPr>
            </w:pPr>
            <w:r w:rsidRPr="003E3E7E">
              <w:rPr>
                <w:rFonts w:eastAsia="TimesNewRoman"/>
                <w:sz w:val="20"/>
                <w:szCs w:val="20"/>
                <w:lang w:val="en-US"/>
              </w:rPr>
              <w:t>a</w:t>
            </w:r>
            <w:r w:rsidRPr="008F4D02">
              <w:rPr>
                <w:rFonts w:eastAsia="TimesNewRoman"/>
                <w:sz w:val="20"/>
                <w:szCs w:val="20"/>
              </w:rPr>
              <w:t xml:space="preserve"> - Анализы проводились на полном наборе для анализа с использованием подхода наблюдаемых случаев</w:t>
            </w:r>
            <w:r>
              <w:rPr>
                <w:rFonts w:eastAsia="TimesNewRoman"/>
                <w:sz w:val="20"/>
                <w:szCs w:val="20"/>
              </w:rPr>
              <w:t>;</w:t>
            </w:r>
          </w:p>
          <w:p w14:paraId="2B23AF38"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3E3E7E">
              <w:rPr>
                <w:rFonts w:eastAsia="TimesNewRoman"/>
                <w:sz w:val="20"/>
                <w:szCs w:val="20"/>
                <w:lang w:val="en-US"/>
              </w:rPr>
              <w:t>b</w:t>
            </w:r>
            <w:r w:rsidRPr="008F4D02">
              <w:rPr>
                <w:rFonts w:eastAsia="TimesNewRoman"/>
                <w:sz w:val="20"/>
                <w:szCs w:val="20"/>
              </w:rPr>
              <w:t xml:space="preserve"> – </w:t>
            </w:r>
            <w:r>
              <w:rPr>
                <w:rFonts w:eastAsia="TimesNewRoman"/>
                <w:sz w:val="20"/>
                <w:szCs w:val="20"/>
              </w:rPr>
              <w:t>Препарат вводился 2-мя одинаковыми дозами в день при одновременном приеме метформина;</w:t>
            </w:r>
          </w:p>
          <w:p w14:paraId="1305B264"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3E3E7E">
              <w:rPr>
                <w:rFonts w:eastAsia="TimesNewRoman"/>
                <w:sz w:val="20"/>
                <w:szCs w:val="20"/>
                <w:lang w:val="en-US"/>
              </w:rPr>
              <w:t>c</w:t>
            </w:r>
            <w:r w:rsidRPr="008F4D02">
              <w:rPr>
                <w:rFonts w:eastAsia="TimesNewRoman"/>
                <w:sz w:val="20"/>
                <w:szCs w:val="20"/>
              </w:rPr>
              <w:t xml:space="preserve"> – </w:t>
            </w:r>
            <w:r>
              <w:rPr>
                <w:rFonts w:eastAsia="TimesNewRoman"/>
                <w:sz w:val="20"/>
                <w:szCs w:val="20"/>
              </w:rPr>
              <w:t>Препараты вводились 2-мя одинаковыми дозами в день;</w:t>
            </w:r>
          </w:p>
          <w:p w14:paraId="5C995EE6" w14:textId="77777777" w:rsidR="00345876" w:rsidRPr="008F4D02" w:rsidRDefault="00345876" w:rsidP="008A0417">
            <w:pPr>
              <w:autoSpaceDE w:val="0"/>
              <w:autoSpaceDN w:val="0"/>
              <w:adjustRightInd w:val="0"/>
              <w:spacing w:line="240" w:lineRule="auto"/>
              <w:contextualSpacing/>
              <w:rPr>
                <w:rFonts w:eastAsia="TimesNewRoman"/>
              </w:rPr>
            </w:pPr>
            <w:r w:rsidRPr="003E3E7E">
              <w:rPr>
                <w:rFonts w:eastAsia="TimesNewRoman"/>
                <w:sz w:val="20"/>
                <w:szCs w:val="20"/>
                <w:lang w:val="en-US"/>
              </w:rPr>
              <w:t>*</w:t>
            </w:r>
            <w:r>
              <w:rPr>
                <w:rFonts w:eastAsia="TimesNewRoman"/>
                <w:sz w:val="20"/>
                <w:szCs w:val="20"/>
              </w:rPr>
              <w:t xml:space="preserve">  </w:t>
            </w:r>
            <w:r w:rsidRPr="003E3E7E">
              <w:rPr>
                <w:rFonts w:eastAsia="TimesNewRoman"/>
                <w:sz w:val="20"/>
                <w:szCs w:val="20"/>
                <w:lang w:val="en-US"/>
              </w:rPr>
              <w:t>p</w:t>
            </w:r>
            <w:r>
              <w:rPr>
                <w:rFonts w:eastAsia="TimesNewRoman"/>
                <w:sz w:val="20"/>
                <w:szCs w:val="20"/>
              </w:rPr>
              <w:t xml:space="preserve"> </w:t>
            </w:r>
            <w:r w:rsidRPr="003E3E7E">
              <w:rPr>
                <w:rFonts w:eastAsia="TimesNewRoman"/>
                <w:sz w:val="20"/>
                <w:szCs w:val="20"/>
                <w:lang w:val="en-US"/>
              </w:rPr>
              <w:t>≤</w:t>
            </w:r>
            <w:r>
              <w:rPr>
                <w:rFonts w:eastAsia="TimesNewRoman"/>
                <w:sz w:val="20"/>
                <w:szCs w:val="20"/>
              </w:rPr>
              <w:t xml:space="preserve"> </w:t>
            </w:r>
            <w:r w:rsidRPr="003E3E7E">
              <w:rPr>
                <w:rFonts w:eastAsia="TimesNewRoman"/>
                <w:sz w:val="20"/>
                <w:szCs w:val="20"/>
                <w:lang w:val="en-US"/>
              </w:rPr>
              <w:t xml:space="preserve">0.0062 </w:t>
            </w:r>
            <w:r>
              <w:rPr>
                <w:rFonts w:eastAsia="TimesNewRoman"/>
                <w:sz w:val="20"/>
                <w:szCs w:val="20"/>
              </w:rPr>
              <w:t>для</w:t>
            </w:r>
            <w:r w:rsidRPr="003E3E7E">
              <w:rPr>
                <w:rFonts w:eastAsia="TimesNewRoman"/>
                <w:sz w:val="20"/>
                <w:szCs w:val="20"/>
                <w:lang w:val="en-US"/>
              </w:rPr>
              <w:t xml:space="preserve"> HbA1c</w:t>
            </w:r>
            <w:r>
              <w:rPr>
                <w:rFonts w:eastAsia="TimesNewRoman"/>
                <w:sz w:val="20"/>
                <w:szCs w:val="20"/>
              </w:rPr>
              <w:t>.</w:t>
            </w:r>
          </w:p>
        </w:tc>
      </w:tr>
    </w:tbl>
    <w:p w14:paraId="12EF462F"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00643A6B" w14:textId="77777777" w:rsidR="00345876" w:rsidRPr="008F4D02" w:rsidRDefault="00345876" w:rsidP="00345876">
      <w:pPr>
        <w:autoSpaceDE w:val="0"/>
        <w:autoSpaceDN w:val="0"/>
        <w:adjustRightInd w:val="0"/>
        <w:spacing w:after="0" w:line="240" w:lineRule="auto"/>
        <w:contextualSpacing/>
        <w:rPr>
          <w:rFonts w:eastAsia="TimesNewRoman"/>
          <w:b/>
          <w:bCs/>
          <w:i/>
          <w:iCs/>
        </w:rPr>
      </w:pPr>
      <w:bookmarkStart w:id="145" w:name="_Hlk130997035"/>
      <w:r w:rsidRPr="008F4D02">
        <w:rPr>
          <w:rFonts w:eastAsia="TimesNewRoman"/>
          <w:b/>
          <w:bCs/>
          <w:i/>
          <w:iCs/>
        </w:rPr>
        <w:t>Эмпаглифлозин в комбинации с метформином и линаглиптином у пациентов с неадекватным контролем гликемии</w:t>
      </w:r>
    </w:p>
    <w:p w14:paraId="2021CDF9" w14:textId="77777777" w:rsidR="00345876" w:rsidRDefault="00345876" w:rsidP="00345876">
      <w:pPr>
        <w:autoSpaceDE w:val="0"/>
        <w:autoSpaceDN w:val="0"/>
        <w:adjustRightInd w:val="0"/>
        <w:spacing w:after="0" w:line="240" w:lineRule="auto"/>
        <w:ind w:firstLine="709"/>
        <w:contextualSpacing/>
        <w:rPr>
          <w:rFonts w:eastAsia="TimesNewRoman"/>
        </w:rPr>
      </w:pPr>
    </w:p>
    <w:p w14:paraId="4BE79EA7" w14:textId="7036B30A" w:rsidR="00345876" w:rsidRPr="002604EF" w:rsidRDefault="00345876" w:rsidP="00345876">
      <w:pPr>
        <w:autoSpaceDE w:val="0"/>
        <w:autoSpaceDN w:val="0"/>
        <w:adjustRightInd w:val="0"/>
        <w:spacing w:after="0" w:line="240" w:lineRule="auto"/>
        <w:ind w:firstLine="709"/>
        <w:contextualSpacing/>
        <w:rPr>
          <w:rFonts w:eastAsia="TimesNewRoman"/>
        </w:rPr>
      </w:pPr>
      <w:r w:rsidRPr="008F4D02">
        <w:rPr>
          <w:rFonts w:eastAsia="TimesNewRoman"/>
        </w:rPr>
        <w:t xml:space="preserve">У пациентов с недостаточным контролем </w:t>
      </w:r>
      <w:r>
        <w:rPr>
          <w:rFonts w:eastAsia="TimesNewRoman"/>
        </w:rPr>
        <w:t xml:space="preserve">гликемии на фоне приема </w:t>
      </w:r>
      <w:r w:rsidRPr="008F4D02">
        <w:rPr>
          <w:rFonts w:eastAsia="TimesNewRoman"/>
        </w:rPr>
        <w:t>метформина и линаглиптина в дозе 5 мг лечение эмпаглифлозином в дозе 10 мг или 25 мг приводило к статистически значимому (</w:t>
      </w:r>
      <w:r w:rsidRPr="008F4D02">
        <w:rPr>
          <w:rFonts w:eastAsia="TimesNewRoman"/>
          <w:lang w:val="en-US"/>
        </w:rPr>
        <w:t>p</w:t>
      </w:r>
      <w:r w:rsidRPr="008F4D02">
        <w:rPr>
          <w:rFonts w:eastAsia="TimesNewRoman"/>
        </w:rPr>
        <w:t xml:space="preserve">&lt;0,0001) снижению </w:t>
      </w:r>
      <w:proofErr w:type="spellStart"/>
      <w:r w:rsidRPr="008F4D02">
        <w:rPr>
          <w:rFonts w:eastAsia="TimesNewRoman"/>
          <w:lang w:val="en-US"/>
        </w:rPr>
        <w:t>HbA</w:t>
      </w:r>
      <w:proofErr w:type="spellEnd"/>
      <w:r w:rsidRPr="008F4D02">
        <w:rPr>
          <w:rFonts w:eastAsia="TimesNewRoman"/>
        </w:rPr>
        <w:t>1</w:t>
      </w:r>
      <w:r w:rsidRPr="008F4D02">
        <w:rPr>
          <w:rFonts w:eastAsia="TimesNewRoman"/>
          <w:lang w:val="en-US"/>
        </w:rPr>
        <w:t>c</w:t>
      </w:r>
      <w:r w:rsidRPr="008F4D02">
        <w:rPr>
          <w:rFonts w:eastAsia="TimesNewRoman"/>
        </w:rPr>
        <w:t xml:space="preserve"> и массы тела по сравнению с </w:t>
      </w:r>
      <w:r w:rsidRPr="002604EF">
        <w:rPr>
          <w:rFonts w:eastAsia="TimesNewRoman"/>
        </w:rPr>
        <w:t xml:space="preserve">плацебо (таблица </w:t>
      </w:r>
      <w:r w:rsidR="002604EF" w:rsidRPr="000C7F59">
        <w:rPr>
          <w:rFonts w:eastAsia="TimesNewRoman"/>
        </w:rPr>
        <w:t>4-</w:t>
      </w:r>
      <w:r w:rsidR="00DC32F1">
        <w:rPr>
          <w:rFonts w:eastAsia="TimesNewRoman"/>
        </w:rPr>
        <w:t>4</w:t>
      </w:r>
      <w:r w:rsidRPr="002604EF">
        <w:rPr>
          <w:rFonts w:eastAsia="TimesNewRoman"/>
        </w:rPr>
        <w:t xml:space="preserve">). Кроме того, терапия эмпаглифлозином привела к клинически </w:t>
      </w:r>
      <w:r w:rsidRPr="002604EF">
        <w:rPr>
          <w:rFonts w:eastAsia="TimesNewRoman"/>
        </w:rPr>
        <w:lastRenderedPageBreak/>
        <w:t>значимому снижению ГПН, систолического и диастолического артериального давления по сравнению с плацебо</w:t>
      </w:r>
      <w:r w:rsidR="008A0417" w:rsidRPr="002604EF">
        <w:rPr>
          <w:rFonts w:eastAsia="TimesNewRoman"/>
        </w:rPr>
        <w:t xml:space="preserve"> [21]</w:t>
      </w:r>
      <w:r w:rsidRPr="002604EF">
        <w:rPr>
          <w:rFonts w:eastAsia="TimesNewRoman"/>
        </w:rPr>
        <w:t>.</w:t>
      </w:r>
    </w:p>
    <w:bookmarkEnd w:id="145"/>
    <w:p w14:paraId="0FBE42B0"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1111217F" w14:textId="41152AF2" w:rsidR="00345876" w:rsidRPr="008F4D02"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w:t>
      </w:r>
      <w:r w:rsidR="00DC32F1">
        <w:rPr>
          <w:rFonts w:eastAsia="TimesNewRoman"/>
          <w:b/>
          <w:bCs/>
        </w:rPr>
        <w:t>4</w:t>
      </w:r>
      <w:r w:rsidRPr="002604EF">
        <w:rPr>
          <w:rFonts w:eastAsia="TimesNewRoman"/>
          <w:b/>
          <w:bCs/>
        </w:rPr>
        <w:t>.</w:t>
      </w:r>
      <w:r w:rsidRPr="002604EF">
        <w:rPr>
          <w:rFonts w:eastAsia="TimesNewRoman"/>
        </w:rPr>
        <w:t xml:space="preserve"> Эффективность</w:t>
      </w:r>
      <w:r w:rsidRPr="008F4D02">
        <w:rPr>
          <w:rFonts w:eastAsia="TimesNewRoman"/>
        </w:rPr>
        <w:t xml:space="preserve"> </w:t>
      </w:r>
      <w:r>
        <w:rPr>
          <w:rFonts w:eastAsia="TimesNewRoman"/>
        </w:rPr>
        <w:t>по</w:t>
      </w:r>
      <w:r w:rsidRPr="008F4D02">
        <w:rPr>
          <w:rFonts w:eastAsia="TimesNewRoman"/>
        </w:rPr>
        <w:t xml:space="preserve"> </w:t>
      </w:r>
      <w:r>
        <w:rPr>
          <w:rFonts w:eastAsia="TimesNewRoman"/>
        </w:rPr>
        <w:t>данным</w:t>
      </w:r>
      <w:r w:rsidRPr="008F4D02">
        <w:rPr>
          <w:rFonts w:eastAsia="TimesNewRoman"/>
        </w:rPr>
        <w:t xml:space="preserve"> 24-</w:t>
      </w:r>
      <w:r>
        <w:rPr>
          <w:rFonts w:eastAsia="TimesNewRoman"/>
        </w:rPr>
        <w:t>х</w:t>
      </w:r>
      <w:r w:rsidRPr="008F4D02">
        <w:rPr>
          <w:rFonts w:eastAsia="TimesNewRoman"/>
        </w:rPr>
        <w:t xml:space="preserve"> </w:t>
      </w:r>
      <w:r>
        <w:rPr>
          <w:rFonts w:eastAsia="TimesNewRoman"/>
        </w:rPr>
        <w:t>недельного</w:t>
      </w:r>
      <w:r w:rsidRPr="008F4D02">
        <w:rPr>
          <w:rFonts w:eastAsia="TimesNewRoman"/>
        </w:rPr>
        <w:t xml:space="preserve"> </w:t>
      </w:r>
      <w:r>
        <w:rPr>
          <w:rFonts w:eastAsia="TimesNewRoman"/>
        </w:rPr>
        <w:t>плацебо</w:t>
      </w:r>
      <w:r w:rsidRPr="008F4D02">
        <w:rPr>
          <w:rFonts w:eastAsia="TimesNewRoman"/>
        </w:rPr>
        <w:t>-</w:t>
      </w:r>
      <w:r>
        <w:rPr>
          <w:rFonts w:eastAsia="TimesNewRoman"/>
        </w:rPr>
        <w:t>контролируемого</w:t>
      </w:r>
      <w:r w:rsidRPr="008F4D02">
        <w:rPr>
          <w:rFonts w:eastAsia="TimesNewRoman"/>
        </w:rPr>
        <w:t xml:space="preserve"> </w:t>
      </w:r>
      <w:r>
        <w:rPr>
          <w:rFonts w:eastAsia="TimesNewRoman"/>
        </w:rPr>
        <w:t>исследования</w:t>
      </w:r>
      <w:r w:rsidRPr="008F4D02">
        <w:rPr>
          <w:rFonts w:eastAsia="TimesNewRoman"/>
        </w:rPr>
        <w:t xml:space="preserve"> </w:t>
      </w:r>
      <w:r>
        <w:rPr>
          <w:rFonts w:eastAsia="TimesNewRoman"/>
        </w:rPr>
        <w:t>эмпаглифлозина</w:t>
      </w:r>
      <w:r w:rsidRPr="008F4D02">
        <w:rPr>
          <w:rFonts w:eastAsia="TimesNewRoman"/>
        </w:rPr>
        <w:t xml:space="preserve"> </w:t>
      </w:r>
      <w:r>
        <w:rPr>
          <w:rFonts w:eastAsia="TimesNewRoman"/>
        </w:rPr>
        <w:t>в</w:t>
      </w:r>
      <w:r w:rsidRPr="008F4D02">
        <w:rPr>
          <w:rFonts w:eastAsia="TimesNewRoman"/>
        </w:rPr>
        <w:t xml:space="preserve"> </w:t>
      </w:r>
      <w:r>
        <w:rPr>
          <w:rFonts w:eastAsia="TimesNewRoman"/>
        </w:rPr>
        <w:t>комбинации</w:t>
      </w:r>
      <w:r w:rsidRPr="008F4D02">
        <w:rPr>
          <w:rFonts w:eastAsia="TimesNewRoman"/>
        </w:rPr>
        <w:t xml:space="preserve"> </w:t>
      </w:r>
      <w:r>
        <w:rPr>
          <w:rFonts w:eastAsia="TimesNewRoman"/>
        </w:rPr>
        <w:t>с</w:t>
      </w:r>
      <w:r w:rsidRPr="008F4D02">
        <w:rPr>
          <w:rFonts w:eastAsia="TimesNewRoman"/>
        </w:rPr>
        <w:t xml:space="preserve"> </w:t>
      </w:r>
      <w:r>
        <w:rPr>
          <w:rFonts w:eastAsia="TimesNewRoman"/>
        </w:rPr>
        <w:t>метформином</w:t>
      </w:r>
      <w:r w:rsidRPr="008F4D02">
        <w:rPr>
          <w:rFonts w:eastAsia="TimesNewRoman"/>
        </w:rPr>
        <w:t xml:space="preserve"> </w:t>
      </w:r>
      <w:r>
        <w:rPr>
          <w:rFonts w:eastAsia="TimesNewRoman"/>
        </w:rPr>
        <w:t>и</w:t>
      </w:r>
      <w:r w:rsidRPr="008F4D02">
        <w:rPr>
          <w:rFonts w:eastAsia="TimesNewRoman"/>
        </w:rPr>
        <w:t xml:space="preserve"> </w:t>
      </w:r>
      <w:r>
        <w:rPr>
          <w:rFonts w:eastAsia="TimesNewRoman"/>
        </w:rPr>
        <w:t>линаглиптином</w:t>
      </w:r>
      <w:r w:rsidRPr="008F4D02">
        <w:rPr>
          <w:rFonts w:eastAsia="TimesNewRoman"/>
        </w:rPr>
        <w:t xml:space="preserve"> </w:t>
      </w:r>
      <w:r>
        <w:rPr>
          <w:rFonts w:eastAsia="TimesNewRoman"/>
        </w:rPr>
        <w:t>в</w:t>
      </w:r>
      <w:r w:rsidRPr="008F4D02">
        <w:rPr>
          <w:rFonts w:eastAsia="TimesNewRoman"/>
        </w:rPr>
        <w:t xml:space="preserve"> </w:t>
      </w:r>
      <w:r>
        <w:rPr>
          <w:rFonts w:eastAsia="TimesNewRoman"/>
        </w:rPr>
        <w:t>дозе</w:t>
      </w:r>
      <w:r w:rsidRPr="008F4D02">
        <w:rPr>
          <w:rFonts w:eastAsia="TimesNewRoman"/>
        </w:rPr>
        <w:t xml:space="preserve"> 5 </w:t>
      </w:r>
      <w:r>
        <w:rPr>
          <w:rFonts w:eastAsia="TimesNewRoman"/>
        </w:rPr>
        <w:t>мг</w:t>
      </w:r>
      <w:r w:rsidRPr="008F4D02">
        <w:rPr>
          <w:rFonts w:eastAsia="TimesNewRoman"/>
        </w:rPr>
        <w:t xml:space="preserve"> </w:t>
      </w:r>
      <w:r>
        <w:rPr>
          <w:rFonts w:eastAsia="TimesNewRoman"/>
        </w:rPr>
        <w:t>у</w:t>
      </w:r>
      <w:r w:rsidRPr="008F4D02">
        <w:rPr>
          <w:rFonts w:eastAsia="TimesNewRoman"/>
        </w:rPr>
        <w:t xml:space="preserve"> </w:t>
      </w:r>
      <w:r>
        <w:rPr>
          <w:rFonts w:eastAsia="TimesNewRoman"/>
        </w:rPr>
        <w:t>пациентов</w:t>
      </w:r>
      <w:r w:rsidRPr="008F4D02">
        <w:rPr>
          <w:rFonts w:eastAsia="TimesNewRoman"/>
        </w:rPr>
        <w:t xml:space="preserve"> </w:t>
      </w:r>
      <w:r>
        <w:rPr>
          <w:rFonts w:eastAsia="TimesNewRoman"/>
        </w:rPr>
        <w:t>с</w:t>
      </w:r>
      <w:r w:rsidRPr="008F4D02">
        <w:rPr>
          <w:rFonts w:eastAsia="TimesNewRoman"/>
        </w:rPr>
        <w:t xml:space="preserve"> </w:t>
      </w:r>
      <w:r>
        <w:rPr>
          <w:rFonts w:eastAsia="TimesNewRoman"/>
        </w:rPr>
        <w:t>неадекватным</w:t>
      </w:r>
      <w:r w:rsidRPr="008F4D02">
        <w:rPr>
          <w:rFonts w:eastAsia="TimesNewRoman"/>
        </w:rPr>
        <w:t xml:space="preserve"> </w:t>
      </w:r>
      <w:r>
        <w:rPr>
          <w:rFonts w:eastAsia="TimesNewRoman"/>
        </w:rPr>
        <w:t>контролем</w:t>
      </w:r>
      <w:r w:rsidRPr="008F4D02">
        <w:rPr>
          <w:rFonts w:eastAsia="TimesNewRoman"/>
        </w:rPr>
        <w:t xml:space="preserve"> </w:t>
      </w:r>
      <w:r>
        <w:rPr>
          <w:rFonts w:eastAsia="TimesNewRoman"/>
        </w:rPr>
        <w:t>гликемии.</w:t>
      </w:r>
    </w:p>
    <w:tbl>
      <w:tblPr>
        <w:tblStyle w:val="TableGrid"/>
        <w:tblW w:w="0" w:type="auto"/>
        <w:tblLook w:val="04A0" w:firstRow="1" w:lastRow="0" w:firstColumn="1" w:lastColumn="0" w:noHBand="0" w:noVBand="1"/>
      </w:tblPr>
      <w:tblGrid>
        <w:gridCol w:w="3963"/>
        <w:gridCol w:w="1418"/>
        <w:gridCol w:w="1984"/>
        <w:gridCol w:w="1979"/>
      </w:tblGrid>
      <w:tr w:rsidR="00345876" w:rsidRPr="008F4D02" w14:paraId="58EC31CC" w14:textId="77777777" w:rsidTr="007756D8">
        <w:trPr>
          <w:tblHeader/>
        </w:trPr>
        <w:tc>
          <w:tcPr>
            <w:tcW w:w="9345" w:type="dxa"/>
            <w:gridSpan w:val="4"/>
            <w:shd w:val="clear" w:color="auto" w:fill="D9D9D9" w:themeFill="background1" w:themeFillShade="D9"/>
            <w:vAlign w:val="center"/>
          </w:tcPr>
          <w:p w14:paraId="593ECA85" w14:textId="77777777" w:rsidR="00345876" w:rsidRPr="00D83909" w:rsidRDefault="00345876" w:rsidP="008A0417">
            <w:pPr>
              <w:autoSpaceDE w:val="0"/>
              <w:autoSpaceDN w:val="0"/>
              <w:adjustRightInd w:val="0"/>
              <w:spacing w:line="240" w:lineRule="auto"/>
              <w:contextualSpacing/>
              <w:jc w:val="center"/>
              <w:rPr>
                <w:rFonts w:eastAsia="TimesNewRoman"/>
                <w:b/>
                <w:bCs/>
              </w:rPr>
            </w:pPr>
            <w:r w:rsidRPr="00D83909">
              <w:rPr>
                <w:rFonts w:eastAsia="TimesNewRoman"/>
                <w:b/>
                <w:bCs/>
              </w:rPr>
              <w:t>Добавление эмпаглифлозина к метформину и линаглиптину 5 мг</w:t>
            </w:r>
          </w:p>
        </w:tc>
      </w:tr>
      <w:tr w:rsidR="00345876" w:rsidRPr="008F4D02" w14:paraId="7B3180DC" w14:textId="77777777" w:rsidTr="007756D8">
        <w:trPr>
          <w:tblHeader/>
        </w:trPr>
        <w:tc>
          <w:tcPr>
            <w:tcW w:w="3964" w:type="dxa"/>
            <w:vMerge w:val="restart"/>
            <w:shd w:val="clear" w:color="auto" w:fill="D9D9D9" w:themeFill="background1" w:themeFillShade="D9"/>
            <w:vAlign w:val="center"/>
          </w:tcPr>
          <w:p w14:paraId="783F4502" w14:textId="77777777" w:rsidR="00345876" w:rsidRPr="00D83909" w:rsidRDefault="00345876" w:rsidP="008A0417">
            <w:pPr>
              <w:autoSpaceDE w:val="0"/>
              <w:autoSpaceDN w:val="0"/>
              <w:adjustRightInd w:val="0"/>
              <w:spacing w:line="240" w:lineRule="auto"/>
              <w:contextualSpacing/>
              <w:rPr>
                <w:rFonts w:eastAsia="TimesNewRoman"/>
                <w:b/>
                <w:bCs/>
              </w:rPr>
            </w:pPr>
          </w:p>
        </w:tc>
        <w:tc>
          <w:tcPr>
            <w:tcW w:w="1418" w:type="dxa"/>
            <w:vMerge w:val="restart"/>
            <w:shd w:val="clear" w:color="auto" w:fill="D9D9D9" w:themeFill="background1" w:themeFillShade="D9"/>
            <w:vAlign w:val="center"/>
          </w:tcPr>
          <w:p w14:paraId="2E475F21" w14:textId="77777777" w:rsidR="00345876" w:rsidRPr="00D83909" w:rsidRDefault="00345876" w:rsidP="008A0417">
            <w:pPr>
              <w:autoSpaceDE w:val="0"/>
              <w:autoSpaceDN w:val="0"/>
              <w:adjustRightInd w:val="0"/>
              <w:spacing w:line="240" w:lineRule="auto"/>
              <w:contextualSpacing/>
              <w:jc w:val="center"/>
              <w:rPr>
                <w:rFonts w:eastAsia="TimesNewRoman"/>
                <w:b/>
                <w:bCs/>
              </w:rPr>
            </w:pPr>
            <w:r w:rsidRPr="00D83909">
              <w:rPr>
                <w:rFonts w:eastAsia="TimesNewRoman"/>
                <w:b/>
                <w:bCs/>
              </w:rPr>
              <w:t>Плацебо</w:t>
            </w:r>
          </w:p>
        </w:tc>
        <w:tc>
          <w:tcPr>
            <w:tcW w:w="3963" w:type="dxa"/>
            <w:gridSpan w:val="2"/>
            <w:shd w:val="clear" w:color="auto" w:fill="D9D9D9" w:themeFill="background1" w:themeFillShade="D9"/>
            <w:vAlign w:val="center"/>
          </w:tcPr>
          <w:p w14:paraId="03194324" w14:textId="77777777" w:rsidR="00345876" w:rsidRPr="00D83909" w:rsidRDefault="00345876" w:rsidP="008A0417">
            <w:pPr>
              <w:autoSpaceDE w:val="0"/>
              <w:autoSpaceDN w:val="0"/>
              <w:adjustRightInd w:val="0"/>
              <w:spacing w:line="240" w:lineRule="auto"/>
              <w:contextualSpacing/>
              <w:jc w:val="center"/>
              <w:rPr>
                <w:rFonts w:eastAsia="TimesNewRoman"/>
                <w:b/>
                <w:bCs/>
              </w:rPr>
            </w:pPr>
            <w:r w:rsidRPr="00D83909">
              <w:rPr>
                <w:rFonts w:eastAsia="TimesNewRoman"/>
                <w:b/>
                <w:bCs/>
              </w:rPr>
              <w:t>Эмпаглифлозин</w:t>
            </w:r>
            <w:r w:rsidRPr="00D83909">
              <w:rPr>
                <w:rFonts w:eastAsia="TimesNewRoman"/>
                <w:b/>
                <w:bCs/>
                <w:vertAlign w:val="superscript"/>
              </w:rPr>
              <w:t>6</w:t>
            </w:r>
          </w:p>
        </w:tc>
      </w:tr>
      <w:tr w:rsidR="00345876" w:rsidRPr="008F4D02" w14:paraId="615B112D" w14:textId="77777777" w:rsidTr="007756D8">
        <w:trPr>
          <w:tblHeader/>
        </w:trPr>
        <w:tc>
          <w:tcPr>
            <w:tcW w:w="3964" w:type="dxa"/>
            <w:vMerge/>
            <w:shd w:val="clear" w:color="auto" w:fill="D9D9D9" w:themeFill="background1" w:themeFillShade="D9"/>
            <w:vAlign w:val="center"/>
          </w:tcPr>
          <w:p w14:paraId="35296E63" w14:textId="77777777" w:rsidR="00345876" w:rsidRPr="00D83909" w:rsidRDefault="00345876" w:rsidP="008A0417">
            <w:pPr>
              <w:autoSpaceDE w:val="0"/>
              <w:autoSpaceDN w:val="0"/>
              <w:adjustRightInd w:val="0"/>
              <w:spacing w:line="240" w:lineRule="auto"/>
              <w:contextualSpacing/>
              <w:rPr>
                <w:rFonts w:eastAsia="TimesNewRoman"/>
                <w:b/>
                <w:bCs/>
              </w:rPr>
            </w:pPr>
          </w:p>
        </w:tc>
        <w:tc>
          <w:tcPr>
            <w:tcW w:w="1418" w:type="dxa"/>
            <w:vMerge/>
            <w:shd w:val="clear" w:color="auto" w:fill="D9D9D9" w:themeFill="background1" w:themeFillShade="D9"/>
            <w:vAlign w:val="center"/>
          </w:tcPr>
          <w:p w14:paraId="117C9D1E" w14:textId="77777777" w:rsidR="00345876" w:rsidRPr="00D83909" w:rsidRDefault="00345876" w:rsidP="008A0417">
            <w:pPr>
              <w:autoSpaceDE w:val="0"/>
              <w:autoSpaceDN w:val="0"/>
              <w:adjustRightInd w:val="0"/>
              <w:spacing w:line="240" w:lineRule="auto"/>
              <w:contextualSpacing/>
              <w:jc w:val="center"/>
              <w:rPr>
                <w:rFonts w:eastAsia="TimesNewRoman"/>
                <w:b/>
                <w:bCs/>
              </w:rPr>
            </w:pPr>
          </w:p>
        </w:tc>
        <w:tc>
          <w:tcPr>
            <w:tcW w:w="1984" w:type="dxa"/>
            <w:shd w:val="clear" w:color="auto" w:fill="D9D9D9" w:themeFill="background1" w:themeFillShade="D9"/>
            <w:vAlign w:val="center"/>
          </w:tcPr>
          <w:p w14:paraId="74A43082" w14:textId="77777777" w:rsidR="00345876" w:rsidRPr="00D83909" w:rsidRDefault="00345876" w:rsidP="008A0417">
            <w:pPr>
              <w:autoSpaceDE w:val="0"/>
              <w:autoSpaceDN w:val="0"/>
              <w:adjustRightInd w:val="0"/>
              <w:spacing w:line="240" w:lineRule="auto"/>
              <w:contextualSpacing/>
              <w:jc w:val="center"/>
              <w:rPr>
                <w:rFonts w:eastAsia="TimesNewRoman"/>
                <w:b/>
                <w:bCs/>
              </w:rPr>
            </w:pPr>
            <w:r w:rsidRPr="00D83909">
              <w:rPr>
                <w:rFonts w:eastAsia="TimesNewRoman"/>
                <w:b/>
                <w:bCs/>
              </w:rPr>
              <w:t>10 мг</w:t>
            </w:r>
          </w:p>
        </w:tc>
        <w:tc>
          <w:tcPr>
            <w:tcW w:w="1979" w:type="dxa"/>
            <w:shd w:val="clear" w:color="auto" w:fill="D9D9D9" w:themeFill="background1" w:themeFillShade="D9"/>
            <w:vAlign w:val="center"/>
          </w:tcPr>
          <w:p w14:paraId="59E5D64C" w14:textId="77777777" w:rsidR="00345876" w:rsidRPr="00D83909" w:rsidRDefault="00345876" w:rsidP="008A0417">
            <w:pPr>
              <w:autoSpaceDE w:val="0"/>
              <w:autoSpaceDN w:val="0"/>
              <w:adjustRightInd w:val="0"/>
              <w:spacing w:line="240" w:lineRule="auto"/>
              <w:contextualSpacing/>
              <w:jc w:val="center"/>
              <w:rPr>
                <w:rFonts w:eastAsia="TimesNewRoman"/>
                <w:b/>
                <w:bCs/>
              </w:rPr>
            </w:pPr>
            <w:r w:rsidRPr="00D83909">
              <w:rPr>
                <w:rFonts w:eastAsia="TimesNewRoman"/>
                <w:b/>
                <w:bCs/>
              </w:rPr>
              <w:t>25 мг</w:t>
            </w:r>
          </w:p>
        </w:tc>
      </w:tr>
      <w:tr w:rsidR="00345876" w:rsidRPr="008F4D02" w14:paraId="5C87673A" w14:textId="77777777" w:rsidTr="007756D8">
        <w:tc>
          <w:tcPr>
            <w:tcW w:w="3964" w:type="dxa"/>
          </w:tcPr>
          <w:p w14:paraId="7DAED6F1" w14:textId="77777777" w:rsidR="00345876" w:rsidRPr="008F4D02" w:rsidRDefault="00345876" w:rsidP="008A0417">
            <w:pPr>
              <w:autoSpaceDE w:val="0"/>
              <w:autoSpaceDN w:val="0"/>
              <w:adjustRightInd w:val="0"/>
              <w:spacing w:line="240" w:lineRule="auto"/>
              <w:contextualSpacing/>
              <w:rPr>
                <w:rFonts w:eastAsia="TimesNewRoman"/>
              </w:rPr>
            </w:pPr>
            <w:r>
              <w:rPr>
                <w:rFonts w:eastAsia="TimesNewRoman"/>
              </w:rPr>
              <w:t>Количество пациентов</w:t>
            </w:r>
          </w:p>
        </w:tc>
        <w:tc>
          <w:tcPr>
            <w:tcW w:w="1418" w:type="dxa"/>
            <w:vAlign w:val="center"/>
          </w:tcPr>
          <w:p w14:paraId="3778D576"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106</w:t>
            </w:r>
          </w:p>
        </w:tc>
        <w:tc>
          <w:tcPr>
            <w:tcW w:w="1984" w:type="dxa"/>
            <w:vAlign w:val="center"/>
          </w:tcPr>
          <w:p w14:paraId="31A1D7BA"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109</w:t>
            </w:r>
          </w:p>
        </w:tc>
        <w:tc>
          <w:tcPr>
            <w:tcW w:w="1979" w:type="dxa"/>
            <w:vAlign w:val="center"/>
          </w:tcPr>
          <w:p w14:paraId="28DDB577"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110</w:t>
            </w:r>
          </w:p>
        </w:tc>
      </w:tr>
      <w:tr w:rsidR="00345876" w:rsidRPr="008F4D02" w14:paraId="1CE205E9" w14:textId="77777777" w:rsidTr="007756D8">
        <w:tc>
          <w:tcPr>
            <w:tcW w:w="9345" w:type="dxa"/>
            <w:gridSpan w:val="4"/>
            <w:vAlign w:val="center"/>
          </w:tcPr>
          <w:p w14:paraId="51900378" w14:textId="77777777" w:rsidR="00345876" w:rsidRPr="00D83909" w:rsidRDefault="00345876" w:rsidP="008A0417">
            <w:pPr>
              <w:autoSpaceDE w:val="0"/>
              <w:autoSpaceDN w:val="0"/>
              <w:adjustRightInd w:val="0"/>
              <w:spacing w:line="240" w:lineRule="auto"/>
              <w:contextualSpacing/>
              <w:rPr>
                <w:rFonts w:eastAsia="TimesNewRoman"/>
              </w:rPr>
            </w:pPr>
            <w:r w:rsidRPr="00166A50">
              <w:rPr>
                <w:b/>
                <w:bCs/>
                <w:lang w:val="en-US"/>
              </w:rPr>
              <w:t>HbA1c (%)</w:t>
            </w:r>
            <w:r w:rsidRPr="00D83909">
              <w:rPr>
                <w:b/>
                <w:bCs/>
                <w:vertAlign w:val="superscript"/>
              </w:rPr>
              <w:t>3</w:t>
            </w:r>
          </w:p>
        </w:tc>
      </w:tr>
      <w:tr w:rsidR="00345876" w:rsidRPr="008F4D02" w14:paraId="0E6837F6" w14:textId="77777777" w:rsidTr="007756D8">
        <w:tc>
          <w:tcPr>
            <w:tcW w:w="3964" w:type="dxa"/>
          </w:tcPr>
          <w:p w14:paraId="26098407" w14:textId="77777777" w:rsidR="00345876" w:rsidRPr="008F4D02" w:rsidRDefault="00345876" w:rsidP="008A0417">
            <w:pPr>
              <w:autoSpaceDE w:val="0"/>
              <w:autoSpaceDN w:val="0"/>
              <w:adjustRightInd w:val="0"/>
              <w:spacing w:line="240" w:lineRule="auto"/>
              <w:ind w:left="175"/>
              <w:contextualSpacing/>
              <w:rPr>
                <w:rFonts w:eastAsia="TimesNewRoman"/>
              </w:rPr>
            </w:pPr>
            <w:r>
              <w:t>Исходное значение (среднее)</w:t>
            </w:r>
          </w:p>
        </w:tc>
        <w:tc>
          <w:tcPr>
            <w:tcW w:w="1418" w:type="dxa"/>
            <w:vAlign w:val="center"/>
          </w:tcPr>
          <w:p w14:paraId="561AC5DA"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7,96</w:t>
            </w:r>
          </w:p>
        </w:tc>
        <w:tc>
          <w:tcPr>
            <w:tcW w:w="1984" w:type="dxa"/>
            <w:vAlign w:val="center"/>
          </w:tcPr>
          <w:p w14:paraId="5C2516B5"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7,97</w:t>
            </w:r>
          </w:p>
        </w:tc>
        <w:tc>
          <w:tcPr>
            <w:tcW w:w="1979" w:type="dxa"/>
            <w:vAlign w:val="center"/>
          </w:tcPr>
          <w:p w14:paraId="15E507C8"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7,97</w:t>
            </w:r>
          </w:p>
        </w:tc>
      </w:tr>
      <w:tr w:rsidR="00345876" w:rsidRPr="008F4D02" w14:paraId="73D4D773" w14:textId="77777777" w:rsidTr="007756D8">
        <w:tc>
          <w:tcPr>
            <w:tcW w:w="3964" w:type="dxa"/>
          </w:tcPr>
          <w:p w14:paraId="4F37839A" w14:textId="77777777" w:rsidR="00345876" w:rsidRPr="008F4D02" w:rsidRDefault="00345876" w:rsidP="008A0417">
            <w:pPr>
              <w:autoSpaceDE w:val="0"/>
              <w:autoSpaceDN w:val="0"/>
              <w:adjustRightInd w:val="0"/>
              <w:spacing w:line="240" w:lineRule="auto"/>
              <w:ind w:left="175"/>
              <w:contextualSpacing/>
              <w:rPr>
                <w:rFonts w:eastAsia="TimesNewRoman"/>
              </w:rPr>
            </w:pPr>
            <w:r>
              <w:t>Изменение от исходного значения</w:t>
            </w:r>
            <w:r w:rsidRPr="00FB191F">
              <w:rPr>
                <w:vertAlign w:val="superscript"/>
              </w:rPr>
              <w:t>1</w:t>
            </w:r>
          </w:p>
        </w:tc>
        <w:tc>
          <w:tcPr>
            <w:tcW w:w="1418" w:type="dxa"/>
            <w:vAlign w:val="center"/>
          </w:tcPr>
          <w:p w14:paraId="1FC07D5E"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0,14</w:t>
            </w:r>
          </w:p>
        </w:tc>
        <w:tc>
          <w:tcPr>
            <w:tcW w:w="1984" w:type="dxa"/>
            <w:vAlign w:val="center"/>
          </w:tcPr>
          <w:p w14:paraId="3696517F"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-0,65</w:t>
            </w:r>
          </w:p>
        </w:tc>
        <w:tc>
          <w:tcPr>
            <w:tcW w:w="1979" w:type="dxa"/>
            <w:vAlign w:val="center"/>
          </w:tcPr>
          <w:p w14:paraId="3FC14084"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-0,56</w:t>
            </w:r>
          </w:p>
        </w:tc>
      </w:tr>
      <w:tr w:rsidR="00345876" w:rsidRPr="008F4D02" w14:paraId="6B21C097" w14:textId="77777777" w:rsidTr="007756D8">
        <w:tc>
          <w:tcPr>
            <w:tcW w:w="3964" w:type="dxa"/>
          </w:tcPr>
          <w:p w14:paraId="475A4C44" w14:textId="77777777" w:rsidR="00345876" w:rsidRPr="008F4D02" w:rsidRDefault="00345876" w:rsidP="008A0417">
            <w:pPr>
              <w:autoSpaceDE w:val="0"/>
              <w:autoSpaceDN w:val="0"/>
              <w:adjustRightInd w:val="0"/>
              <w:spacing w:line="240" w:lineRule="auto"/>
              <w:ind w:left="175"/>
              <w:contextualSpacing/>
              <w:rPr>
                <w:rFonts w:eastAsia="TimesNewRoman"/>
              </w:rPr>
            </w:pPr>
            <w:r>
              <w:t>Разница с плацебо (95% ДИ)</w:t>
            </w:r>
            <w:r w:rsidRPr="00166A50">
              <w:rPr>
                <w:vertAlign w:val="superscript"/>
              </w:rPr>
              <w:t>1</w:t>
            </w:r>
          </w:p>
        </w:tc>
        <w:tc>
          <w:tcPr>
            <w:tcW w:w="1418" w:type="dxa"/>
            <w:vAlign w:val="center"/>
          </w:tcPr>
          <w:p w14:paraId="6E2C9F59" w14:textId="77777777" w:rsidR="00345876" w:rsidRPr="008F4D02" w:rsidRDefault="00345876" w:rsidP="008A0417">
            <w:pPr>
              <w:autoSpaceDE w:val="0"/>
              <w:autoSpaceDN w:val="0"/>
              <w:adjustRightInd w:val="0"/>
              <w:spacing w:line="240" w:lineRule="auto"/>
              <w:contextualSpacing/>
              <w:jc w:val="center"/>
              <w:rPr>
                <w:rFonts w:eastAsia="TimesNewRoman"/>
              </w:rPr>
            </w:pPr>
          </w:p>
        </w:tc>
        <w:tc>
          <w:tcPr>
            <w:tcW w:w="1984" w:type="dxa"/>
            <w:vAlign w:val="center"/>
          </w:tcPr>
          <w:p w14:paraId="40EA0095"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-0,79*</w:t>
            </w:r>
            <w:r>
              <w:rPr>
                <w:rFonts w:eastAsia="TimesNewRoman"/>
              </w:rPr>
              <w:br/>
              <w:t>(-1,02; -0,55)</w:t>
            </w:r>
          </w:p>
        </w:tc>
        <w:tc>
          <w:tcPr>
            <w:tcW w:w="1979" w:type="dxa"/>
            <w:vAlign w:val="center"/>
          </w:tcPr>
          <w:p w14:paraId="6C2539A8"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-0,70*</w:t>
            </w:r>
            <w:r>
              <w:rPr>
                <w:rFonts w:eastAsia="TimesNewRoman"/>
              </w:rPr>
              <w:br/>
              <w:t>(-0,93; -0,46)</w:t>
            </w:r>
          </w:p>
        </w:tc>
      </w:tr>
      <w:tr w:rsidR="00345876" w:rsidRPr="008F4D02" w14:paraId="03D91C81" w14:textId="77777777" w:rsidTr="007756D8">
        <w:tc>
          <w:tcPr>
            <w:tcW w:w="3964" w:type="dxa"/>
            <w:vAlign w:val="center"/>
          </w:tcPr>
          <w:p w14:paraId="08E643B1" w14:textId="77777777" w:rsidR="00345876" w:rsidRPr="008F4D02" w:rsidRDefault="00345876" w:rsidP="008A0417">
            <w:pPr>
              <w:autoSpaceDE w:val="0"/>
              <w:autoSpaceDN w:val="0"/>
              <w:adjustRightInd w:val="0"/>
              <w:spacing w:line="240" w:lineRule="auto"/>
              <w:contextualSpacing/>
              <w:rPr>
                <w:rFonts w:eastAsia="TimesNewRoman"/>
              </w:rPr>
            </w:pPr>
            <w:r>
              <w:rPr>
                <w:rFonts w:eastAsia="TimesNewRoman"/>
              </w:rPr>
              <w:t>Количество пациентов</w:t>
            </w:r>
          </w:p>
        </w:tc>
        <w:tc>
          <w:tcPr>
            <w:tcW w:w="1418" w:type="dxa"/>
            <w:vAlign w:val="center"/>
          </w:tcPr>
          <w:p w14:paraId="04BF80E5"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100</w:t>
            </w:r>
          </w:p>
        </w:tc>
        <w:tc>
          <w:tcPr>
            <w:tcW w:w="1984" w:type="dxa"/>
            <w:vAlign w:val="center"/>
          </w:tcPr>
          <w:p w14:paraId="41C08F62"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100</w:t>
            </w:r>
          </w:p>
        </w:tc>
        <w:tc>
          <w:tcPr>
            <w:tcW w:w="1979" w:type="dxa"/>
            <w:vAlign w:val="center"/>
          </w:tcPr>
          <w:p w14:paraId="1349734D"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107</w:t>
            </w:r>
          </w:p>
        </w:tc>
      </w:tr>
      <w:tr w:rsidR="00345876" w:rsidRPr="008F4D02" w14:paraId="4DED6C70" w14:textId="77777777" w:rsidTr="007756D8">
        <w:tc>
          <w:tcPr>
            <w:tcW w:w="3964" w:type="dxa"/>
            <w:vAlign w:val="center"/>
          </w:tcPr>
          <w:p w14:paraId="3B2737F0" w14:textId="77777777" w:rsidR="00345876" w:rsidRPr="008F4D02" w:rsidRDefault="00345876" w:rsidP="008A0417">
            <w:pPr>
              <w:autoSpaceDE w:val="0"/>
              <w:autoSpaceDN w:val="0"/>
              <w:adjustRightInd w:val="0"/>
              <w:spacing w:line="240" w:lineRule="auto"/>
              <w:contextualSpacing/>
              <w:rPr>
                <w:rFonts w:eastAsia="TimesNewRoman"/>
              </w:rPr>
            </w:pPr>
            <w:r w:rsidRPr="00166A50">
              <w:rPr>
                <w:b/>
                <w:bCs/>
              </w:rPr>
              <w:t xml:space="preserve">Пациенты с исходным уровнем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≥7%, достигнувшие уровня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&lt;7% (%)</w:t>
            </w:r>
            <w:r w:rsidRPr="00166A50">
              <w:rPr>
                <w:b/>
                <w:bCs/>
                <w:vertAlign w:val="superscript"/>
              </w:rPr>
              <w:t>2</w:t>
            </w:r>
          </w:p>
        </w:tc>
        <w:tc>
          <w:tcPr>
            <w:tcW w:w="1418" w:type="dxa"/>
            <w:vAlign w:val="center"/>
          </w:tcPr>
          <w:p w14:paraId="6A99B911"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17,0</w:t>
            </w:r>
          </w:p>
        </w:tc>
        <w:tc>
          <w:tcPr>
            <w:tcW w:w="1984" w:type="dxa"/>
            <w:vAlign w:val="center"/>
          </w:tcPr>
          <w:p w14:paraId="265DBAF0"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37,0</w:t>
            </w:r>
          </w:p>
        </w:tc>
        <w:tc>
          <w:tcPr>
            <w:tcW w:w="1979" w:type="dxa"/>
            <w:vAlign w:val="center"/>
          </w:tcPr>
          <w:p w14:paraId="74D94307"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32,7</w:t>
            </w:r>
          </w:p>
        </w:tc>
      </w:tr>
      <w:tr w:rsidR="00345876" w:rsidRPr="008F4D02" w14:paraId="772AB958" w14:textId="77777777" w:rsidTr="007756D8">
        <w:tc>
          <w:tcPr>
            <w:tcW w:w="3964" w:type="dxa"/>
            <w:vAlign w:val="center"/>
          </w:tcPr>
          <w:p w14:paraId="2865D922" w14:textId="77777777" w:rsidR="00345876" w:rsidRPr="008F4D02" w:rsidRDefault="00345876" w:rsidP="008A0417">
            <w:pPr>
              <w:autoSpaceDE w:val="0"/>
              <w:autoSpaceDN w:val="0"/>
              <w:adjustRightInd w:val="0"/>
              <w:spacing w:line="240" w:lineRule="auto"/>
              <w:contextualSpacing/>
              <w:rPr>
                <w:rFonts w:eastAsia="TimesNewRoman"/>
              </w:rPr>
            </w:pPr>
            <w:r>
              <w:rPr>
                <w:rFonts w:eastAsia="TimesNewRoman"/>
              </w:rPr>
              <w:t>Количество пациентов</w:t>
            </w:r>
          </w:p>
        </w:tc>
        <w:tc>
          <w:tcPr>
            <w:tcW w:w="1418" w:type="dxa"/>
            <w:vAlign w:val="center"/>
          </w:tcPr>
          <w:p w14:paraId="6647BC06"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106</w:t>
            </w:r>
          </w:p>
        </w:tc>
        <w:tc>
          <w:tcPr>
            <w:tcW w:w="1984" w:type="dxa"/>
            <w:vAlign w:val="center"/>
          </w:tcPr>
          <w:p w14:paraId="690527BD"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109</w:t>
            </w:r>
          </w:p>
        </w:tc>
        <w:tc>
          <w:tcPr>
            <w:tcW w:w="1979" w:type="dxa"/>
            <w:vAlign w:val="center"/>
          </w:tcPr>
          <w:p w14:paraId="05D27DA4"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110</w:t>
            </w:r>
          </w:p>
        </w:tc>
      </w:tr>
      <w:tr w:rsidR="00345876" w:rsidRPr="008F4D02" w14:paraId="74E06875" w14:textId="77777777" w:rsidTr="007756D8">
        <w:tc>
          <w:tcPr>
            <w:tcW w:w="9345" w:type="dxa"/>
            <w:gridSpan w:val="4"/>
            <w:vAlign w:val="center"/>
          </w:tcPr>
          <w:p w14:paraId="3D154AB9" w14:textId="77777777" w:rsidR="00345876" w:rsidRPr="008F4D02" w:rsidRDefault="00345876" w:rsidP="008A0417">
            <w:pPr>
              <w:autoSpaceDE w:val="0"/>
              <w:autoSpaceDN w:val="0"/>
              <w:adjustRightInd w:val="0"/>
              <w:spacing w:line="240" w:lineRule="auto"/>
              <w:contextualSpacing/>
              <w:rPr>
                <w:rFonts w:eastAsia="TimesNewRoman"/>
              </w:rPr>
            </w:pPr>
            <w:r w:rsidRPr="00166A50">
              <w:rPr>
                <w:b/>
                <w:bCs/>
              </w:rPr>
              <w:t>Масса тела (кг)</w:t>
            </w:r>
            <w:r w:rsidRPr="00D83909">
              <w:rPr>
                <w:b/>
                <w:bCs/>
                <w:vertAlign w:val="superscript"/>
              </w:rPr>
              <w:t>3</w:t>
            </w:r>
          </w:p>
        </w:tc>
      </w:tr>
      <w:tr w:rsidR="00345876" w:rsidRPr="008F4D02" w14:paraId="04C1F03F" w14:textId="77777777" w:rsidTr="007756D8">
        <w:tc>
          <w:tcPr>
            <w:tcW w:w="3964" w:type="dxa"/>
          </w:tcPr>
          <w:p w14:paraId="601434C2" w14:textId="77777777" w:rsidR="00345876" w:rsidRPr="008F4D02" w:rsidRDefault="00345876" w:rsidP="008A0417">
            <w:pPr>
              <w:autoSpaceDE w:val="0"/>
              <w:autoSpaceDN w:val="0"/>
              <w:adjustRightInd w:val="0"/>
              <w:spacing w:line="240" w:lineRule="auto"/>
              <w:ind w:left="175"/>
              <w:contextualSpacing/>
              <w:rPr>
                <w:rFonts w:eastAsia="TimesNewRoman"/>
              </w:rPr>
            </w:pPr>
            <w:r>
              <w:t>Исходное значение (среднее)</w:t>
            </w:r>
          </w:p>
        </w:tc>
        <w:tc>
          <w:tcPr>
            <w:tcW w:w="1418" w:type="dxa"/>
            <w:vAlign w:val="center"/>
          </w:tcPr>
          <w:p w14:paraId="0238D1D1"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82,3</w:t>
            </w:r>
          </w:p>
        </w:tc>
        <w:tc>
          <w:tcPr>
            <w:tcW w:w="1984" w:type="dxa"/>
            <w:vAlign w:val="center"/>
          </w:tcPr>
          <w:p w14:paraId="58D60283"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88,4</w:t>
            </w:r>
          </w:p>
        </w:tc>
        <w:tc>
          <w:tcPr>
            <w:tcW w:w="1979" w:type="dxa"/>
            <w:vAlign w:val="center"/>
          </w:tcPr>
          <w:p w14:paraId="252B2F4A"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84,4</w:t>
            </w:r>
          </w:p>
        </w:tc>
      </w:tr>
      <w:tr w:rsidR="00345876" w:rsidRPr="008F4D02" w14:paraId="38974F9A" w14:textId="77777777" w:rsidTr="007756D8">
        <w:tc>
          <w:tcPr>
            <w:tcW w:w="3964" w:type="dxa"/>
          </w:tcPr>
          <w:p w14:paraId="1F2A4382" w14:textId="77777777" w:rsidR="00345876" w:rsidRPr="008F4D02" w:rsidRDefault="00345876" w:rsidP="008A0417">
            <w:pPr>
              <w:autoSpaceDE w:val="0"/>
              <w:autoSpaceDN w:val="0"/>
              <w:adjustRightInd w:val="0"/>
              <w:spacing w:line="240" w:lineRule="auto"/>
              <w:ind w:left="175"/>
              <w:contextualSpacing/>
              <w:rPr>
                <w:rFonts w:eastAsia="TimesNewRoman"/>
              </w:rPr>
            </w:pPr>
            <w:r>
              <w:t>Изменение от исходного значения</w:t>
            </w:r>
            <w:r w:rsidRPr="00FB191F">
              <w:rPr>
                <w:vertAlign w:val="superscript"/>
              </w:rPr>
              <w:t>1</w:t>
            </w:r>
          </w:p>
        </w:tc>
        <w:tc>
          <w:tcPr>
            <w:tcW w:w="1418" w:type="dxa"/>
            <w:vAlign w:val="center"/>
          </w:tcPr>
          <w:p w14:paraId="336C828E"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-0,3</w:t>
            </w:r>
          </w:p>
        </w:tc>
        <w:tc>
          <w:tcPr>
            <w:tcW w:w="1984" w:type="dxa"/>
            <w:vAlign w:val="center"/>
          </w:tcPr>
          <w:p w14:paraId="64D9617E"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-3,1</w:t>
            </w:r>
          </w:p>
        </w:tc>
        <w:tc>
          <w:tcPr>
            <w:tcW w:w="1979" w:type="dxa"/>
            <w:vAlign w:val="center"/>
          </w:tcPr>
          <w:p w14:paraId="027E0BCC"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-2,5</w:t>
            </w:r>
          </w:p>
        </w:tc>
      </w:tr>
      <w:tr w:rsidR="00345876" w:rsidRPr="008F4D02" w14:paraId="12F5355F" w14:textId="77777777" w:rsidTr="007756D8">
        <w:tc>
          <w:tcPr>
            <w:tcW w:w="3964" w:type="dxa"/>
          </w:tcPr>
          <w:p w14:paraId="1FD58D28" w14:textId="77777777" w:rsidR="00345876" w:rsidRPr="008F4D02" w:rsidRDefault="00345876" w:rsidP="008A0417">
            <w:pPr>
              <w:autoSpaceDE w:val="0"/>
              <w:autoSpaceDN w:val="0"/>
              <w:adjustRightInd w:val="0"/>
              <w:spacing w:line="240" w:lineRule="auto"/>
              <w:ind w:left="175"/>
              <w:contextualSpacing/>
              <w:rPr>
                <w:rFonts w:eastAsia="TimesNewRoman"/>
              </w:rPr>
            </w:pPr>
            <w:r>
              <w:t>Разница с плацебо (95% ДИ)</w:t>
            </w:r>
          </w:p>
        </w:tc>
        <w:tc>
          <w:tcPr>
            <w:tcW w:w="1418" w:type="dxa"/>
            <w:vAlign w:val="center"/>
          </w:tcPr>
          <w:p w14:paraId="5E950994" w14:textId="77777777" w:rsidR="00345876" w:rsidRPr="008F4D02" w:rsidRDefault="00345876" w:rsidP="008A0417">
            <w:pPr>
              <w:autoSpaceDE w:val="0"/>
              <w:autoSpaceDN w:val="0"/>
              <w:adjustRightInd w:val="0"/>
              <w:spacing w:line="240" w:lineRule="auto"/>
              <w:contextualSpacing/>
              <w:jc w:val="center"/>
              <w:rPr>
                <w:rFonts w:eastAsia="TimesNewRoman"/>
              </w:rPr>
            </w:pPr>
          </w:p>
        </w:tc>
        <w:tc>
          <w:tcPr>
            <w:tcW w:w="1984" w:type="dxa"/>
            <w:vAlign w:val="center"/>
          </w:tcPr>
          <w:p w14:paraId="169D48A3"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-2,8*</w:t>
            </w:r>
            <w:r>
              <w:rPr>
                <w:rFonts w:eastAsia="TimesNewRoman"/>
              </w:rPr>
              <w:br/>
              <w:t>(-3,5; -2,1)</w:t>
            </w:r>
          </w:p>
        </w:tc>
        <w:tc>
          <w:tcPr>
            <w:tcW w:w="1979" w:type="dxa"/>
            <w:vAlign w:val="center"/>
          </w:tcPr>
          <w:p w14:paraId="2AF84ED6"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-2,2*</w:t>
            </w:r>
            <w:r>
              <w:rPr>
                <w:rFonts w:eastAsia="TimesNewRoman"/>
              </w:rPr>
              <w:br/>
              <w:t>(-2,9; -1,5)</w:t>
            </w:r>
          </w:p>
        </w:tc>
      </w:tr>
      <w:tr w:rsidR="00345876" w:rsidRPr="008F4D02" w14:paraId="55BC7E32" w14:textId="77777777" w:rsidTr="007756D8">
        <w:tc>
          <w:tcPr>
            <w:tcW w:w="3964" w:type="dxa"/>
            <w:vAlign w:val="center"/>
          </w:tcPr>
          <w:p w14:paraId="640D37E1" w14:textId="77777777" w:rsidR="00345876" w:rsidRPr="008F4D02" w:rsidRDefault="00345876" w:rsidP="008A0417">
            <w:pPr>
              <w:autoSpaceDE w:val="0"/>
              <w:autoSpaceDN w:val="0"/>
              <w:adjustRightInd w:val="0"/>
              <w:spacing w:line="240" w:lineRule="auto"/>
              <w:contextualSpacing/>
              <w:rPr>
                <w:rFonts w:eastAsia="TimesNewRoman"/>
              </w:rPr>
            </w:pPr>
            <w:r>
              <w:rPr>
                <w:rFonts w:eastAsia="TimesNewRoman"/>
              </w:rPr>
              <w:t>Количество пациентов</w:t>
            </w:r>
          </w:p>
        </w:tc>
        <w:tc>
          <w:tcPr>
            <w:tcW w:w="1418" w:type="dxa"/>
            <w:vAlign w:val="center"/>
          </w:tcPr>
          <w:p w14:paraId="6A259FAF"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106</w:t>
            </w:r>
          </w:p>
        </w:tc>
        <w:tc>
          <w:tcPr>
            <w:tcW w:w="1984" w:type="dxa"/>
            <w:vAlign w:val="center"/>
          </w:tcPr>
          <w:p w14:paraId="406BDA76"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109</w:t>
            </w:r>
          </w:p>
        </w:tc>
        <w:tc>
          <w:tcPr>
            <w:tcW w:w="1979" w:type="dxa"/>
            <w:vAlign w:val="center"/>
          </w:tcPr>
          <w:p w14:paraId="04A8AB33"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110</w:t>
            </w:r>
          </w:p>
        </w:tc>
      </w:tr>
      <w:tr w:rsidR="00345876" w:rsidRPr="008F4D02" w14:paraId="73D06F29" w14:textId="77777777" w:rsidTr="007756D8">
        <w:tc>
          <w:tcPr>
            <w:tcW w:w="9345" w:type="dxa"/>
            <w:gridSpan w:val="4"/>
            <w:vAlign w:val="center"/>
          </w:tcPr>
          <w:p w14:paraId="3B42269F" w14:textId="77777777" w:rsidR="00345876" w:rsidRPr="008F4D02" w:rsidRDefault="00345876" w:rsidP="008A0417">
            <w:pPr>
              <w:autoSpaceDE w:val="0"/>
              <w:autoSpaceDN w:val="0"/>
              <w:adjustRightInd w:val="0"/>
              <w:spacing w:line="240" w:lineRule="auto"/>
              <w:contextualSpacing/>
              <w:rPr>
                <w:rFonts w:eastAsia="TimesNewRoman"/>
              </w:rPr>
            </w:pPr>
            <w:r w:rsidRPr="00166A50">
              <w:rPr>
                <w:b/>
                <w:bCs/>
              </w:rPr>
              <w:t>САД (мм.рт.ст)</w:t>
            </w:r>
            <w:r>
              <w:rPr>
                <w:b/>
                <w:bCs/>
                <w:vertAlign w:val="superscript"/>
              </w:rPr>
              <w:t>4</w:t>
            </w:r>
          </w:p>
        </w:tc>
      </w:tr>
      <w:tr w:rsidR="00345876" w:rsidRPr="008F4D02" w14:paraId="5A80182E" w14:textId="77777777" w:rsidTr="007756D8">
        <w:tc>
          <w:tcPr>
            <w:tcW w:w="3964" w:type="dxa"/>
          </w:tcPr>
          <w:p w14:paraId="1E456A16" w14:textId="77777777" w:rsidR="00345876" w:rsidRPr="008F4D02" w:rsidRDefault="00345876" w:rsidP="008A0417">
            <w:pPr>
              <w:autoSpaceDE w:val="0"/>
              <w:autoSpaceDN w:val="0"/>
              <w:adjustRightInd w:val="0"/>
              <w:spacing w:line="240" w:lineRule="auto"/>
              <w:contextualSpacing/>
              <w:rPr>
                <w:rFonts w:eastAsia="TimesNewRoman"/>
              </w:rPr>
            </w:pPr>
            <w:r>
              <w:t>Исходное значение (среднее)</w:t>
            </w:r>
          </w:p>
        </w:tc>
        <w:tc>
          <w:tcPr>
            <w:tcW w:w="1418" w:type="dxa"/>
            <w:vAlign w:val="center"/>
          </w:tcPr>
          <w:p w14:paraId="6803A0F0"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130,1</w:t>
            </w:r>
          </w:p>
        </w:tc>
        <w:tc>
          <w:tcPr>
            <w:tcW w:w="1984" w:type="dxa"/>
            <w:vAlign w:val="center"/>
          </w:tcPr>
          <w:p w14:paraId="6E41F3F2"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130,4</w:t>
            </w:r>
          </w:p>
        </w:tc>
        <w:tc>
          <w:tcPr>
            <w:tcW w:w="1979" w:type="dxa"/>
            <w:vAlign w:val="center"/>
          </w:tcPr>
          <w:p w14:paraId="7338862B"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131,0</w:t>
            </w:r>
          </w:p>
        </w:tc>
      </w:tr>
      <w:tr w:rsidR="00345876" w:rsidRPr="008F4D02" w14:paraId="1FA48E69" w14:textId="77777777" w:rsidTr="007756D8">
        <w:tc>
          <w:tcPr>
            <w:tcW w:w="3964" w:type="dxa"/>
          </w:tcPr>
          <w:p w14:paraId="7F2C8096" w14:textId="77777777" w:rsidR="00345876" w:rsidRPr="008F4D02" w:rsidRDefault="00345876" w:rsidP="008A0417">
            <w:pPr>
              <w:autoSpaceDE w:val="0"/>
              <w:autoSpaceDN w:val="0"/>
              <w:adjustRightInd w:val="0"/>
              <w:spacing w:line="240" w:lineRule="auto"/>
              <w:contextualSpacing/>
              <w:rPr>
                <w:rFonts w:eastAsia="TimesNewRoman"/>
              </w:rPr>
            </w:pPr>
            <w:r>
              <w:t>Изменение от исходного значения</w:t>
            </w:r>
            <w:r w:rsidRPr="00FB191F">
              <w:rPr>
                <w:vertAlign w:val="superscript"/>
              </w:rPr>
              <w:t>1</w:t>
            </w:r>
          </w:p>
        </w:tc>
        <w:tc>
          <w:tcPr>
            <w:tcW w:w="1418" w:type="dxa"/>
            <w:vAlign w:val="center"/>
          </w:tcPr>
          <w:p w14:paraId="694DFF90"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-1,7</w:t>
            </w:r>
          </w:p>
        </w:tc>
        <w:tc>
          <w:tcPr>
            <w:tcW w:w="1984" w:type="dxa"/>
            <w:vAlign w:val="center"/>
          </w:tcPr>
          <w:p w14:paraId="705227ED"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-3,0</w:t>
            </w:r>
          </w:p>
        </w:tc>
        <w:tc>
          <w:tcPr>
            <w:tcW w:w="1979" w:type="dxa"/>
            <w:vAlign w:val="center"/>
          </w:tcPr>
          <w:p w14:paraId="1AD2AF87"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-4,3</w:t>
            </w:r>
          </w:p>
        </w:tc>
      </w:tr>
      <w:tr w:rsidR="00345876" w:rsidRPr="008F4D02" w14:paraId="69E07D0A" w14:textId="77777777" w:rsidTr="007756D8">
        <w:tc>
          <w:tcPr>
            <w:tcW w:w="3964" w:type="dxa"/>
          </w:tcPr>
          <w:p w14:paraId="06F806BF" w14:textId="77777777" w:rsidR="00345876" w:rsidRPr="008F4D02" w:rsidRDefault="00345876" w:rsidP="008A0417">
            <w:pPr>
              <w:autoSpaceDE w:val="0"/>
              <w:autoSpaceDN w:val="0"/>
              <w:adjustRightInd w:val="0"/>
              <w:spacing w:line="240" w:lineRule="auto"/>
              <w:contextualSpacing/>
              <w:rPr>
                <w:rFonts w:eastAsia="TimesNewRoman"/>
              </w:rPr>
            </w:pPr>
            <w:r>
              <w:t>Разница с плацебо (95% ДИ)</w:t>
            </w:r>
          </w:p>
        </w:tc>
        <w:tc>
          <w:tcPr>
            <w:tcW w:w="1418" w:type="dxa"/>
            <w:vAlign w:val="center"/>
          </w:tcPr>
          <w:p w14:paraId="7427947E" w14:textId="77777777" w:rsidR="00345876" w:rsidRPr="008F4D02" w:rsidRDefault="00345876" w:rsidP="008A0417">
            <w:pPr>
              <w:autoSpaceDE w:val="0"/>
              <w:autoSpaceDN w:val="0"/>
              <w:adjustRightInd w:val="0"/>
              <w:spacing w:line="240" w:lineRule="auto"/>
              <w:contextualSpacing/>
              <w:jc w:val="center"/>
              <w:rPr>
                <w:rFonts w:eastAsia="TimesNewRoman"/>
              </w:rPr>
            </w:pPr>
          </w:p>
        </w:tc>
        <w:tc>
          <w:tcPr>
            <w:tcW w:w="1984" w:type="dxa"/>
            <w:vAlign w:val="center"/>
          </w:tcPr>
          <w:p w14:paraId="2D788E13"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-1,3</w:t>
            </w:r>
            <w:r>
              <w:rPr>
                <w:rFonts w:eastAsia="TimesNewRoman"/>
              </w:rPr>
              <w:br/>
              <w:t>(-4,2; 1,7)</w:t>
            </w:r>
          </w:p>
        </w:tc>
        <w:tc>
          <w:tcPr>
            <w:tcW w:w="1979" w:type="dxa"/>
            <w:vAlign w:val="center"/>
          </w:tcPr>
          <w:p w14:paraId="04EF42C0" w14:textId="77777777" w:rsidR="00345876" w:rsidRPr="008F4D02" w:rsidRDefault="00345876" w:rsidP="008A0417">
            <w:pPr>
              <w:autoSpaceDE w:val="0"/>
              <w:autoSpaceDN w:val="0"/>
              <w:adjustRightInd w:val="0"/>
              <w:spacing w:line="240" w:lineRule="auto"/>
              <w:contextualSpacing/>
              <w:jc w:val="center"/>
              <w:rPr>
                <w:rFonts w:eastAsia="TimesNewRoman"/>
              </w:rPr>
            </w:pPr>
            <w:r>
              <w:rPr>
                <w:rFonts w:eastAsia="TimesNewRoman"/>
              </w:rPr>
              <w:t>-2,6</w:t>
            </w:r>
            <w:r>
              <w:rPr>
                <w:rFonts w:eastAsia="TimesNewRoman"/>
              </w:rPr>
              <w:br/>
              <w:t>(-5,5; 0,4)</w:t>
            </w:r>
          </w:p>
        </w:tc>
      </w:tr>
      <w:tr w:rsidR="00345876" w:rsidRPr="008F4D02" w14:paraId="350F9179" w14:textId="77777777" w:rsidTr="007756D8">
        <w:tc>
          <w:tcPr>
            <w:tcW w:w="9345" w:type="dxa"/>
            <w:gridSpan w:val="4"/>
          </w:tcPr>
          <w:p w14:paraId="6429D8CC" w14:textId="77777777" w:rsidR="00345876" w:rsidRPr="008F4D02" w:rsidRDefault="00345876" w:rsidP="008A0417">
            <w:pPr>
              <w:autoSpaceDE w:val="0"/>
              <w:autoSpaceDN w:val="0"/>
              <w:adjustRightInd w:val="0"/>
              <w:spacing w:line="240" w:lineRule="auto"/>
              <w:contextualSpacing/>
              <w:rPr>
                <w:rFonts w:eastAsia="TimesNewRoman"/>
                <w:b/>
                <w:bCs/>
                <w:sz w:val="20"/>
                <w:szCs w:val="20"/>
              </w:rPr>
            </w:pPr>
            <w:r w:rsidRPr="008F4D02">
              <w:rPr>
                <w:rFonts w:eastAsia="TimesNewRoman"/>
                <w:b/>
                <w:bCs/>
                <w:sz w:val="20"/>
                <w:szCs w:val="20"/>
              </w:rPr>
              <w:t>Примечание:</w:t>
            </w:r>
          </w:p>
          <w:p w14:paraId="346F0717" w14:textId="77777777" w:rsidR="00345876" w:rsidRPr="00166A50" w:rsidRDefault="00345876" w:rsidP="008A0417">
            <w:pPr>
              <w:spacing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САД – систолическое артериальное давление, </w:t>
            </w:r>
            <w:r>
              <w:rPr>
                <w:rFonts w:eastAsia="TimesNewRoman"/>
                <w:sz w:val="20"/>
                <w:szCs w:val="20"/>
              </w:rPr>
              <w:t>ДИ – доверительный интервал</w:t>
            </w:r>
            <w:r>
              <w:rPr>
                <w:sz w:val="20"/>
                <w:szCs w:val="20"/>
              </w:rPr>
              <w:t>.</w:t>
            </w:r>
          </w:p>
          <w:p w14:paraId="226FD64C"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8F4D02">
              <w:rPr>
                <w:rFonts w:eastAsia="TimesNewRoman"/>
                <w:sz w:val="20"/>
                <w:szCs w:val="20"/>
              </w:rPr>
              <w:t xml:space="preserve">1 </w:t>
            </w:r>
            <w:r>
              <w:rPr>
                <w:rFonts w:eastAsia="TimesNewRoman"/>
                <w:sz w:val="20"/>
                <w:szCs w:val="20"/>
              </w:rPr>
              <w:t xml:space="preserve">- </w:t>
            </w:r>
            <w:r w:rsidRPr="003E3E7E">
              <w:rPr>
                <w:rFonts w:eastAsia="TimesNewRoman"/>
                <w:sz w:val="20"/>
                <w:szCs w:val="20"/>
              </w:rPr>
              <w:t xml:space="preserve">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377CEC63"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8F4D02">
              <w:rPr>
                <w:rFonts w:eastAsia="TimesNewRoman"/>
                <w:sz w:val="20"/>
                <w:szCs w:val="20"/>
              </w:rPr>
              <w:t xml:space="preserve">2 </w:t>
            </w:r>
            <w:r>
              <w:rPr>
                <w:rFonts w:eastAsia="TimesNewRoman"/>
                <w:sz w:val="20"/>
                <w:szCs w:val="20"/>
              </w:rPr>
              <w:t xml:space="preserve">- </w:t>
            </w:r>
            <w:r w:rsidRPr="008F4D02">
              <w:rPr>
                <w:rFonts w:eastAsia="TimesNewRoman"/>
                <w:sz w:val="20"/>
                <w:szCs w:val="20"/>
              </w:rPr>
              <w:t>Статистическая значимость не оценивалась; не является частью процедуры последовательного тестирования для вторичных конечных точек</w:t>
            </w:r>
            <w:r>
              <w:rPr>
                <w:rFonts w:eastAsia="TimesNewRoman"/>
                <w:sz w:val="20"/>
                <w:szCs w:val="20"/>
              </w:rPr>
              <w:t>;</w:t>
            </w:r>
          </w:p>
          <w:p w14:paraId="4E857671"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8F4D02">
              <w:rPr>
                <w:rFonts w:eastAsia="TimesNewRoman"/>
                <w:sz w:val="20"/>
                <w:szCs w:val="20"/>
              </w:rPr>
              <w:t xml:space="preserve">3 </w:t>
            </w:r>
            <w:r>
              <w:rPr>
                <w:rFonts w:eastAsia="TimesNewRoman"/>
                <w:sz w:val="20"/>
                <w:szCs w:val="20"/>
              </w:rPr>
              <w:t xml:space="preserve">- </w:t>
            </w:r>
            <w:r w:rsidRPr="008F4D02">
              <w:rPr>
                <w:rFonts w:eastAsia="TimesNewRoman"/>
                <w:sz w:val="20"/>
                <w:szCs w:val="20"/>
              </w:rPr>
              <w:t>Модель MMRM</w:t>
            </w:r>
            <w:r>
              <w:rPr>
                <w:rFonts w:eastAsia="TimesNewRoman"/>
                <w:sz w:val="20"/>
                <w:szCs w:val="20"/>
              </w:rPr>
              <w:t xml:space="preserve"> </w:t>
            </w:r>
            <w:r w:rsidRPr="00920C4B">
              <w:rPr>
                <w:rFonts w:eastAsia="TimesNewRoman"/>
                <w:color w:val="000000" w:themeColor="text1"/>
                <w:sz w:val="20"/>
                <w:szCs w:val="20"/>
              </w:rPr>
              <w:t>(</w:t>
            </w:r>
            <w:hyperlink r:id="rId21" w:history="1">
              <w:r w:rsidRPr="00920C4B">
                <w:rPr>
                  <w:rStyle w:val="Hyperlink"/>
                  <w:color w:val="000000" w:themeColor="text1"/>
                  <w:sz w:val="20"/>
                  <w:szCs w:val="20"/>
                </w:rPr>
                <w:t>смешанная модель повторных измерений</w:t>
              </w:r>
            </w:hyperlink>
            <w:r w:rsidRPr="00920C4B">
              <w:rPr>
                <w:rFonts w:eastAsia="TimesNewRoman"/>
                <w:color w:val="000000" w:themeColor="text1"/>
                <w:sz w:val="20"/>
                <w:szCs w:val="20"/>
              </w:rPr>
              <w:t xml:space="preserve">) </w:t>
            </w:r>
            <w:r w:rsidRPr="008F4D02">
              <w:rPr>
                <w:rFonts w:eastAsia="TimesNewRoman"/>
                <w:sz w:val="20"/>
                <w:szCs w:val="20"/>
              </w:rPr>
              <w:t xml:space="preserve"> на полном наборе для анализа с использованием подхода наблюдаемых случаев включала исходный уровень HbA1c, исходную рСКФ (</w:t>
            </w:r>
            <w:r>
              <w:rPr>
                <w:rFonts w:eastAsia="TimesNewRoman"/>
                <w:sz w:val="20"/>
                <w:szCs w:val="20"/>
              </w:rPr>
              <w:t xml:space="preserve">по формуле </w:t>
            </w:r>
            <w:r w:rsidRPr="008F4D02">
              <w:rPr>
                <w:rFonts w:eastAsia="TimesNewRoman"/>
                <w:sz w:val="20"/>
                <w:szCs w:val="20"/>
              </w:rPr>
              <w:t xml:space="preserve">MDRD), географический регион, посещение, лечение и </w:t>
            </w:r>
            <w:r>
              <w:rPr>
                <w:rFonts w:eastAsia="TimesNewRoman"/>
                <w:sz w:val="20"/>
                <w:szCs w:val="20"/>
              </w:rPr>
              <w:t xml:space="preserve">приверженность к </w:t>
            </w:r>
            <w:r w:rsidRPr="008F4D02">
              <w:rPr>
                <w:rFonts w:eastAsia="TimesNewRoman"/>
                <w:sz w:val="20"/>
                <w:szCs w:val="20"/>
              </w:rPr>
              <w:t>лечени</w:t>
            </w:r>
            <w:r>
              <w:rPr>
                <w:rFonts w:eastAsia="TimesNewRoman"/>
                <w:sz w:val="20"/>
                <w:szCs w:val="20"/>
              </w:rPr>
              <w:t>ю</w:t>
            </w:r>
            <w:r w:rsidRPr="008F4D02">
              <w:rPr>
                <w:rFonts w:eastAsia="TimesNewRoman"/>
                <w:sz w:val="20"/>
                <w:szCs w:val="20"/>
              </w:rPr>
              <w:t xml:space="preserve"> по </w:t>
            </w:r>
            <w:r>
              <w:rPr>
                <w:rFonts w:eastAsia="TimesNewRoman"/>
                <w:sz w:val="20"/>
                <w:szCs w:val="20"/>
              </w:rPr>
              <w:t>визитам</w:t>
            </w:r>
            <w:r w:rsidRPr="008F4D02">
              <w:rPr>
                <w:rFonts w:eastAsia="TimesNewRoman"/>
                <w:sz w:val="20"/>
                <w:szCs w:val="20"/>
              </w:rPr>
              <w:t xml:space="preserve">. Для </w:t>
            </w:r>
            <w:r>
              <w:rPr>
                <w:rFonts w:eastAsia="TimesNewRoman"/>
                <w:sz w:val="20"/>
                <w:szCs w:val="20"/>
              </w:rPr>
              <w:t xml:space="preserve">оценки </w:t>
            </w:r>
            <w:r w:rsidRPr="008F4D02">
              <w:rPr>
                <w:rFonts w:eastAsia="TimesNewRoman"/>
                <w:sz w:val="20"/>
                <w:szCs w:val="20"/>
              </w:rPr>
              <w:t xml:space="preserve">веса был </w:t>
            </w:r>
            <w:r>
              <w:rPr>
                <w:rFonts w:eastAsia="TimesNewRoman"/>
                <w:sz w:val="20"/>
                <w:szCs w:val="20"/>
              </w:rPr>
              <w:t>использован</w:t>
            </w:r>
            <w:r w:rsidRPr="008F4D02">
              <w:rPr>
                <w:rFonts w:eastAsia="TimesNewRoman"/>
                <w:sz w:val="20"/>
                <w:szCs w:val="20"/>
              </w:rPr>
              <w:t xml:space="preserve"> исходный вес</w:t>
            </w:r>
            <w:r>
              <w:rPr>
                <w:rFonts w:eastAsia="TimesNewRoman"/>
                <w:sz w:val="20"/>
                <w:szCs w:val="20"/>
              </w:rPr>
              <w:t>;</w:t>
            </w:r>
          </w:p>
          <w:p w14:paraId="711DBD24"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8F4D02">
              <w:rPr>
                <w:rFonts w:eastAsia="TimesNewRoman"/>
                <w:sz w:val="20"/>
                <w:szCs w:val="20"/>
              </w:rPr>
              <w:t xml:space="preserve">4 </w:t>
            </w:r>
            <w:r>
              <w:rPr>
                <w:rFonts w:eastAsia="TimesNewRoman"/>
                <w:sz w:val="20"/>
                <w:szCs w:val="20"/>
              </w:rPr>
              <w:t xml:space="preserve">- </w:t>
            </w:r>
            <w:r w:rsidRPr="008F4D02">
              <w:rPr>
                <w:rFonts w:eastAsia="TimesNewRoman"/>
                <w:sz w:val="20"/>
                <w:szCs w:val="20"/>
              </w:rPr>
              <w:t xml:space="preserve">Модель </w:t>
            </w:r>
            <w:r w:rsidRPr="008F4D02">
              <w:rPr>
                <w:rFonts w:eastAsia="TimesNewRoman"/>
                <w:sz w:val="20"/>
                <w:szCs w:val="20"/>
                <w:lang w:val="en-US"/>
              </w:rPr>
              <w:t>MMRM</w:t>
            </w:r>
            <w:r w:rsidRPr="008F4D02">
              <w:rPr>
                <w:rFonts w:eastAsia="TimesNewRoman"/>
                <w:sz w:val="20"/>
                <w:szCs w:val="20"/>
              </w:rPr>
              <w:t xml:space="preserve"> </w:t>
            </w:r>
            <w:r w:rsidRPr="00920C4B">
              <w:rPr>
                <w:rFonts w:eastAsia="TimesNewRoman"/>
                <w:color w:val="000000" w:themeColor="text1"/>
                <w:sz w:val="20"/>
                <w:szCs w:val="20"/>
              </w:rPr>
              <w:t>(</w:t>
            </w:r>
            <w:r w:rsidR="004276B7">
              <w:fldChar w:fldCharType="begin"/>
            </w:r>
            <w:r w:rsidR="004276B7">
              <w:instrText xml:space="preserve"> HYPERLINK "https://www.multitran.com/m.exe?s=%D1%81%D0%BC%D0%B5%D1%88%D0%B0%D0%BD%D0%BD%D0%B0%D1%8F+%D0%BC%D0%BE%D0%B4%D0%B5%D0%BB%D1%8C</w:instrText>
            </w:r>
            <w:r w:rsidR="004276B7">
              <w:instrText xml:space="preserve">+%D0%BF%D0%BE%D0%B2%D1%82%D0%BE%D1%80%D0%BD%D1%8B%D1%85+%D0%B8%D0%B7%D0%BC%D0%B5%D1%80%D0%B5%D0%BD%D0%B8%D0%B9&amp;l1=2&amp;l2=1" </w:instrText>
            </w:r>
            <w:r w:rsidR="004276B7">
              <w:fldChar w:fldCharType="separate"/>
            </w:r>
            <w:r w:rsidRPr="00920C4B">
              <w:rPr>
                <w:rStyle w:val="Hyperlink"/>
                <w:color w:val="000000" w:themeColor="text1"/>
                <w:sz w:val="20"/>
                <w:szCs w:val="20"/>
              </w:rPr>
              <w:t>смешанная модель повторных измерений</w:t>
            </w:r>
            <w:r w:rsidR="004276B7">
              <w:rPr>
                <w:rStyle w:val="Hyperlink"/>
                <w:color w:val="000000" w:themeColor="text1"/>
                <w:sz w:val="20"/>
                <w:szCs w:val="20"/>
              </w:rPr>
              <w:fldChar w:fldCharType="end"/>
            </w:r>
            <w:r w:rsidRPr="00920C4B">
              <w:rPr>
                <w:rFonts w:eastAsia="TimesNewRoman"/>
                <w:color w:val="000000" w:themeColor="text1"/>
                <w:sz w:val="20"/>
                <w:szCs w:val="20"/>
              </w:rPr>
              <w:t xml:space="preserve">) </w:t>
            </w:r>
            <w:r w:rsidRPr="008F4D02">
              <w:rPr>
                <w:rFonts w:eastAsia="TimesNewRoman"/>
                <w:sz w:val="20"/>
                <w:szCs w:val="20"/>
              </w:rPr>
              <w:t xml:space="preserve">включала исходный уровень САД и исходный уровень </w:t>
            </w:r>
            <w:proofErr w:type="spellStart"/>
            <w:r w:rsidRPr="008F4D02">
              <w:rPr>
                <w:rFonts w:eastAsia="TimesNewRoman"/>
                <w:sz w:val="20"/>
                <w:szCs w:val="20"/>
                <w:lang w:val="en-US"/>
              </w:rPr>
              <w:t>HbA</w:t>
            </w:r>
            <w:proofErr w:type="spellEnd"/>
            <w:r w:rsidRPr="008F4D02">
              <w:rPr>
                <w:rFonts w:eastAsia="TimesNewRoman"/>
                <w:sz w:val="20"/>
                <w:szCs w:val="20"/>
              </w:rPr>
              <w:t>1</w:t>
            </w:r>
            <w:r w:rsidRPr="008F4D02">
              <w:rPr>
                <w:rFonts w:eastAsia="TimesNewRoman"/>
                <w:sz w:val="20"/>
                <w:szCs w:val="20"/>
                <w:lang w:val="en-US"/>
              </w:rPr>
              <w:t>c</w:t>
            </w:r>
            <w:r w:rsidRPr="008F4D02">
              <w:rPr>
                <w:rFonts w:eastAsia="TimesNewRoman"/>
                <w:sz w:val="20"/>
                <w:szCs w:val="20"/>
              </w:rPr>
              <w:t xml:space="preserve"> в качестве линейных ковариат, а также исходную рСКФ, географический регион, лечение, посещени</w:t>
            </w:r>
            <w:r>
              <w:rPr>
                <w:rFonts w:eastAsia="TimesNewRoman"/>
                <w:sz w:val="20"/>
                <w:szCs w:val="20"/>
              </w:rPr>
              <w:t>я исследовательского центра</w:t>
            </w:r>
            <w:r w:rsidRPr="008F4D02">
              <w:rPr>
                <w:rFonts w:eastAsia="TimesNewRoman"/>
                <w:sz w:val="20"/>
                <w:szCs w:val="20"/>
              </w:rPr>
              <w:t xml:space="preserve"> и </w:t>
            </w:r>
            <w:r>
              <w:rPr>
                <w:rFonts w:eastAsia="TimesNewRoman"/>
                <w:sz w:val="20"/>
                <w:szCs w:val="20"/>
              </w:rPr>
              <w:t>приверженность к лечению</w:t>
            </w:r>
            <w:r w:rsidRPr="008F4D02">
              <w:rPr>
                <w:rFonts w:eastAsia="TimesNewRoman"/>
                <w:sz w:val="20"/>
                <w:szCs w:val="20"/>
              </w:rPr>
              <w:t xml:space="preserve"> между </w:t>
            </w:r>
            <w:r>
              <w:rPr>
                <w:rFonts w:eastAsia="TimesNewRoman"/>
                <w:sz w:val="20"/>
                <w:szCs w:val="20"/>
              </w:rPr>
              <w:t>визитами;</w:t>
            </w:r>
          </w:p>
          <w:p w14:paraId="1CEE0418" w14:textId="77777777" w:rsidR="00345876" w:rsidRPr="008F4D02" w:rsidRDefault="00345876" w:rsidP="008A0417">
            <w:pPr>
              <w:autoSpaceDE w:val="0"/>
              <w:autoSpaceDN w:val="0"/>
              <w:adjustRightInd w:val="0"/>
              <w:spacing w:line="240" w:lineRule="auto"/>
              <w:contextualSpacing/>
              <w:rPr>
                <w:rFonts w:eastAsia="TimesNewRoman"/>
                <w:sz w:val="20"/>
                <w:szCs w:val="20"/>
              </w:rPr>
            </w:pPr>
            <w:r w:rsidRPr="008F4D02">
              <w:rPr>
                <w:rFonts w:eastAsia="TimesNewRoman"/>
                <w:sz w:val="20"/>
                <w:szCs w:val="20"/>
              </w:rPr>
              <w:t>5 -</w:t>
            </w:r>
            <w:r>
              <w:rPr>
                <w:rFonts w:eastAsia="TimesNewRoman"/>
                <w:sz w:val="20"/>
                <w:szCs w:val="20"/>
              </w:rPr>
              <w:t xml:space="preserve"> </w:t>
            </w:r>
            <w:r w:rsidRPr="008F4D02">
              <w:rPr>
                <w:rFonts w:eastAsia="TimesNewRoman"/>
                <w:sz w:val="20"/>
                <w:szCs w:val="20"/>
              </w:rPr>
              <w:t xml:space="preserve">Пациенты, рандомизированные в группу плацебо, получали плацебо </w:t>
            </w:r>
            <w:r>
              <w:rPr>
                <w:rFonts w:eastAsia="TimesNewRoman"/>
                <w:sz w:val="20"/>
                <w:szCs w:val="20"/>
              </w:rPr>
              <w:t>и</w:t>
            </w:r>
            <w:r w:rsidRPr="008F4D02">
              <w:rPr>
                <w:rFonts w:eastAsia="TimesNewRoman"/>
                <w:sz w:val="20"/>
                <w:szCs w:val="20"/>
              </w:rPr>
              <w:t xml:space="preserve"> линаглиптин 5 мг на фоне </w:t>
            </w:r>
            <w:r>
              <w:rPr>
                <w:rFonts w:eastAsia="TimesNewRoman"/>
                <w:sz w:val="20"/>
                <w:szCs w:val="20"/>
              </w:rPr>
              <w:t xml:space="preserve">приема </w:t>
            </w:r>
            <w:r w:rsidRPr="008F4D02">
              <w:rPr>
                <w:rFonts w:eastAsia="TimesNewRoman"/>
                <w:sz w:val="20"/>
                <w:szCs w:val="20"/>
              </w:rPr>
              <w:t>метформина</w:t>
            </w:r>
            <w:r>
              <w:rPr>
                <w:rFonts w:eastAsia="TimesNewRoman"/>
                <w:sz w:val="20"/>
                <w:szCs w:val="20"/>
              </w:rPr>
              <w:t>;</w:t>
            </w:r>
          </w:p>
          <w:p w14:paraId="721FC37D" w14:textId="77777777" w:rsidR="00345876" w:rsidRPr="00597D93" w:rsidRDefault="00345876" w:rsidP="008A0417">
            <w:pPr>
              <w:autoSpaceDE w:val="0"/>
              <w:autoSpaceDN w:val="0"/>
              <w:adjustRightInd w:val="0"/>
              <w:spacing w:line="240" w:lineRule="auto"/>
              <w:contextualSpacing/>
              <w:rPr>
                <w:rFonts w:eastAsia="TimesNewRoman"/>
                <w:sz w:val="20"/>
                <w:szCs w:val="20"/>
              </w:rPr>
            </w:pPr>
            <w:r w:rsidRPr="00597D93">
              <w:rPr>
                <w:rFonts w:eastAsia="TimesNewRoman"/>
                <w:sz w:val="20"/>
                <w:szCs w:val="20"/>
              </w:rPr>
              <w:t xml:space="preserve">6 </w:t>
            </w:r>
            <w:r>
              <w:rPr>
                <w:rFonts w:eastAsia="TimesNewRoman"/>
                <w:sz w:val="20"/>
                <w:szCs w:val="20"/>
              </w:rPr>
              <w:t xml:space="preserve">- </w:t>
            </w:r>
            <w:r w:rsidRPr="00597D93">
              <w:rPr>
                <w:rFonts w:eastAsia="TimesNewRoman"/>
                <w:sz w:val="20"/>
                <w:szCs w:val="20"/>
              </w:rPr>
              <w:t>Пациенты, рандомизированные в группы эмпаглифлозина 10 мг или 25 мг, получали эмпаглифлозин 10 мг или 25 мг и линаглиптин 5 мг на фоне приема метформина</w:t>
            </w:r>
            <w:r>
              <w:rPr>
                <w:rFonts w:eastAsia="TimesNewRoman"/>
                <w:sz w:val="20"/>
                <w:szCs w:val="20"/>
              </w:rPr>
              <w:t>;</w:t>
            </w:r>
          </w:p>
          <w:p w14:paraId="479B8A25" w14:textId="77777777" w:rsidR="00345876" w:rsidRPr="00597D93" w:rsidRDefault="00345876" w:rsidP="008A0417">
            <w:pPr>
              <w:autoSpaceDE w:val="0"/>
              <w:autoSpaceDN w:val="0"/>
              <w:adjustRightInd w:val="0"/>
              <w:spacing w:line="240" w:lineRule="auto"/>
              <w:contextualSpacing/>
              <w:rPr>
                <w:rFonts w:eastAsia="TimesNewRoman"/>
              </w:rPr>
            </w:pPr>
            <w:r w:rsidRPr="00597D93">
              <w:rPr>
                <w:rFonts w:eastAsia="TimesNewRoman"/>
                <w:sz w:val="20"/>
                <w:szCs w:val="20"/>
              </w:rPr>
              <w:t xml:space="preserve">* </w:t>
            </w:r>
            <w:r w:rsidRPr="008F4D02">
              <w:rPr>
                <w:rFonts w:eastAsia="TimesNewRoman"/>
                <w:sz w:val="20"/>
                <w:szCs w:val="20"/>
                <w:lang w:val="en-US"/>
              </w:rPr>
              <w:t>p</w:t>
            </w:r>
            <w:r w:rsidRPr="00597D93">
              <w:rPr>
                <w:rFonts w:eastAsia="TimesNewRoman"/>
                <w:sz w:val="20"/>
                <w:szCs w:val="20"/>
              </w:rPr>
              <w:t xml:space="preserve"> &lt;</w:t>
            </w:r>
            <w:r>
              <w:rPr>
                <w:rFonts w:eastAsia="TimesNewRoman"/>
                <w:sz w:val="20"/>
                <w:szCs w:val="20"/>
              </w:rPr>
              <w:t xml:space="preserve"> </w:t>
            </w:r>
            <w:r w:rsidRPr="00597D93">
              <w:rPr>
                <w:rFonts w:eastAsia="TimesNewRoman"/>
                <w:sz w:val="20"/>
                <w:szCs w:val="20"/>
              </w:rPr>
              <w:t>0.0001</w:t>
            </w:r>
            <w:r>
              <w:rPr>
                <w:rFonts w:eastAsia="TimesNewRoman"/>
                <w:sz w:val="20"/>
                <w:szCs w:val="20"/>
              </w:rPr>
              <w:t>.</w:t>
            </w:r>
          </w:p>
        </w:tc>
      </w:tr>
    </w:tbl>
    <w:p w14:paraId="314C953E"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62062D89" w14:textId="26344695" w:rsidR="00345876" w:rsidRPr="00597D93" w:rsidRDefault="00345876" w:rsidP="00345876">
      <w:pPr>
        <w:autoSpaceDE w:val="0"/>
        <w:autoSpaceDN w:val="0"/>
        <w:adjustRightInd w:val="0"/>
        <w:spacing w:after="0" w:line="240" w:lineRule="auto"/>
        <w:ind w:firstLine="709"/>
        <w:contextualSpacing/>
        <w:rPr>
          <w:rFonts w:eastAsia="TimesNewRoman"/>
        </w:rPr>
      </w:pPr>
      <w:bookmarkStart w:id="146" w:name="_Hlk130997071"/>
      <w:r w:rsidRPr="00597D93">
        <w:rPr>
          <w:rFonts w:eastAsia="TimesNewRoman"/>
        </w:rPr>
        <w:lastRenderedPageBreak/>
        <w:t xml:space="preserve">В предварительно определенной подгруппе пациентов с исходным уровнем </w:t>
      </w:r>
      <w:proofErr w:type="spellStart"/>
      <w:r w:rsidRPr="00597D93">
        <w:rPr>
          <w:rFonts w:eastAsia="TimesNewRoman"/>
          <w:lang w:val="en-US"/>
        </w:rPr>
        <w:t>HbA</w:t>
      </w:r>
      <w:proofErr w:type="spellEnd"/>
      <w:r w:rsidRPr="00597D93">
        <w:rPr>
          <w:rFonts w:eastAsia="TimesNewRoman"/>
        </w:rPr>
        <w:t>1</w:t>
      </w:r>
      <w:r w:rsidRPr="00597D93">
        <w:rPr>
          <w:rFonts w:eastAsia="TimesNewRoman"/>
          <w:lang w:val="en-US"/>
        </w:rPr>
        <w:t>c</w:t>
      </w:r>
      <w:r w:rsidRPr="00597D93">
        <w:rPr>
          <w:rFonts w:eastAsia="TimesNewRoman"/>
        </w:rPr>
        <w:t xml:space="preserve"> выше или равным 8,5% снижение </w:t>
      </w:r>
      <w:proofErr w:type="spellStart"/>
      <w:r w:rsidRPr="00597D93">
        <w:rPr>
          <w:rFonts w:eastAsia="TimesNewRoman"/>
          <w:lang w:val="en-US"/>
        </w:rPr>
        <w:t>HbA</w:t>
      </w:r>
      <w:proofErr w:type="spellEnd"/>
      <w:r w:rsidRPr="00597D93">
        <w:rPr>
          <w:rFonts w:eastAsia="TimesNewRoman"/>
        </w:rPr>
        <w:t>1</w:t>
      </w:r>
      <w:r w:rsidRPr="00597D93">
        <w:rPr>
          <w:rFonts w:eastAsia="TimesNewRoman"/>
          <w:lang w:val="en-US"/>
        </w:rPr>
        <w:t>c</w:t>
      </w:r>
      <w:r w:rsidRPr="00597D93">
        <w:rPr>
          <w:rFonts w:eastAsia="TimesNewRoman"/>
        </w:rPr>
        <w:t xml:space="preserve"> по сравнению с исходным уровнем составило -1,3% при применении эмпаглифлозина в доз</w:t>
      </w:r>
      <w:r>
        <w:rPr>
          <w:rFonts w:eastAsia="TimesNewRoman"/>
        </w:rPr>
        <w:t>ах</w:t>
      </w:r>
      <w:r w:rsidRPr="00597D93">
        <w:rPr>
          <w:rFonts w:eastAsia="TimesNewRoman"/>
        </w:rPr>
        <w:t xml:space="preserve"> 10 мг </w:t>
      </w:r>
      <w:r>
        <w:rPr>
          <w:rFonts w:eastAsia="TimesNewRoman"/>
        </w:rPr>
        <w:t>и</w:t>
      </w:r>
      <w:r w:rsidRPr="00597D93">
        <w:rPr>
          <w:rFonts w:eastAsia="TimesNewRoman"/>
        </w:rPr>
        <w:t xml:space="preserve"> 25 мг через 24 недели (</w:t>
      </w:r>
      <w:r w:rsidRPr="00597D93">
        <w:rPr>
          <w:rFonts w:eastAsia="TimesNewRoman"/>
          <w:lang w:val="en-US"/>
        </w:rPr>
        <w:t>p</w:t>
      </w:r>
      <w:r w:rsidRPr="00597D93">
        <w:rPr>
          <w:rFonts w:eastAsia="TimesNewRoman"/>
        </w:rPr>
        <w:t>&lt;0,0001) по сравнению с плацебо</w:t>
      </w:r>
      <w:r w:rsidR="008A0417" w:rsidRPr="008A0417">
        <w:rPr>
          <w:rFonts w:eastAsia="TimesNewRoman"/>
        </w:rPr>
        <w:t xml:space="preserve"> </w:t>
      </w:r>
      <w:r w:rsidR="008A0417" w:rsidRPr="004B66CD">
        <w:rPr>
          <w:rFonts w:eastAsia="TimesNewRoman"/>
        </w:rPr>
        <w:t>[21]</w:t>
      </w:r>
      <w:r w:rsidRPr="00597D93">
        <w:rPr>
          <w:rFonts w:eastAsia="TimesNewRoman"/>
        </w:rPr>
        <w:t>.</w:t>
      </w:r>
    </w:p>
    <w:bookmarkEnd w:id="146"/>
    <w:p w14:paraId="220DBB96" w14:textId="77777777" w:rsidR="00345876" w:rsidRPr="00597D93" w:rsidRDefault="00345876" w:rsidP="00345876">
      <w:pPr>
        <w:autoSpaceDE w:val="0"/>
        <w:autoSpaceDN w:val="0"/>
        <w:adjustRightInd w:val="0"/>
        <w:spacing w:after="0" w:line="240" w:lineRule="auto"/>
        <w:ind w:firstLine="709"/>
        <w:contextualSpacing/>
        <w:rPr>
          <w:rFonts w:eastAsia="TimesNewRoman"/>
        </w:rPr>
      </w:pPr>
    </w:p>
    <w:p w14:paraId="03E222AB" w14:textId="0C0F20B6" w:rsidR="00345876" w:rsidRPr="00597D93" w:rsidRDefault="00345876" w:rsidP="00345876">
      <w:pPr>
        <w:autoSpaceDE w:val="0"/>
        <w:autoSpaceDN w:val="0"/>
        <w:adjustRightInd w:val="0"/>
        <w:spacing w:after="0" w:line="240" w:lineRule="auto"/>
        <w:contextualSpacing/>
        <w:rPr>
          <w:rFonts w:eastAsia="TimesNewRoman"/>
          <w:b/>
          <w:bCs/>
          <w:i/>
          <w:iCs/>
        </w:rPr>
      </w:pPr>
      <w:bookmarkStart w:id="147" w:name="_Hlk130997084"/>
      <w:r>
        <w:rPr>
          <w:rFonts w:eastAsia="TimesNewRoman"/>
          <w:b/>
          <w:bCs/>
          <w:i/>
          <w:iCs/>
        </w:rPr>
        <w:t>Сравнение эффективности эмпаглифлозина в комбинации с метформином с глим</w:t>
      </w:r>
      <w:r w:rsidR="00B47330">
        <w:rPr>
          <w:rFonts w:eastAsia="TimesNewRoman"/>
          <w:b/>
          <w:bCs/>
          <w:i/>
          <w:iCs/>
        </w:rPr>
        <w:t>еперидом в течение 24-х месяцев</w:t>
      </w:r>
    </w:p>
    <w:p w14:paraId="15589DF1" w14:textId="77777777" w:rsidR="00345876" w:rsidRPr="00597D93" w:rsidRDefault="00345876" w:rsidP="00345876">
      <w:pPr>
        <w:autoSpaceDE w:val="0"/>
        <w:autoSpaceDN w:val="0"/>
        <w:adjustRightInd w:val="0"/>
        <w:spacing w:after="0" w:line="240" w:lineRule="auto"/>
        <w:ind w:firstLine="709"/>
        <w:contextualSpacing/>
        <w:rPr>
          <w:rFonts w:eastAsia="TimesNewRoman"/>
        </w:rPr>
      </w:pPr>
    </w:p>
    <w:p w14:paraId="03AFD349" w14:textId="641D58C8" w:rsidR="00345876" w:rsidRPr="002604EF" w:rsidRDefault="00345876" w:rsidP="00345876">
      <w:pPr>
        <w:autoSpaceDE w:val="0"/>
        <w:autoSpaceDN w:val="0"/>
        <w:adjustRightInd w:val="0"/>
        <w:spacing w:after="0" w:line="240" w:lineRule="auto"/>
        <w:ind w:firstLine="709"/>
        <w:contextualSpacing/>
        <w:rPr>
          <w:rFonts w:eastAsia="TimesNewRoman"/>
        </w:rPr>
      </w:pPr>
      <w:r w:rsidRPr="00597D93">
        <w:rPr>
          <w:rFonts w:eastAsia="TimesNewRoman"/>
        </w:rPr>
        <w:t xml:space="preserve">В исследовании, сравнивающем эффективность и безопасность эмпаглифлозина в дозе 25 мг и глимепирида (до 4 мг в день) у пациентов с неадекватным гликемическим контролем </w:t>
      </w:r>
      <w:r>
        <w:rPr>
          <w:rFonts w:eastAsia="TimesNewRoman"/>
        </w:rPr>
        <w:t>на фоне</w:t>
      </w:r>
      <w:r w:rsidRPr="00597D93">
        <w:rPr>
          <w:rFonts w:eastAsia="TimesNewRoman"/>
        </w:rPr>
        <w:t xml:space="preserve"> монотерапии метформином, ежедневное лечение эмпаглифлозином приводило к </w:t>
      </w:r>
      <w:r w:rsidRPr="002604EF">
        <w:rPr>
          <w:rFonts w:eastAsia="TimesNewRoman"/>
        </w:rPr>
        <w:t xml:space="preserve">значительному снижению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(таблица </w:t>
      </w:r>
      <w:r w:rsidR="002604EF" w:rsidRPr="002604EF">
        <w:rPr>
          <w:rFonts w:eastAsia="TimesNewRoman"/>
        </w:rPr>
        <w:t>4-</w:t>
      </w:r>
      <w:r w:rsidR="00DC32F1">
        <w:rPr>
          <w:rFonts w:eastAsia="TimesNewRoman"/>
        </w:rPr>
        <w:t>5</w:t>
      </w:r>
      <w:r w:rsidRPr="002604EF">
        <w:rPr>
          <w:rFonts w:eastAsia="TimesNewRoman"/>
        </w:rPr>
        <w:t xml:space="preserve">) и клинически значимому снижению ГПН по сравнению с глимепиридом. Применение эмпаглифлозина ежедневно приводило к статистически значимому снижению массы тела, систолического и диастолического артериального давления и статистически значимому снижению доли пациентов с эпизодами гипогликемии по сравнению с глимепиридом (2,5% для эмпаглифлозина, 24,2% для глимепирида, </w:t>
      </w:r>
      <w:r w:rsidRPr="002604EF">
        <w:rPr>
          <w:rFonts w:eastAsia="TimesNewRoman"/>
          <w:lang w:val="en-US"/>
        </w:rPr>
        <w:t>p</w:t>
      </w:r>
      <w:r w:rsidRPr="002604EF">
        <w:rPr>
          <w:rFonts w:eastAsia="TimesNewRoman"/>
        </w:rPr>
        <w:t>&lt;0,0001)</w:t>
      </w:r>
      <w:r w:rsidR="004B66CD" w:rsidRPr="002604EF">
        <w:rPr>
          <w:rFonts w:eastAsia="TimesNewRoman"/>
        </w:rPr>
        <w:t xml:space="preserve"> [21]</w:t>
      </w:r>
      <w:r w:rsidRPr="002604EF">
        <w:rPr>
          <w:rFonts w:eastAsia="TimesNewRoman"/>
        </w:rPr>
        <w:t>.</w:t>
      </w:r>
    </w:p>
    <w:bookmarkEnd w:id="147"/>
    <w:p w14:paraId="0B495BDC"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1855AD37" w14:textId="67E70862" w:rsidR="00345876" w:rsidRPr="00597D93"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w:t>
      </w:r>
      <w:r w:rsidR="00DC32F1">
        <w:rPr>
          <w:rFonts w:eastAsia="TimesNewRoman"/>
          <w:b/>
          <w:bCs/>
        </w:rPr>
        <w:t>5</w:t>
      </w:r>
      <w:r w:rsidRPr="002604EF">
        <w:rPr>
          <w:rFonts w:eastAsia="TimesNewRoman"/>
          <w:b/>
          <w:bCs/>
        </w:rPr>
        <w:t xml:space="preserve">. </w:t>
      </w:r>
      <w:r w:rsidRPr="002604EF">
        <w:rPr>
          <w:rFonts w:eastAsia="TimesNewRoman"/>
        </w:rPr>
        <w:t>Эффективность</w:t>
      </w:r>
      <w:r w:rsidRPr="00597D93">
        <w:rPr>
          <w:rFonts w:eastAsia="TimesNewRoman"/>
        </w:rPr>
        <w:t xml:space="preserve"> </w:t>
      </w:r>
      <w:r>
        <w:rPr>
          <w:rFonts w:eastAsia="TimesNewRoman"/>
        </w:rPr>
        <w:t>по</w:t>
      </w:r>
      <w:r w:rsidRPr="00597D93">
        <w:rPr>
          <w:rFonts w:eastAsia="TimesNewRoman"/>
        </w:rPr>
        <w:t xml:space="preserve"> </w:t>
      </w:r>
      <w:r>
        <w:rPr>
          <w:rFonts w:eastAsia="TimesNewRoman"/>
        </w:rPr>
        <w:t>данным</w:t>
      </w:r>
      <w:r w:rsidRPr="00597D93">
        <w:rPr>
          <w:rFonts w:eastAsia="TimesNewRoman"/>
        </w:rPr>
        <w:t xml:space="preserve"> 104-</w:t>
      </w:r>
      <w:r>
        <w:rPr>
          <w:rFonts w:eastAsia="TimesNewRoman"/>
        </w:rPr>
        <w:t>х</w:t>
      </w:r>
      <w:r w:rsidRPr="00597D93">
        <w:rPr>
          <w:rFonts w:eastAsia="TimesNewRoman"/>
        </w:rPr>
        <w:t xml:space="preserve"> </w:t>
      </w:r>
      <w:r>
        <w:rPr>
          <w:rFonts w:eastAsia="TimesNewRoman"/>
        </w:rPr>
        <w:t>недельного</w:t>
      </w:r>
      <w:r w:rsidRPr="00597D93">
        <w:rPr>
          <w:rFonts w:eastAsia="TimesNewRoman"/>
        </w:rPr>
        <w:t xml:space="preserve"> </w:t>
      </w:r>
      <w:r>
        <w:rPr>
          <w:rFonts w:eastAsia="TimesNewRoman"/>
        </w:rPr>
        <w:t>исследования</w:t>
      </w:r>
      <w:r w:rsidRPr="00597D93">
        <w:rPr>
          <w:rFonts w:eastAsia="TimesNewRoman"/>
        </w:rPr>
        <w:t xml:space="preserve"> </w:t>
      </w:r>
      <w:r>
        <w:rPr>
          <w:rFonts w:eastAsia="TimesNewRoman"/>
        </w:rPr>
        <w:t>эмпаглифлозина</w:t>
      </w:r>
      <w:r w:rsidRPr="00597D93">
        <w:rPr>
          <w:rFonts w:eastAsia="TimesNewRoman"/>
        </w:rPr>
        <w:t xml:space="preserve"> </w:t>
      </w:r>
      <w:r>
        <w:rPr>
          <w:rFonts w:eastAsia="TimesNewRoman"/>
        </w:rPr>
        <w:t>в</w:t>
      </w:r>
      <w:r w:rsidRPr="00597D93">
        <w:rPr>
          <w:rFonts w:eastAsia="TimesNewRoman"/>
        </w:rPr>
        <w:t xml:space="preserve"> </w:t>
      </w:r>
      <w:r>
        <w:rPr>
          <w:rFonts w:eastAsia="TimesNewRoman"/>
        </w:rPr>
        <w:t>комбинации</w:t>
      </w:r>
      <w:r w:rsidRPr="00597D93">
        <w:rPr>
          <w:rFonts w:eastAsia="TimesNewRoman"/>
        </w:rPr>
        <w:t xml:space="preserve"> </w:t>
      </w:r>
      <w:r>
        <w:rPr>
          <w:rFonts w:eastAsia="TimesNewRoman"/>
        </w:rPr>
        <w:t>с</w:t>
      </w:r>
      <w:r w:rsidRPr="00597D93">
        <w:rPr>
          <w:rFonts w:eastAsia="TimesNewRoman"/>
        </w:rPr>
        <w:t xml:space="preserve"> </w:t>
      </w:r>
      <w:r>
        <w:rPr>
          <w:rFonts w:eastAsia="TimesNewRoman"/>
        </w:rPr>
        <w:t>метформином</w:t>
      </w:r>
      <w:r w:rsidRPr="00597D93">
        <w:rPr>
          <w:rFonts w:eastAsia="TimesNewRoman"/>
        </w:rPr>
        <w:t xml:space="preserve"> </w:t>
      </w:r>
      <w:r>
        <w:rPr>
          <w:rFonts w:eastAsia="TimesNewRoman"/>
        </w:rPr>
        <w:t>в</w:t>
      </w:r>
      <w:r w:rsidRPr="00597D93">
        <w:rPr>
          <w:rFonts w:eastAsia="TimesNewRoman"/>
        </w:rPr>
        <w:t xml:space="preserve"> </w:t>
      </w:r>
      <w:r>
        <w:rPr>
          <w:rFonts w:eastAsia="TimesNewRoman"/>
        </w:rPr>
        <w:t>сравнении</w:t>
      </w:r>
      <w:r w:rsidRPr="00597D93">
        <w:rPr>
          <w:rFonts w:eastAsia="TimesNewRoman"/>
        </w:rPr>
        <w:t xml:space="preserve"> </w:t>
      </w:r>
      <w:r>
        <w:rPr>
          <w:rFonts w:eastAsia="TimesNewRoman"/>
        </w:rPr>
        <w:t>с</w:t>
      </w:r>
      <w:r w:rsidRPr="00597D93">
        <w:rPr>
          <w:rFonts w:eastAsia="TimesNewRoman"/>
        </w:rPr>
        <w:t xml:space="preserve"> </w:t>
      </w:r>
      <w:r>
        <w:rPr>
          <w:rFonts w:eastAsia="TimesNewRoman"/>
        </w:rPr>
        <w:t>комбинацией</w:t>
      </w:r>
      <w:r w:rsidRPr="00597D93">
        <w:rPr>
          <w:rFonts w:eastAsia="TimesNewRoman"/>
        </w:rPr>
        <w:t xml:space="preserve"> </w:t>
      </w:r>
      <w:r>
        <w:rPr>
          <w:rFonts w:eastAsia="TimesNewRoman"/>
        </w:rPr>
        <w:t>метформина</w:t>
      </w:r>
      <w:r w:rsidRPr="00597D93">
        <w:rPr>
          <w:rFonts w:eastAsia="TimesNewRoman"/>
        </w:rPr>
        <w:t xml:space="preserve"> </w:t>
      </w:r>
      <w:r>
        <w:rPr>
          <w:rFonts w:eastAsia="TimesNewRoman"/>
        </w:rPr>
        <w:t>и</w:t>
      </w:r>
      <w:r w:rsidRPr="00597D93">
        <w:rPr>
          <w:rFonts w:eastAsia="TimesNewRoman"/>
        </w:rPr>
        <w:t xml:space="preserve"> </w:t>
      </w:r>
      <w:r>
        <w:rPr>
          <w:rFonts w:eastAsia="TimesNewRoman"/>
        </w:rPr>
        <w:t>глимеперида</w:t>
      </w:r>
      <w:r w:rsidRPr="00597D93">
        <w:rPr>
          <w:rFonts w:eastAsia="TimesNewRoman"/>
          <w:vertAlign w:val="superscript"/>
        </w:rPr>
        <w:t>а</w:t>
      </w:r>
      <w:r w:rsidRPr="00597D93">
        <w:rPr>
          <w:rFonts w:eastAsia="TimesNewRoman"/>
        </w:rPr>
        <w:t>.</w:t>
      </w:r>
    </w:p>
    <w:tbl>
      <w:tblPr>
        <w:tblStyle w:val="TableGrid"/>
        <w:tblW w:w="0" w:type="auto"/>
        <w:tblLook w:val="04A0" w:firstRow="1" w:lastRow="0" w:firstColumn="1" w:lastColumn="0" w:noHBand="0" w:noVBand="1"/>
      </w:tblPr>
      <w:tblGrid>
        <w:gridCol w:w="4247"/>
        <w:gridCol w:w="2693"/>
        <w:gridCol w:w="2404"/>
      </w:tblGrid>
      <w:tr w:rsidR="00345876" w:rsidRPr="00597D93" w14:paraId="7D7C7506" w14:textId="77777777" w:rsidTr="007756D8">
        <w:trPr>
          <w:tblHeader/>
        </w:trPr>
        <w:tc>
          <w:tcPr>
            <w:tcW w:w="4248" w:type="dxa"/>
            <w:shd w:val="clear" w:color="auto" w:fill="D9D9D9" w:themeFill="background1" w:themeFillShade="D9"/>
          </w:tcPr>
          <w:p w14:paraId="29E2C37D"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p>
        </w:tc>
        <w:tc>
          <w:tcPr>
            <w:tcW w:w="2693" w:type="dxa"/>
            <w:shd w:val="clear" w:color="auto" w:fill="D9D9D9" w:themeFill="background1" w:themeFillShade="D9"/>
          </w:tcPr>
          <w:p w14:paraId="7B726833"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r w:rsidRPr="00D83909">
              <w:rPr>
                <w:rFonts w:eastAsia="TimesNewRoman"/>
                <w:b/>
                <w:bCs/>
              </w:rPr>
              <w:t>Эмпаглифлозин 25 мг</w:t>
            </w:r>
          </w:p>
        </w:tc>
        <w:tc>
          <w:tcPr>
            <w:tcW w:w="2404" w:type="dxa"/>
            <w:shd w:val="clear" w:color="auto" w:fill="D9D9D9" w:themeFill="background1" w:themeFillShade="D9"/>
          </w:tcPr>
          <w:p w14:paraId="6F146BE7" w14:textId="77777777" w:rsidR="00345876" w:rsidRPr="00D83909" w:rsidRDefault="00345876" w:rsidP="004B66CD">
            <w:pPr>
              <w:autoSpaceDE w:val="0"/>
              <w:autoSpaceDN w:val="0"/>
              <w:adjustRightInd w:val="0"/>
              <w:spacing w:after="0" w:line="240" w:lineRule="auto"/>
              <w:contextualSpacing/>
              <w:jc w:val="center"/>
              <w:rPr>
                <w:rFonts w:eastAsia="TimesNewRoman"/>
                <w:b/>
                <w:bCs/>
                <w:lang w:val="en-US"/>
              </w:rPr>
            </w:pPr>
            <w:r w:rsidRPr="00D83909">
              <w:rPr>
                <w:rFonts w:eastAsia="TimesNewRoman"/>
                <w:b/>
                <w:bCs/>
              </w:rPr>
              <w:t>Глимепирид</w:t>
            </w:r>
            <w:r w:rsidRPr="00D83909">
              <w:rPr>
                <w:rFonts w:eastAsia="TimesNewRoman"/>
                <w:b/>
                <w:bCs/>
                <w:vertAlign w:val="superscript"/>
              </w:rPr>
              <w:t>b</w:t>
            </w:r>
          </w:p>
        </w:tc>
      </w:tr>
      <w:tr w:rsidR="00345876" w:rsidRPr="00597D93" w14:paraId="6A65CC3F" w14:textId="77777777" w:rsidTr="007756D8">
        <w:tc>
          <w:tcPr>
            <w:tcW w:w="4248" w:type="dxa"/>
          </w:tcPr>
          <w:p w14:paraId="2AA26DFA" w14:textId="77777777" w:rsidR="00345876" w:rsidRPr="00597D93"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2693" w:type="dxa"/>
            <w:vAlign w:val="center"/>
          </w:tcPr>
          <w:p w14:paraId="3461E0F8" w14:textId="77777777" w:rsidR="00345876" w:rsidRPr="00D83909" w:rsidRDefault="00345876" w:rsidP="004B66CD">
            <w:pPr>
              <w:autoSpaceDE w:val="0"/>
              <w:autoSpaceDN w:val="0"/>
              <w:adjustRightInd w:val="0"/>
              <w:spacing w:after="0" w:line="240" w:lineRule="auto"/>
              <w:contextualSpacing/>
              <w:jc w:val="center"/>
              <w:rPr>
                <w:rFonts w:eastAsia="TimesNewRoman"/>
                <w:lang w:val="en-US"/>
              </w:rPr>
            </w:pPr>
            <w:r>
              <w:rPr>
                <w:rFonts w:eastAsia="TimesNewRoman"/>
                <w:lang w:val="en-US"/>
              </w:rPr>
              <w:t>765</w:t>
            </w:r>
          </w:p>
        </w:tc>
        <w:tc>
          <w:tcPr>
            <w:tcW w:w="2404" w:type="dxa"/>
            <w:vAlign w:val="center"/>
          </w:tcPr>
          <w:p w14:paraId="2A005912" w14:textId="77777777" w:rsidR="00345876" w:rsidRPr="00D83909" w:rsidRDefault="00345876" w:rsidP="004B66CD">
            <w:pPr>
              <w:autoSpaceDE w:val="0"/>
              <w:autoSpaceDN w:val="0"/>
              <w:adjustRightInd w:val="0"/>
              <w:spacing w:after="0" w:line="240" w:lineRule="auto"/>
              <w:contextualSpacing/>
              <w:jc w:val="center"/>
              <w:rPr>
                <w:rFonts w:eastAsia="TimesNewRoman"/>
                <w:lang w:val="en-US"/>
              </w:rPr>
            </w:pPr>
            <w:r>
              <w:rPr>
                <w:rFonts w:eastAsia="TimesNewRoman"/>
                <w:lang w:val="en-US"/>
              </w:rPr>
              <w:t>780</w:t>
            </w:r>
          </w:p>
        </w:tc>
      </w:tr>
      <w:tr w:rsidR="00345876" w:rsidRPr="00597D93" w14:paraId="2A0579DE" w14:textId="77777777" w:rsidTr="007756D8">
        <w:tc>
          <w:tcPr>
            <w:tcW w:w="9345" w:type="dxa"/>
            <w:gridSpan w:val="3"/>
          </w:tcPr>
          <w:p w14:paraId="5E597C61" w14:textId="77777777" w:rsidR="00345876" w:rsidRPr="00597D93" w:rsidRDefault="00345876" w:rsidP="004B66CD">
            <w:pPr>
              <w:autoSpaceDE w:val="0"/>
              <w:autoSpaceDN w:val="0"/>
              <w:adjustRightInd w:val="0"/>
              <w:spacing w:after="0" w:line="240" w:lineRule="auto"/>
              <w:contextualSpacing/>
              <w:rPr>
                <w:rFonts w:eastAsia="TimesNewRoman"/>
              </w:rPr>
            </w:pPr>
            <w:r w:rsidRPr="00166A50">
              <w:rPr>
                <w:b/>
                <w:bCs/>
                <w:lang w:val="en-US"/>
              </w:rPr>
              <w:t>HbA1c (%)</w:t>
            </w:r>
          </w:p>
        </w:tc>
      </w:tr>
      <w:tr w:rsidR="00345876" w:rsidRPr="00597D93" w14:paraId="256E2F2A" w14:textId="77777777" w:rsidTr="007756D8">
        <w:tc>
          <w:tcPr>
            <w:tcW w:w="4248" w:type="dxa"/>
          </w:tcPr>
          <w:p w14:paraId="2F211151" w14:textId="77777777" w:rsidR="00345876" w:rsidRPr="00597D93"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2693" w:type="dxa"/>
            <w:vAlign w:val="center"/>
          </w:tcPr>
          <w:p w14:paraId="22A217D6"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7,92</w:t>
            </w:r>
          </w:p>
        </w:tc>
        <w:tc>
          <w:tcPr>
            <w:tcW w:w="2404" w:type="dxa"/>
            <w:vAlign w:val="center"/>
          </w:tcPr>
          <w:p w14:paraId="3F792431"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7,92</w:t>
            </w:r>
          </w:p>
        </w:tc>
      </w:tr>
      <w:tr w:rsidR="00345876" w:rsidRPr="00597D93" w14:paraId="2F63C2E4" w14:textId="77777777" w:rsidTr="007756D8">
        <w:tc>
          <w:tcPr>
            <w:tcW w:w="4248" w:type="dxa"/>
          </w:tcPr>
          <w:p w14:paraId="0F141D0D" w14:textId="77777777" w:rsidR="00345876" w:rsidRPr="00597D93"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2693" w:type="dxa"/>
            <w:vAlign w:val="center"/>
          </w:tcPr>
          <w:p w14:paraId="11AB3772"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-0,66</w:t>
            </w:r>
          </w:p>
        </w:tc>
        <w:tc>
          <w:tcPr>
            <w:tcW w:w="2404" w:type="dxa"/>
            <w:vAlign w:val="center"/>
          </w:tcPr>
          <w:p w14:paraId="707ABAF9"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-0,55</w:t>
            </w:r>
          </w:p>
        </w:tc>
      </w:tr>
      <w:tr w:rsidR="00345876" w:rsidRPr="00597D93" w14:paraId="0B99F56C" w14:textId="77777777" w:rsidTr="007756D8">
        <w:tc>
          <w:tcPr>
            <w:tcW w:w="4248" w:type="dxa"/>
          </w:tcPr>
          <w:p w14:paraId="213875FA" w14:textId="77777777" w:rsidR="00345876" w:rsidRPr="00062ABF" w:rsidRDefault="00345876" w:rsidP="004B66CD">
            <w:pPr>
              <w:autoSpaceDE w:val="0"/>
              <w:autoSpaceDN w:val="0"/>
              <w:adjustRightInd w:val="0"/>
              <w:spacing w:after="0" w:line="240" w:lineRule="auto"/>
              <w:ind w:left="175"/>
              <w:contextualSpacing/>
              <w:rPr>
                <w:rFonts w:eastAsia="TimesNewRoman"/>
                <w:lang w:val="en-US"/>
              </w:rPr>
            </w:pPr>
            <w:r>
              <w:t>Разница с глимепиридом (95% ДИ)</w:t>
            </w:r>
            <w:r w:rsidRPr="00062ABF">
              <w:rPr>
                <w:vertAlign w:val="superscript"/>
                <w:lang w:val="en-US"/>
              </w:rPr>
              <w:t>1</w:t>
            </w:r>
          </w:p>
        </w:tc>
        <w:tc>
          <w:tcPr>
            <w:tcW w:w="2693" w:type="dxa"/>
            <w:vAlign w:val="center"/>
          </w:tcPr>
          <w:p w14:paraId="0E12C6CC"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-0,11*</w:t>
            </w:r>
            <w:r>
              <w:rPr>
                <w:rFonts w:eastAsia="TimesNewRoman"/>
              </w:rPr>
              <w:br/>
              <w:t>(-0,20; -0,01)</w:t>
            </w:r>
          </w:p>
        </w:tc>
        <w:tc>
          <w:tcPr>
            <w:tcW w:w="2404" w:type="dxa"/>
            <w:vAlign w:val="center"/>
          </w:tcPr>
          <w:p w14:paraId="016144D3" w14:textId="77777777" w:rsidR="00345876" w:rsidRPr="00597D93" w:rsidRDefault="00345876" w:rsidP="004B66CD">
            <w:pPr>
              <w:autoSpaceDE w:val="0"/>
              <w:autoSpaceDN w:val="0"/>
              <w:adjustRightInd w:val="0"/>
              <w:spacing w:after="0" w:line="240" w:lineRule="auto"/>
              <w:contextualSpacing/>
              <w:jc w:val="center"/>
              <w:rPr>
                <w:rFonts w:eastAsia="TimesNewRoman"/>
              </w:rPr>
            </w:pPr>
          </w:p>
        </w:tc>
      </w:tr>
      <w:tr w:rsidR="00345876" w:rsidRPr="00597D93" w14:paraId="5747799B" w14:textId="77777777" w:rsidTr="007756D8">
        <w:tc>
          <w:tcPr>
            <w:tcW w:w="4248" w:type="dxa"/>
          </w:tcPr>
          <w:p w14:paraId="2C68EE81" w14:textId="77777777" w:rsidR="00345876" w:rsidRPr="00597D93"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2693" w:type="dxa"/>
            <w:vAlign w:val="center"/>
          </w:tcPr>
          <w:p w14:paraId="509287AB"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690</w:t>
            </w:r>
          </w:p>
        </w:tc>
        <w:tc>
          <w:tcPr>
            <w:tcW w:w="2404" w:type="dxa"/>
            <w:vAlign w:val="center"/>
          </w:tcPr>
          <w:p w14:paraId="206B812E"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715</w:t>
            </w:r>
          </w:p>
        </w:tc>
      </w:tr>
      <w:tr w:rsidR="00345876" w:rsidRPr="00597D93" w14:paraId="66E2EDA7" w14:textId="77777777" w:rsidTr="007756D8">
        <w:tc>
          <w:tcPr>
            <w:tcW w:w="4248" w:type="dxa"/>
          </w:tcPr>
          <w:p w14:paraId="6C111C7A" w14:textId="77777777" w:rsidR="00345876" w:rsidRPr="00597D93" w:rsidRDefault="00345876" w:rsidP="004B66CD">
            <w:pPr>
              <w:autoSpaceDE w:val="0"/>
              <w:autoSpaceDN w:val="0"/>
              <w:adjustRightInd w:val="0"/>
              <w:spacing w:after="0" w:line="240" w:lineRule="auto"/>
              <w:contextualSpacing/>
              <w:rPr>
                <w:rFonts w:eastAsia="TimesNewRoman"/>
              </w:rPr>
            </w:pPr>
            <w:r w:rsidRPr="00166A50">
              <w:rPr>
                <w:b/>
                <w:bCs/>
              </w:rPr>
              <w:t xml:space="preserve">Пациенты с исходным уровнем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≥7%, достигнувшие уровня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&lt;7% (%)</w:t>
            </w:r>
            <w:r w:rsidRPr="00166A50">
              <w:rPr>
                <w:b/>
                <w:bCs/>
                <w:vertAlign w:val="superscript"/>
              </w:rPr>
              <w:t>2</w:t>
            </w:r>
          </w:p>
        </w:tc>
        <w:tc>
          <w:tcPr>
            <w:tcW w:w="2693" w:type="dxa"/>
            <w:vAlign w:val="center"/>
          </w:tcPr>
          <w:p w14:paraId="677E671C"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33,6</w:t>
            </w:r>
          </w:p>
        </w:tc>
        <w:tc>
          <w:tcPr>
            <w:tcW w:w="2404" w:type="dxa"/>
            <w:vAlign w:val="center"/>
          </w:tcPr>
          <w:p w14:paraId="7746817F"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30,9</w:t>
            </w:r>
          </w:p>
        </w:tc>
      </w:tr>
      <w:tr w:rsidR="00345876" w:rsidRPr="00597D93" w14:paraId="4E8D8E17" w14:textId="77777777" w:rsidTr="007756D8">
        <w:tc>
          <w:tcPr>
            <w:tcW w:w="4248" w:type="dxa"/>
          </w:tcPr>
          <w:p w14:paraId="2AC41E13" w14:textId="77777777" w:rsidR="00345876" w:rsidRPr="00597D93"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2693" w:type="dxa"/>
            <w:vAlign w:val="center"/>
          </w:tcPr>
          <w:p w14:paraId="40C282CA"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765</w:t>
            </w:r>
          </w:p>
        </w:tc>
        <w:tc>
          <w:tcPr>
            <w:tcW w:w="2404" w:type="dxa"/>
            <w:vAlign w:val="center"/>
          </w:tcPr>
          <w:p w14:paraId="01204898"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780</w:t>
            </w:r>
          </w:p>
        </w:tc>
      </w:tr>
      <w:tr w:rsidR="00345876" w:rsidRPr="00597D93" w14:paraId="7B510029" w14:textId="77777777" w:rsidTr="007756D8">
        <w:tc>
          <w:tcPr>
            <w:tcW w:w="9345" w:type="dxa"/>
            <w:gridSpan w:val="3"/>
          </w:tcPr>
          <w:p w14:paraId="2790DBE7" w14:textId="77777777" w:rsidR="00345876" w:rsidRPr="00597D93" w:rsidRDefault="00345876" w:rsidP="004B66CD">
            <w:pPr>
              <w:autoSpaceDE w:val="0"/>
              <w:autoSpaceDN w:val="0"/>
              <w:adjustRightInd w:val="0"/>
              <w:spacing w:after="0" w:line="240" w:lineRule="auto"/>
              <w:contextualSpacing/>
              <w:rPr>
                <w:rFonts w:eastAsia="TimesNewRoman"/>
              </w:rPr>
            </w:pPr>
            <w:r w:rsidRPr="00166A50">
              <w:rPr>
                <w:b/>
                <w:bCs/>
              </w:rPr>
              <w:t>Масса тела (кг)</w:t>
            </w:r>
          </w:p>
        </w:tc>
      </w:tr>
      <w:tr w:rsidR="00345876" w:rsidRPr="00597D93" w14:paraId="65B88C42" w14:textId="77777777" w:rsidTr="007756D8">
        <w:tc>
          <w:tcPr>
            <w:tcW w:w="4248" w:type="dxa"/>
          </w:tcPr>
          <w:p w14:paraId="6D801D87" w14:textId="77777777" w:rsidR="00345876" w:rsidRPr="00597D93"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2693" w:type="dxa"/>
            <w:vAlign w:val="center"/>
          </w:tcPr>
          <w:p w14:paraId="66F9AEF7"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82,52</w:t>
            </w:r>
          </w:p>
        </w:tc>
        <w:tc>
          <w:tcPr>
            <w:tcW w:w="2404" w:type="dxa"/>
            <w:vAlign w:val="center"/>
          </w:tcPr>
          <w:p w14:paraId="13BA1B5D"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83,03</w:t>
            </w:r>
          </w:p>
        </w:tc>
      </w:tr>
      <w:tr w:rsidR="00345876" w:rsidRPr="00597D93" w14:paraId="0FC67971" w14:textId="77777777" w:rsidTr="007756D8">
        <w:tc>
          <w:tcPr>
            <w:tcW w:w="4248" w:type="dxa"/>
          </w:tcPr>
          <w:p w14:paraId="73E9B922" w14:textId="77777777" w:rsidR="00345876" w:rsidRPr="00597D93"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2693" w:type="dxa"/>
            <w:vAlign w:val="center"/>
          </w:tcPr>
          <w:p w14:paraId="6870428A"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-3,12</w:t>
            </w:r>
          </w:p>
        </w:tc>
        <w:tc>
          <w:tcPr>
            <w:tcW w:w="2404" w:type="dxa"/>
            <w:vAlign w:val="center"/>
          </w:tcPr>
          <w:p w14:paraId="35B58545"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1,34</w:t>
            </w:r>
          </w:p>
        </w:tc>
      </w:tr>
      <w:tr w:rsidR="00345876" w:rsidRPr="00597D93" w14:paraId="63A9A468" w14:textId="77777777" w:rsidTr="007756D8">
        <w:tc>
          <w:tcPr>
            <w:tcW w:w="4248" w:type="dxa"/>
          </w:tcPr>
          <w:p w14:paraId="4C2DA191" w14:textId="77777777" w:rsidR="00345876" w:rsidRPr="00597D93" w:rsidRDefault="00345876" w:rsidP="004B66CD">
            <w:pPr>
              <w:autoSpaceDE w:val="0"/>
              <w:autoSpaceDN w:val="0"/>
              <w:adjustRightInd w:val="0"/>
              <w:spacing w:after="0" w:line="240" w:lineRule="auto"/>
              <w:ind w:left="175"/>
              <w:contextualSpacing/>
              <w:rPr>
                <w:rFonts w:eastAsia="TimesNewRoman"/>
              </w:rPr>
            </w:pPr>
            <w:r>
              <w:t>Разница с глимепиридом (95% ДИ)</w:t>
            </w:r>
            <w:r w:rsidRPr="00062ABF">
              <w:rPr>
                <w:vertAlign w:val="superscript"/>
                <w:lang w:val="en-US"/>
              </w:rPr>
              <w:t>1</w:t>
            </w:r>
          </w:p>
        </w:tc>
        <w:tc>
          <w:tcPr>
            <w:tcW w:w="2693" w:type="dxa"/>
            <w:vAlign w:val="center"/>
          </w:tcPr>
          <w:p w14:paraId="0D9C1663"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-4,46**</w:t>
            </w:r>
            <w:r>
              <w:rPr>
                <w:rFonts w:eastAsia="TimesNewRoman"/>
              </w:rPr>
              <w:br/>
              <w:t>(-4,87; -4,05)</w:t>
            </w:r>
          </w:p>
        </w:tc>
        <w:tc>
          <w:tcPr>
            <w:tcW w:w="2404" w:type="dxa"/>
            <w:vAlign w:val="center"/>
          </w:tcPr>
          <w:p w14:paraId="38139E38" w14:textId="77777777" w:rsidR="00345876" w:rsidRPr="00597D93" w:rsidRDefault="00345876" w:rsidP="004B66CD">
            <w:pPr>
              <w:autoSpaceDE w:val="0"/>
              <w:autoSpaceDN w:val="0"/>
              <w:adjustRightInd w:val="0"/>
              <w:spacing w:after="0" w:line="240" w:lineRule="auto"/>
              <w:contextualSpacing/>
              <w:jc w:val="center"/>
              <w:rPr>
                <w:rFonts w:eastAsia="TimesNewRoman"/>
              </w:rPr>
            </w:pPr>
          </w:p>
        </w:tc>
      </w:tr>
      <w:tr w:rsidR="00345876" w:rsidRPr="00597D93" w14:paraId="5824C82D" w14:textId="77777777" w:rsidTr="007756D8">
        <w:tc>
          <w:tcPr>
            <w:tcW w:w="4248" w:type="dxa"/>
          </w:tcPr>
          <w:p w14:paraId="7E15105B" w14:textId="77777777" w:rsidR="00345876" w:rsidRPr="00597D93"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2693" w:type="dxa"/>
            <w:vAlign w:val="center"/>
          </w:tcPr>
          <w:p w14:paraId="09216674"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765</w:t>
            </w:r>
          </w:p>
        </w:tc>
        <w:tc>
          <w:tcPr>
            <w:tcW w:w="2404" w:type="dxa"/>
            <w:vAlign w:val="center"/>
          </w:tcPr>
          <w:p w14:paraId="61641920"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780</w:t>
            </w:r>
          </w:p>
        </w:tc>
      </w:tr>
      <w:tr w:rsidR="00345876" w:rsidRPr="00597D93" w14:paraId="6E73814C" w14:textId="77777777" w:rsidTr="007756D8">
        <w:tc>
          <w:tcPr>
            <w:tcW w:w="9345" w:type="dxa"/>
            <w:gridSpan w:val="3"/>
          </w:tcPr>
          <w:p w14:paraId="1620413D" w14:textId="2793B5AC" w:rsidR="00345876" w:rsidRPr="00597D93" w:rsidRDefault="00345876" w:rsidP="004B66CD">
            <w:pPr>
              <w:autoSpaceDE w:val="0"/>
              <w:autoSpaceDN w:val="0"/>
              <w:adjustRightInd w:val="0"/>
              <w:spacing w:after="0" w:line="240" w:lineRule="auto"/>
              <w:contextualSpacing/>
              <w:rPr>
                <w:rFonts w:eastAsia="TimesNewRoman"/>
              </w:rPr>
            </w:pPr>
            <w:r w:rsidRPr="00166A50">
              <w:rPr>
                <w:b/>
                <w:bCs/>
              </w:rPr>
              <w:t>САД (мм.</w:t>
            </w:r>
            <w:r w:rsidR="00DC32F1">
              <w:rPr>
                <w:b/>
                <w:bCs/>
              </w:rPr>
              <w:t xml:space="preserve"> </w:t>
            </w:r>
            <w:r w:rsidRPr="00166A50">
              <w:rPr>
                <w:b/>
                <w:bCs/>
              </w:rPr>
              <w:t>рт.</w:t>
            </w:r>
            <w:r w:rsidR="00DC32F1">
              <w:rPr>
                <w:b/>
                <w:bCs/>
              </w:rPr>
              <w:t xml:space="preserve"> </w:t>
            </w:r>
            <w:r w:rsidRPr="00166A50">
              <w:rPr>
                <w:b/>
                <w:bCs/>
              </w:rPr>
              <w:t>ст)</w:t>
            </w:r>
            <w:r>
              <w:rPr>
                <w:b/>
                <w:bCs/>
                <w:vertAlign w:val="superscript"/>
              </w:rPr>
              <w:t>2</w:t>
            </w:r>
          </w:p>
        </w:tc>
      </w:tr>
      <w:tr w:rsidR="00345876" w:rsidRPr="00597D93" w14:paraId="3CD8B406" w14:textId="77777777" w:rsidTr="007756D8">
        <w:tc>
          <w:tcPr>
            <w:tcW w:w="4248" w:type="dxa"/>
          </w:tcPr>
          <w:p w14:paraId="60342D07" w14:textId="77777777" w:rsidR="00345876" w:rsidRPr="00597D93"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2693" w:type="dxa"/>
            <w:vAlign w:val="center"/>
          </w:tcPr>
          <w:p w14:paraId="4CB05F73"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133,4</w:t>
            </w:r>
          </w:p>
        </w:tc>
        <w:tc>
          <w:tcPr>
            <w:tcW w:w="2404" w:type="dxa"/>
            <w:vAlign w:val="center"/>
          </w:tcPr>
          <w:p w14:paraId="254AACED"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133,5</w:t>
            </w:r>
          </w:p>
        </w:tc>
      </w:tr>
      <w:tr w:rsidR="00345876" w:rsidRPr="00597D93" w14:paraId="29241AED" w14:textId="77777777" w:rsidTr="007756D8">
        <w:tc>
          <w:tcPr>
            <w:tcW w:w="4248" w:type="dxa"/>
          </w:tcPr>
          <w:p w14:paraId="607F1F4C" w14:textId="77777777" w:rsidR="00345876" w:rsidRPr="00597D93"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2693" w:type="dxa"/>
            <w:vAlign w:val="center"/>
          </w:tcPr>
          <w:p w14:paraId="07E08DA4"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-3,1</w:t>
            </w:r>
          </w:p>
        </w:tc>
        <w:tc>
          <w:tcPr>
            <w:tcW w:w="2404" w:type="dxa"/>
            <w:vAlign w:val="center"/>
          </w:tcPr>
          <w:p w14:paraId="4CA676B0"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2,5</w:t>
            </w:r>
          </w:p>
        </w:tc>
      </w:tr>
      <w:tr w:rsidR="00345876" w:rsidRPr="00597D93" w14:paraId="57201EA9" w14:textId="77777777" w:rsidTr="007756D8">
        <w:tc>
          <w:tcPr>
            <w:tcW w:w="4248" w:type="dxa"/>
          </w:tcPr>
          <w:p w14:paraId="6929B988" w14:textId="77777777" w:rsidR="00345876" w:rsidRPr="00597D93" w:rsidRDefault="00345876" w:rsidP="004B66CD">
            <w:pPr>
              <w:autoSpaceDE w:val="0"/>
              <w:autoSpaceDN w:val="0"/>
              <w:adjustRightInd w:val="0"/>
              <w:spacing w:after="0" w:line="240" w:lineRule="auto"/>
              <w:ind w:left="175"/>
              <w:contextualSpacing/>
              <w:rPr>
                <w:rFonts w:eastAsia="TimesNewRoman"/>
              </w:rPr>
            </w:pPr>
            <w:r>
              <w:t>Разница с глимепиридом (95% ДИ)</w:t>
            </w:r>
            <w:r w:rsidRPr="00062ABF">
              <w:rPr>
                <w:vertAlign w:val="superscript"/>
                <w:lang w:val="en-US"/>
              </w:rPr>
              <w:t>1</w:t>
            </w:r>
          </w:p>
        </w:tc>
        <w:tc>
          <w:tcPr>
            <w:tcW w:w="2693" w:type="dxa"/>
            <w:vAlign w:val="center"/>
          </w:tcPr>
          <w:p w14:paraId="00BF8288" w14:textId="77777777" w:rsidR="00345876" w:rsidRPr="00597D93" w:rsidRDefault="00345876" w:rsidP="004B66CD">
            <w:pPr>
              <w:autoSpaceDE w:val="0"/>
              <w:autoSpaceDN w:val="0"/>
              <w:adjustRightInd w:val="0"/>
              <w:spacing w:after="0" w:line="240" w:lineRule="auto"/>
              <w:contextualSpacing/>
              <w:jc w:val="center"/>
              <w:rPr>
                <w:rFonts w:eastAsia="TimesNewRoman"/>
              </w:rPr>
            </w:pPr>
            <w:r>
              <w:rPr>
                <w:rFonts w:eastAsia="TimesNewRoman"/>
              </w:rPr>
              <w:t>-5,6**</w:t>
            </w:r>
            <w:r>
              <w:rPr>
                <w:rFonts w:eastAsia="TimesNewRoman"/>
              </w:rPr>
              <w:br/>
              <w:t>(-7,0; -4,2)</w:t>
            </w:r>
          </w:p>
        </w:tc>
        <w:tc>
          <w:tcPr>
            <w:tcW w:w="2404" w:type="dxa"/>
            <w:vAlign w:val="center"/>
          </w:tcPr>
          <w:p w14:paraId="4DFF5301" w14:textId="77777777" w:rsidR="00345876" w:rsidRPr="00597D93" w:rsidRDefault="00345876" w:rsidP="004B66CD">
            <w:pPr>
              <w:autoSpaceDE w:val="0"/>
              <w:autoSpaceDN w:val="0"/>
              <w:adjustRightInd w:val="0"/>
              <w:spacing w:after="0" w:line="240" w:lineRule="auto"/>
              <w:contextualSpacing/>
              <w:jc w:val="center"/>
              <w:rPr>
                <w:rFonts w:eastAsia="TimesNewRoman"/>
              </w:rPr>
            </w:pPr>
          </w:p>
        </w:tc>
      </w:tr>
      <w:tr w:rsidR="00345876" w:rsidRPr="009163C8" w14:paraId="11F8A217" w14:textId="77777777" w:rsidTr="007756D8">
        <w:tc>
          <w:tcPr>
            <w:tcW w:w="9345" w:type="dxa"/>
            <w:gridSpan w:val="3"/>
          </w:tcPr>
          <w:p w14:paraId="064521C6" w14:textId="77777777" w:rsidR="00345876" w:rsidRPr="00597D93" w:rsidRDefault="00345876" w:rsidP="004B66CD">
            <w:pPr>
              <w:autoSpaceDE w:val="0"/>
              <w:autoSpaceDN w:val="0"/>
              <w:adjustRightInd w:val="0"/>
              <w:spacing w:after="0" w:line="240" w:lineRule="auto"/>
              <w:contextualSpacing/>
              <w:rPr>
                <w:rFonts w:eastAsia="TimesNewRoman"/>
                <w:b/>
                <w:bCs/>
                <w:sz w:val="20"/>
                <w:szCs w:val="20"/>
              </w:rPr>
            </w:pPr>
            <w:r w:rsidRPr="00597D93">
              <w:rPr>
                <w:rFonts w:eastAsia="TimesNewRoman"/>
                <w:b/>
                <w:bCs/>
                <w:sz w:val="20"/>
                <w:szCs w:val="20"/>
              </w:rPr>
              <w:t>Примечание:</w:t>
            </w:r>
          </w:p>
          <w:p w14:paraId="252D5D62" w14:textId="77777777" w:rsidR="00345876" w:rsidRPr="00166A50" w:rsidRDefault="00345876" w:rsidP="004B66CD">
            <w:pPr>
              <w:spacing w:after="0"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САД – систолическое артериальное давление, </w:t>
            </w:r>
            <w:r>
              <w:rPr>
                <w:rFonts w:eastAsia="TimesNewRoman"/>
                <w:sz w:val="20"/>
                <w:szCs w:val="20"/>
              </w:rPr>
              <w:t>ДИ – доверительный интервал</w:t>
            </w:r>
            <w:r>
              <w:rPr>
                <w:sz w:val="20"/>
                <w:szCs w:val="20"/>
              </w:rPr>
              <w:t>.</w:t>
            </w:r>
          </w:p>
          <w:p w14:paraId="586431C5" w14:textId="77777777" w:rsidR="00345876" w:rsidRPr="00597D93" w:rsidRDefault="00345876" w:rsidP="004B66CD">
            <w:pPr>
              <w:autoSpaceDE w:val="0"/>
              <w:autoSpaceDN w:val="0"/>
              <w:adjustRightInd w:val="0"/>
              <w:spacing w:after="0" w:line="240" w:lineRule="auto"/>
              <w:contextualSpacing/>
              <w:rPr>
                <w:rFonts w:eastAsia="TimesNewRoman"/>
                <w:sz w:val="20"/>
                <w:szCs w:val="20"/>
              </w:rPr>
            </w:pPr>
            <w:r w:rsidRPr="00597D93">
              <w:rPr>
                <w:rFonts w:eastAsia="TimesNewRoman"/>
                <w:sz w:val="20"/>
                <w:szCs w:val="20"/>
                <w:lang w:val="en-US"/>
              </w:rPr>
              <w:t>a</w:t>
            </w:r>
            <w:r w:rsidRPr="00597D93">
              <w:rPr>
                <w:rFonts w:eastAsia="TimesNewRoman"/>
                <w:sz w:val="20"/>
                <w:szCs w:val="20"/>
              </w:rPr>
              <w:t xml:space="preserve"> </w:t>
            </w:r>
            <w:r>
              <w:rPr>
                <w:rFonts w:eastAsia="TimesNewRoman"/>
                <w:sz w:val="20"/>
                <w:szCs w:val="20"/>
              </w:rPr>
              <w:t xml:space="preserve">- </w:t>
            </w:r>
            <w:r w:rsidRPr="009163C8">
              <w:rPr>
                <w:sz w:val="20"/>
                <w:szCs w:val="20"/>
              </w:rPr>
              <w:t>Полный набор анализов с использованием переноса последнего наблюдения до гликемической терапии</w:t>
            </w:r>
            <w:r>
              <w:rPr>
                <w:sz w:val="20"/>
                <w:szCs w:val="20"/>
              </w:rPr>
              <w:t xml:space="preserve"> спасения;</w:t>
            </w:r>
          </w:p>
          <w:p w14:paraId="16D6431D" w14:textId="77777777" w:rsidR="00345876" w:rsidRPr="00597D93" w:rsidRDefault="00345876" w:rsidP="004B66CD">
            <w:pPr>
              <w:autoSpaceDE w:val="0"/>
              <w:autoSpaceDN w:val="0"/>
              <w:adjustRightInd w:val="0"/>
              <w:spacing w:after="0" w:line="240" w:lineRule="auto"/>
              <w:contextualSpacing/>
              <w:rPr>
                <w:rFonts w:eastAsia="TimesNewRoman"/>
                <w:sz w:val="20"/>
                <w:szCs w:val="20"/>
              </w:rPr>
            </w:pPr>
            <w:r w:rsidRPr="00597D93">
              <w:rPr>
                <w:rFonts w:eastAsia="TimesNewRoman"/>
                <w:sz w:val="20"/>
                <w:szCs w:val="20"/>
                <w:lang w:val="en-US"/>
              </w:rPr>
              <w:lastRenderedPageBreak/>
              <w:t>b</w:t>
            </w:r>
            <w:r w:rsidRPr="00597D93">
              <w:rPr>
                <w:rFonts w:eastAsia="TimesNewRoman"/>
                <w:sz w:val="20"/>
                <w:szCs w:val="20"/>
              </w:rPr>
              <w:t xml:space="preserve"> - До 4 мг глимепирида</w:t>
            </w:r>
            <w:r>
              <w:rPr>
                <w:rFonts w:eastAsia="TimesNewRoman"/>
                <w:sz w:val="20"/>
                <w:szCs w:val="20"/>
              </w:rPr>
              <w:t>;</w:t>
            </w:r>
          </w:p>
          <w:p w14:paraId="34D95C45" w14:textId="77777777" w:rsidR="00345876" w:rsidRPr="00597D93" w:rsidRDefault="00345876" w:rsidP="004B66CD">
            <w:pPr>
              <w:autoSpaceDE w:val="0"/>
              <w:autoSpaceDN w:val="0"/>
              <w:adjustRightInd w:val="0"/>
              <w:spacing w:after="0" w:line="240" w:lineRule="auto"/>
              <w:contextualSpacing/>
              <w:rPr>
                <w:rFonts w:eastAsia="TimesNewRoman"/>
                <w:sz w:val="20"/>
                <w:szCs w:val="20"/>
              </w:rPr>
            </w:pPr>
            <w:r w:rsidRPr="00597D93">
              <w:rPr>
                <w:rFonts w:eastAsia="TimesNewRoman"/>
                <w:sz w:val="20"/>
                <w:szCs w:val="20"/>
              </w:rPr>
              <w:t xml:space="preserve">1 </w:t>
            </w:r>
            <w:r>
              <w:rPr>
                <w:rFonts w:eastAsia="TimesNewRoman"/>
                <w:sz w:val="20"/>
                <w:szCs w:val="20"/>
              </w:rPr>
              <w:t xml:space="preserve">- </w:t>
            </w:r>
            <w:r w:rsidRPr="003E3E7E">
              <w:rPr>
                <w:rFonts w:eastAsia="TimesNewRoman"/>
                <w:sz w:val="20"/>
                <w:szCs w:val="20"/>
              </w:rPr>
              <w:t xml:space="preserve">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11B58767" w14:textId="77777777" w:rsidR="00345876" w:rsidRPr="00597D93" w:rsidRDefault="00345876" w:rsidP="004B66CD">
            <w:pPr>
              <w:autoSpaceDE w:val="0"/>
              <w:autoSpaceDN w:val="0"/>
              <w:adjustRightInd w:val="0"/>
              <w:spacing w:after="0" w:line="240" w:lineRule="auto"/>
              <w:contextualSpacing/>
              <w:rPr>
                <w:rFonts w:eastAsia="TimesNewRoman"/>
                <w:sz w:val="20"/>
                <w:szCs w:val="20"/>
              </w:rPr>
            </w:pPr>
            <w:r w:rsidRPr="00597D93">
              <w:rPr>
                <w:rFonts w:eastAsia="TimesNewRoman"/>
                <w:sz w:val="20"/>
                <w:szCs w:val="20"/>
              </w:rPr>
              <w:t xml:space="preserve">2 </w:t>
            </w:r>
            <w:r>
              <w:rPr>
                <w:rFonts w:eastAsia="TimesNewRoman"/>
                <w:sz w:val="20"/>
                <w:szCs w:val="20"/>
              </w:rPr>
              <w:t xml:space="preserve">- </w:t>
            </w:r>
            <w:r>
              <w:rPr>
                <w:sz w:val="20"/>
                <w:szCs w:val="20"/>
              </w:rPr>
              <w:t>П</w:t>
            </w:r>
            <w:r w:rsidRPr="009163C8">
              <w:rPr>
                <w:sz w:val="20"/>
                <w:szCs w:val="20"/>
              </w:rPr>
              <w:t xml:space="preserve">еренос последнего наблюдения, значения после антигипертензивной </w:t>
            </w:r>
            <w:r>
              <w:rPr>
                <w:sz w:val="20"/>
                <w:szCs w:val="20"/>
              </w:rPr>
              <w:t>терапии спасения</w:t>
            </w:r>
            <w:r w:rsidRPr="009163C8">
              <w:rPr>
                <w:sz w:val="20"/>
                <w:szCs w:val="20"/>
              </w:rPr>
              <w:t xml:space="preserve"> цензурированы</w:t>
            </w:r>
            <w:r>
              <w:rPr>
                <w:sz w:val="20"/>
                <w:szCs w:val="20"/>
              </w:rPr>
              <w:t>;</w:t>
            </w:r>
          </w:p>
          <w:p w14:paraId="7C184711" w14:textId="77777777" w:rsidR="00345876" w:rsidRPr="00597D93" w:rsidRDefault="00345876" w:rsidP="004B66CD">
            <w:pPr>
              <w:autoSpaceDE w:val="0"/>
              <w:autoSpaceDN w:val="0"/>
              <w:adjustRightInd w:val="0"/>
              <w:spacing w:after="0" w:line="240" w:lineRule="auto"/>
              <w:contextualSpacing/>
              <w:rPr>
                <w:rFonts w:eastAsia="TimesNewRoman"/>
                <w:sz w:val="20"/>
                <w:szCs w:val="20"/>
              </w:rPr>
            </w:pPr>
            <w:r w:rsidRPr="00597D93">
              <w:rPr>
                <w:rFonts w:eastAsia="TimesNewRoman"/>
                <w:sz w:val="20"/>
                <w:szCs w:val="20"/>
              </w:rPr>
              <w:t xml:space="preserve">* </w:t>
            </w:r>
            <w:r w:rsidRPr="00597D93">
              <w:rPr>
                <w:rFonts w:eastAsia="TimesNewRoman"/>
                <w:sz w:val="20"/>
                <w:szCs w:val="20"/>
                <w:lang w:val="en-US"/>
              </w:rPr>
              <w:t>p</w:t>
            </w:r>
            <w:r w:rsidRPr="00597D93">
              <w:rPr>
                <w:rFonts w:eastAsia="TimesNewRoman"/>
                <w:sz w:val="20"/>
                <w:szCs w:val="20"/>
              </w:rPr>
              <w:t xml:space="preserve"> &lt; 0.0001 </w:t>
            </w:r>
            <w:r>
              <w:rPr>
                <w:rFonts w:eastAsia="TimesNewRoman"/>
                <w:sz w:val="20"/>
                <w:szCs w:val="20"/>
              </w:rPr>
              <w:t>для</w:t>
            </w:r>
            <w:r w:rsidRPr="00597D93">
              <w:rPr>
                <w:rFonts w:eastAsia="TimesNewRoman"/>
                <w:sz w:val="20"/>
                <w:szCs w:val="20"/>
              </w:rPr>
              <w:t xml:space="preserve"> </w:t>
            </w:r>
            <w:r>
              <w:rPr>
                <w:rFonts w:eastAsia="TimesNewRoman"/>
                <w:sz w:val="20"/>
                <w:szCs w:val="20"/>
              </w:rPr>
              <w:t>подхода</w:t>
            </w:r>
            <w:r w:rsidRPr="00597D93">
              <w:rPr>
                <w:rFonts w:eastAsia="TimesNewRoman"/>
                <w:sz w:val="20"/>
                <w:szCs w:val="20"/>
              </w:rPr>
              <w:t xml:space="preserve"> </w:t>
            </w:r>
            <w:r w:rsidRPr="00597D93">
              <w:rPr>
                <w:rFonts w:eastAsia="TimesNewRoman"/>
                <w:sz w:val="20"/>
                <w:szCs w:val="20"/>
                <w:lang w:val="en-US"/>
              </w:rPr>
              <w:t>non</w:t>
            </w:r>
            <w:r w:rsidRPr="00597D93">
              <w:rPr>
                <w:rFonts w:eastAsia="TimesNewRoman"/>
                <w:sz w:val="20"/>
                <w:szCs w:val="20"/>
              </w:rPr>
              <w:t>-</w:t>
            </w:r>
            <w:r w:rsidRPr="00597D93">
              <w:rPr>
                <w:rFonts w:eastAsia="TimesNewRoman"/>
                <w:sz w:val="20"/>
                <w:szCs w:val="20"/>
                <w:lang w:val="en-US"/>
              </w:rPr>
              <w:t>inferiority</w:t>
            </w:r>
            <w:r w:rsidRPr="00597D93">
              <w:rPr>
                <w:rFonts w:eastAsia="TimesNewRoman"/>
                <w:sz w:val="20"/>
                <w:szCs w:val="20"/>
              </w:rPr>
              <w:t xml:space="preserve"> </w:t>
            </w:r>
            <w:r>
              <w:rPr>
                <w:rFonts w:eastAsia="TimesNewRoman"/>
                <w:sz w:val="20"/>
                <w:szCs w:val="20"/>
              </w:rPr>
              <w:t xml:space="preserve">для оценки эффективности </w:t>
            </w:r>
            <w:r w:rsidRPr="00597D93">
              <w:rPr>
                <w:rFonts w:eastAsia="TimesNewRoman"/>
                <w:sz w:val="20"/>
                <w:szCs w:val="20"/>
              </w:rPr>
              <w:t>(</w:t>
            </w:r>
            <w:r>
              <w:rPr>
                <w:rFonts w:eastAsia="TimesNewRoman"/>
                <w:sz w:val="20"/>
                <w:szCs w:val="20"/>
              </w:rPr>
              <w:t>исследуемая схема терапии не</w:t>
            </w:r>
            <w:r w:rsidRPr="00597D93">
              <w:rPr>
                <w:rFonts w:eastAsia="TimesNewRoman"/>
                <w:sz w:val="20"/>
                <w:szCs w:val="20"/>
              </w:rPr>
              <w:t xml:space="preserve"> </w:t>
            </w:r>
            <w:r>
              <w:rPr>
                <w:rFonts w:eastAsia="TimesNewRoman"/>
                <w:sz w:val="20"/>
                <w:szCs w:val="20"/>
              </w:rPr>
              <w:t>уступает схеме терапии в</w:t>
            </w:r>
            <w:r w:rsidRPr="00597D93">
              <w:rPr>
                <w:rFonts w:eastAsia="TimesNewRoman"/>
                <w:sz w:val="20"/>
                <w:szCs w:val="20"/>
              </w:rPr>
              <w:t xml:space="preserve"> </w:t>
            </w:r>
            <w:r>
              <w:rPr>
                <w:rFonts w:eastAsia="TimesNewRoman"/>
                <w:sz w:val="20"/>
                <w:szCs w:val="20"/>
              </w:rPr>
              <w:t>группе</w:t>
            </w:r>
            <w:r w:rsidRPr="00597D93">
              <w:rPr>
                <w:rFonts w:eastAsia="TimesNewRoman"/>
                <w:sz w:val="20"/>
                <w:szCs w:val="20"/>
              </w:rPr>
              <w:t xml:space="preserve"> </w:t>
            </w:r>
            <w:r>
              <w:rPr>
                <w:rFonts w:eastAsia="TimesNewRoman"/>
                <w:sz w:val="20"/>
                <w:szCs w:val="20"/>
              </w:rPr>
              <w:t>сравнения</w:t>
            </w:r>
            <w:r w:rsidRPr="00597D93">
              <w:rPr>
                <w:rFonts w:eastAsia="TimesNewRoman"/>
                <w:sz w:val="20"/>
                <w:szCs w:val="20"/>
              </w:rPr>
              <w:t xml:space="preserve">), </w:t>
            </w:r>
            <w:r w:rsidRPr="00597D93">
              <w:rPr>
                <w:rFonts w:eastAsia="TimesNewRoman"/>
                <w:sz w:val="20"/>
                <w:szCs w:val="20"/>
                <w:lang w:val="en-US"/>
              </w:rPr>
              <w:t>p</w:t>
            </w:r>
            <w:r w:rsidRPr="00597D93">
              <w:rPr>
                <w:rFonts w:eastAsia="TimesNewRoman"/>
                <w:sz w:val="20"/>
                <w:szCs w:val="20"/>
              </w:rPr>
              <w:t xml:space="preserve"> = 0.0153 </w:t>
            </w:r>
            <w:r>
              <w:rPr>
                <w:rFonts w:eastAsia="TimesNewRoman"/>
                <w:sz w:val="20"/>
                <w:szCs w:val="20"/>
              </w:rPr>
              <w:t>для</w:t>
            </w:r>
            <w:r w:rsidRPr="00597D93">
              <w:rPr>
                <w:rFonts w:eastAsia="TimesNewRoman"/>
                <w:sz w:val="20"/>
                <w:szCs w:val="20"/>
              </w:rPr>
              <w:t xml:space="preserve"> </w:t>
            </w:r>
            <w:r>
              <w:rPr>
                <w:rFonts w:eastAsia="TimesNewRoman"/>
                <w:sz w:val="20"/>
                <w:szCs w:val="20"/>
              </w:rPr>
              <w:t>подхода</w:t>
            </w:r>
            <w:r w:rsidRPr="00597D93">
              <w:rPr>
                <w:rFonts w:eastAsia="TimesNewRoman"/>
                <w:sz w:val="20"/>
                <w:szCs w:val="20"/>
              </w:rPr>
              <w:t xml:space="preserve"> </w:t>
            </w:r>
            <w:r w:rsidRPr="00597D93">
              <w:rPr>
                <w:rFonts w:eastAsia="TimesNewRoman"/>
                <w:sz w:val="20"/>
                <w:szCs w:val="20"/>
                <w:lang w:val="en-US"/>
              </w:rPr>
              <w:t>superiority</w:t>
            </w:r>
            <w:r>
              <w:rPr>
                <w:rFonts w:eastAsia="TimesNewRoman"/>
                <w:sz w:val="20"/>
                <w:szCs w:val="20"/>
              </w:rPr>
              <w:t xml:space="preserve"> для оценки эффективности </w:t>
            </w:r>
            <w:r w:rsidRPr="00597D93">
              <w:rPr>
                <w:rFonts w:eastAsia="TimesNewRoman"/>
                <w:sz w:val="20"/>
                <w:szCs w:val="20"/>
              </w:rPr>
              <w:t>(</w:t>
            </w:r>
            <w:r>
              <w:rPr>
                <w:rFonts w:eastAsia="TimesNewRoman"/>
                <w:sz w:val="20"/>
                <w:szCs w:val="20"/>
              </w:rPr>
              <w:t>исследуемая схема терапии превосходит схему терапии в</w:t>
            </w:r>
            <w:r w:rsidRPr="00597D93">
              <w:rPr>
                <w:rFonts w:eastAsia="TimesNewRoman"/>
                <w:sz w:val="20"/>
                <w:szCs w:val="20"/>
              </w:rPr>
              <w:t xml:space="preserve"> </w:t>
            </w:r>
            <w:r>
              <w:rPr>
                <w:rFonts w:eastAsia="TimesNewRoman"/>
                <w:sz w:val="20"/>
                <w:szCs w:val="20"/>
              </w:rPr>
              <w:t>группе</w:t>
            </w:r>
            <w:r w:rsidRPr="00597D93">
              <w:rPr>
                <w:rFonts w:eastAsia="TimesNewRoman"/>
                <w:sz w:val="20"/>
                <w:szCs w:val="20"/>
              </w:rPr>
              <w:t xml:space="preserve"> </w:t>
            </w:r>
            <w:r>
              <w:rPr>
                <w:rFonts w:eastAsia="TimesNewRoman"/>
                <w:sz w:val="20"/>
                <w:szCs w:val="20"/>
              </w:rPr>
              <w:t>сравнения</w:t>
            </w:r>
            <w:r w:rsidRPr="00597D93">
              <w:rPr>
                <w:rFonts w:eastAsia="TimesNewRoman"/>
                <w:sz w:val="20"/>
                <w:szCs w:val="20"/>
              </w:rPr>
              <w:t>)</w:t>
            </w:r>
            <w:r>
              <w:rPr>
                <w:rFonts w:eastAsia="TimesNewRoman"/>
                <w:sz w:val="20"/>
                <w:szCs w:val="20"/>
              </w:rPr>
              <w:t>;</w:t>
            </w:r>
          </w:p>
          <w:p w14:paraId="4A6B5069" w14:textId="77777777" w:rsidR="00345876" w:rsidRPr="00597D93" w:rsidRDefault="00345876" w:rsidP="004B66CD">
            <w:pPr>
              <w:autoSpaceDE w:val="0"/>
              <w:autoSpaceDN w:val="0"/>
              <w:adjustRightInd w:val="0"/>
              <w:spacing w:after="0" w:line="240" w:lineRule="auto"/>
              <w:contextualSpacing/>
              <w:rPr>
                <w:rFonts w:eastAsia="TimesNewRoman"/>
              </w:rPr>
            </w:pPr>
            <w:r w:rsidRPr="00597D93">
              <w:rPr>
                <w:rFonts w:eastAsia="TimesNewRoman"/>
                <w:sz w:val="20"/>
                <w:szCs w:val="20"/>
                <w:lang w:val="en-US"/>
              </w:rPr>
              <w:t>** p &lt;0.0001</w:t>
            </w:r>
            <w:r>
              <w:rPr>
                <w:rFonts w:eastAsia="TimesNewRoman"/>
                <w:sz w:val="20"/>
                <w:szCs w:val="20"/>
              </w:rPr>
              <w:t>.</w:t>
            </w:r>
          </w:p>
        </w:tc>
      </w:tr>
    </w:tbl>
    <w:p w14:paraId="0A6F0CF2"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6150696B" w14:textId="04458847" w:rsidR="00345876" w:rsidRPr="00597D93" w:rsidRDefault="00345876" w:rsidP="00345876">
      <w:pPr>
        <w:autoSpaceDE w:val="0"/>
        <w:autoSpaceDN w:val="0"/>
        <w:adjustRightInd w:val="0"/>
        <w:spacing w:after="0" w:line="240" w:lineRule="auto"/>
        <w:contextualSpacing/>
        <w:rPr>
          <w:rFonts w:eastAsia="TimesNewRoman"/>
          <w:b/>
          <w:bCs/>
        </w:rPr>
      </w:pPr>
      <w:bookmarkStart w:id="148" w:name="_Hlk130997104"/>
      <w:r>
        <w:rPr>
          <w:rFonts w:eastAsia="TimesNewRoman"/>
          <w:b/>
          <w:bCs/>
        </w:rPr>
        <w:t>Добавление эмп</w:t>
      </w:r>
      <w:r w:rsidR="00B9278E">
        <w:rPr>
          <w:rFonts w:eastAsia="TimesNewRoman"/>
          <w:b/>
          <w:bCs/>
        </w:rPr>
        <w:t>аглифлозина к терапии инсулином</w:t>
      </w:r>
    </w:p>
    <w:p w14:paraId="64E90EFA" w14:textId="77777777" w:rsidR="00345876" w:rsidRPr="00A40FCE" w:rsidRDefault="00345876" w:rsidP="00345876">
      <w:pPr>
        <w:autoSpaceDE w:val="0"/>
        <w:autoSpaceDN w:val="0"/>
        <w:adjustRightInd w:val="0"/>
        <w:spacing w:after="0" w:line="240" w:lineRule="auto"/>
        <w:ind w:firstLine="709"/>
        <w:contextualSpacing/>
        <w:rPr>
          <w:rFonts w:eastAsia="TimesNewRoman"/>
          <w:b/>
          <w:bCs/>
        </w:rPr>
      </w:pPr>
    </w:p>
    <w:p w14:paraId="5BF0763E" w14:textId="77777777" w:rsidR="00345876" w:rsidRPr="008C2F58" w:rsidRDefault="00345876" w:rsidP="00345876">
      <w:pPr>
        <w:autoSpaceDE w:val="0"/>
        <w:autoSpaceDN w:val="0"/>
        <w:adjustRightInd w:val="0"/>
        <w:spacing w:after="0" w:line="240" w:lineRule="auto"/>
        <w:contextualSpacing/>
        <w:rPr>
          <w:rFonts w:eastAsia="TimesNewRoman"/>
          <w:b/>
          <w:bCs/>
          <w:i/>
          <w:iCs/>
        </w:rPr>
      </w:pPr>
      <w:r w:rsidRPr="008C2F58">
        <w:rPr>
          <w:rFonts w:eastAsia="TimesNewRoman"/>
          <w:b/>
          <w:bCs/>
          <w:i/>
          <w:iCs/>
        </w:rPr>
        <w:t>Добавление эмпаглифлозина к инсулинам короткого действия с многократным введением</w:t>
      </w:r>
    </w:p>
    <w:p w14:paraId="32F5182B" w14:textId="77777777" w:rsidR="00345876" w:rsidRPr="00A40FCE" w:rsidRDefault="00345876" w:rsidP="00345876">
      <w:pPr>
        <w:autoSpaceDE w:val="0"/>
        <w:autoSpaceDN w:val="0"/>
        <w:adjustRightInd w:val="0"/>
        <w:spacing w:after="0" w:line="240" w:lineRule="auto"/>
        <w:ind w:firstLine="709"/>
        <w:contextualSpacing/>
        <w:rPr>
          <w:rFonts w:eastAsia="TimesNewRoman"/>
        </w:rPr>
      </w:pPr>
    </w:p>
    <w:p w14:paraId="7FACF5D2" w14:textId="77777777" w:rsidR="00345876" w:rsidRPr="002604EF" w:rsidRDefault="00345876" w:rsidP="00345876">
      <w:pPr>
        <w:autoSpaceDE w:val="0"/>
        <w:autoSpaceDN w:val="0"/>
        <w:adjustRightInd w:val="0"/>
        <w:spacing w:after="0" w:line="240" w:lineRule="auto"/>
        <w:ind w:firstLine="709"/>
        <w:contextualSpacing/>
        <w:rPr>
          <w:rFonts w:eastAsia="TimesNewRoman"/>
        </w:rPr>
      </w:pPr>
      <w:r w:rsidRPr="008C2F58">
        <w:rPr>
          <w:rFonts w:eastAsia="TimesNewRoman"/>
        </w:rPr>
        <w:t xml:space="preserve">Эффективность и безопасность эмпаглифлозина в качестве дополнения к многократным ежедневным введениям инсулина </w:t>
      </w:r>
      <w:r>
        <w:rPr>
          <w:rFonts w:eastAsia="TimesNewRoman"/>
        </w:rPr>
        <w:t xml:space="preserve">короткого действия </w:t>
      </w:r>
      <w:r w:rsidRPr="008C2F58">
        <w:rPr>
          <w:rFonts w:eastAsia="TimesNewRoman"/>
        </w:rPr>
        <w:t>с или без</w:t>
      </w:r>
      <w:r>
        <w:rPr>
          <w:rFonts w:eastAsia="TimesNewRoman"/>
        </w:rPr>
        <w:t xml:space="preserve"> </w:t>
      </w:r>
      <w:r w:rsidRPr="008C2F58">
        <w:rPr>
          <w:rFonts w:eastAsia="TimesNewRoman"/>
        </w:rPr>
        <w:t>сопутствующ</w:t>
      </w:r>
      <w:r>
        <w:rPr>
          <w:rFonts w:eastAsia="TimesNewRoman"/>
        </w:rPr>
        <w:t>ей</w:t>
      </w:r>
      <w:r w:rsidRPr="008C2F58">
        <w:rPr>
          <w:rFonts w:eastAsia="TimesNewRoman"/>
        </w:rPr>
        <w:t xml:space="preserve"> терапи</w:t>
      </w:r>
      <w:r>
        <w:rPr>
          <w:rFonts w:eastAsia="TimesNewRoman"/>
        </w:rPr>
        <w:t>и</w:t>
      </w:r>
      <w:r w:rsidRPr="008C2F58">
        <w:rPr>
          <w:rFonts w:eastAsia="TimesNewRoman"/>
        </w:rPr>
        <w:t xml:space="preserve"> метформином оценивали в двойном слепом плацебо-контролируемом исследовании продолжительностью 52 недели. В течение первых 18 недель и последних 12 недель доза инсулина оставалась стабильной, но была </w:t>
      </w:r>
      <w:r w:rsidRPr="002604EF">
        <w:rPr>
          <w:rFonts w:eastAsia="TimesNewRoman"/>
        </w:rPr>
        <w:t>скорректирована для достижения уровня глюкозы до приема пищи &lt;100 мг/дл (5,5 ммоль/л) и уровня глюкозы после приема пищи &lt;140 мг/дл (7,8 ммоль/л) между 19 и 40 неделями.</w:t>
      </w:r>
    </w:p>
    <w:p w14:paraId="295F6F14" w14:textId="3D05D9E9"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На 18-й неделе эмпаглифлозин обеспечил статистически значимое улучшение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по сравнению с плацебо (таблица </w:t>
      </w:r>
      <w:r w:rsidR="002604EF" w:rsidRPr="002604EF">
        <w:rPr>
          <w:rFonts w:eastAsia="TimesNewRoman"/>
        </w:rPr>
        <w:t>4-</w:t>
      </w:r>
      <w:r w:rsidR="006836D0">
        <w:rPr>
          <w:rFonts w:eastAsia="TimesNewRoman"/>
        </w:rPr>
        <w:t>6</w:t>
      </w:r>
      <w:r w:rsidRPr="002604EF">
        <w:rPr>
          <w:rFonts w:eastAsia="TimesNewRoman"/>
        </w:rPr>
        <w:t>).</w:t>
      </w:r>
    </w:p>
    <w:p w14:paraId="4D351A6C" w14:textId="0CFB3588"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На 52-й неделе лечение эмпаглифлозином привело к статистически значимому снижению уровня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и сохранению доз инсулина по сравнению с плацебо, а также к снижению ГПН и массы тела</w:t>
      </w:r>
      <w:r w:rsidR="004B66CD" w:rsidRPr="000C7F59">
        <w:rPr>
          <w:rFonts w:eastAsia="TimesNewRoman"/>
        </w:rPr>
        <w:t xml:space="preserve"> [21]</w:t>
      </w:r>
      <w:r w:rsidRPr="002604EF">
        <w:rPr>
          <w:rFonts w:eastAsia="TimesNewRoman"/>
        </w:rPr>
        <w:t>.</w:t>
      </w:r>
    </w:p>
    <w:bookmarkEnd w:id="148"/>
    <w:p w14:paraId="09437801"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7C5F7EE0" w14:textId="2F157354" w:rsidR="00345876"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w:t>
      </w:r>
      <w:r w:rsidR="006836D0">
        <w:rPr>
          <w:rFonts w:eastAsia="TimesNewRoman"/>
          <w:b/>
          <w:bCs/>
        </w:rPr>
        <w:t>6</w:t>
      </w:r>
      <w:r w:rsidRPr="002604EF">
        <w:rPr>
          <w:rFonts w:eastAsia="TimesNewRoman"/>
          <w:b/>
          <w:bCs/>
        </w:rPr>
        <w:t>.</w:t>
      </w:r>
      <w:r w:rsidRPr="002604EF">
        <w:rPr>
          <w:rFonts w:eastAsia="TimesNewRoman"/>
        </w:rPr>
        <w:t xml:space="preserve"> Эффективность</w:t>
      </w:r>
      <w:r w:rsidRPr="00A40FCE">
        <w:rPr>
          <w:rFonts w:eastAsia="TimesNewRoman"/>
        </w:rPr>
        <w:t xml:space="preserve"> </w:t>
      </w:r>
      <w:r>
        <w:rPr>
          <w:rFonts w:eastAsia="TimesNewRoman"/>
        </w:rPr>
        <w:t>по</w:t>
      </w:r>
      <w:r w:rsidRPr="00A40FCE">
        <w:rPr>
          <w:rFonts w:eastAsia="TimesNewRoman"/>
        </w:rPr>
        <w:t xml:space="preserve"> </w:t>
      </w:r>
      <w:r>
        <w:rPr>
          <w:rFonts w:eastAsia="TimesNewRoman"/>
        </w:rPr>
        <w:t>данным</w:t>
      </w:r>
      <w:r w:rsidRPr="00A40FCE">
        <w:rPr>
          <w:rFonts w:eastAsia="TimesNewRoman"/>
        </w:rPr>
        <w:t xml:space="preserve"> 18-</w:t>
      </w:r>
      <w:r>
        <w:rPr>
          <w:rFonts w:eastAsia="TimesNewRoman"/>
        </w:rPr>
        <w:t>и</w:t>
      </w:r>
      <w:r w:rsidRPr="00A40FCE">
        <w:rPr>
          <w:rFonts w:eastAsia="TimesNewRoman"/>
        </w:rPr>
        <w:t xml:space="preserve"> </w:t>
      </w:r>
      <w:r>
        <w:rPr>
          <w:rFonts w:eastAsia="TimesNewRoman"/>
        </w:rPr>
        <w:t>и</w:t>
      </w:r>
      <w:r w:rsidRPr="00A40FCE">
        <w:rPr>
          <w:rFonts w:eastAsia="TimesNewRoman"/>
        </w:rPr>
        <w:t xml:space="preserve"> 52-</w:t>
      </w:r>
      <w:r>
        <w:rPr>
          <w:rFonts w:eastAsia="TimesNewRoman"/>
        </w:rPr>
        <w:t>х</w:t>
      </w:r>
      <w:r w:rsidRPr="00A40FCE">
        <w:rPr>
          <w:rFonts w:eastAsia="TimesNewRoman"/>
        </w:rPr>
        <w:t xml:space="preserve"> </w:t>
      </w:r>
      <w:r>
        <w:rPr>
          <w:rFonts w:eastAsia="TimesNewRoman"/>
        </w:rPr>
        <w:t>недельных</w:t>
      </w:r>
      <w:r w:rsidRPr="00A40FCE">
        <w:rPr>
          <w:rFonts w:eastAsia="TimesNewRoman"/>
        </w:rPr>
        <w:t xml:space="preserve"> </w:t>
      </w:r>
      <w:r>
        <w:rPr>
          <w:rFonts w:eastAsia="TimesNewRoman"/>
        </w:rPr>
        <w:t>плацебо</w:t>
      </w:r>
      <w:r w:rsidRPr="00A40FCE">
        <w:rPr>
          <w:rFonts w:eastAsia="TimesNewRoman"/>
        </w:rPr>
        <w:t>-</w:t>
      </w:r>
      <w:r>
        <w:rPr>
          <w:rFonts w:eastAsia="TimesNewRoman"/>
        </w:rPr>
        <w:t>контролируемых</w:t>
      </w:r>
      <w:r w:rsidRPr="00A40FCE">
        <w:rPr>
          <w:rFonts w:eastAsia="TimesNewRoman"/>
        </w:rPr>
        <w:t xml:space="preserve"> </w:t>
      </w:r>
      <w:r>
        <w:rPr>
          <w:rFonts w:eastAsia="TimesNewRoman"/>
        </w:rPr>
        <w:t>исследований</w:t>
      </w:r>
      <w:r w:rsidRPr="00A40FCE">
        <w:rPr>
          <w:rFonts w:eastAsia="TimesNewRoman"/>
        </w:rPr>
        <w:t xml:space="preserve"> </w:t>
      </w:r>
      <w:r>
        <w:rPr>
          <w:rFonts w:eastAsia="TimesNewRoman"/>
        </w:rPr>
        <w:t>добавления</w:t>
      </w:r>
      <w:r w:rsidRPr="00A40FCE">
        <w:rPr>
          <w:rFonts w:eastAsia="TimesNewRoman"/>
        </w:rPr>
        <w:t xml:space="preserve"> </w:t>
      </w:r>
      <w:r>
        <w:rPr>
          <w:rFonts w:eastAsia="TimesNewRoman"/>
        </w:rPr>
        <w:t>эмпаглифлозина</w:t>
      </w:r>
      <w:r w:rsidRPr="00A40FCE">
        <w:rPr>
          <w:rFonts w:eastAsia="TimesNewRoman"/>
        </w:rPr>
        <w:t xml:space="preserve"> </w:t>
      </w:r>
      <w:r>
        <w:rPr>
          <w:rFonts w:eastAsia="TimesNewRoman"/>
        </w:rPr>
        <w:t>к</w:t>
      </w:r>
      <w:r w:rsidRPr="00A40FCE">
        <w:rPr>
          <w:rFonts w:eastAsia="TimesNewRoman"/>
        </w:rPr>
        <w:t xml:space="preserve"> </w:t>
      </w:r>
      <w:r w:rsidRPr="008C2F58">
        <w:rPr>
          <w:rFonts w:eastAsia="TimesNewRoman"/>
        </w:rPr>
        <w:t>многократным</w:t>
      </w:r>
      <w:r w:rsidRPr="00A40FCE">
        <w:rPr>
          <w:rFonts w:eastAsia="TimesNewRoman"/>
        </w:rPr>
        <w:t xml:space="preserve"> </w:t>
      </w:r>
      <w:r w:rsidRPr="008C2F58">
        <w:rPr>
          <w:rFonts w:eastAsia="TimesNewRoman"/>
        </w:rPr>
        <w:t>ежедневным</w:t>
      </w:r>
      <w:r w:rsidRPr="00A40FCE">
        <w:rPr>
          <w:rFonts w:eastAsia="TimesNewRoman"/>
        </w:rPr>
        <w:t xml:space="preserve"> </w:t>
      </w:r>
      <w:r w:rsidRPr="008C2F58">
        <w:rPr>
          <w:rFonts w:eastAsia="TimesNewRoman"/>
        </w:rPr>
        <w:t>введениям</w:t>
      </w:r>
      <w:r w:rsidRPr="00A40FCE">
        <w:rPr>
          <w:rFonts w:eastAsia="TimesNewRoman"/>
        </w:rPr>
        <w:t xml:space="preserve"> </w:t>
      </w:r>
      <w:r w:rsidRPr="008C2F58">
        <w:rPr>
          <w:rFonts w:eastAsia="TimesNewRoman"/>
        </w:rPr>
        <w:t>инсулина</w:t>
      </w:r>
      <w:r w:rsidRPr="00A40FCE">
        <w:rPr>
          <w:rFonts w:eastAsia="TimesNewRoman"/>
        </w:rPr>
        <w:t xml:space="preserve"> </w:t>
      </w:r>
      <w:r>
        <w:rPr>
          <w:rFonts w:eastAsia="TimesNewRoman"/>
        </w:rPr>
        <w:t>короткого</w:t>
      </w:r>
      <w:r w:rsidRPr="00A40FCE">
        <w:rPr>
          <w:rFonts w:eastAsia="TimesNewRoman"/>
        </w:rPr>
        <w:t xml:space="preserve"> </w:t>
      </w:r>
      <w:r>
        <w:rPr>
          <w:rFonts w:eastAsia="TimesNewRoman"/>
        </w:rPr>
        <w:t>действия</w:t>
      </w:r>
      <w:r w:rsidRPr="00A40FCE">
        <w:rPr>
          <w:rFonts w:eastAsia="TimesNewRoman"/>
        </w:rPr>
        <w:t xml:space="preserve"> </w:t>
      </w:r>
      <w:r>
        <w:rPr>
          <w:rFonts w:eastAsia="TimesNewRoman"/>
        </w:rPr>
        <w:t>с</w:t>
      </w:r>
      <w:r w:rsidRPr="00A40FCE">
        <w:rPr>
          <w:rFonts w:eastAsia="TimesNewRoman"/>
        </w:rPr>
        <w:t>/</w:t>
      </w:r>
      <w:r>
        <w:rPr>
          <w:rFonts w:eastAsia="TimesNewRoman"/>
        </w:rPr>
        <w:t>без</w:t>
      </w:r>
      <w:r w:rsidRPr="00A40FCE">
        <w:rPr>
          <w:rFonts w:eastAsia="TimesNewRoman"/>
        </w:rPr>
        <w:t xml:space="preserve"> </w:t>
      </w:r>
      <w:r>
        <w:rPr>
          <w:rFonts w:eastAsia="TimesNewRoman"/>
        </w:rPr>
        <w:t>сопутствующей</w:t>
      </w:r>
      <w:r w:rsidRPr="00A40FCE">
        <w:rPr>
          <w:rFonts w:eastAsia="TimesNewRoman"/>
        </w:rPr>
        <w:t xml:space="preserve"> </w:t>
      </w:r>
      <w:r>
        <w:rPr>
          <w:rFonts w:eastAsia="TimesNewRoman"/>
        </w:rPr>
        <w:t>терапии</w:t>
      </w:r>
      <w:r w:rsidRPr="00A40FCE">
        <w:rPr>
          <w:rFonts w:eastAsia="TimesNewRoman"/>
        </w:rPr>
        <w:t xml:space="preserve"> </w:t>
      </w:r>
      <w:r>
        <w:rPr>
          <w:rFonts w:eastAsia="TimesNewRoman"/>
        </w:rPr>
        <w:t>метформином</w:t>
      </w:r>
      <w:r w:rsidRPr="00A40FCE">
        <w:rPr>
          <w:rFonts w:eastAsia="TimesNewRoman"/>
        </w:rPr>
        <w:t>.</w:t>
      </w:r>
    </w:p>
    <w:tbl>
      <w:tblPr>
        <w:tblStyle w:val="TableGrid"/>
        <w:tblW w:w="0" w:type="auto"/>
        <w:tblLook w:val="04A0" w:firstRow="1" w:lastRow="0" w:firstColumn="1" w:lastColumn="0" w:noHBand="0" w:noVBand="1"/>
      </w:tblPr>
      <w:tblGrid>
        <w:gridCol w:w="3963"/>
        <w:gridCol w:w="1418"/>
        <w:gridCol w:w="1984"/>
        <w:gridCol w:w="1979"/>
      </w:tblGrid>
      <w:tr w:rsidR="00345876" w:rsidRPr="008F4D02" w14:paraId="60C3024D" w14:textId="77777777" w:rsidTr="007756D8">
        <w:trPr>
          <w:tblHeader/>
        </w:trPr>
        <w:tc>
          <w:tcPr>
            <w:tcW w:w="3964" w:type="dxa"/>
            <w:vMerge w:val="restart"/>
            <w:shd w:val="clear" w:color="auto" w:fill="D9D9D9" w:themeFill="background1" w:themeFillShade="D9"/>
            <w:vAlign w:val="center"/>
          </w:tcPr>
          <w:p w14:paraId="76934046" w14:textId="77777777" w:rsidR="00345876" w:rsidRPr="00D83909" w:rsidRDefault="00345876" w:rsidP="004B66CD">
            <w:pPr>
              <w:autoSpaceDE w:val="0"/>
              <w:autoSpaceDN w:val="0"/>
              <w:adjustRightInd w:val="0"/>
              <w:spacing w:after="0" w:line="240" w:lineRule="auto"/>
              <w:contextualSpacing/>
              <w:rPr>
                <w:rFonts w:eastAsia="TimesNewRoman"/>
                <w:b/>
                <w:bCs/>
              </w:rPr>
            </w:pPr>
          </w:p>
        </w:tc>
        <w:tc>
          <w:tcPr>
            <w:tcW w:w="1418" w:type="dxa"/>
            <w:vMerge w:val="restart"/>
            <w:shd w:val="clear" w:color="auto" w:fill="D9D9D9" w:themeFill="background1" w:themeFillShade="D9"/>
            <w:vAlign w:val="center"/>
          </w:tcPr>
          <w:p w14:paraId="0A15A2A9"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r w:rsidRPr="00D83909">
              <w:rPr>
                <w:rFonts w:eastAsia="TimesNewRoman"/>
                <w:b/>
                <w:bCs/>
              </w:rPr>
              <w:t>Плацебо</w:t>
            </w:r>
          </w:p>
        </w:tc>
        <w:tc>
          <w:tcPr>
            <w:tcW w:w="3963" w:type="dxa"/>
            <w:gridSpan w:val="2"/>
            <w:shd w:val="clear" w:color="auto" w:fill="D9D9D9" w:themeFill="background1" w:themeFillShade="D9"/>
            <w:vAlign w:val="center"/>
          </w:tcPr>
          <w:p w14:paraId="7B0DF027"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r w:rsidRPr="00D83909">
              <w:rPr>
                <w:rFonts w:eastAsia="TimesNewRoman"/>
                <w:b/>
                <w:bCs/>
              </w:rPr>
              <w:t>Эмпаглифлозин</w:t>
            </w:r>
          </w:p>
        </w:tc>
      </w:tr>
      <w:tr w:rsidR="00345876" w:rsidRPr="008F4D02" w14:paraId="20891346" w14:textId="77777777" w:rsidTr="007756D8">
        <w:trPr>
          <w:tblHeader/>
        </w:trPr>
        <w:tc>
          <w:tcPr>
            <w:tcW w:w="3964" w:type="dxa"/>
            <w:vMerge/>
            <w:shd w:val="clear" w:color="auto" w:fill="D9D9D9" w:themeFill="background1" w:themeFillShade="D9"/>
            <w:vAlign w:val="center"/>
          </w:tcPr>
          <w:p w14:paraId="343C20CF" w14:textId="77777777" w:rsidR="00345876" w:rsidRPr="00D83909" w:rsidRDefault="00345876" w:rsidP="004B66CD">
            <w:pPr>
              <w:autoSpaceDE w:val="0"/>
              <w:autoSpaceDN w:val="0"/>
              <w:adjustRightInd w:val="0"/>
              <w:spacing w:after="0" w:line="240" w:lineRule="auto"/>
              <w:contextualSpacing/>
              <w:rPr>
                <w:rFonts w:eastAsia="TimesNewRoman"/>
                <w:b/>
                <w:bCs/>
              </w:rPr>
            </w:pPr>
          </w:p>
        </w:tc>
        <w:tc>
          <w:tcPr>
            <w:tcW w:w="1418" w:type="dxa"/>
            <w:vMerge/>
            <w:shd w:val="clear" w:color="auto" w:fill="D9D9D9" w:themeFill="background1" w:themeFillShade="D9"/>
            <w:vAlign w:val="center"/>
          </w:tcPr>
          <w:p w14:paraId="01C38111"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p>
        </w:tc>
        <w:tc>
          <w:tcPr>
            <w:tcW w:w="1984" w:type="dxa"/>
            <w:shd w:val="clear" w:color="auto" w:fill="D9D9D9" w:themeFill="background1" w:themeFillShade="D9"/>
            <w:vAlign w:val="center"/>
          </w:tcPr>
          <w:p w14:paraId="443B10D0"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r w:rsidRPr="00D83909">
              <w:rPr>
                <w:rFonts w:eastAsia="TimesNewRoman"/>
                <w:b/>
                <w:bCs/>
              </w:rPr>
              <w:t>10 мг</w:t>
            </w:r>
          </w:p>
        </w:tc>
        <w:tc>
          <w:tcPr>
            <w:tcW w:w="1979" w:type="dxa"/>
            <w:shd w:val="clear" w:color="auto" w:fill="D9D9D9" w:themeFill="background1" w:themeFillShade="D9"/>
            <w:vAlign w:val="center"/>
          </w:tcPr>
          <w:p w14:paraId="2900D8C7" w14:textId="77777777" w:rsidR="00345876" w:rsidRPr="00D83909" w:rsidRDefault="00345876" w:rsidP="004B66CD">
            <w:pPr>
              <w:autoSpaceDE w:val="0"/>
              <w:autoSpaceDN w:val="0"/>
              <w:adjustRightInd w:val="0"/>
              <w:spacing w:after="0" w:line="240" w:lineRule="auto"/>
              <w:contextualSpacing/>
              <w:jc w:val="center"/>
              <w:rPr>
                <w:rFonts w:eastAsia="TimesNewRoman"/>
                <w:b/>
                <w:bCs/>
              </w:rPr>
            </w:pPr>
            <w:r w:rsidRPr="00D83909">
              <w:rPr>
                <w:rFonts w:eastAsia="TimesNewRoman"/>
                <w:b/>
                <w:bCs/>
              </w:rPr>
              <w:t>25 мг</w:t>
            </w:r>
          </w:p>
        </w:tc>
      </w:tr>
      <w:tr w:rsidR="00345876" w:rsidRPr="008F4D02" w14:paraId="42169288" w14:textId="77777777" w:rsidTr="007756D8">
        <w:tc>
          <w:tcPr>
            <w:tcW w:w="3964" w:type="dxa"/>
          </w:tcPr>
          <w:p w14:paraId="45B53B1F" w14:textId="77777777" w:rsidR="00345876" w:rsidRPr="008F4D02"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418" w:type="dxa"/>
            <w:vAlign w:val="center"/>
          </w:tcPr>
          <w:p w14:paraId="54A9F42B"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188</w:t>
            </w:r>
          </w:p>
        </w:tc>
        <w:tc>
          <w:tcPr>
            <w:tcW w:w="1984" w:type="dxa"/>
            <w:vAlign w:val="center"/>
          </w:tcPr>
          <w:p w14:paraId="170902A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186</w:t>
            </w:r>
          </w:p>
        </w:tc>
        <w:tc>
          <w:tcPr>
            <w:tcW w:w="1979" w:type="dxa"/>
            <w:vAlign w:val="center"/>
          </w:tcPr>
          <w:p w14:paraId="4FB7326E"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189</w:t>
            </w:r>
          </w:p>
        </w:tc>
      </w:tr>
      <w:tr w:rsidR="00345876" w:rsidRPr="008F4D02" w14:paraId="618FA67F" w14:textId="77777777" w:rsidTr="007756D8">
        <w:tc>
          <w:tcPr>
            <w:tcW w:w="9345" w:type="dxa"/>
            <w:gridSpan w:val="4"/>
            <w:vAlign w:val="center"/>
          </w:tcPr>
          <w:p w14:paraId="77004CCF" w14:textId="77777777" w:rsidR="00345876" w:rsidRPr="00D83909" w:rsidRDefault="00345876" w:rsidP="004B66CD">
            <w:pPr>
              <w:autoSpaceDE w:val="0"/>
              <w:autoSpaceDN w:val="0"/>
              <w:adjustRightInd w:val="0"/>
              <w:spacing w:after="0" w:line="240" w:lineRule="auto"/>
              <w:contextualSpacing/>
              <w:rPr>
                <w:rFonts w:eastAsia="TimesNewRoman"/>
              </w:rPr>
            </w:pPr>
            <w:r w:rsidRPr="00166A50">
              <w:rPr>
                <w:b/>
                <w:bCs/>
                <w:lang w:val="en-US"/>
              </w:rPr>
              <w:t xml:space="preserve">HbA1c </w:t>
            </w:r>
            <w:r>
              <w:rPr>
                <w:b/>
                <w:bCs/>
              </w:rPr>
              <w:t xml:space="preserve">на неделе 18 </w:t>
            </w:r>
            <w:r w:rsidRPr="00166A50">
              <w:rPr>
                <w:b/>
                <w:bCs/>
                <w:lang w:val="en-US"/>
              </w:rPr>
              <w:t>(%)</w:t>
            </w:r>
          </w:p>
        </w:tc>
      </w:tr>
      <w:tr w:rsidR="00345876" w:rsidRPr="008F4D02" w14:paraId="46A8A25E" w14:textId="77777777" w:rsidTr="007756D8">
        <w:tc>
          <w:tcPr>
            <w:tcW w:w="3964" w:type="dxa"/>
          </w:tcPr>
          <w:p w14:paraId="5EF3355E" w14:textId="77777777" w:rsidR="00345876" w:rsidRPr="008F4D02"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418" w:type="dxa"/>
            <w:vAlign w:val="center"/>
          </w:tcPr>
          <w:p w14:paraId="3353522F"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8,33</w:t>
            </w:r>
          </w:p>
        </w:tc>
        <w:tc>
          <w:tcPr>
            <w:tcW w:w="1984" w:type="dxa"/>
            <w:vAlign w:val="center"/>
          </w:tcPr>
          <w:p w14:paraId="1E84924B"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8,39</w:t>
            </w:r>
          </w:p>
        </w:tc>
        <w:tc>
          <w:tcPr>
            <w:tcW w:w="1979" w:type="dxa"/>
            <w:vAlign w:val="center"/>
          </w:tcPr>
          <w:p w14:paraId="5EED0A1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8,29</w:t>
            </w:r>
          </w:p>
        </w:tc>
      </w:tr>
      <w:tr w:rsidR="00345876" w:rsidRPr="008F4D02" w14:paraId="3A68B3FA" w14:textId="77777777" w:rsidTr="007756D8">
        <w:tc>
          <w:tcPr>
            <w:tcW w:w="3964" w:type="dxa"/>
          </w:tcPr>
          <w:p w14:paraId="4E69C8B7" w14:textId="77777777" w:rsidR="00345876" w:rsidRPr="008F4D02"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418" w:type="dxa"/>
            <w:vAlign w:val="center"/>
          </w:tcPr>
          <w:p w14:paraId="4B45E2C8"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-0,50</w:t>
            </w:r>
          </w:p>
        </w:tc>
        <w:tc>
          <w:tcPr>
            <w:tcW w:w="1984" w:type="dxa"/>
            <w:vAlign w:val="center"/>
          </w:tcPr>
          <w:p w14:paraId="5319E56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-0,94</w:t>
            </w:r>
          </w:p>
        </w:tc>
        <w:tc>
          <w:tcPr>
            <w:tcW w:w="1979" w:type="dxa"/>
            <w:vAlign w:val="center"/>
          </w:tcPr>
          <w:p w14:paraId="23818219"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-1,02</w:t>
            </w:r>
          </w:p>
        </w:tc>
      </w:tr>
      <w:tr w:rsidR="00345876" w:rsidRPr="008F4D02" w14:paraId="66BA9947" w14:textId="77777777" w:rsidTr="00421FA2">
        <w:tc>
          <w:tcPr>
            <w:tcW w:w="3964" w:type="dxa"/>
            <w:vAlign w:val="center"/>
          </w:tcPr>
          <w:p w14:paraId="5DCD4ED1" w14:textId="77777777" w:rsidR="00345876" w:rsidRPr="008F4D02" w:rsidRDefault="00345876" w:rsidP="004B66CD">
            <w:pPr>
              <w:autoSpaceDE w:val="0"/>
              <w:autoSpaceDN w:val="0"/>
              <w:adjustRightInd w:val="0"/>
              <w:spacing w:after="0" w:line="240" w:lineRule="auto"/>
              <w:ind w:left="175"/>
              <w:contextualSpacing/>
              <w:rPr>
                <w:rFonts w:eastAsia="TimesNewRoman"/>
              </w:rPr>
            </w:pPr>
            <w:r>
              <w:t>Разница с плацебо (97,5% ДИ)</w:t>
            </w:r>
          </w:p>
        </w:tc>
        <w:tc>
          <w:tcPr>
            <w:tcW w:w="1418" w:type="dxa"/>
            <w:vAlign w:val="center"/>
          </w:tcPr>
          <w:p w14:paraId="28558F54" w14:textId="77777777" w:rsidR="00345876" w:rsidRPr="008F4D02" w:rsidRDefault="00345876" w:rsidP="004B66CD">
            <w:pPr>
              <w:autoSpaceDE w:val="0"/>
              <w:autoSpaceDN w:val="0"/>
              <w:adjustRightInd w:val="0"/>
              <w:spacing w:after="0" w:line="240" w:lineRule="auto"/>
              <w:contextualSpacing/>
              <w:jc w:val="center"/>
              <w:rPr>
                <w:rFonts w:eastAsia="TimesNewRoman"/>
              </w:rPr>
            </w:pPr>
          </w:p>
        </w:tc>
        <w:tc>
          <w:tcPr>
            <w:tcW w:w="1984" w:type="dxa"/>
            <w:vAlign w:val="center"/>
          </w:tcPr>
          <w:p w14:paraId="75685677"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-0,44*</w:t>
            </w:r>
            <w:r>
              <w:rPr>
                <w:rFonts w:eastAsia="TimesNewRoman"/>
              </w:rPr>
              <w:br/>
              <w:t>(-0,61; -0,27)</w:t>
            </w:r>
          </w:p>
        </w:tc>
        <w:tc>
          <w:tcPr>
            <w:tcW w:w="1979" w:type="dxa"/>
            <w:vAlign w:val="center"/>
          </w:tcPr>
          <w:p w14:paraId="3ECA01FA"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-0,52*</w:t>
            </w:r>
            <w:r>
              <w:rPr>
                <w:rFonts w:eastAsia="TimesNewRoman"/>
              </w:rPr>
              <w:br/>
              <w:t>(-0,69; -0,35)</w:t>
            </w:r>
          </w:p>
        </w:tc>
      </w:tr>
      <w:tr w:rsidR="00345876" w:rsidRPr="008F4D02" w14:paraId="14EDBFEA" w14:textId="77777777" w:rsidTr="007756D8">
        <w:tc>
          <w:tcPr>
            <w:tcW w:w="3964" w:type="dxa"/>
          </w:tcPr>
          <w:p w14:paraId="1F97213F" w14:textId="77777777" w:rsidR="00345876" w:rsidRPr="008F4D02"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418" w:type="dxa"/>
            <w:vAlign w:val="center"/>
          </w:tcPr>
          <w:p w14:paraId="03E3294F"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115</w:t>
            </w:r>
          </w:p>
        </w:tc>
        <w:tc>
          <w:tcPr>
            <w:tcW w:w="1984" w:type="dxa"/>
            <w:vAlign w:val="center"/>
          </w:tcPr>
          <w:p w14:paraId="3CB470C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119</w:t>
            </w:r>
          </w:p>
        </w:tc>
        <w:tc>
          <w:tcPr>
            <w:tcW w:w="1979" w:type="dxa"/>
            <w:vAlign w:val="center"/>
          </w:tcPr>
          <w:p w14:paraId="7156404D"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r>
      <w:tr w:rsidR="00345876" w:rsidRPr="00D83909" w14:paraId="07B597EE" w14:textId="77777777" w:rsidTr="007756D8">
        <w:tc>
          <w:tcPr>
            <w:tcW w:w="9345" w:type="dxa"/>
            <w:gridSpan w:val="4"/>
            <w:vAlign w:val="center"/>
          </w:tcPr>
          <w:p w14:paraId="7FE823E2" w14:textId="77777777" w:rsidR="00345876" w:rsidRPr="00062ABF" w:rsidRDefault="00345876" w:rsidP="004B66CD">
            <w:pPr>
              <w:autoSpaceDE w:val="0"/>
              <w:autoSpaceDN w:val="0"/>
              <w:adjustRightInd w:val="0"/>
              <w:spacing w:after="0" w:line="240" w:lineRule="auto"/>
              <w:contextualSpacing/>
              <w:rPr>
                <w:rFonts w:eastAsia="TimesNewRoman"/>
              </w:rPr>
            </w:pPr>
            <w:r w:rsidRPr="00166A50">
              <w:rPr>
                <w:b/>
                <w:bCs/>
                <w:lang w:val="en-US"/>
              </w:rPr>
              <w:t xml:space="preserve">HbA1c </w:t>
            </w:r>
            <w:r>
              <w:rPr>
                <w:b/>
                <w:bCs/>
              </w:rPr>
              <w:t xml:space="preserve">на неделе 52 </w:t>
            </w:r>
            <w:r w:rsidRPr="00166A50">
              <w:rPr>
                <w:b/>
                <w:bCs/>
                <w:lang w:val="en-US"/>
              </w:rPr>
              <w:t>(%)</w:t>
            </w:r>
            <w:r w:rsidRPr="00062ABF">
              <w:rPr>
                <w:b/>
                <w:bCs/>
                <w:vertAlign w:val="superscript"/>
              </w:rPr>
              <w:t>2</w:t>
            </w:r>
          </w:p>
        </w:tc>
      </w:tr>
      <w:tr w:rsidR="00345876" w:rsidRPr="008F4D02" w14:paraId="16602A8D" w14:textId="77777777" w:rsidTr="007756D8">
        <w:tc>
          <w:tcPr>
            <w:tcW w:w="3964" w:type="dxa"/>
          </w:tcPr>
          <w:p w14:paraId="5C923EA1" w14:textId="77777777" w:rsidR="00345876" w:rsidRPr="008F4D02"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418" w:type="dxa"/>
            <w:vAlign w:val="center"/>
          </w:tcPr>
          <w:p w14:paraId="71799707"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8,25</w:t>
            </w:r>
          </w:p>
        </w:tc>
        <w:tc>
          <w:tcPr>
            <w:tcW w:w="1984" w:type="dxa"/>
            <w:vAlign w:val="center"/>
          </w:tcPr>
          <w:p w14:paraId="60A3E10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8,40</w:t>
            </w:r>
          </w:p>
        </w:tc>
        <w:tc>
          <w:tcPr>
            <w:tcW w:w="1979" w:type="dxa"/>
            <w:vAlign w:val="center"/>
          </w:tcPr>
          <w:p w14:paraId="09FBA7C7"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8,37</w:t>
            </w:r>
          </w:p>
        </w:tc>
      </w:tr>
      <w:tr w:rsidR="00345876" w:rsidRPr="008F4D02" w14:paraId="6D6A8E72" w14:textId="77777777" w:rsidTr="007756D8">
        <w:tc>
          <w:tcPr>
            <w:tcW w:w="3964" w:type="dxa"/>
          </w:tcPr>
          <w:p w14:paraId="024D31FA" w14:textId="77777777" w:rsidR="00345876" w:rsidRPr="008F4D02"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418" w:type="dxa"/>
            <w:vAlign w:val="center"/>
          </w:tcPr>
          <w:p w14:paraId="6682F39F"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-0,81</w:t>
            </w:r>
          </w:p>
        </w:tc>
        <w:tc>
          <w:tcPr>
            <w:tcW w:w="1984" w:type="dxa"/>
            <w:vAlign w:val="center"/>
          </w:tcPr>
          <w:p w14:paraId="48C9169F"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c>
          <w:tcPr>
            <w:tcW w:w="1979" w:type="dxa"/>
            <w:vAlign w:val="center"/>
          </w:tcPr>
          <w:p w14:paraId="6575A5E7"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-1,27</w:t>
            </w:r>
          </w:p>
        </w:tc>
      </w:tr>
      <w:tr w:rsidR="00345876" w:rsidRPr="008F4D02" w14:paraId="07E32EC1" w14:textId="77777777" w:rsidTr="00421FA2">
        <w:tc>
          <w:tcPr>
            <w:tcW w:w="3964" w:type="dxa"/>
            <w:vAlign w:val="center"/>
          </w:tcPr>
          <w:p w14:paraId="2BE78B19" w14:textId="77777777" w:rsidR="00345876" w:rsidRPr="008F4D02" w:rsidRDefault="00345876" w:rsidP="004B66CD">
            <w:pPr>
              <w:autoSpaceDE w:val="0"/>
              <w:autoSpaceDN w:val="0"/>
              <w:adjustRightInd w:val="0"/>
              <w:spacing w:after="0" w:line="240" w:lineRule="auto"/>
              <w:ind w:left="175"/>
              <w:contextualSpacing/>
              <w:rPr>
                <w:rFonts w:eastAsia="TimesNewRoman"/>
              </w:rPr>
            </w:pPr>
            <w:r>
              <w:t>Разница с плацебо (97,5% ДИ)</w:t>
            </w:r>
          </w:p>
        </w:tc>
        <w:tc>
          <w:tcPr>
            <w:tcW w:w="1418" w:type="dxa"/>
            <w:vAlign w:val="center"/>
          </w:tcPr>
          <w:p w14:paraId="6CD01645" w14:textId="77777777" w:rsidR="00345876" w:rsidRPr="008F4D02" w:rsidRDefault="00345876" w:rsidP="004B66CD">
            <w:pPr>
              <w:autoSpaceDE w:val="0"/>
              <w:autoSpaceDN w:val="0"/>
              <w:adjustRightInd w:val="0"/>
              <w:spacing w:after="0" w:line="240" w:lineRule="auto"/>
              <w:contextualSpacing/>
              <w:jc w:val="center"/>
              <w:rPr>
                <w:rFonts w:eastAsia="TimesNewRoman"/>
              </w:rPr>
            </w:pPr>
          </w:p>
        </w:tc>
        <w:tc>
          <w:tcPr>
            <w:tcW w:w="1984" w:type="dxa"/>
            <w:vAlign w:val="center"/>
          </w:tcPr>
          <w:p w14:paraId="05F34D41"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-0,38**</w:t>
            </w:r>
            <w:r>
              <w:rPr>
                <w:rFonts w:eastAsia="TimesNewRoman"/>
              </w:rPr>
              <w:br/>
              <w:t>(-0,62; -0,13)</w:t>
            </w:r>
          </w:p>
        </w:tc>
        <w:tc>
          <w:tcPr>
            <w:tcW w:w="1979" w:type="dxa"/>
            <w:vAlign w:val="center"/>
          </w:tcPr>
          <w:p w14:paraId="61E77793"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-0,46*</w:t>
            </w:r>
            <w:r>
              <w:rPr>
                <w:rFonts w:eastAsia="TimesNewRoman"/>
              </w:rPr>
              <w:br/>
              <w:t>(-0,70; -0,22)</w:t>
            </w:r>
          </w:p>
        </w:tc>
      </w:tr>
      <w:tr w:rsidR="00345876" w:rsidRPr="008F4D02" w14:paraId="3E29304B" w14:textId="77777777" w:rsidTr="007756D8">
        <w:tc>
          <w:tcPr>
            <w:tcW w:w="3964" w:type="dxa"/>
            <w:vAlign w:val="center"/>
          </w:tcPr>
          <w:p w14:paraId="31854841" w14:textId="77777777" w:rsidR="00345876" w:rsidRPr="008F4D02"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418" w:type="dxa"/>
            <w:vAlign w:val="center"/>
          </w:tcPr>
          <w:p w14:paraId="6131AA8C"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113</w:t>
            </w:r>
          </w:p>
        </w:tc>
        <w:tc>
          <w:tcPr>
            <w:tcW w:w="1984" w:type="dxa"/>
            <w:vAlign w:val="center"/>
          </w:tcPr>
          <w:p w14:paraId="49689AE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c>
          <w:tcPr>
            <w:tcW w:w="1979" w:type="dxa"/>
            <w:vAlign w:val="center"/>
          </w:tcPr>
          <w:p w14:paraId="4D0B1B7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r>
      <w:tr w:rsidR="00345876" w:rsidRPr="008F4D02" w14:paraId="15F39AC9" w14:textId="77777777" w:rsidTr="007756D8">
        <w:tc>
          <w:tcPr>
            <w:tcW w:w="3964" w:type="dxa"/>
            <w:vAlign w:val="center"/>
          </w:tcPr>
          <w:p w14:paraId="4D2E9073" w14:textId="77777777" w:rsidR="00345876" w:rsidRPr="008F4D02" w:rsidRDefault="00345876" w:rsidP="004B66CD">
            <w:pPr>
              <w:autoSpaceDE w:val="0"/>
              <w:autoSpaceDN w:val="0"/>
              <w:adjustRightInd w:val="0"/>
              <w:spacing w:after="0" w:line="240" w:lineRule="auto"/>
              <w:contextualSpacing/>
              <w:rPr>
                <w:rFonts w:eastAsia="TimesNewRoman"/>
              </w:rPr>
            </w:pPr>
            <w:r w:rsidRPr="00166A50">
              <w:rPr>
                <w:b/>
                <w:bCs/>
              </w:rPr>
              <w:lastRenderedPageBreak/>
              <w:t xml:space="preserve">Пациенты с исходным уровнем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≥7%, достигнувшие уровня </w:t>
            </w:r>
            <w:proofErr w:type="spellStart"/>
            <w:r w:rsidRPr="00166A50">
              <w:rPr>
                <w:b/>
                <w:bCs/>
                <w:lang w:val="en-US"/>
              </w:rPr>
              <w:t>HbA</w:t>
            </w:r>
            <w:proofErr w:type="spellEnd"/>
            <w:r w:rsidRPr="00166A50">
              <w:rPr>
                <w:b/>
                <w:bCs/>
              </w:rPr>
              <w:t>1</w:t>
            </w:r>
            <w:r w:rsidRPr="00166A50">
              <w:rPr>
                <w:b/>
                <w:bCs/>
                <w:lang w:val="en-US"/>
              </w:rPr>
              <w:t>c</w:t>
            </w:r>
            <w:r w:rsidRPr="00166A50">
              <w:rPr>
                <w:b/>
                <w:bCs/>
              </w:rPr>
              <w:t xml:space="preserve"> &lt;7%</w:t>
            </w:r>
            <w:r>
              <w:rPr>
                <w:b/>
                <w:bCs/>
              </w:rPr>
              <w:t xml:space="preserve"> на неделе 52</w:t>
            </w:r>
            <w:r w:rsidRPr="00166A50">
              <w:rPr>
                <w:b/>
                <w:bCs/>
              </w:rPr>
              <w:t xml:space="preserve"> (%)</w:t>
            </w:r>
          </w:p>
        </w:tc>
        <w:tc>
          <w:tcPr>
            <w:tcW w:w="1418" w:type="dxa"/>
            <w:vAlign w:val="center"/>
          </w:tcPr>
          <w:p w14:paraId="0E68788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26,5</w:t>
            </w:r>
          </w:p>
        </w:tc>
        <w:tc>
          <w:tcPr>
            <w:tcW w:w="1984" w:type="dxa"/>
            <w:vAlign w:val="center"/>
          </w:tcPr>
          <w:p w14:paraId="58E38F7B"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39,8</w:t>
            </w:r>
          </w:p>
        </w:tc>
        <w:tc>
          <w:tcPr>
            <w:tcW w:w="1979" w:type="dxa"/>
            <w:vAlign w:val="center"/>
          </w:tcPr>
          <w:p w14:paraId="2D043861"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45,8</w:t>
            </w:r>
          </w:p>
        </w:tc>
      </w:tr>
      <w:tr w:rsidR="00345876" w:rsidRPr="008F4D02" w14:paraId="04D031D9" w14:textId="77777777" w:rsidTr="007756D8">
        <w:tc>
          <w:tcPr>
            <w:tcW w:w="3964" w:type="dxa"/>
            <w:vAlign w:val="center"/>
          </w:tcPr>
          <w:p w14:paraId="3D85D7AD" w14:textId="77777777" w:rsidR="00345876" w:rsidRPr="008F4D02"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418" w:type="dxa"/>
            <w:vAlign w:val="center"/>
          </w:tcPr>
          <w:p w14:paraId="52AFECB3"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115</w:t>
            </w:r>
          </w:p>
        </w:tc>
        <w:tc>
          <w:tcPr>
            <w:tcW w:w="1984" w:type="dxa"/>
            <w:vAlign w:val="center"/>
          </w:tcPr>
          <w:p w14:paraId="42187B99"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c>
          <w:tcPr>
            <w:tcW w:w="1979" w:type="dxa"/>
            <w:vAlign w:val="center"/>
          </w:tcPr>
          <w:p w14:paraId="404A7DFD"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117</w:t>
            </w:r>
          </w:p>
        </w:tc>
      </w:tr>
      <w:tr w:rsidR="00345876" w:rsidRPr="008F4D02" w14:paraId="3C459031" w14:textId="77777777" w:rsidTr="007756D8">
        <w:tc>
          <w:tcPr>
            <w:tcW w:w="9345" w:type="dxa"/>
            <w:gridSpan w:val="4"/>
            <w:vAlign w:val="center"/>
          </w:tcPr>
          <w:p w14:paraId="42150AA1" w14:textId="77777777" w:rsidR="00345876" w:rsidRPr="008F4D02" w:rsidRDefault="00345876" w:rsidP="004B66CD">
            <w:pPr>
              <w:autoSpaceDE w:val="0"/>
              <w:autoSpaceDN w:val="0"/>
              <w:adjustRightInd w:val="0"/>
              <w:spacing w:after="0" w:line="240" w:lineRule="auto"/>
              <w:contextualSpacing/>
              <w:rPr>
                <w:rFonts w:eastAsia="TimesNewRoman"/>
              </w:rPr>
            </w:pPr>
            <w:r>
              <w:rPr>
                <w:b/>
                <w:bCs/>
              </w:rPr>
              <w:t>Доза инсулина</w:t>
            </w:r>
            <w:r w:rsidRPr="00166A50">
              <w:rPr>
                <w:b/>
                <w:bCs/>
              </w:rPr>
              <w:t xml:space="preserve"> (</w:t>
            </w:r>
            <w:r>
              <w:rPr>
                <w:b/>
                <w:bCs/>
              </w:rPr>
              <w:t>Ед/день</w:t>
            </w:r>
            <w:r w:rsidRPr="00166A50">
              <w:rPr>
                <w:b/>
                <w:bCs/>
              </w:rPr>
              <w:t>)</w:t>
            </w:r>
            <w:r>
              <w:rPr>
                <w:b/>
                <w:bCs/>
              </w:rPr>
              <w:t xml:space="preserve"> на неделе 52</w:t>
            </w:r>
            <w:r>
              <w:rPr>
                <w:b/>
                <w:bCs/>
                <w:vertAlign w:val="superscript"/>
              </w:rPr>
              <w:t>2</w:t>
            </w:r>
          </w:p>
        </w:tc>
      </w:tr>
      <w:tr w:rsidR="00345876" w:rsidRPr="008F4D02" w14:paraId="0CFD07EE" w14:textId="77777777" w:rsidTr="007756D8">
        <w:tc>
          <w:tcPr>
            <w:tcW w:w="3964" w:type="dxa"/>
          </w:tcPr>
          <w:p w14:paraId="53B96923" w14:textId="77777777" w:rsidR="00345876" w:rsidRPr="008F4D02" w:rsidRDefault="00345876" w:rsidP="004B66CD">
            <w:pPr>
              <w:autoSpaceDE w:val="0"/>
              <w:autoSpaceDN w:val="0"/>
              <w:adjustRightInd w:val="0"/>
              <w:spacing w:after="0" w:line="240" w:lineRule="auto"/>
              <w:contextualSpacing/>
              <w:rPr>
                <w:rFonts w:eastAsia="TimesNewRoman"/>
              </w:rPr>
            </w:pPr>
            <w:r>
              <w:t>Исходная доза(среднее)</w:t>
            </w:r>
          </w:p>
        </w:tc>
        <w:tc>
          <w:tcPr>
            <w:tcW w:w="1418" w:type="dxa"/>
            <w:vAlign w:val="center"/>
          </w:tcPr>
          <w:p w14:paraId="0B034C8B"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89,94</w:t>
            </w:r>
          </w:p>
        </w:tc>
        <w:tc>
          <w:tcPr>
            <w:tcW w:w="1984" w:type="dxa"/>
            <w:vAlign w:val="center"/>
          </w:tcPr>
          <w:p w14:paraId="189C286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88,57</w:t>
            </w:r>
          </w:p>
        </w:tc>
        <w:tc>
          <w:tcPr>
            <w:tcW w:w="1979" w:type="dxa"/>
            <w:vAlign w:val="center"/>
          </w:tcPr>
          <w:p w14:paraId="39C6718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90,38</w:t>
            </w:r>
          </w:p>
        </w:tc>
      </w:tr>
      <w:tr w:rsidR="00345876" w:rsidRPr="008F4D02" w14:paraId="37F5D24C" w14:textId="77777777" w:rsidTr="007756D8">
        <w:tc>
          <w:tcPr>
            <w:tcW w:w="3964" w:type="dxa"/>
          </w:tcPr>
          <w:p w14:paraId="6225F36D" w14:textId="77777777" w:rsidR="00345876" w:rsidRPr="008F4D02" w:rsidRDefault="00345876" w:rsidP="004B66CD">
            <w:pPr>
              <w:autoSpaceDE w:val="0"/>
              <w:autoSpaceDN w:val="0"/>
              <w:adjustRightInd w:val="0"/>
              <w:spacing w:after="0" w:line="240" w:lineRule="auto"/>
              <w:contextualSpacing/>
              <w:rPr>
                <w:rFonts w:eastAsia="TimesNewRoman"/>
              </w:rPr>
            </w:pPr>
            <w:r>
              <w:t>Изменение от исходной дозы</w:t>
            </w:r>
            <w:r w:rsidRPr="00FB191F">
              <w:rPr>
                <w:vertAlign w:val="superscript"/>
              </w:rPr>
              <w:t>1</w:t>
            </w:r>
          </w:p>
        </w:tc>
        <w:tc>
          <w:tcPr>
            <w:tcW w:w="1418" w:type="dxa"/>
            <w:vAlign w:val="center"/>
          </w:tcPr>
          <w:p w14:paraId="64F87EC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10,16</w:t>
            </w:r>
          </w:p>
        </w:tc>
        <w:tc>
          <w:tcPr>
            <w:tcW w:w="1984" w:type="dxa"/>
            <w:vAlign w:val="center"/>
          </w:tcPr>
          <w:p w14:paraId="2C238A01"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1,33</w:t>
            </w:r>
          </w:p>
        </w:tc>
        <w:tc>
          <w:tcPr>
            <w:tcW w:w="1979" w:type="dxa"/>
            <w:vAlign w:val="center"/>
          </w:tcPr>
          <w:p w14:paraId="6A7224AC"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-1,06</w:t>
            </w:r>
          </w:p>
        </w:tc>
      </w:tr>
      <w:tr w:rsidR="00345876" w:rsidRPr="008F4D02" w14:paraId="4DB9CE50" w14:textId="77777777" w:rsidTr="00421FA2">
        <w:tc>
          <w:tcPr>
            <w:tcW w:w="3964" w:type="dxa"/>
            <w:vAlign w:val="center"/>
          </w:tcPr>
          <w:p w14:paraId="6C917217" w14:textId="77777777" w:rsidR="00345876" w:rsidRPr="008F4D02" w:rsidRDefault="00345876" w:rsidP="004B66CD">
            <w:pPr>
              <w:autoSpaceDE w:val="0"/>
              <w:autoSpaceDN w:val="0"/>
              <w:adjustRightInd w:val="0"/>
              <w:spacing w:after="0" w:line="240" w:lineRule="auto"/>
              <w:contextualSpacing/>
              <w:rPr>
                <w:rFonts w:eastAsia="TimesNewRoman"/>
              </w:rPr>
            </w:pPr>
            <w:r>
              <w:t>Разница с плацебо (97,5% ДИ)</w:t>
            </w:r>
          </w:p>
        </w:tc>
        <w:tc>
          <w:tcPr>
            <w:tcW w:w="1418" w:type="dxa"/>
            <w:vAlign w:val="center"/>
          </w:tcPr>
          <w:p w14:paraId="22D2DD4F" w14:textId="77777777" w:rsidR="00345876" w:rsidRPr="008F4D02" w:rsidRDefault="00345876" w:rsidP="004B66CD">
            <w:pPr>
              <w:autoSpaceDE w:val="0"/>
              <w:autoSpaceDN w:val="0"/>
              <w:adjustRightInd w:val="0"/>
              <w:spacing w:after="0" w:line="240" w:lineRule="auto"/>
              <w:contextualSpacing/>
              <w:jc w:val="center"/>
              <w:rPr>
                <w:rFonts w:eastAsia="TimesNewRoman"/>
              </w:rPr>
            </w:pPr>
          </w:p>
        </w:tc>
        <w:tc>
          <w:tcPr>
            <w:tcW w:w="1984" w:type="dxa"/>
            <w:vAlign w:val="center"/>
          </w:tcPr>
          <w:p w14:paraId="0E80EA68" w14:textId="77777777" w:rsidR="00345876" w:rsidRPr="002B4D94" w:rsidRDefault="00345876" w:rsidP="004B66CD">
            <w:pPr>
              <w:autoSpaceDE w:val="0"/>
              <w:autoSpaceDN w:val="0"/>
              <w:adjustRightInd w:val="0"/>
              <w:spacing w:after="0" w:line="240" w:lineRule="auto"/>
              <w:contextualSpacing/>
              <w:jc w:val="center"/>
              <w:rPr>
                <w:rFonts w:eastAsia="TimesNewRoman"/>
              </w:rPr>
            </w:pPr>
            <w:r>
              <w:rPr>
                <w:rFonts w:eastAsia="TimesNewRoman"/>
              </w:rPr>
              <w:t>-8,83</w:t>
            </w:r>
            <w:r w:rsidRPr="002B4D94">
              <w:rPr>
                <w:rFonts w:eastAsia="TimesNewRoman"/>
                <w:vertAlign w:val="superscript"/>
                <w:lang w:val="en-US"/>
              </w:rPr>
              <w:t>#</w:t>
            </w:r>
            <w:r>
              <w:rPr>
                <w:rFonts w:eastAsia="TimesNewRoman"/>
                <w:vertAlign w:val="superscript"/>
                <w:lang w:val="en-US"/>
              </w:rPr>
              <w:br/>
            </w:r>
            <w:r>
              <w:rPr>
                <w:rFonts w:eastAsia="TimesNewRoman"/>
                <w:lang w:val="en-US"/>
              </w:rPr>
              <w:t>(-15</w:t>
            </w:r>
            <w:r>
              <w:rPr>
                <w:rFonts w:eastAsia="TimesNewRoman"/>
              </w:rPr>
              <w:t>,69; -1,97)</w:t>
            </w:r>
          </w:p>
        </w:tc>
        <w:tc>
          <w:tcPr>
            <w:tcW w:w="1979" w:type="dxa"/>
            <w:vAlign w:val="center"/>
          </w:tcPr>
          <w:p w14:paraId="02AD4EEF"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-11,22</w:t>
            </w:r>
            <w:r w:rsidRPr="002B4D94">
              <w:rPr>
                <w:rFonts w:eastAsia="TimesNewRoman"/>
                <w:vertAlign w:val="superscript"/>
                <w:lang w:val="en-US"/>
              </w:rPr>
              <w:t>#</w:t>
            </w:r>
            <w:r>
              <w:rPr>
                <w:rFonts w:eastAsia="TimesNewRoman"/>
                <w:vertAlign w:val="superscript"/>
                <w:lang w:val="en-US"/>
              </w:rPr>
              <w:br/>
            </w:r>
            <w:r>
              <w:rPr>
                <w:rFonts w:eastAsia="TimesNewRoman"/>
                <w:lang w:val="en-US"/>
              </w:rPr>
              <w:t>(-1</w:t>
            </w:r>
            <w:r>
              <w:rPr>
                <w:rFonts w:eastAsia="TimesNewRoman"/>
              </w:rPr>
              <w:t>8,09; -4,36)</w:t>
            </w:r>
          </w:p>
        </w:tc>
      </w:tr>
      <w:tr w:rsidR="00345876" w:rsidRPr="008F4D02" w14:paraId="70ABF782" w14:textId="77777777" w:rsidTr="007756D8">
        <w:tc>
          <w:tcPr>
            <w:tcW w:w="3964" w:type="dxa"/>
          </w:tcPr>
          <w:p w14:paraId="6C2CA256" w14:textId="77777777" w:rsidR="00345876" w:rsidRDefault="00345876" w:rsidP="004B66CD">
            <w:pPr>
              <w:autoSpaceDE w:val="0"/>
              <w:autoSpaceDN w:val="0"/>
              <w:adjustRightInd w:val="0"/>
              <w:spacing w:after="0" w:line="240" w:lineRule="auto"/>
              <w:contextualSpacing/>
            </w:pPr>
            <w:r>
              <w:rPr>
                <w:rFonts w:eastAsia="TimesNewRoman"/>
              </w:rPr>
              <w:t>Количество пациентов</w:t>
            </w:r>
          </w:p>
        </w:tc>
        <w:tc>
          <w:tcPr>
            <w:tcW w:w="1418" w:type="dxa"/>
            <w:vAlign w:val="center"/>
          </w:tcPr>
          <w:p w14:paraId="075CB4D5"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115</w:t>
            </w:r>
          </w:p>
        </w:tc>
        <w:tc>
          <w:tcPr>
            <w:tcW w:w="1984" w:type="dxa"/>
            <w:vAlign w:val="center"/>
          </w:tcPr>
          <w:p w14:paraId="0A91FEF6" w14:textId="77777777" w:rsidR="00345876" w:rsidRDefault="00345876" w:rsidP="004B66CD">
            <w:pPr>
              <w:autoSpaceDE w:val="0"/>
              <w:autoSpaceDN w:val="0"/>
              <w:adjustRightInd w:val="0"/>
              <w:spacing w:after="0" w:line="240" w:lineRule="auto"/>
              <w:contextualSpacing/>
              <w:jc w:val="center"/>
              <w:rPr>
                <w:rFonts w:eastAsia="TimesNewRoman"/>
              </w:rPr>
            </w:pPr>
            <w:r>
              <w:rPr>
                <w:rFonts w:eastAsia="TimesNewRoman"/>
              </w:rPr>
              <w:t>119</w:t>
            </w:r>
          </w:p>
        </w:tc>
        <w:tc>
          <w:tcPr>
            <w:tcW w:w="1979" w:type="dxa"/>
            <w:vAlign w:val="center"/>
          </w:tcPr>
          <w:p w14:paraId="1DEEE3F5" w14:textId="77777777" w:rsidR="00345876" w:rsidRDefault="00345876" w:rsidP="004B66CD">
            <w:pPr>
              <w:autoSpaceDE w:val="0"/>
              <w:autoSpaceDN w:val="0"/>
              <w:adjustRightInd w:val="0"/>
              <w:spacing w:after="0" w:line="240" w:lineRule="auto"/>
              <w:contextualSpacing/>
              <w:jc w:val="center"/>
              <w:rPr>
                <w:rFonts w:eastAsia="TimesNewRoman"/>
              </w:rPr>
            </w:pPr>
            <w:r>
              <w:rPr>
                <w:rFonts w:eastAsia="TimesNewRoman"/>
              </w:rPr>
              <w:t>118</w:t>
            </w:r>
          </w:p>
        </w:tc>
      </w:tr>
      <w:tr w:rsidR="00345876" w:rsidRPr="008F4D02" w14:paraId="78E3014D" w14:textId="77777777" w:rsidTr="007756D8">
        <w:tc>
          <w:tcPr>
            <w:tcW w:w="9345" w:type="dxa"/>
            <w:gridSpan w:val="4"/>
            <w:vAlign w:val="center"/>
          </w:tcPr>
          <w:p w14:paraId="10431756" w14:textId="77777777" w:rsidR="00345876" w:rsidRPr="008F4D02" w:rsidRDefault="00345876" w:rsidP="004B66CD">
            <w:pPr>
              <w:autoSpaceDE w:val="0"/>
              <w:autoSpaceDN w:val="0"/>
              <w:adjustRightInd w:val="0"/>
              <w:spacing w:after="0" w:line="240" w:lineRule="auto"/>
              <w:contextualSpacing/>
              <w:rPr>
                <w:rFonts w:eastAsia="TimesNewRoman"/>
              </w:rPr>
            </w:pPr>
            <w:r w:rsidRPr="00166A50">
              <w:rPr>
                <w:b/>
                <w:bCs/>
              </w:rPr>
              <w:t>Масса тела</w:t>
            </w:r>
            <w:r>
              <w:rPr>
                <w:b/>
                <w:bCs/>
              </w:rPr>
              <w:t xml:space="preserve"> на неделе 52</w:t>
            </w:r>
            <w:r w:rsidRPr="00166A50">
              <w:rPr>
                <w:b/>
                <w:bCs/>
              </w:rPr>
              <w:t xml:space="preserve"> (кг)</w:t>
            </w:r>
            <w:r>
              <w:rPr>
                <w:b/>
                <w:bCs/>
                <w:vertAlign w:val="superscript"/>
              </w:rPr>
              <w:t>2</w:t>
            </w:r>
          </w:p>
        </w:tc>
      </w:tr>
      <w:tr w:rsidR="00345876" w:rsidRPr="008F4D02" w14:paraId="4DB7D94B" w14:textId="77777777" w:rsidTr="007756D8">
        <w:tc>
          <w:tcPr>
            <w:tcW w:w="3964" w:type="dxa"/>
          </w:tcPr>
          <w:p w14:paraId="37B5D69E" w14:textId="77777777" w:rsidR="00345876" w:rsidRPr="008F4D02"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418" w:type="dxa"/>
            <w:vAlign w:val="center"/>
          </w:tcPr>
          <w:p w14:paraId="55F737C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96,34</w:t>
            </w:r>
          </w:p>
        </w:tc>
        <w:tc>
          <w:tcPr>
            <w:tcW w:w="1984" w:type="dxa"/>
            <w:vAlign w:val="center"/>
          </w:tcPr>
          <w:p w14:paraId="08229E1D"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96,47</w:t>
            </w:r>
          </w:p>
        </w:tc>
        <w:tc>
          <w:tcPr>
            <w:tcW w:w="1979" w:type="dxa"/>
            <w:vAlign w:val="center"/>
          </w:tcPr>
          <w:p w14:paraId="33187E73"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95,37</w:t>
            </w:r>
          </w:p>
        </w:tc>
      </w:tr>
      <w:tr w:rsidR="00345876" w:rsidRPr="008F4D02" w14:paraId="74DC342E" w14:textId="77777777" w:rsidTr="007756D8">
        <w:tc>
          <w:tcPr>
            <w:tcW w:w="3964" w:type="dxa"/>
          </w:tcPr>
          <w:p w14:paraId="2117F215" w14:textId="77777777" w:rsidR="00345876" w:rsidRPr="008F4D02"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418" w:type="dxa"/>
            <w:vAlign w:val="center"/>
          </w:tcPr>
          <w:p w14:paraId="2EAECF52"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0,44</w:t>
            </w:r>
          </w:p>
        </w:tc>
        <w:tc>
          <w:tcPr>
            <w:tcW w:w="1984" w:type="dxa"/>
            <w:vAlign w:val="center"/>
          </w:tcPr>
          <w:p w14:paraId="03543F68"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-1,95</w:t>
            </w:r>
          </w:p>
        </w:tc>
        <w:tc>
          <w:tcPr>
            <w:tcW w:w="1979" w:type="dxa"/>
            <w:vAlign w:val="center"/>
          </w:tcPr>
          <w:p w14:paraId="52111840"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-2,04</w:t>
            </w:r>
          </w:p>
        </w:tc>
      </w:tr>
      <w:tr w:rsidR="00345876" w:rsidRPr="008F4D02" w14:paraId="514A3652" w14:textId="77777777" w:rsidTr="00421FA2">
        <w:tc>
          <w:tcPr>
            <w:tcW w:w="3964" w:type="dxa"/>
            <w:vAlign w:val="center"/>
          </w:tcPr>
          <w:p w14:paraId="3ECAACE4" w14:textId="77777777" w:rsidR="00345876" w:rsidRPr="008F4D02" w:rsidRDefault="00345876" w:rsidP="00421FA2">
            <w:pPr>
              <w:autoSpaceDE w:val="0"/>
              <w:autoSpaceDN w:val="0"/>
              <w:adjustRightInd w:val="0"/>
              <w:spacing w:after="0" w:line="240" w:lineRule="auto"/>
              <w:contextualSpacing/>
              <w:rPr>
                <w:rFonts w:eastAsia="TimesNewRoman"/>
              </w:rPr>
            </w:pPr>
            <w:r>
              <w:t>Разница с плацебо (97,5% ДИ)</w:t>
            </w:r>
          </w:p>
        </w:tc>
        <w:tc>
          <w:tcPr>
            <w:tcW w:w="1418" w:type="dxa"/>
            <w:vAlign w:val="center"/>
          </w:tcPr>
          <w:p w14:paraId="00577B20" w14:textId="77777777" w:rsidR="00345876" w:rsidRPr="008F4D02" w:rsidRDefault="00345876" w:rsidP="004B66CD">
            <w:pPr>
              <w:autoSpaceDE w:val="0"/>
              <w:autoSpaceDN w:val="0"/>
              <w:adjustRightInd w:val="0"/>
              <w:spacing w:after="0" w:line="240" w:lineRule="auto"/>
              <w:contextualSpacing/>
              <w:jc w:val="center"/>
              <w:rPr>
                <w:rFonts w:eastAsia="TimesNewRoman"/>
              </w:rPr>
            </w:pPr>
          </w:p>
        </w:tc>
        <w:tc>
          <w:tcPr>
            <w:tcW w:w="1984" w:type="dxa"/>
            <w:vAlign w:val="center"/>
          </w:tcPr>
          <w:p w14:paraId="371B3B5D"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-2,39*</w:t>
            </w:r>
            <w:r>
              <w:rPr>
                <w:rFonts w:eastAsia="TimesNewRoman"/>
              </w:rPr>
              <w:br/>
              <w:t>(-3,54; -1,24)</w:t>
            </w:r>
          </w:p>
        </w:tc>
        <w:tc>
          <w:tcPr>
            <w:tcW w:w="1979" w:type="dxa"/>
            <w:vAlign w:val="center"/>
          </w:tcPr>
          <w:p w14:paraId="2AC1363B" w14:textId="77777777" w:rsidR="00345876" w:rsidRPr="008F4D02" w:rsidRDefault="00345876" w:rsidP="004B66CD">
            <w:pPr>
              <w:autoSpaceDE w:val="0"/>
              <w:autoSpaceDN w:val="0"/>
              <w:adjustRightInd w:val="0"/>
              <w:spacing w:after="0" w:line="240" w:lineRule="auto"/>
              <w:contextualSpacing/>
              <w:jc w:val="center"/>
              <w:rPr>
                <w:rFonts w:eastAsia="TimesNewRoman"/>
              </w:rPr>
            </w:pPr>
            <w:r>
              <w:rPr>
                <w:rFonts w:eastAsia="TimesNewRoman"/>
              </w:rPr>
              <w:t>-2,48*</w:t>
            </w:r>
            <w:r>
              <w:rPr>
                <w:rFonts w:eastAsia="TimesNewRoman"/>
              </w:rPr>
              <w:br/>
              <w:t>(-3,63; -1,33)</w:t>
            </w:r>
          </w:p>
        </w:tc>
      </w:tr>
      <w:tr w:rsidR="00345876" w:rsidRPr="009163C8" w14:paraId="4C119F8B" w14:textId="77777777" w:rsidTr="007756D8">
        <w:tc>
          <w:tcPr>
            <w:tcW w:w="9345" w:type="dxa"/>
            <w:gridSpan w:val="4"/>
          </w:tcPr>
          <w:p w14:paraId="2712CD2B" w14:textId="77777777" w:rsidR="00345876" w:rsidRPr="008C2F58" w:rsidRDefault="00345876" w:rsidP="004B66CD">
            <w:pPr>
              <w:autoSpaceDE w:val="0"/>
              <w:autoSpaceDN w:val="0"/>
              <w:adjustRightInd w:val="0"/>
              <w:spacing w:after="0" w:line="240" w:lineRule="auto"/>
              <w:contextualSpacing/>
              <w:rPr>
                <w:rFonts w:eastAsia="TimesNewRoman"/>
                <w:b/>
                <w:bCs/>
                <w:sz w:val="20"/>
                <w:szCs w:val="20"/>
              </w:rPr>
            </w:pPr>
            <w:r w:rsidRPr="008C2F58">
              <w:rPr>
                <w:rFonts w:eastAsia="TimesNewRoman"/>
                <w:b/>
                <w:bCs/>
                <w:sz w:val="20"/>
                <w:szCs w:val="20"/>
              </w:rPr>
              <w:t>Примечание:</w:t>
            </w:r>
          </w:p>
          <w:p w14:paraId="1755BB3F" w14:textId="77777777" w:rsidR="00345876" w:rsidRPr="00166A50" w:rsidRDefault="00345876" w:rsidP="004B66CD">
            <w:pPr>
              <w:spacing w:after="0"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САД – систолическое артериальное давление, </w:t>
            </w:r>
            <w:r>
              <w:rPr>
                <w:rFonts w:eastAsia="TimesNewRoman"/>
                <w:sz w:val="20"/>
                <w:szCs w:val="20"/>
              </w:rPr>
              <w:t>ДИ – доверительный интервал</w:t>
            </w:r>
            <w:r>
              <w:rPr>
                <w:sz w:val="20"/>
                <w:szCs w:val="20"/>
              </w:rPr>
              <w:t>.</w:t>
            </w:r>
          </w:p>
          <w:p w14:paraId="4EFD2472" w14:textId="77777777" w:rsidR="00345876" w:rsidRPr="008C2F58" w:rsidRDefault="00345876" w:rsidP="004B66CD">
            <w:pPr>
              <w:autoSpaceDE w:val="0"/>
              <w:autoSpaceDN w:val="0"/>
              <w:adjustRightInd w:val="0"/>
              <w:spacing w:after="0" w:line="240" w:lineRule="auto"/>
              <w:contextualSpacing/>
              <w:rPr>
                <w:rFonts w:eastAsia="TimesNewRoman"/>
                <w:sz w:val="20"/>
                <w:szCs w:val="20"/>
              </w:rPr>
            </w:pPr>
            <w:r w:rsidRPr="008C2F58">
              <w:rPr>
                <w:rFonts w:eastAsia="TimesNewRoman"/>
                <w:sz w:val="20"/>
                <w:szCs w:val="20"/>
              </w:rPr>
              <w:t xml:space="preserve">1 </w:t>
            </w:r>
            <w:r>
              <w:rPr>
                <w:rFonts w:eastAsia="TimesNewRoman"/>
                <w:sz w:val="20"/>
                <w:szCs w:val="20"/>
              </w:rPr>
              <w:t xml:space="preserve">- </w:t>
            </w:r>
            <w:r w:rsidRPr="003E3E7E">
              <w:rPr>
                <w:rFonts w:eastAsia="TimesNewRoman"/>
                <w:sz w:val="20"/>
                <w:szCs w:val="20"/>
              </w:rPr>
              <w:t xml:space="preserve">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606C0AF8" w14:textId="77777777" w:rsidR="00345876" w:rsidRPr="008C2F58" w:rsidRDefault="00345876" w:rsidP="004B66CD">
            <w:pPr>
              <w:autoSpaceDE w:val="0"/>
              <w:autoSpaceDN w:val="0"/>
              <w:adjustRightInd w:val="0"/>
              <w:spacing w:after="0" w:line="240" w:lineRule="auto"/>
              <w:contextualSpacing/>
              <w:rPr>
                <w:rFonts w:eastAsia="TimesNewRoman"/>
                <w:sz w:val="20"/>
                <w:szCs w:val="20"/>
              </w:rPr>
            </w:pPr>
            <w:r w:rsidRPr="008C2F58">
              <w:rPr>
                <w:rFonts w:eastAsia="TimesNewRoman"/>
                <w:sz w:val="20"/>
                <w:szCs w:val="20"/>
              </w:rPr>
              <w:t xml:space="preserve">2 </w:t>
            </w:r>
            <w:r>
              <w:rPr>
                <w:rFonts w:eastAsia="TimesNewRoman"/>
                <w:sz w:val="20"/>
                <w:szCs w:val="20"/>
              </w:rPr>
              <w:t xml:space="preserve">- </w:t>
            </w:r>
            <w:r w:rsidRPr="008C2F58">
              <w:rPr>
                <w:rFonts w:eastAsia="TimesNewRoman"/>
                <w:sz w:val="20"/>
                <w:szCs w:val="20"/>
              </w:rPr>
              <w:t>Неделя 19-40: режим «лечение до цели» для коррекции дозы инсулина для достижения предварительно определенных целевых уровней глюкозы (до приема пищи &lt;100 мг/дл (5,5 ммоль/л), после приема пищи &lt;140 мг/дл (7,8 ммоль</w:t>
            </w:r>
            <w:r>
              <w:rPr>
                <w:rFonts w:eastAsia="TimesNewRoman"/>
                <w:sz w:val="20"/>
                <w:szCs w:val="20"/>
              </w:rPr>
              <w:t>)</w:t>
            </w:r>
            <w:r w:rsidRPr="008C2F58">
              <w:rPr>
                <w:rFonts w:eastAsia="TimesNewRoman"/>
                <w:sz w:val="20"/>
                <w:szCs w:val="20"/>
              </w:rPr>
              <w:t>)</w:t>
            </w:r>
            <w:r>
              <w:rPr>
                <w:rFonts w:eastAsia="TimesNewRoman"/>
                <w:sz w:val="20"/>
                <w:szCs w:val="20"/>
              </w:rPr>
              <w:t>;</w:t>
            </w:r>
          </w:p>
          <w:p w14:paraId="2BEDB8F7" w14:textId="58AEE175" w:rsidR="00345876" w:rsidRPr="008C2F58" w:rsidRDefault="00345876" w:rsidP="004B66CD">
            <w:pPr>
              <w:autoSpaceDE w:val="0"/>
              <w:autoSpaceDN w:val="0"/>
              <w:adjustRightInd w:val="0"/>
              <w:spacing w:after="0" w:line="240" w:lineRule="auto"/>
              <w:contextualSpacing/>
              <w:rPr>
                <w:rFonts w:eastAsia="TimesNewRoman"/>
                <w:sz w:val="20"/>
                <w:szCs w:val="20"/>
              </w:rPr>
            </w:pPr>
            <w:r w:rsidRPr="008C2F58">
              <w:rPr>
                <w:rFonts w:eastAsia="TimesNewRoman"/>
                <w:sz w:val="20"/>
                <w:szCs w:val="20"/>
                <w:lang w:val="en-US"/>
              </w:rPr>
              <w:t>* p &lt;</w:t>
            </w:r>
            <w:r>
              <w:rPr>
                <w:rFonts w:eastAsia="TimesNewRoman"/>
                <w:sz w:val="20"/>
                <w:szCs w:val="20"/>
              </w:rPr>
              <w:t xml:space="preserve"> </w:t>
            </w:r>
            <w:r w:rsidR="00983427">
              <w:rPr>
                <w:rFonts w:eastAsia="TimesNewRoman"/>
                <w:sz w:val="20"/>
                <w:szCs w:val="20"/>
                <w:lang w:val="en-US"/>
              </w:rPr>
              <w:t>0,</w:t>
            </w:r>
            <w:r w:rsidRPr="008C2F58">
              <w:rPr>
                <w:rFonts w:eastAsia="TimesNewRoman"/>
                <w:sz w:val="20"/>
                <w:szCs w:val="20"/>
                <w:lang w:val="en-US"/>
              </w:rPr>
              <w:t>0001</w:t>
            </w:r>
            <w:r>
              <w:rPr>
                <w:rFonts w:eastAsia="TimesNewRoman"/>
                <w:sz w:val="20"/>
                <w:szCs w:val="20"/>
              </w:rPr>
              <w:t>;</w:t>
            </w:r>
          </w:p>
          <w:p w14:paraId="59DDB2A5" w14:textId="66FBA845" w:rsidR="00345876" w:rsidRPr="008C2F58" w:rsidRDefault="00983427" w:rsidP="004B66CD">
            <w:pPr>
              <w:autoSpaceDE w:val="0"/>
              <w:autoSpaceDN w:val="0"/>
              <w:adjustRightInd w:val="0"/>
              <w:spacing w:after="0" w:line="240" w:lineRule="auto"/>
              <w:contextualSpacing/>
              <w:rPr>
                <w:rFonts w:eastAsia="TimesNewRoman"/>
                <w:sz w:val="20"/>
                <w:szCs w:val="20"/>
              </w:rPr>
            </w:pPr>
            <w:r>
              <w:rPr>
                <w:rFonts w:eastAsia="TimesNewRoman"/>
                <w:sz w:val="20"/>
                <w:szCs w:val="20"/>
                <w:lang w:val="en-US"/>
              </w:rPr>
              <w:t>** p = 0,</w:t>
            </w:r>
            <w:r w:rsidR="00345876" w:rsidRPr="008C2F58">
              <w:rPr>
                <w:rFonts w:eastAsia="TimesNewRoman"/>
                <w:sz w:val="20"/>
                <w:szCs w:val="20"/>
                <w:lang w:val="en-US"/>
              </w:rPr>
              <w:t>0003</w:t>
            </w:r>
            <w:r w:rsidR="00345876">
              <w:rPr>
                <w:rFonts w:eastAsia="TimesNewRoman"/>
                <w:sz w:val="20"/>
                <w:szCs w:val="20"/>
              </w:rPr>
              <w:t>;</w:t>
            </w:r>
          </w:p>
          <w:p w14:paraId="291B58C2" w14:textId="66F4E7DB" w:rsidR="00345876" w:rsidRPr="008C2F58" w:rsidRDefault="00345876" w:rsidP="004B66CD">
            <w:pPr>
              <w:autoSpaceDE w:val="0"/>
              <w:autoSpaceDN w:val="0"/>
              <w:adjustRightInd w:val="0"/>
              <w:spacing w:after="0" w:line="240" w:lineRule="auto"/>
              <w:contextualSpacing/>
              <w:rPr>
                <w:rFonts w:eastAsia="TimesNewRoman"/>
                <w:sz w:val="20"/>
                <w:szCs w:val="20"/>
              </w:rPr>
            </w:pPr>
            <w:r w:rsidRPr="008C2F58">
              <w:rPr>
                <w:rFonts w:eastAsia="TimesNewRoman"/>
                <w:sz w:val="20"/>
                <w:szCs w:val="20"/>
                <w:lang w:val="en-US"/>
              </w:rPr>
              <w:t xml:space="preserve">*** p </w:t>
            </w:r>
            <w:proofErr w:type="gramStart"/>
            <w:r w:rsidRPr="008C2F58">
              <w:rPr>
                <w:rFonts w:eastAsia="TimesNewRoman"/>
                <w:sz w:val="20"/>
                <w:szCs w:val="20"/>
                <w:lang w:val="en-US"/>
              </w:rPr>
              <w:t xml:space="preserve">= </w:t>
            </w:r>
            <w:r>
              <w:rPr>
                <w:rFonts w:eastAsia="TimesNewRoman"/>
                <w:sz w:val="20"/>
                <w:szCs w:val="20"/>
              </w:rPr>
              <w:t xml:space="preserve"> </w:t>
            </w:r>
            <w:r w:rsidR="001A2B46">
              <w:rPr>
                <w:rFonts w:eastAsia="TimesNewRoman"/>
                <w:sz w:val="20"/>
                <w:szCs w:val="20"/>
                <w:lang w:val="en-US"/>
              </w:rPr>
              <w:t>0</w:t>
            </w:r>
            <w:proofErr w:type="gramEnd"/>
            <w:r w:rsidR="001A2B46">
              <w:rPr>
                <w:rFonts w:eastAsia="TimesNewRoman"/>
                <w:sz w:val="20"/>
                <w:szCs w:val="20"/>
                <w:lang w:val="en-US"/>
              </w:rPr>
              <w:t>,</w:t>
            </w:r>
            <w:r w:rsidRPr="008C2F58">
              <w:rPr>
                <w:rFonts w:eastAsia="TimesNewRoman"/>
                <w:sz w:val="20"/>
                <w:szCs w:val="20"/>
                <w:lang w:val="en-US"/>
              </w:rPr>
              <w:t>0005</w:t>
            </w:r>
            <w:r>
              <w:rPr>
                <w:rFonts w:eastAsia="TimesNewRoman"/>
                <w:sz w:val="20"/>
                <w:szCs w:val="20"/>
              </w:rPr>
              <w:t>;</w:t>
            </w:r>
          </w:p>
          <w:p w14:paraId="1928C4C6" w14:textId="4102D693" w:rsidR="00345876" w:rsidRPr="008C2F58" w:rsidRDefault="00345876" w:rsidP="004B66CD">
            <w:pPr>
              <w:autoSpaceDE w:val="0"/>
              <w:autoSpaceDN w:val="0"/>
              <w:adjustRightInd w:val="0"/>
              <w:spacing w:after="0" w:line="240" w:lineRule="auto"/>
              <w:contextualSpacing/>
              <w:rPr>
                <w:rFonts w:eastAsia="TimesNewRoman"/>
              </w:rPr>
            </w:pPr>
            <w:r w:rsidRPr="008C2F58">
              <w:rPr>
                <w:rFonts w:eastAsia="TimesNewRoman"/>
                <w:sz w:val="20"/>
                <w:szCs w:val="20"/>
                <w:lang w:val="en-US"/>
              </w:rPr>
              <w:t># p</w:t>
            </w:r>
            <w:r>
              <w:rPr>
                <w:rFonts w:eastAsia="TimesNewRoman"/>
                <w:sz w:val="20"/>
                <w:szCs w:val="20"/>
              </w:rPr>
              <w:t xml:space="preserve"> </w:t>
            </w:r>
            <w:r w:rsidR="001A2B46">
              <w:rPr>
                <w:rFonts w:eastAsia="TimesNewRoman"/>
                <w:sz w:val="20"/>
                <w:szCs w:val="20"/>
                <w:lang w:val="en-US"/>
              </w:rPr>
              <w:t>= 0,</w:t>
            </w:r>
            <w:r w:rsidRPr="008C2F58">
              <w:rPr>
                <w:rFonts w:eastAsia="TimesNewRoman"/>
                <w:sz w:val="20"/>
                <w:szCs w:val="20"/>
                <w:lang w:val="en-US"/>
              </w:rPr>
              <w:t>0040</w:t>
            </w:r>
            <w:r>
              <w:rPr>
                <w:rFonts w:eastAsia="TimesNewRoman"/>
                <w:sz w:val="20"/>
                <w:szCs w:val="20"/>
              </w:rPr>
              <w:t>.</w:t>
            </w:r>
          </w:p>
        </w:tc>
      </w:tr>
    </w:tbl>
    <w:p w14:paraId="5B227980"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549C13D1" w14:textId="77EB3545" w:rsidR="00345876" w:rsidRPr="008C2F58" w:rsidRDefault="00345876" w:rsidP="00345876">
      <w:pPr>
        <w:autoSpaceDE w:val="0"/>
        <w:autoSpaceDN w:val="0"/>
        <w:adjustRightInd w:val="0"/>
        <w:spacing w:after="0" w:line="240" w:lineRule="auto"/>
        <w:contextualSpacing/>
        <w:rPr>
          <w:b/>
          <w:bCs/>
          <w:i/>
          <w:iCs/>
        </w:rPr>
      </w:pPr>
      <w:bookmarkStart w:id="149" w:name="_Hlk130997120"/>
      <w:r>
        <w:rPr>
          <w:b/>
          <w:bCs/>
          <w:i/>
          <w:iCs/>
        </w:rPr>
        <w:t xml:space="preserve">Добавление эмпаглифлозина </w:t>
      </w:r>
      <w:r w:rsidR="0098388E">
        <w:rPr>
          <w:b/>
          <w:bCs/>
          <w:i/>
          <w:iCs/>
        </w:rPr>
        <w:t>к инсулину</w:t>
      </w:r>
      <w:r>
        <w:rPr>
          <w:b/>
          <w:bCs/>
          <w:i/>
          <w:iCs/>
        </w:rPr>
        <w:t xml:space="preserve"> продленного действия</w:t>
      </w:r>
    </w:p>
    <w:p w14:paraId="02B11D7C" w14:textId="77777777" w:rsidR="00345876" w:rsidRPr="008C2F58" w:rsidRDefault="00345876" w:rsidP="00345876">
      <w:pPr>
        <w:autoSpaceDE w:val="0"/>
        <w:autoSpaceDN w:val="0"/>
        <w:adjustRightInd w:val="0"/>
        <w:spacing w:after="0" w:line="240" w:lineRule="auto"/>
        <w:ind w:firstLine="709"/>
        <w:contextualSpacing/>
        <w:rPr>
          <w:rFonts w:eastAsia="TimesNewRoman"/>
        </w:rPr>
      </w:pPr>
    </w:p>
    <w:p w14:paraId="5FC4C861" w14:textId="77777777" w:rsidR="00345876" w:rsidRPr="002604EF" w:rsidRDefault="00345876" w:rsidP="00345876">
      <w:pPr>
        <w:autoSpaceDE w:val="0"/>
        <w:autoSpaceDN w:val="0"/>
        <w:adjustRightInd w:val="0"/>
        <w:spacing w:after="0" w:line="240" w:lineRule="auto"/>
        <w:ind w:firstLine="709"/>
        <w:contextualSpacing/>
        <w:rPr>
          <w:rFonts w:eastAsia="TimesNewRoman"/>
        </w:rPr>
      </w:pPr>
      <w:r w:rsidRPr="008C2F58">
        <w:rPr>
          <w:rFonts w:eastAsia="TimesNewRoman"/>
        </w:rPr>
        <w:t xml:space="preserve">Эффективность и безопасность эмпаглифлозина в качестве дополнения к базальному инсулину с метформином или без него и/или </w:t>
      </w:r>
      <w:r>
        <w:rPr>
          <w:rFonts w:eastAsia="TimesNewRoman"/>
        </w:rPr>
        <w:t xml:space="preserve">препаратами </w:t>
      </w:r>
      <w:r w:rsidRPr="008C2F58">
        <w:rPr>
          <w:rFonts w:eastAsia="TimesNewRoman"/>
        </w:rPr>
        <w:t xml:space="preserve">сульфонилмочевины оценивали в двойном слепом плацебо-контролируемом исследовании продолжительностью 78 недель. В </w:t>
      </w:r>
      <w:r w:rsidRPr="002604EF">
        <w:rPr>
          <w:rFonts w:eastAsia="TimesNewRoman"/>
        </w:rPr>
        <w:t>течение первых 18 недель доза инсулина оставалась стабильной, но была скорректирована для достижения ГПН &lt;110 мг/дл в следующие 60 недель.</w:t>
      </w:r>
    </w:p>
    <w:p w14:paraId="1B482322" w14:textId="1B962B26"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На 18-й неделе эмпаглифлозин обеспечил статистически значимое улучшение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(таблица </w:t>
      </w:r>
      <w:r w:rsidR="002604EF" w:rsidRPr="002604EF">
        <w:rPr>
          <w:rFonts w:eastAsia="TimesNewRoman"/>
        </w:rPr>
        <w:t>4-</w:t>
      </w:r>
      <w:r w:rsidR="006836D0">
        <w:rPr>
          <w:rFonts w:eastAsia="TimesNewRoman"/>
        </w:rPr>
        <w:t>7</w:t>
      </w:r>
      <w:r w:rsidRPr="002604EF">
        <w:rPr>
          <w:rFonts w:eastAsia="TimesNewRoman"/>
        </w:rPr>
        <w:t>).</w:t>
      </w:r>
    </w:p>
    <w:p w14:paraId="39789D6D" w14:textId="7D66740F"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Через 78 недель эмпаглифлозин привел к статистически значимому снижению уровня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и сохранению доз инсулина по сравнению с плацебо. Кроме того, эмпаглифлозин приводил к снижению ГПН, массы тела и артериального давления</w:t>
      </w:r>
      <w:r w:rsidR="004B66CD" w:rsidRPr="002604EF">
        <w:rPr>
          <w:rFonts w:eastAsia="TimesNewRoman"/>
        </w:rPr>
        <w:t xml:space="preserve"> [21]</w:t>
      </w:r>
      <w:r w:rsidRPr="002604EF">
        <w:rPr>
          <w:rFonts w:eastAsia="TimesNewRoman"/>
        </w:rPr>
        <w:t>.</w:t>
      </w:r>
    </w:p>
    <w:bookmarkEnd w:id="149"/>
    <w:p w14:paraId="633C42C6"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26A464F1" w14:textId="77777777" w:rsidR="00B47330" w:rsidRDefault="00B47330" w:rsidP="00345876">
      <w:pPr>
        <w:autoSpaceDE w:val="0"/>
        <w:autoSpaceDN w:val="0"/>
        <w:adjustRightInd w:val="0"/>
        <w:spacing w:after="0" w:line="240" w:lineRule="auto"/>
        <w:contextualSpacing/>
        <w:rPr>
          <w:rFonts w:eastAsia="TimesNewRoman"/>
          <w:b/>
          <w:bCs/>
        </w:rPr>
        <w:sectPr w:rsidR="00B47330">
          <w:pgSz w:w="11906" w:h="16838"/>
          <w:pgMar w:top="1134" w:right="851" w:bottom="1134" w:left="1701" w:header="709" w:footer="709" w:gutter="0"/>
          <w:cols w:space="708"/>
          <w:docGrid w:linePitch="360"/>
        </w:sectPr>
      </w:pPr>
    </w:p>
    <w:p w14:paraId="19DAA084" w14:textId="31A8752F" w:rsidR="00345876" w:rsidRPr="009B64A0" w:rsidRDefault="00345876" w:rsidP="00345876">
      <w:pPr>
        <w:autoSpaceDE w:val="0"/>
        <w:autoSpaceDN w:val="0"/>
        <w:adjustRightInd w:val="0"/>
        <w:spacing w:after="0" w:line="240" w:lineRule="auto"/>
        <w:contextualSpacing/>
        <w:rPr>
          <w:rFonts w:eastAsia="TimesNewRoman"/>
        </w:rPr>
      </w:pPr>
      <w:r w:rsidRPr="002604EF">
        <w:rPr>
          <w:rFonts w:eastAsia="TimesNewRoman"/>
          <w:b/>
          <w:bCs/>
        </w:rPr>
        <w:lastRenderedPageBreak/>
        <w:t xml:space="preserve">Таблица </w:t>
      </w:r>
      <w:r w:rsidR="002604EF" w:rsidRPr="000C7F59">
        <w:rPr>
          <w:rFonts w:eastAsia="TimesNewRoman"/>
          <w:b/>
          <w:bCs/>
        </w:rPr>
        <w:t>4-</w:t>
      </w:r>
      <w:r w:rsidR="006836D0">
        <w:rPr>
          <w:rFonts w:eastAsia="TimesNewRoman"/>
          <w:b/>
          <w:bCs/>
        </w:rPr>
        <w:t>7</w:t>
      </w:r>
      <w:r w:rsidRPr="002604EF">
        <w:rPr>
          <w:rFonts w:eastAsia="TimesNewRoman"/>
          <w:b/>
          <w:bCs/>
        </w:rPr>
        <w:t>.</w:t>
      </w:r>
      <w:r w:rsidRPr="002604EF">
        <w:rPr>
          <w:rFonts w:eastAsia="TimesNewRoman"/>
        </w:rPr>
        <w:t xml:space="preserve"> Эффективность</w:t>
      </w:r>
      <w:r w:rsidRPr="009B64A0">
        <w:rPr>
          <w:rFonts w:eastAsia="TimesNewRoman"/>
        </w:rPr>
        <w:t xml:space="preserve"> </w:t>
      </w:r>
      <w:r>
        <w:rPr>
          <w:rFonts w:eastAsia="TimesNewRoman"/>
        </w:rPr>
        <w:t>по</w:t>
      </w:r>
      <w:r w:rsidRPr="009B64A0">
        <w:rPr>
          <w:rFonts w:eastAsia="TimesNewRoman"/>
        </w:rPr>
        <w:t xml:space="preserve"> </w:t>
      </w:r>
      <w:r>
        <w:rPr>
          <w:rFonts w:eastAsia="TimesNewRoman"/>
        </w:rPr>
        <w:t>данным</w:t>
      </w:r>
      <w:r w:rsidRPr="009B64A0">
        <w:rPr>
          <w:rFonts w:eastAsia="TimesNewRoman"/>
        </w:rPr>
        <w:t xml:space="preserve"> 18-</w:t>
      </w:r>
      <w:r>
        <w:rPr>
          <w:rFonts w:eastAsia="TimesNewRoman"/>
        </w:rPr>
        <w:t>и</w:t>
      </w:r>
      <w:r w:rsidRPr="009B64A0">
        <w:rPr>
          <w:rFonts w:eastAsia="TimesNewRoman"/>
        </w:rPr>
        <w:t xml:space="preserve"> </w:t>
      </w:r>
      <w:r>
        <w:rPr>
          <w:rFonts w:eastAsia="TimesNewRoman"/>
        </w:rPr>
        <w:t>и</w:t>
      </w:r>
      <w:r w:rsidRPr="009B64A0">
        <w:rPr>
          <w:rFonts w:eastAsia="TimesNewRoman"/>
        </w:rPr>
        <w:t xml:space="preserve"> 78-</w:t>
      </w:r>
      <w:r>
        <w:rPr>
          <w:rFonts w:eastAsia="TimesNewRoman"/>
        </w:rPr>
        <w:t>и</w:t>
      </w:r>
      <w:r w:rsidRPr="009B64A0">
        <w:rPr>
          <w:rFonts w:eastAsia="TimesNewRoman"/>
        </w:rPr>
        <w:t xml:space="preserve"> </w:t>
      </w:r>
      <w:r>
        <w:rPr>
          <w:rFonts w:eastAsia="TimesNewRoman"/>
        </w:rPr>
        <w:t>недельных</w:t>
      </w:r>
      <w:r w:rsidRPr="009B64A0">
        <w:rPr>
          <w:rFonts w:eastAsia="TimesNewRoman"/>
        </w:rPr>
        <w:t xml:space="preserve"> </w:t>
      </w:r>
      <w:r>
        <w:rPr>
          <w:rFonts w:eastAsia="TimesNewRoman"/>
        </w:rPr>
        <w:t>плацебо</w:t>
      </w:r>
      <w:r w:rsidRPr="009B64A0">
        <w:rPr>
          <w:rFonts w:eastAsia="TimesNewRoman"/>
        </w:rPr>
        <w:t>-</w:t>
      </w:r>
      <w:r>
        <w:rPr>
          <w:rFonts w:eastAsia="TimesNewRoman"/>
        </w:rPr>
        <w:t>контролируемых</w:t>
      </w:r>
      <w:r w:rsidRPr="009B64A0">
        <w:rPr>
          <w:rFonts w:eastAsia="TimesNewRoman"/>
        </w:rPr>
        <w:t xml:space="preserve"> </w:t>
      </w:r>
      <w:r>
        <w:rPr>
          <w:rFonts w:eastAsia="TimesNewRoman"/>
        </w:rPr>
        <w:t>исследований</w:t>
      </w:r>
      <w:r w:rsidRPr="009B64A0">
        <w:rPr>
          <w:rFonts w:eastAsia="TimesNewRoman"/>
        </w:rPr>
        <w:t xml:space="preserve"> </w:t>
      </w:r>
      <w:r>
        <w:rPr>
          <w:rFonts w:eastAsia="TimesNewRoman"/>
        </w:rPr>
        <w:t>добавления</w:t>
      </w:r>
      <w:r w:rsidRPr="009B64A0">
        <w:rPr>
          <w:rFonts w:eastAsia="TimesNewRoman"/>
        </w:rPr>
        <w:t xml:space="preserve"> </w:t>
      </w:r>
      <w:r>
        <w:rPr>
          <w:rFonts w:eastAsia="TimesNewRoman"/>
        </w:rPr>
        <w:t>эмпаглифлозина</w:t>
      </w:r>
      <w:r w:rsidRPr="009B64A0">
        <w:rPr>
          <w:rFonts w:eastAsia="TimesNewRoman"/>
        </w:rPr>
        <w:t xml:space="preserve"> </w:t>
      </w:r>
      <w:r>
        <w:rPr>
          <w:rFonts w:eastAsia="TimesNewRoman"/>
        </w:rPr>
        <w:t>к</w:t>
      </w:r>
      <w:r w:rsidRPr="009B64A0">
        <w:rPr>
          <w:rFonts w:eastAsia="TimesNewRoman"/>
        </w:rPr>
        <w:t xml:space="preserve"> </w:t>
      </w:r>
      <w:r>
        <w:rPr>
          <w:rFonts w:eastAsia="TimesNewRoman"/>
        </w:rPr>
        <w:t>инсулинам</w:t>
      </w:r>
      <w:r w:rsidRPr="009B64A0">
        <w:rPr>
          <w:rFonts w:eastAsia="TimesNewRoman"/>
        </w:rPr>
        <w:t xml:space="preserve"> </w:t>
      </w:r>
      <w:r>
        <w:rPr>
          <w:rFonts w:eastAsia="TimesNewRoman"/>
        </w:rPr>
        <w:t>продленного</w:t>
      </w:r>
      <w:r w:rsidRPr="009B64A0">
        <w:rPr>
          <w:rFonts w:eastAsia="TimesNewRoman"/>
        </w:rPr>
        <w:t xml:space="preserve"> </w:t>
      </w:r>
      <w:r>
        <w:rPr>
          <w:rFonts w:eastAsia="TimesNewRoman"/>
        </w:rPr>
        <w:t>действия</w:t>
      </w:r>
      <w:r w:rsidRPr="009B64A0">
        <w:rPr>
          <w:rFonts w:eastAsia="TimesNewRoman"/>
        </w:rPr>
        <w:t xml:space="preserve"> </w:t>
      </w:r>
      <w:r>
        <w:rPr>
          <w:rFonts w:eastAsia="TimesNewRoman"/>
        </w:rPr>
        <w:t>с</w:t>
      </w:r>
      <w:r w:rsidRPr="009B64A0">
        <w:rPr>
          <w:rFonts w:eastAsia="TimesNewRoman"/>
        </w:rPr>
        <w:t>/</w:t>
      </w:r>
      <w:r>
        <w:rPr>
          <w:rFonts w:eastAsia="TimesNewRoman"/>
        </w:rPr>
        <w:t>без</w:t>
      </w:r>
      <w:r w:rsidRPr="009B64A0">
        <w:rPr>
          <w:rFonts w:eastAsia="TimesNewRoman"/>
        </w:rPr>
        <w:t xml:space="preserve"> </w:t>
      </w:r>
      <w:r>
        <w:rPr>
          <w:rFonts w:eastAsia="TimesNewRoman"/>
        </w:rPr>
        <w:t>сопутствующей</w:t>
      </w:r>
      <w:r w:rsidRPr="009B64A0">
        <w:rPr>
          <w:rFonts w:eastAsia="TimesNewRoman"/>
        </w:rPr>
        <w:t xml:space="preserve"> </w:t>
      </w:r>
      <w:r>
        <w:rPr>
          <w:rFonts w:eastAsia="TimesNewRoman"/>
        </w:rPr>
        <w:t>терапии</w:t>
      </w:r>
      <w:r w:rsidRPr="009B64A0">
        <w:rPr>
          <w:rFonts w:eastAsia="TimesNewRoman"/>
        </w:rPr>
        <w:t xml:space="preserve"> </w:t>
      </w:r>
      <w:r>
        <w:rPr>
          <w:rFonts w:eastAsia="TimesNewRoman"/>
        </w:rPr>
        <w:t>метформином или препаратами сульфонилмочевины</w:t>
      </w:r>
      <w:r w:rsidRPr="009B64A0">
        <w:rPr>
          <w:rFonts w:eastAsia="TimesNewRoman"/>
        </w:rPr>
        <w:t>.</w:t>
      </w:r>
    </w:p>
    <w:tbl>
      <w:tblPr>
        <w:tblStyle w:val="TableGrid"/>
        <w:tblW w:w="0" w:type="auto"/>
        <w:tblLook w:val="04A0" w:firstRow="1" w:lastRow="0" w:firstColumn="1" w:lastColumn="0" w:noHBand="0" w:noVBand="1"/>
      </w:tblPr>
      <w:tblGrid>
        <w:gridCol w:w="3538"/>
        <w:gridCol w:w="1559"/>
        <w:gridCol w:w="2127"/>
        <w:gridCol w:w="2120"/>
      </w:tblGrid>
      <w:tr w:rsidR="00345876" w:rsidRPr="009163C8" w14:paraId="127BF448" w14:textId="77777777" w:rsidTr="007756D8">
        <w:trPr>
          <w:tblHeader/>
        </w:trPr>
        <w:tc>
          <w:tcPr>
            <w:tcW w:w="3539" w:type="dxa"/>
            <w:shd w:val="clear" w:color="auto" w:fill="D9D9D9" w:themeFill="background1" w:themeFillShade="D9"/>
            <w:vAlign w:val="center"/>
          </w:tcPr>
          <w:p w14:paraId="734CA1B8" w14:textId="77777777" w:rsidR="00345876" w:rsidRPr="002B4D94" w:rsidRDefault="00345876" w:rsidP="004B66CD">
            <w:pPr>
              <w:autoSpaceDE w:val="0"/>
              <w:autoSpaceDN w:val="0"/>
              <w:adjustRightInd w:val="0"/>
              <w:spacing w:after="0" w:line="240" w:lineRule="auto"/>
              <w:contextualSpacing/>
              <w:rPr>
                <w:rFonts w:eastAsia="TimesNewRoman"/>
                <w:b/>
                <w:bCs/>
              </w:rPr>
            </w:pPr>
          </w:p>
        </w:tc>
        <w:tc>
          <w:tcPr>
            <w:tcW w:w="1559" w:type="dxa"/>
            <w:shd w:val="clear" w:color="auto" w:fill="D9D9D9" w:themeFill="background1" w:themeFillShade="D9"/>
            <w:vAlign w:val="center"/>
          </w:tcPr>
          <w:p w14:paraId="5DE511C5" w14:textId="77777777" w:rsidR="00345876" w:rsidRPr="002B4D94" w:rsidRDefault="00345876" w:rsidP="004B66CD">
            <w:pPr>
              <w:autoSpaceDE w:val="0"/>
              <w:autoSpaceDN w:val="0"/>
              <w:adjustRightInd w:val="0"/>
              <w:spacing w:after="0" w:line="240" w:lineRule="auto"/>
              <w:contextualSpacing/>
              <w:jc w:val="center"/>
              <w:rPr>
                <w:rFonts w:eastAsia="TimesNewRoman"/>
                <w:b/>
                <w:bCs/>
              </w:rPr>
            </w:pPr>
            <w:r w:rsidRPr="002B4D94">
              <w:rPr>
                <w:rFonts w:eastAsia="TimesNewRoman"/>
                <w:b/>
                <w:bCs/>
              </w:rPr>
              <w:t>Плацебо</w:t>
            </w:r>
          </w:p>
        </w:tc>
        <w:tc>
          <w:tcPr>
            <w:tcW w:w="2127" w:type="dxa"/>
            <w:shd w:val="clear" w:color="auto" w:fill="D9D9D9" w:themeFill="background1" w:themeFillShade="D9"/>
            <w:vAlign w:val="center"/>
          </w:tcPr>
          <w:p w14:paraId="37E78B35" w14:textId="77777777" w:rsidR="00345876" w:rsidRPr="002B4D94" w:rsidRDefault="00345876" w:rsidP="004B66CD">
            <w:pPr>
              <w:autoSpaceDE w:val="0"/>
              <w:autoSpaceDN w:val="0"/>
              <w:adjustRightInd w:val="0"/>
              <w:spacing w:after="0" w:line="240" w:lineRule="auto"/>
              <w:contextualSpacing/>
              <w:jc w:val="center"/>
              <w:rPr>
                <w:rFonts w:eastAsia="TimesNewRoman"/>
                <w:b/>
                <w:bCs/>
              </w:rPr>
            </w:pPr>
            <w:r w:rsidRPr="002B4D94">
              <w:rPr>
                <w:rFonts w:eastAsia="TimesNewRoman"/>
                <w:b/>
                <w:bCs/>
              </w:rPr>
              <w:t>Эмпаглифлозин 10 мг</w:t>
            </w:r>
          </w:p>
        </w:tc>
        <w:tc>
          <w:tcPr>
            <w:tcW w:w="2120" w:type="dxa"/>
            <w:shd w:val="clear" w:color="auto" w:fill="D9D9D9" w:themeFill="background1" w:themeFillShade="D9"/>
            <w:vAlign w:val="center"/>
          </w:tcPr>
          <w:p w14:paraId="48D44586" w14:textId="77777777" w:rsidR="00345876" w:rsidRPr="002B4D94" w:rsidRDefault="00345876" w:rsidP="004B66CD">
            <w:pPr>
              <w:autoSpaceDE w:val="0"/>
              <w:autoSpaceDN w:val="0"/>
              <w:adjustRightInd w:val="0"/>
              <w:spacing w:after="0" w:line="240" w:lineRule="auto"/>
              <w:contextualSpacing/>
              <w:jc w:val="center"/>
              <w:rPr>
                <w:rFonts w:eastAsia="TimesNewRoman"/>
                <w:b/>
                <w:bCs/>
              </w:rPr>
            </w:pPr>
            <w:r w:rsidRPr="002B4D94">
              <w:rPr>
                <w:rFonts w:eastAsia="TimesNewRoman"/>
                <w:b/>
                <w:bCs/>
              </w:rPr>
              <w:t>Эмпаглифлозин 25 мг</w:t>
            </w:r>
          </w:p>
        </w:tc>
      </w:tr>
      <w:tr w:rsidR="00345876" w:rsidRPr="009163C8" w14:paraId="0F47FB3F" w14:textId="77777777" w:rsidTr="007756D8">
        <w:tc>
          <w:tcPr>
            <w:tcW w:w="3539" w:type="dxa"/>
            <w:vAlign w:val="center"/>
          </w:tcPr>
          <w:p w14:paraId="38573663" w14:textId="77777777" w:rsidR="00345876" w:rsidRPr="00A40FCE"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559" w:type="dxa"/>
            <w:vAlign w:val="center"/>
          </w:tcPr>
          <w:p w14:paraId="04CE51B4"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125</w:t>
            </w:r>
          </w:p>
        </w:tc>
        <w:tc>
          <w:tcPr>
            <w:tcW w:w="2127" w:type="dxa"/>
            <w:vAlign w:val="center"/>
          </w:tcPr>
          <w:p w14:paraId="7A2122C8"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132</w:t>
            </w:r>
          </w:p>
        </w:tc>
        <w:tc>
          <w:tcPr>
            <w:tcW w:w="2120" w:type="dxa"/>
            <w:vAlign w:val="center"/>
          </w:tcPr>
          <w:p w14:paraId="64403BEE"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117</w:t>
            </w:r>
          </w:p>
        </w:tc>
      </w:tr>
      <w:tr w:rsidR="00345876" w:rsidRPr="009163C8" w14:paraId="248D45BE" w14:textId="77777777" w:rsidTr="007756D8">
        <w:tc>
          <w:tcPr>
            <w:tcW w:w="9345" w:type="dxa"/>
            <w:gridSpan w:val="4"/>
            <w:vAlign w:val="center"/>
          </w:tcPr>
          <w:p w14:paraId="577E54EF" w14:textId="77777777" w:rsidR="00345876" w:rsidRPr="00A40FCE" w:rsidRDefault="00345876" w:rsidP="004B66CD">
            <w:pPr>
              <w:autoSpaceDE w:val="0"/>
              <w:autoSpaceDN w:val="0"/>
              <w:adjustRightInd w:val="0"/>
              <w:spacing w:after="0" w:line="240" w:lineRule="auto"/>
              <w:contextualSpacing/>
              <w:rPr>
                <w:rFonts w:eastAsia="TimesNewRoman"/>
              </w:rPr>
            </w:pPr>
            <w:r w:rsidRPr="00166A50">
              <w:rPr>
                <w:b/>
                <w:bCs/>
                <w:lang w:val="en-US"/>
              </w:rPr>
              <w:t xml:space="preserve">HbA1c </w:t>
            </w:r>
            <w:r>
              <w:rPr>
                <w:b/>
                <w:bCs/>
              </w:rPr>
              <w:t xml:space="preserve">на неделе 18 </w:t>
            </w:r>
            <w:r w:rsidRPr="00166A50">
              <w:rPr>
                <w:b/>
                <w:bCs/>
                <w:lang w:val="en-US"/>
              </w:rPr>
              <w:t>(%)</w:t>
            </w:r>
          </w:p>
        </w:tc>
      </w:tr>
      <w:tr w:rsidR="00345876" w:rsidRPr="009163C8" w14:paraId="5EE97F92" w14:textId="77777777" w:rsidTr="007756D8">
        <w:tc>
          <w:tcPr>
            <w:tcW w:w="3539" w:type="dxa"/>
          </w:tcPr>
          <w:p w14:paraId="5AB95999" w14:textId="77777777" w:rsidR="00345876" w:rsidRPr="00A40FCE"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559" w:type="dxa"/>
            <w:vAlign w:val="center"/>
          </w:tcPr>
          <w:p w14:paraId="13AF18AD"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8,10</w:t>
            </w:r>
          </w:p>
        </w:tc>
        <w:tc>
          <w:tcPr>
            <w:tcW w:w="2127" w:type="dxa"/>
            <w:vAlign w:val="center"/>
          </w:tcPr>
          <w:p w14:paraId="3F52735F"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8,26</w:t>
            </w:r>
          </w:p>
        </w:tc>
        <w:tc>
          <w:tcPr>
            <w:tcW w:w="2120" w:type="dxa"/>
            <w:vAlign w:val="center"/>
          </w:tcPr>
          <w:p w14:paraId="5920EB23"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8,34</w:t>
            </w:r>
          </w:p>
        </w:tc>
      </w:tr>
      <w:tr w:rsidR="00345876" w:rsidRPr="009163C8" w14:paraId="428DE274" w14:textId="77777777" w:rsidTr="007756D8">
        <w:tc>
          <w:tcPr>
            <w:tcW w:w="3539" w:type="dxa"/>
          </w:tcPr>
          <w:p w14:paraId="3ECFE66C" w14:textId="77777777" w:rsidR="00345876" w:rsidRPr="00A40FCE"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559" w:type="dxa"/>
            <w:vAlign w:val="center"/>
          </w:tcPr>
          <w:p w14:paraId="48C783AB"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-0,01</w:t>
            </w:r>
          </w:p>
        </w:tc>
        <w:tc>
          <w:tcPr>
            <w:tcW w:w="2127" w:type="dxa"/>
            <w:vAlign w:val="center"/>
          </w:tcPr>
          <w:p w14:paraId="29130712"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-0,57</w:t>
            </w:r>
          </w:p>
        </w:tc>
        <w:tc>
          <w:tcPr>
            <w:tcW w:w="2120" w:type="dxa"/>
            <w:vAlign w:val="center"/>
          </w:tcPr>
          <w:p w14:paraId="5A03101C"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-0,71</w:t>
            </w:r>
          </w:p>
        </w:tc>
      </w:tr>
      <w:tr w:rsidR="00345876" w:rsidRPr="009163C8" w14:paraId="47A751BC" w14:textId="77777777" w:rsidTr="00421FA2">
        <w:tc>
          <w:tcPr>
            <w:tcW w:w="3539" w:type="dxa"/>
            <w:vAlign w:val="center"/>
          </w:tcPr>
          <w:p w14:paraId="583565A3" w14:textId="77777777" w:rsidR="00345876" w:rsidRPr="00A40FCE" w:rsidRDefault="00345876" w:rsidP="004B66CD">
            <w:pPr>
              <w:autoSpaceDE w:val="0"/>
              <w:autoSpaceDN w:val="0"/>
              <w:adjustRightInd w:val="0"/>
              <w:spacing w:after="0" w:line="240" w:lineRule="auto"/>
              <w:ind w:left="175"/>
              <w:contextualSpacing/>
              <w:rPr>
                <w:rFonts w:eastAsia="TimesNewRoman"/>
              </w:rPr>
            </w:pPr>
            <w:r>
              <w:t>Разница с плацебо (97,5% ДИ)</w:t>
            </w:r>
          </w:p>
        </w:tc>
        <w:tc>
          <w:tcPr>
            <w:tcW w:w="1559" w:type="dxa"/>
            <w:vAlign w:val="center"/>
          </w:tcPr>
          <w:p w14:paraId="138914D4" w14:textId="77777777" w:rsidR="00345876" w:rsidRPr="00A40FCE" w:rsidRDefault="00345876" w:rsidP="004B66CD">
            <w:pPr>
              <w:autoSpaceDE w:val="0"/>
              <w:autoSpaceDN w:val="0"/>
              <w:adjustRightInd w:val="0"/>
              <w:spacing w:after="0" w:line="240" w:lineRule="auto"/>
              <w:contextualSpacing/>
              <w:jc w:val="center"/>
              <w:rPr>
                <w:rFonts w:eastAsia="TimesNewRoman"/>
              </w:rPr>
            </w:pPr>
          </w:p>
        </w:tc>
        <w:tc>
          <w:tcPr>
            <w:tcW w:w="2127" w:type="dxa"/>
            <w:vAlign w:val="center"/>
          </w:tcPr>
          <w:p w14:paraId="0CF0D11A"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-0,56*</w:t>
            </w:r>
            <w:r>
              <w:rPr>
                <w:rFonts w:eastAsia="TimesNewRoman"/>
              </w:rPr>
              <w:br/>
              <w:t>(-0,78; -0,33)</w:t>
            </w:r>
          </w:p>
        </w:tc>
        <w:tc>
          <w:tcPr>
            <w:tcW w:w="2120" w:type="dxa"/>
            <w:vAlign w:val="center"/>
          </w:tcPr>
          <w:p w14:paraId="0D927BE2"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-0,70*</w:t>
            </w:r>
            <w:r>
              <w:rPr>
                <w:rFonts w:eastAsia="TimesNewRoman"/>
              </w:rPr>
              <w:br/>
              <w:t>(-0,93; -0,47)</w:t>
            </w:r>
          </w:p>
        </w:tc>
      </w:tr>
      <w:tr w:rsidR="00345876" w:rsidRPr="009163C8" w14:paraId="1F3E1B61" w14:textId="77777777" w:rsidTr="007756D8">
        <w:tc>
          <w:tcPr>
            <w:tcW w:w="3539" w:type="dxa"/>
            <w:vAlign w:val="center"/>
          </w:tcPr>
          <w:p w14:paraId="78F781D2" w14:textId="77777777" w:rsidR="00345876" w:rsidRPr="00A40FCE"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559" w:type="dxa"/>
            <w:vAlign w:val="center"/>
          </w:tcPr>
          <w:p w14:paraId="4A3C3E0A"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112</w:t>
            </w:r>
          </w:p>
        </w:tc>
        <w:tc>
          <w:tcPr>
            <w:tcW w:w="2127" w:type="dxa"/>
            <w:vAlign w:val="center"/>
          </w:tcPr>
          <w:p w14:paraId="0424DD14"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127</w:t>
            </w:r>
          </w:p>
        </w:tc>
        <w:tc>
          <w:tcPr>
            <w:tcW w:w="2120" w:type="dxa"/>
            <w:vAlign w:val="center"/>
          </w:tcPr>
          <w:p w14:paraId="1541FAC5"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110</w:t>
            </w:r>
          </w:p>
        </w:tc>
      </w:tr>
      <w:tr w:rsidR="00345876" w:rsidRPr="00A40FCE" w14:paraId="07DD83AE" w14:textId="77777777" w:rsidTr="007756D8">
        <w:tc>
          <w:tcPr>
            <w:tcW w:w="9345" w:type="dxa"/>
            <w:gridSpan w:val="4"/>
            <w:vAlign w:val="center"/>
          </w:tcPr>
          <w:p w14:paraId="2CAD1A7A" w14:textId="77777777" w:rsidR="00345876" w:rsidRPr="00A40FCE" w:rsidRDefault="00345876" w:rsidP="004B66CD">
            <w:pPr>
              <w:autoSpaceDE w:val="0"/>
              <w:autoSpaceDN w:val="0"/>
              <w:adjustRightInd w:val="0"/>
              <w:spacing w:after="0" w:line="240" w:lineRule="auto"/>
              <w:contextualSpacing/>
              <w:rPr>
                <w:rFonts w:eastAsia="TimesNewRoman"/>
              </w:rPr>
            </w:pPr>
            <w:r w:rsidRPr="00166A50">
              <w:rPr>
                <w:b/>
                <w:bCs/>
                <w:lang w:val="en-US"/>
              </w:rPr>
              <w:t xml:space="preserve">HbA1c </w:t>
            </w:r>
            <w:r>
              <w:rPr>
                <w:b/>
                <w:bCs/>
              </w:rPr>
              <w:t xml:space="preserve">на неделе 78 </w:t>
            </w:r>
            <w:r w:rsidRPr="00166A50">
              <w:rPr>
                <w:b/>
                <w:bCs/>
                <w:lang w:val="en-US"/>
              </w:rPr>
              <w:t>(%)</w:t>
            </w:r>
          </w:p>
        </w:tc>
      </w:tr>
      <w:tr w:rsidR="00345876" w:rsidRPr="00A40FCE" w14:paraId="4348BB8B" w14:textId="77777777" w:rsidTr="007756D8">
        <w:tc>
          <w:tcPr>
            <w:tcW w:w="3539" w:type="dxa"/>
          </w:tcPr>
          <w:p w14:paraId="58115704" w14:textId="77777777" w:rsidR="00345876" w:rsidRPr="00A40FCE"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559" w:type="dxa"/>
            <w:vAlign w:val="center"/>
          </w:tcPr>
          <w:p w14:paraId="2C44261F"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8,09</w:t>
            </w:r>
          </w:p>
        </w:tc>
        <w:tc>
          <w:tcPr>
            <w:tcW w:w="2127" w:type="dxa"/>
            <w:vAlign w:val="center"/>
          </w:tcPr>
          <w:p w14:paraId="4D773BCB"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8,27</w:t>
            </w:r>
          </w:p>
        </w:tc>
        <w:tc>
          <w:tcPr>
            <w:tcW w:w="2120" w:type="dxa"/>
            <w:vAlign w:val="center"/>
          </w:tcPr>
          <w:p w14:paraId="723DADFD"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8,29</w:t>
            </w:r>
          </w:p>
        </w:tc>
      </w:tr>
      <w:tr w:rsidR="00345876" w:rsidRPr="00A40FCE" w14:paraId="0EA12C0B" w14:textId="77777777" w:rsidTr="007756D8">
        <w:tc>
          <w:tcPr>
            <w:tcW w:w="3539" w:type="dxa"/>
          </w:tcPr>
          <w:p w14:paraId="584FAE6B" w14:textId="77777777" w:rsidR="00345876" w:rsidRPr="00A40FCE"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559" w:type="dxa"/>
            <w:vAlign w:val="center"/>
          </w:tcPr>
          <w:p w14:paraId="03E3206F"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-0,02</w:t>
            </w:r>
          </w:p>
        </w:tc>
        <w:tc>
          <w:tcPr>
            <w:tcW w:w="2127" w:type="dxa"/>
            <w:vAlign w:val="center"/>
          </w:tcPr>
          <w:p w14:paraId="3B5FE278"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-0,48</w:t>
            </w:r>
          </w:p>
        </w:tc>
        <w:tc>
          <w:tcPr>
            <w:tcW w:w="2120" w:type="dxa"/>
            <w:vAlign w:val="center"/>
          </w:tcPr>
          <w:p w14:paraId="687FEC82"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-0,64</w:t>
            </w:r>
          </w:p>
        </w:tc>
      </w:tr>
      <w:tr w:rsidR="00345876" w:rsidRPr="00A40FCE" w14:paraId="6B5D5422" w14:textId="77777777" w:rsidTr="00421FA2">
        <w:tc>
          <w:tcPr>
            <w:tcW w:w="3539" w:type="dxa"/>
            <w:vAlign w:val="center"/>
          </w:tcPr>
          <w:p w14:paraId="58235C4A" w14:textId="77777777" w:rsidR="00345876" w:rsidRPr="00A40FCE" w:rsidRDefault="00345876" w:rsidP="004B66CD">
            <w:pPr>
              <w:autoSpaceDE w:val="0"/>
              <w:autoSpaceDN w:val="0"/>
              <w:adjustRightInd w:val="0"/>
              <w:spacing w:after="0" w:line="240" w:lineRule="auto"/>
              <w:ind w:left="175"/>
              <w:contextualSpacing/>
              <w:rPr>
                <w:rFonts w:eastAsia="TimesNewRoman"/>
              </w:rPr>
            </w:pPr>
            <w:r>
              <w:t>Разница с плацебо (97,5% ДИ)</w:t>
            </w:r>
          </w:p>
        </w:tc>
        <w:tc>
          <w:tcPr>
            <w:tcW w:w="1559" w:type="dxa"/>
            <w:vAlign w:val="center"/>
          </w:tcPr>
          <w:p w14:paraId="5F9868DC" w14:textId="77777777" w:rsidR="00345876" w:rsidRPr="00A40FCE" w:rsidRDefault="00345876" w:rsidP="004B66CD">
            <w:pPr>
              <w:autoSpaceDE w:val="0"/>
              <w:autoSpaceDN w:val="0"/>
              <w:adjustRightInd w:val="0"/>
              <w:spacing w:after="0" w:line="240" w:lineRule="auto"/>
              <w:contextualSpacing/>
              <w:jc w:val="center"/>
              <w:rPr>
                <w:rFonts w:eastAsia="TimesNewRoman"/>
              </w:rPr>
            </w:pPr>
          </w:p>
        </w:tc>
        <w:tc>
          <w:tcPr>
            <w:tcW w:w="2127" w:type="dxa"/>
            <w:vAlign w:val="center"/>
          </w:tcPr>
          <w:p w14:paraId="74FBA1ED"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-0,46*</w:t>
            </w:r>
            <w:r>
              <w:rPr>
                <w:rFonts w:eastAsia="TimesNewRoman"/>
              </w:rPr>
              <w:br/>
              <w:t>(-0,73; -0,19)</w:t>
            </w:r>
          </w:p>
        </w:tc>
        <w:tc>
          <w:tcPr>
            <w:tcW w:w="2120" w:type="dxa"/>
            <w:vAlign w:val="center"/>
          </w:tcPr>
          <w:p w14:paraId="747FF16A"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-0,62*</w:t>
            </w:r>
            <w:r>
              <w:rPr>
                <w:rFonts w:eastAsia="TimesNewRoman"/>
              </w:rPr>
              <w:br/>
              <w:t>(-0,90; -0,34)</w:t>
            </w:r>
          </w:p>
        </w:tc>
      </w:tr>
      <w:tr w:rsidR="00345876" w:rsidRPr="00A40FCE" w14:paraId="69D04C42" w14:textId="77777777" w:rsidTr="007756D8">
        <w:tc>
          <w:tcPr>
            <w:tcW w:w="3539" w:type="dxa"/>
            <w:vAlign w:val="center"/>
          </w:tcPr>
          <w:p w14:paraId="76719A74" w14:textId="77777777" w:rsidR="00345876" w:rsidRPr="00A40FCE" w:rsidRDefault="00345876" w:rsidP="004B66CD">
            <w:pPr>
              <w:autoSpaceDE w:val="0"/>
              <w:autoSpaceDN w:val="0"/>
              <w:adjustRightInd w:val="0"/>
              <w:spacing w:after="0" w:line="240" w:lineRule="auto"/>
              <w:contextualSpacing/>
              <w:rPr>
                <w:rFonts w:eastAsia="TimesNewRoman"/>
              </w:rPr>
            </w:pPr>
            <w:r>
              <w:rPr>
                <w:rFonts w:eastAsia="TimesNewRoman"/>
              </w:rPr>
              <w:t>Количество пациентов</w:t>
            </w:r>
          </w:p>
        </w:tc>
        <w:tc>
          <w:tcPr>
            <w:tcW w:w="1559" w:type="dxa"/>
            <w:vAlign w:val="center"/>
          </w:tcPr>
          <w:p w14:paraId="7F3F48F3"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112</w:t>
            </w:r>
          </w:p>
        </w:tc>
        <w:tc>
          <w:tcPr>
            <w:tcW w:w="2127" w:type="dxa"/>
            <w:vAlign w:val="center"/>
          </w:tcPr>
          <w:p w14:paraId="39DE9960"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127</w:t>
            </w:r>
          </w:p>
        </w:tc>
        <w:tc>
          <w:tcPr>
            <w:tcW w:w="2120" w:type="dxa"/>
            <w:vAlign w:val="center"/>
          </w:tcPr>
          <w:p w14:paraId="2BAEBE89"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110</w:t>
            </w:r>
          </w:p>
        </w:tc>
      </w:tr>
      <w:tr w:rsidR="00345876" w:rsidRPr="00A40FCE" w14:paraId="65F31844" w14:textId="77777777" w:rsidTr="007756D8">
        <w:tc>
          <w:tcPr>
            <w:tcW w:w="9345" w:type="dxa"/>
            <w:gridSpan w:val="4"/>
            <w:vAlign w:val="center"/>
          </w:tcPr>
          <w:p w14:paraId="770A6C8B" w14:textId="77777777" w:rsidR="00345876" w:rsidRPr="002B4D94" w:rsidRDefault="00345876" w:rsidP="004B66CD">
            <w:pPr>
              <w:autoSpaceDE w:val="0"/>
              <w:autoSpaceDN w:val="0"/>
              <w:adjustRightInd w:val="0"/>
              <w:spacing w:after="0" w:line="240" w:lineRule="auto"/>
              <w:contextualSpacing/>
              <w:rPr>
                <w:rFonts w:eastAsia="TimesNewRoman"/>
                <w:b/>
                <w:bCs/>
              </w:rPr>
            </w:pPr>
            <w:r w:rsidRPr="002B4D94">
              <w:rPr>
                <w:rFonts w:eastAsia="TimesNewRoman"/>
                <w:b/>
                <w:bCs/>
              </w:rPr>
              <w:t>Доза инсулина продленного действия (Ед/день) на неделе 78</w:t>
            </w:r>
          </w:p>
        </w:tc>
      </w:tr>
      <w:tr w:rsidR="00345876" w:rsidRPr="00A40FCE" w14:paraId="1CA84446" w14:textId="77777777" w:rsidTr="007756D8">
        <w:tc>
          <w:tcPr>
            <w:tcW w:w="3539" w:type="dxa"/>
          </w:tcPr>
          <w:p w14:paraId="39F6C7A3" w14:textId="77777777" w:rsidR="00345876" w:rsidRPr="00A40FCE" w:rsidRDefault="00345876" w:rsidP="004B66CD">
            <w:pPr>
              <w:autoSpaceDE w:val="0"/>
              <w:autoSpaceDN w:val="0"/>
              <w:adjustRightInd w:val="0"/>
              <w:spacing w:after="0" w:line="240" w:lineRule="auto"/>
              <w:ind w:left="175"/>
              <w:contextualSpacing/>
              <w:rPr>
                <w:rFonts w:eastAsia="TimesNewRoman"/>
              </w:rPr>
            </w:pPr>
            <w:r>
              <w:t>Исходное значение (среднее)</w:t>
            </w:r>
          </w:p>
        </w:tc>
        <w:tc>
          <w:tcPr>
            <w:tcW w:w="1559" w:type="dxa"/>
            <w:vAlign w:val="center"/>
          </w:tcPr>
          <w:p w14:paraId="4B559760"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47,84</w:t>
            </w:r>
          </w:p>
        </w:tc>
        <w:tc>
          <w:tcPr>
            <w:tcW w:w="2127" w:type="dxa"/>
            <w:vAlign w:val="center"/>
          </w:tcPr>
          <w:p w14:paraId="2D9D0B94"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45,13</w:t>
            </w:r>
          </w:p>
        </w:tc>
        <w:tc>
          <w:tcPr>
            <w:tcW w:w="2120" w:type="dxa"/>
            <w:vAlign w:val="center"/>
          </w:tcPr>
          <w:p w14:paraId="7CD1EE1A"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48,43</w:t>
            </w:r>
          </w:p>
        </w:tc>
      </w:tr>
      <w:tr w:rsidR="00345876" w:rsidRPr="00A40FCE" w14:paraId="1FE6D607" w14:textId="77777777" w:rsidTr="007756D8">
        <w:tc>
          <w:tcPr>
            <w:tcW w:w="3539" w:type="dxa"/>
          </w:tcPr>
          <w:p w14:paraId="7E4FE966" w14:textId="77777777" w:rsidR="00345876" w:rsidRPr="00A40FCE" w:rsidRDefault="00345876" w:rsidP="004B66CD">
            <w:pPr>
              <w:autoSpaceDE w:val="0"/>
              <w:autoSpaceDN w:val="0"/>
              <w:adjustRightInd w:val="0"/>
              <w:spacing w:after="0" w:line="240" w:lineRule="auto"/>
              <w:ind w:left="175"/>
              <w:contextualSpacing/>
              <w:rPr>
                <w:rFonts w:eastAsia="TimesNewRoman"/>
              </w:rPr>
            </w:pPr>
            <w:r>
              <w:t>Изменение от исходного значения</w:t>
            </w:r>
            <w:r w:rsidRPr="00FB191F">
              <w:rPr>
                <w:vertAlign w:val="superscript"/>
              </w:rPr>
              <w:t>1</w:t>
            </w:r>
          </w:p>
        </w:tc>
        <w:tc>
          <w:tcPr>
            <w:tcW w:w="1559" w:type="dxa"/>
            <w:vAlign w:val="center"/>
          </w:tcPr>
          <w:p w14:paraId="5AB9E231"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5,45</w:t>
            </w:r>
          </w:p>
        </w:tc>
        <w:tc>
          <w:tcPr>
            <w:tcW w:w="2127" w:type="dxa"/>
            <w:vAlign w:val="center"/>
          </w:tcPr>
          <w:p w14:paraId="2827609F"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-1,21</w:t>
            </w:r>
          </w:p>
        </w:tc>
        <w:tc>
          <w:tcPr>
            <w:tcW w:w="2120" w:type="dxa"/>
            <w:vAlign w:val="center"/>
          </w:tcPr>
          <w:p w14:paraId="09B2800B"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-0,47</w:t>
            </w:r>
          </w:p>
        </w:tc>
      </w:tr>
      <w:tr w:rsidR="00345876" w:rsidRPr="00A40FCE" w14:paraId="62EC8A37" w14:textId="77777777" w:rsidTr="00421FA2">
        <w:tc>
          <w:tcPr>
            <w:tcW w:w="3539" w:type="dxa"/>
            <w:vAlign w:val="center"/>
          </w:tcPr>
          <w:p w14:paraId="75AD8E93" w14:textId="77777777" w:rsidR="00345876" w:rsidRPr="00A40FCE" w:rsidRDefault="00345876" w:rsidP="004B66CD">
            <w:pPr>
              <w:autoSpaceDE w:val="0"/>
              <w:autoSpaceDN w:val="0"/>
              <w:adjustRightInd w:val="0"/>
              <w:spacing w:after="0" w:line="240" w:lineRule="auto"/>
              <w:ind w:left="175"/>
              <w:contextualSpacing/>
              <w:rPr>
                <w:rFonts w:eastAsia="TimesNewRoman"/>
              </w:rPr>
            </w:pPr>
            <w:r>
              <w:t>Разница с плацебо (97,5% ДИ)</w:t>
            </w:r>
          </w:p>
        </w:tc>
        <w:tc>
          <w:tcPr>
            <w:tcW w:w="1559" w:type="dxa"/>
            <w:vAlign w:val="center"/>
          </w:tcPr>
          <w:p w14:paraId="1E439AE9" w14:textId="77777777" w:rsidR="00345876" w:rsidRPr="00A40FCE" w:rsidRDefault="00345876" w:rsidP="004B66CD">
            <w:pPr>
              <w:autoSpaceDE w:val="0"/>
              <w:autoSpaceDN w:val="0"/>
              <w:adjustRightInd w:val="0"/>
              <w:spacing w:after="0" w:line="240" w:lineRule="auto"/>
              <w:contextualSpacing/>
              <w:jc w:val="center"/>
              <w:rPr>
                <w:rFonts w:eastAsia="TimesNewRoman"/>
              </w:rPr>
            </w:pPr>
          </w:p>
        </w:tc>
        <w:tc>
          <w:tcPr>
            <w:tcW w:w="2127" w:type="dxa"/>
            <w:vAlign w:val="center"/>
          </w:tcPr>
          <w:p w14:paraId="229A99B7"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-6,66**</w:t>
            </w:r>
            <w:r>
              <w:rPr>
                <w:rFonts w:eastAsia="TimesNewRoman"/>
              </w:rPr>
              <w:br/>
              <w:t>(-11,56; -1,77)</w:t>
            </w:r>
          </w:p>
        </w:tc>
        <w:tc>
          <w:tcPr>
            <w:tcW w:w="2120" w:type="dxa"/>
            <w:vAlign w:val="center"/>
          </w:tcPr>
          <w:p w14:paraId="2007B662" w14:textId="77777777" w:rsidR="00345876" w:rsidRPr="00A40FCE" w:rsidRDefault="00345876" w:rsidP="004B66CD">
            <w:pPr>
              <w:autoSpaceDE w:val="0"/>
              <w:autoSpaceDN w:val="0"/>
              <w:adjustRightInd w:val="0"/>
              <w:spacing w:after="0" w:line="240" w:lineRule="auto"/>
              <w:contextualSpacing/>
              <w:jc w:val="center"/>
              <w:rPr>
                <w:rFonts w:eastAsia="TimesNewRoman"/>
              </w:rPr>
            </w:pPr>
            <w:r>
              <w:rPr>
                <w:rFonts w:eastAsia="TimesNewRoman"/>
              </w:rPr>
              <w:t>-5,92**</w:t>
            </w:r>
            <w:r>
              <w:rPr>
                <w:rFonts w:eastAsia="TimesNewRoman"/>
              </w:rPr>
              <w:br/>
              <w:t>(-11,00; -0,85)</w:t>
            </w:r>
          </w:p>
        </w:tc>
      </w:tr>
      <w:tr w:rsidR="00345876" w:rsidRPr="009B64A0" w14:paraId="64EAC28E" w14:textId="77777777" w:rsidTr="007756D8">
        <w:tc>
          <w:tcPr>
            <w:tcW w:w="9345" w:type="dxa"/>
            <w:gridSpan w:val="4"/>
          </w:tcPr>
          <w:p w14:paraId="277F5E29" w14:textId="77777777" w:rsidR="00345876" w:rsidRPr="009B64A0" w:rsidRDefault="00345876" w:rsidP="004B66CD">
            <w:pPr>
              <w:autoSpaceDE w:val="0"/>
              <w:autoSpaceDN w:val="0"/>
              <w:adjustRightInd w:val="0"/>
              <w:spacing w:after="0" w:line="240" w:lineRule="auto"/>
              <w:contextualSpacing/>
              <w:rPr>
                <w:rFonts w:eastAsia="TimesNewRoman"/>
                <w:b/>
                <w:bCs/>
                <w:sz w:val="20"/>
                <w:szCs w:val="20"/>
              </w:rPr>
            </w:pPr>
            <w:r w:rsidRPr="009B64A0">
              <w:rPr>
                <w:rFonts w:eastAsia="TimesNewRoman"/>
                <w:b/>
                <w:bCs/>
                <w:sz w:val="20"/>
                <w:szCs w:val="20"/>
              </w:rPr>
              <w:t>Примечание:</w:t>
            </w:r>
          </w:p>
          <w:p w14:paraId="5C4C203D" w14:textId="77777777" w:rsidR="00345876" w:rsidRDefault="00345876" w:rsidP="004B66CD">
            <w:pPr>
              <w:autoSpaceDE w:val="0"/>
              <w:autoSpaceDN w:val="0"/>
              <w:adjustRightInd w:val="0"/>
              <w:spacing w:after="0"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w:t>
            </w:r>
            <w:r>
              <w:rPr>
                <w:rFonts w:eastAsia="TimesNewRoman"/>
                <w:sz w:val="20"/>
                <w:szCs w:val="20"/>
              </w:rPr>
              <w:t>ДИ – доверительный интервал</w:t>
            </w:r>
            <w:r>
              <w:rPr>
                <w:sz w:val="20"/>
                <w:szCs w:val="20"/>
              </w:rPr>
              <w:t>;</w:t>
            </w:r>
          </w:p>
          <w:p w14:paraId="6F7D99BA" w14:textId="77777777" w:rsidR="00345876" w:rsidRPr="009B64A0" w:rsidRDefault="00345876" w:rsidP="004B66CD">
            <w:pPr>
              <w:autoSpaceDE w:val="0"/>
              <w:autoSpaceDN w:val="0"/>
              <w:adjustRightInd w:val="0"/>
              <w:spacing w:after="0" w:line="240" w:lineRule="auto"/>
              <w:contextualSpacing/>
              <w:rPr>
                <w:rFonts w:eastAsia="TimesNewRoman"/>
                <w:sz w:val="20"/>
                <w:szCs w:val="20"/>
              </w:rPr>
            </w:pPr>
            <w:r w:rsidRPr="009B64A0">
              <w:rPr>
                <w:rFonts w:eastAsia="TimesNewRoman"/>
                <w:sz w:val="20"/>
                <w:szCs w:val="20"/>
                <w:lang w:val="en-US"/>
              </w:rPr>
              <w:t>a</w:t>
            </w:r>
            <w:r w:rsidRPr="009B64A0">
              <w:rPr>
                <w:rFonts w:eastAsia="TimesNewRoman"/>
                <w:sz w:val="20"/>
                <w:szCs w:val="20"/>
              </w:rPr>
              <w:t xml:space="preserve"> </w:t>
            </w:r>
            <w:r>
              <w:rPr>
                <w:rFonts w:eastAsia="TimesNewRoman"/>
                <w:sz w:val="20"/>
                <w:szCs w:val="20"/>
              </w:rPr>
              <w:t xml:space="preserve">- </w:t>
            </w:r>
            <w:r w:rsidRPr="009163C8">
              <w:rPr>
                <w:sz w:val="20"/>
                <w:szCs w:val="20"/>
              </w:rPr>
              <w:t>Полный набор анализов с использованием переноса последнего наблюдения до гликемической терапии</w:t>
            </w:r>
            <w:r>
              <w:rPr>
                <w:sz w:val="20"/>
                <w:szCs w:val="20"/>
              </w:rPr>
              <w:t xml:space="preserve"> спасения;</w:t>
            </w:r>
          </w:p>
          <w:p w14:paraId="407F5F0B" w14:textId="77777777" w:rsidR="00345876" w:rsidRPr="009B64A0" w:rsidRDefault="00345876" w:rsidP="004B66CD">
            <w:pPr>
              <w:autoSpaceDE w:val="0"/>
              <w:autoSpaceDN w:val="0"/>
              <w:adjustRightInd w:val="0"/>
              <w:spacing w:after="0" w:line="240" w:lineRule="auto"/>
              <w:contextualSpacing/>
              <w:rPr>
                <w:rFonts w:eastAsia="TimesNewRoman"/>
                <w:sz w:val="20"/>
                <w:szCs w:val="20"/>
              </w:rPr>
            </w:pPr>
            <w:r w:rsidRPr="009B64A0">
              <w:rPr>
                <w:rFonts w:eastAsia="TimesNewRoman"/>
                <w:sz w:val="20"/>
                <w:szCs w:val="20"/>
              </w:rPr>
              <w:t xml:space="preserve">1 </w:t>
            </w:r>
            <w:r>
              <w:rPr>
                <w:rFonts w:eastAsia="TimesNewRoman"/>
                <w:sz w:val="20"/>
                <w:szCs w:val="20"/>
              </w:rPr>
              <w:t xml:space="preserve">- </w:t>
            </w:r>
            <w:r w:rsidRPr="003E3E7E">
              <w:rPr>
                <w:rFonts w:eastAsia="TimesNewRoman"/>
                <w:sz w:val="20"/>
                <w:szCs w:val="20"/>
              </w:rPr>
              <w:t xml:space="preserve">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716E072E" w14:textId="6AD8B309" w:rsidR="00345876" w:rsidRPr="009B64A0" w:rsidRDefault="00345876" w:rsidP="004B66CD">
            <w:pPr>
              <w:autoSpaceDE w:val="0"/>
              <w:autoSpaceDN w:val="0"/>
              <w:adjustRightInd w:val="0"/>
              <w:spacing w:after="0" w:line="240" w:lineRule="auto"/>
              <w:contextualSpacing/>
              <w:rPr>
                <w:rFonts w:eastAsia="TimesNewRoman"/>
                <w:sz w:val="20"/>
                <w:szCs w:val="20"/>
              </w:rPr>
            </w:pPr>
            <w:r w:rsidRPr="009B64A0">
              <w:rPr>
                <w:rFonts w:eastAsia="TimesNewRoman"/>
                <w:sz w:val="20"/>
                <w:szCs w:val="20"/>
              </w:rPr>
              <w:t xml:space="preserve">* </w:t>
            </w:r>
            <w:r w:rsidRPr="009B64A0">
              <w:rPr>
                <w:rFonts w:eastAsia="TimesNewRoman"/>
                <w:sz w:val="20"/>
                <w:szCs w:val="20"/>
                <w:lang w:val="en-US"/>
              </w:rPr>
              <w:t>p</w:t>
            </w:r>
            <w:r w:rsidRPr="009B64A0">
              <w:rPr>
                <w:rFonts w:eastAsia="TimesNewRoman"/>
                <w:sz w:val="20"/>
                <w:szCs w:val="20"/>
              </w:rPr>
              <w:t xml:space="preserve"> &lt;</w:t>
            </w:r>
            <w:r>
              <w:rPr>
                <w:rFonts w:eastAsia="TimesNewRoman"/>
                <w:sz w:val="20"/>
                <w:szCs w:val="20"/>
              </w:rPr>
              <w:t xml:space="preserve"> </w:t>
            </w:r>
            <w:r w:rsidR="001A2B46">
              <w:rPr>
                <w:rFonts w:eastAsia="TimesNewRoman"/>
                <w:sz w:val="20"/>
                <w:szCs w:val="20"/>
              </w:rPr>
              <w:t>0,</w:t>
            </w:r>
            <w:r w:rsidRPr="009B64A0">
              <w:rPr>
                <w:rFonts w:eastAsia="TimesNewRoman"/>
                <w:sz w:val="20"/>
                <w:szCs w:val="20"/>
              </w:rPr>
              <w:t>0001</w:t>
            </w:r>
            <w:r>
              <w:rPr>
                <w:rFonts w:eastAsia="TimesNewRoman"/>
                <w:sz w:val="20"/>
                <w:szCs w:val="20"/>
              </w:rPr>
              <w:t>;</w:t>
            </w:r>
          </w:p>
          <w:p w14:paraId="251655EA" w14:textId="0E7DE29E" w:rsidR="00345876" w:rsidRPr="009B64A0" w:rsidRDefault="00345876" w:rsidP="004B66CD">
            <w:pPr>
              <w:autoSpaceDE w:val="0"/>
              <w:autoSpaceDN w:val="0"/>
              <w:adjustRightInd w:val="0"/>
              <w:spacing w:after="0" w:line="240" w:lineRule="auto"/>
              <w:contextualSpacing/>
              <w:rPr>
                <w:rFonts w:eastAsia="TimesNewRoman"/>
              </w:rPr>
            </w:pPr>
            <w:r w:rsidRPr="009B64A0">
              <w:rPr>
                <w:rFonts w:eastAsia="TimesNewRoman"/>
                <w:sz w:val="20"/>
                <w:szCs w:val="20"/>
              </w:rPr>
              <w:t xml:space="preserve">** </w:t>
            </w:r>
            <w:r w:rsidRPr="009B64A0">
              <w:rPr>
                <w:rFonts w:eastAsia="TimesNewRoman"/>
                <w:sz w:val="20"/>
                <w:szCs w:val="20"/>
                <w:lang w:val="en-US"/>
              </w:rPr>
              <w:t>p</w:t>
            </w:r>
            <w:r w:rsidRPr="009B64A0">
              <w:rPr>
                <w:rFonts w:eastAsia="TimesNewRoman"/>
                <w:sz w:val="20"/>
                <w:szCs w:val="20"/>
              </w:rPr>
              <w:t xml:space="preserve"> &lt;</w:t>
            </w:r>
            <w:r>
              <w:rPr>
                <w:rFonts w:eastAsia="TimesNewRoman"/>
                <w:sz w:val="20"/>
                <w:szCs w:val="20"/>
              </w:rPr>
              <w:t xml:space="preserve"> </w:t>
            </w:r>
            <w:r w:rsidR="001A2B46">
              <w:rPr>
                <w:rFonts w:eastAsia="TimesNewRoman"/>
                <w:sz w:val="20"/>
                <w:szCs w:val="20"/>
              </w:rPr>
              <w:t>0,</w:t>
            </w:r>
            <w:r w:rsidRPr="009B64A0">
              <w:rPr>
                <w:rFonts w:eastAsia="TimesNewRoman"/>
                <w:sz w:val="20"/>
                <w:szCs w:val="20"/>
              </w:rPr>
              <w:t>025</w:t>
            </w:r>
            <w:r>
              <w:rPr>
                <w:rFonts w:eastAsia="TimesNewRoman"/>
                <w:sz w:val="20"/>
                <w:szCs w:val="20"/>
              </w:rPr>
              <w:t>.</w:t>
            </w:r>
          </w:p>
        </w:tc>
      </w:tr>
    </w:tbl>
    <w:p w14:paraId="2192B2D5" w14:textId="77777777" w:rsidR="00345876" w:rsidRPr="00345876" w:rsidRDefault="00345876">
      <w:pPr>
        <w:spacing w:after="0" w:line="240" w:lineRule="auto"/>
        <w:ind w:firstLine="567"/>
      </w:pPr>
    </w:p>
    <w:p w14:paraId="5939BC1E" w14:textId="77777777" w:rsidR="00345876" w:rsidRPr="00227751" w:rsidRDefault="00345876" w:rsidP="00345876">
      <w:pPr>
        <w:autoSpaceDE w:val="0"/>
        <w:autoSpaceDN w:val="0"/>
        <w:adjustRightInd w:val="0"/>
        <w:spacing w:after="0" w:line="240" w:lineRule="auto"/>
        <w:contextualSpacing/>
        <w:rPr>
          <w:rFonts w:eastAsia="TimesNewRoman"/>
          <w:highlight w:val="yellow"/>
        </w:rPr>
      </w:pPr>
      <w:r>
        <w:rPr>
          <w:rFonts w:eastAsia="TimesNewRoman"/>
          <w:b/>
          <w:bCs/>
        </w:rPr>
        <w:t>Эффективность эмпаглифлозина у п</w:t>
      </w:r>
      <w:r w:rsidRPr="00227751">
        <w:rPr>
          <w:rFonts w:eastAsia="TimesNewRoman"/>
          <w:b/>
          <w:bCs/>
        </w:rPr>
        <w:t>ациент</w:t>
      </w:r>
      <w:r>
        <w:rPr>
          <w:rFonts w:eastAsia="TimesNewRoman"/>
          <w:b/>
          <w:bCs/>
        </w:rPr>
        <w:t>ов</w:t>
      </w:r>
      <w:r w:rsidRPr="00227751">
        <w:rPr>
          <w:rFonts w:eastAsia="TimesNewRoman"/>
          <w:b/>
          <w:bCs/>
        </w:rPr>
        <w:t xml:space="preserve"> с почечной недостаточностью</w:t>
      </w:r>
    </w:p>
    <w:p w14:paraId="16F2A929" w14:textId="77777777" w:rsidR="00345876" w:rsidRPr="000A2765" w:rsidRDefault="00345876" w:rsidP="00345876">
      <w:pPr>
        <w:autoSpaceDE w:val="0"/>
        <w:autoSpaceDN w:val="0"/>
        <w:adjustRightInd w:val="0"/>
        <w:spacing w:after="0" w:line="240" w:lineRule="auto"/>
        <w:ind w:firstLine="709"/>
        <w:contextualSpacing/>
        <w:rPr>
          <w:rFonts w:eastAsia="TimesNewRoman"/>
          <w:highlight w:val="yellow"/>
        </w:rPr>
      </w:pPr>
    </w:p>
    <w:p w14:paraId="765050B3" w14:textId="71311540"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Эффективность и безопасность эмпаглифлозина в качестве дополнения к противодиабетической терапии оценивали у пациентов с почечной недостаточностью в двойном слепом плацебо-контролируемом исследовании в течение 52 недель. Лечение эмпаглифлозином привело к статистически значимому снижению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(таблица </w:t>
      </w:r>
      <w:r w:rsidR="002604EF" w:rsidRPr="002604EF">
        <w:rPr>
          <w:rFonts w:eastAsia="TimesNewRoman"/>
        </w:rPr>
        <w:t>4-</w:t>
      </w:r>
      <w:r w:rsidR="006836D0">
        <w:rPr>
          <w:rFonts w:eastAsia="TimesNewRoman"/>
        </w:rPr>
        <w:t>8</w:t>
      </w:r>
      <w:r w:rsidRPr="002604EF">
        <w:rPr>
          <w:rFonts w:eastAsia="TimesNewRoman"/>
        </w:rPr>
        <w:t xml:space="preserve">) и клинически значимому улучшению ГПН по сравнению с плацебо на 24-й неделе. Улучшение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массы тела и артериального давления сохранялось до 52 недель</w:t>
      </w:r>
      <w:r w:rsidR="004B66CD" w:rsidRPr="002604EF">
        <w:rPr>
          <w:rFonts w:eastAsia="TimesNewRoman"/>
        </w:rPr>
        <w:t xml:space="preserve"> [21]</w:t>
      </w:r>
      <w:r w:rsidRPr="002604EF">
        <w:rPr>
          <w:rFonts w:eastAsia="TimesNewRoman"/>
        </w:rPr>
        <w:t>.</w:t>
      </w:r>
    </w:p>
    <w:p w14:paraId="0234D5D2"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18808130" w14:textId="77777777" w:rsidR="00B47330" w:rsidRDefault="00B47330" w:rsidP="00345876">
      <w:pPr>
        <w:autoSpaceDE w:val="0"/>
        <w:autoSpaceDN w:val="0"/>
        <w:adjustRightInd w:val="0"/>
        <w:spacing w:after="0" w:line="240" w:lineRule="auto"/>
        <w:contextualSpacing/>
        <w:rPr>
          <w:rFonts w:eastAsia="TimesNewRoman"/>
          <w:b/>
          <w:bCs/>
        </w:rPr>
        <w:sectPr w:rsidR="00B47330">
          <w:pgSz w:w="11906" w:h="16838"/>
          <w:pgMar w:top="1134" w:right="851" w:bottom="1134" w:left="1701" w:header="709" w:footer="709" w:gutter="0"/>
          <w:cols w:space="708"/>
          <w:docGrid w:linePitch="360"/>
        </w:sectPr>
      </w:pPr>
    </w:p>
    <w:p w14:paraId="3FFB9741" w14:textId="20C74A77" w:rsidR="00345876" w:rsidRPr="00227751" w:rsidRDefault="00345876" w:rsidP="00345876">
      <w:pPr>
        <w:autoSpaceDE w:val="0"/>
        <w:autoSpaceDN w:val="0"/>
        <w:adjustRightInd w:val="0"/>
        <w:spacing w:after="0" w:line="240" w:lineRule="auto"/>
        <w:contextualSpacing/>
        <w:rPr>
          <w:rFonts w:eastAsia="TimesNewRoman"/>
          <w:highlight w:val="yellow"/>
        </w:rPr>
      </w:pPr>
      <w:r w:rsidRPr="002604EF">
        <w:rPr>
          <w:rFonts w:eastAsia="TimesNewRoman"/>
          <w:b/>
          <w:bCs/>
        </w:rPr>
        <w:lastRenderedPageBreak/>
        <w:t xml:space="preserve">Таблица </w:t>
      </w:r>
      <w:r w:rsidR="002604EF" w:rsidRPr="000C7F59">
        <w:rPr>
          <w:rFonts w:eastAsia="TimesNewRoman"/>
          <w:b/>
          <w:bCs/>
        </w:rPr>
        <w:t>4-</w:t>
      </w:r>
      <w:r w:rsidR="006836D0">
        <w:rPr>
          <w:rFonts w:eastAsia="TimesNewRoman"/>
          <w:b/>
          <w:bCs/>
        </w:rPr>
        <w:t>8</w:t>
      </w:r>
      <w:r w:rsidRPr="002604EF">
        <w:rPr>
          <w:rFonts w:eastAsia="TimesNewRoman"/>
          <w:b/>
          <w:bCs/>
        </w:rPr>
        <w:t>.</w:t>
      </w:r>
      <w:r w:rsidRPr="002604EF">
        <w:rPr>
          <w:rFonts w:eastAsia="TimesNewRoman"/>
        </w:rPr>
        <w:t xml:space="preserve"> Результаты</w:t>
      </w:r>
      <w:r w:rsidRPr="00227751">
        <w:rPr>
          <w:rFonts w:eastAsia="TimesNewRoman"/>
        </w:rPr>
        <w:t xml:space="preserve"> 24-недельного плацебо-контролируемого исследования эмпаглифлозина у пациентов с почечной недостаточностью</w:t>
      </w:r>
      <w:r>
        <w:rPr>
          <w:rFonts w:eastAsia="TimesNewRoman"/>
        </w:rPr>
        <w:t xml:space="preserve"> и СД </w:t>
      </w:r>
      <w:r w:rsidRPr="00227751">
        <w:rPr>
          <w:rFonts w:eastAsia="TimesNewRoman"/>
        </w:rPr>
        <w:t>2 типа</w:t>
      </w:r>
      <w:r w:rsidRPr="00227751">
        <w:rPr>
          <w:rFonts w:eastAsia="TimesNewRoman"/>
          <w:vertAlign w:val="superscript"/>
          <w:lang w:val="en-US"/>
        </w:rPr>
        <w:t>a</w:t>
      </w:r>
      <w:r>
        <w:rPr>
          <w:rFonts w:eastAsia="TimesNewRoman"/>
        </w:rPr>
        <w:t>.</w:t>
      </w:r>
    </w:p>
    <w:tbl>
      <w:tblPr>
        <w:tblStyle w:val="TableGrid"/>
        <w:tblW w:w="0" w:type="auto"/>
        <w:tblLook w:val="04A0" w:firstRow="1" w:lastRow="0" w:firstColumn="1" w:lastColumn="0" w:noHBand="0" w:noVBand="1"/>
      </w:tblPr>
      <w:tblGrid>
        <w:gridCol w:w="1650"/>
        <w:gridCol w:w="1075"/>
        <w:gridCol w:w="1848"/>
        <w:gridCol w:w="1848"/>
        <w:gridCol w:w="1075"/>
        <w:gridCol w:w="1848"/>
      </w:tblGrid>
      <w:tr w:rsidR="00345876" w:rsidRPr="00227751" w14:paraId="62845332" w14:textId="77777777" w:rsidTr="007756D8">
        <w:trPr>
          <w:tblHeader/>
        </w:trPr>
        <w:tc>
          <w:tcPr>
            <w:tcW w:w="1624" w:type="dxa"/>
            <w:vMerge w:val="restart"/>
            <w:shd w:val="clear" w:color="auto" w:fill="D9D9D9" w:themeFill="background1" w:themeFillShade="D9"/>
            <w:vAlign w:val="center"/>
          </w:tcPr>
          <w:p w14:paraId="31E67AC6" w14:textId="77777777" w:rsidR="00345876" w:rsidRPr="0046784B" w:rsidRDefault="00345876" w:rsidP="004B66CD">
            <w:pPr>
              <w:autoSpaceDE w:val="0"/>
              <w:autoSpaceDN w:val="0"/>
              <w:adjustRightInd w:val="0"/>
              <w:spacing w:line="240" w:lineRule="auto"/>
              <w:contextualSpacing/>
              <w:rPr>
                <w:rFonts w:eastAsia="TimesNewRoman"/>
                <w:b/>
                <w:bCs/>
              </w:rPr>
            </w:pPr>
          </w:p>
        </w:tc>
        <w:tc>
          <w:tcPr>
            <w:tcW w:w="1135" w:type="dxa"/>
            <w:shd w:val="clear" w:color="auto" w:fill="D9D9D9" w:themeFill="background1" w:themeFillShade="D9"/>
            <w:vAlign w:val="center"/>
          </w:tcPr>
          <w:p w14:paraId="7200C675"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Плацебо</w:t>
            </w:r>
          </w:p>
        </w:tc>
        <w:tc>
          <w:tcPr>
            <w:tcW w:w="1817" w:type="dxa"/>
            <w:shd w:val="clear" w:color="auto" w:fill="D9D9D9" w:themeFill="background1" w:themeFillShade="D9"/>
            <w:vAlign w:val="center"/>
          </w:tcPr>
          <w:p w14:paraId="22CA701D"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Эмпаглифлозин 10 мг</w:t>
            </w:r>
          </w:p>
        </w:tc>
        <w:tc>
          <w:tcPr>
            <w:tcW w:w="1817" w:type="dxa"/>
            <w:shd w:val="clear" w:color="auto" w:fill="D9D9D9" w:themeFill="background1" w:themeFillShade="D9"/>
            <w:vAlign w:val="center"/>
          </w:tcPr>
          <w:p w14:paraId="4B3BDAE2"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Эмпаглифлозин 25 мг</w:t>
            </w:r>
          </w:p>
        </w:tc>
        <w:tc>
          <w:tcPr>
            <w:tcW w:w="1135" w:type="dxa"/>
            <w:shd w:val="clear" w:color="auto" w:fill="D9D9D9" w:themeFill="background1" w:themeFillShade="D9"/>
            <w:vAlign w:val="center"/>
          </w:tcPr>
          <w:p w14:paraId="5248DB7B"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Плацебо</w:t>
            </w:r>
          </w:p>
        </w:tc>
        <w:tc>
          <w:tcPr>
            <w:tcW w:w="1817" w:type="dxa"/>
            <w:shd w:val="clear" w:color="auto" w:fill="D9D9D9" w:themeFill="background1" w:themeFillShade="D9"/>
            <w:vAlign w:val="center"/>
          </w:tcPr>
          <w:p w14:paraId="5018CD2F"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Эмпаглифлозин 25 мг</w:t>
            </w:r>
          </w:p>
        </w:tc>
      </w:tr>
      <w:tr w:rsidR="00345876" w:rsidRPr="00227751" w14:paraId="3E95D30C" w14:textId="77777777" w:rsidTr="007756D8">
        <w:trPr>
          <w:tblHeader/>
        </w:trPr>
        <w:tc>
          <w:tcPr>
            <w:tcW w:w="1624" w:type="dxa"/>
            <w:vMerge/>
            <w:shd w:val="clear" w:color="auto" w:fill="D9D9D9" w:themeFill="background1" w:themeFillShade="D9"/>
            <w:vAlign w:val="center"/>
          </w:tcPr>
          <w:p w14:paraId="09789E2D" w14:textId="77777777" w:rsidR="00345876" w:rsidRPr="0046784B" w:rsidRDefault="00345876" w:rsidP="004B66CD">
            <w:pPr>
              <w:autoSpaceDE w:val="0"/>
              <w:autoSpaceDN w:val="0"/>
              <w:adjustRightInd w:val="0"/>
              <w:spacing w:line="240" w:lineRule="auto"/>
              <w:contextualSpacing/>
              <w:rPr>
                <w:rFonts w:eastAsia="TimesNewRoman"/>
                <w:b/>
                <w:bCs/>
              </w:rPr>
            </w:pPr>
          </w:p>
        </w:tc>
        <w:tc>
          <w:tcPr>
            <w:tcW w:w="4769" w:type="dxa"/>
            <w:gridSpan w:val="3"/>
            <w:shd w:val="clear" w:color="auto" w:fill="D9D9D9" w:themeFill="background1" w:themeFillShade="D9"/>
            <w:vAlign w:val="center"/>
          </w:tcPr>
          <w:p w14:paraId="7358E53C"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рСКФ ≥ 60 но ≤ 90 мл/мин/1,73м</w:t>
            </w:r>
            <w:r w:rsidRPr="0046784B">
              <w:rPr>
                <w:rFonts w:eastAsia="TimesNewRoman"/>
                <w:b/>
                <w:bCs/>
                <w:vertAlign w:val="superscript"/>
              </w:rPr>
              <w:t>2</w:t>
            </w:r>
          </w:p>
        </w:tc>
        <w:tc>
          <w:tcPr>
            <w:tcW w:w="2952" w:type="dxa"/>
            <w:gridSpan w:val="2"/>
            <w:shd w:val="clear" w:color="auto" w:fill="D9D9D9" w:themeFill="background1" w:themeFillShade="D9"/>
            <w:vAlign w:val="center"/>
          </w:tcPr>
          <w:p w14:paraId="345F142D" w14:textId="77777777" w:rsidR="00345876" w:rsidRPr="0046784B" w:rsidRDefault="00345876" w:rsidP="004B66CD">
            <w:pPr>
              <w:autoSpaceDE w:val="0"/>
              <w:autoSpaceDN w:val="0"/>
              <w:adjustRightInd w:val="0"/>
              <w:spacing w:line="240" w:lineRule="auto"/>
              <w:contextualSpacing/>
              <w:jc w:val="center"/>
              <w:rPr>
                <w:rFonts w:eastAsia="TimesNewRoman"/>
                <w:b/>
                <w:bCs/>
              </w:rPr>
            </w:pPr>
            <w:r w:rsidRPr="0046784B">
              <w:rPr>
                <w:rFonts w:eastAsia="TimesNewRoman"/>
                <w:b/>
                <w:bCs/>
              </w:rPr>
              <w:t>рСКФ ≥ 30 но &lt; 60 мл/мин/1,73м</w:t>
            </w:r>
            <w:r w:rsidRPr="0046784B">
              <w:rPr>
                <w:rFonts w:eastAsia="TimesNewRoman"/>
                <w:b/>
                <w:bCs/>
                <w:vertAlign w:val="superscript"/>
              </w:rPr>
              <w:t>2</w:t>
            </w:r>
          </w:p>
        </w:tc>
      </w:tr>
      <w:tr w:rsidR="00345876" w:rsidRPr="00227751" w14:paraId="3DB5A4BA" w14:textId="77777777" w:rsidTr="007756D8">
        <w:tc>
          <w:tcPr>
            <w:tcW w:w="1624" w:type="dxa"/>
            <w:vAlign w:val="center"/>
          </w:tcPr>
          <w:p w14:paraId="14CE3EE4" w14:textId="77777777" w:rsidR="00345876" w:rsidRPr="0046784B" w:rsidRDefault="00345876" w:rsidP="004B66CD">
            <w:pPr>
              <w:autoSpaceDE w:val="0"/>
              <w:autoSpaceDN w:val="0"/>
              <w:adjustRightInd w:val="0"/>
              <w:spacing w:line="240" w:lineRule="auto"/>
              <w:contextualSpacing/>
              <w:rPr>
                <w:rFonts w:eastAsia="TimesNewRoman"/>
                <w:lang w:val="en-US"/>
              </w:rPr>
            </w:pPr>
            <w:r>
              <w:rPr>
                <w:rFonts w:eastAsia="TimesNewRoman"/>
                <w:lang w:val="en-US"/>
              </w:rPr>
              <w:t>n</w:t>
            </w:r>
          </w:p>
        </w:tc>
        <w:tc>
          <w:tcPr>
            <w:tcW w:w="1135" w:type="dxa"/>
            <w:vAlign w:val="center"/>
          </w:tcPr>
          <w:p w14:paraId="474F67E6" w14:textId="77777777" w:rsidR="00345876" w:rsidRPr="0046784B" w:rsidRDefault="00345876" w:rsidP="004B66CD">
            <w:pPr>
              <w:autoSpaceDE w:val="0"/>
              <w:autoSpaceDN w:val="0"/>
              <w:adjustRightInd w:val="0"/>
              <w:spacing w:line="240" w:lineRule="auto"/>
              <w:contextualSpacing/>
              <w:jc w:val="center"/>
              <w:rPr>
                <w:rFonts w:eastAsia="TimesNewRoman"/>
                <w:lang w:val="en-US"/>
              </w:rPr>
            </w:pPr>
            <w:r>
              <w:rPr>
                <w:rFonts w:eastAsia="TimesNewRoman"/>
                <w:lang w:val="en-US"/>
              </w:rPr>
              <w:t>95</w:t>
            </w:r>
          </w:p>
        </w:tc>
        <w:tc>
          <w:tcPr>
            <w:tcW w:w="1817" w:type="dxa"/>
            <w:vAlign w:val="center"/>
          </w:tcPr>
          <w:p w14:paraId="4C51CFCD" w14:textId="77777777" w:rsidR="00345876" w:rsidRPr="0046784B" w:rsidRDefault="00345876" w:rsidP="004B66CD">
            <w:pPr>
              <w:autoSpaceDE w:val="0"/>
              <w:autoSpaceDN w:val="0"/>
              <w:adjustRightInd w:val="0"/>
              <w:spacing w:line="240" w:lineRule="auto"/>
              <w:contextualSpacing/>
              <w:jc w:val="center"/>
              <w:rPr>
                <w:rFonts w:eastAsia="TimesNewRoman"/>
                <w:lang w:val="en-US"/>
              </w:rPr>
            </w:pPr>
            <w:r>
              <w:rPr>
                <w:rFonts w:eastAsia="TimesNewRoman"/>
                <w:lang w:val="en-US"/>
              </w:rPr>
              <w:t>98</w:t>
            </w:r>
          </w:p>
        </w:tc>
        <w:tc>
          <w:tcPr>
            <w:tcW w:w="1817" w:type="dxa"/>
            <w:vAlign w:val="center"/>
          </w:tcPr>
          <w:p w14:paraId="799DBEDD" w14:textId="77777777" w:rsidR="00345876" w:rsidRPr="0046784B" w:rsidRDefault="00345876" w:rsidP="004B66CD">
            <w:pPr>
              <w:autoSpaceDE w:val="0"/>
              <w:autoSpaceDN w:val="0"/>
              <w:adjustRightInd w:val="0"/>
              <w:spacing w:line="240" w:lineRule="auto"/>
              <w:contextualSpacing/>
              <w:jc w:val="center"/>
              <w:rPr>
                <w:rFonts w:eastAsia="TimesNewRoman"/>
                <w:lang w:val="en-US"/>
              </w:rPr>
            </w:pPr>
            <w:r>
              <w:rPr>
                <w:rFonts w:eastAsia="TimesNewRoman"/>
                <w:lang w:val="en-US"/>
              </w:rPr>
              <w:t>97</w:t>
            </w:r>
          </w:p>
        </w:tc>
        <w:tc>
          <w:tcPr>
            <w:tcW w:w="1135" w:type="dxa"/>
            <w:vAlign w:val="center"/>
          </w:tcPr>
          <w:p w14:paraId="33B02ADC" w14:textId="77777777" w:rsidR="00345876" w:rsidRPr="0046784B" w:rsidRDefault="00345876" w:rsidP="004B66CD">
            <w:pPr>
              <w:autoSpaceDE w:val="0"/>
              <w:autoSpaceDN w:val="0"/>
              <w:adjustRightInd w:val="0"/>
              <w:spacing w:line="240" w:lineRule="auto"/>
              <w:contextualSpacing/>
              <w:jc w:val="center"/>
              <w:rPr>
                <w:rFonts w:eastAsia="TimesNewRoman"/>
                <w:lang w:val="en-US"/>
              </w:rPr>
            </w:pPr>
            <w:r>
              <w:rPr>
                <w:rFonts w:eastAsia="TimesNewRoman"/>
                <w:lang w:val="en-US"/>
              </w:rPr>
              <w:t>187</w:t>
            </w:r>
          </w:p>
        </w:tc>
        <w:tc>
          <w:tcPr>
            <w:tcW w:w="1817" w:type="dxa"/>
            <w:vAlign w:val="center"/>
          </w:tcPr>
          <w:p w14:paraId="0868F618" w14:textId="77777777" w:rsidR="00345876" w:rsidRPr="0046784B" w:rsidRDefault="00345876" w:rsidP="004B66CD">
            <w:pPr>
              <w:autoSpaceDE w:val="0"/>
              <w:autoSpaceDN w:val="0"/>
              <w:adjustRightInd w:val="0"/>
              <w:spacing w:line="240" w:lineRule="auto"/>
              <w:contextualSpacing/>
              <w:jc w:val="center"/>
              <w:rPr>
                <w:rFonts w:eastAsia="TimesNewRoman"/>
                <w:lang w:val="en-US"/>
              </w:rPr>
            </w:pPr>
            <w:r>
              <w:rPr>
                <w:rFonts w:eastAsia="TimesNewRoman"/>
                <w:lang w:val="en-US"/>
              </w:rPr>
              <w:t>187</w:t>
            </w:r>
          </w:p>
        </w:tc>
      </w:tr>
      <w:tr w:rsidR="00345876" w:rsidRPr="00227751" w14:paraId="6B57E61C" w14:textId="77777777" w:rsidTr="007756D8">
        <w:tc>
          <w:tcPr>
            <w:tcW w:w="9345" w:type="dxa"/>
            <w:gridSpan w:val="6"/>
            <w:vAlign w:val="center"/>
          </w:tcPr>
          <w:p w14:paraId="7C7D3B46" w14:textId="77777777" w:rsidR="00345876" w:rsidRPr="0046784B" w:rsidRDefault="00345876" w:rsidP="004B66CD">
            <w:pPr>
              <w:autoSpaceDE w:val="0"/>
              <w:autoSpaceDN w:val="0"/>
              <w:adjustRightInd w:val="0"/>
              <w:spacing w:line="240" w:lineRule="auto"/>
              <w:contextualSpacing/>
              <w:rPr>
                <w:rFonts w:eastAsia="TimesNewRoman"/>
              </w:rPr>
            </w:pPr>
            <w:r w:rsidRPr="00166A50">
              <w:rPr>
                <w:b/>
                <w:bCs/>
                <w:lang w:val="en-US"/>
              </w:rPr>
              <w:t>HbA1c</w:t>
            </w:r>
            <w:r>
              <w:rPr>
                <w:b/>
                <w:bCs/>
                <w:lang w:val="en-US"/>
              </w:rPr>
              <w:t xml:space="preserve"> </w:t>
            </w:r>
            <w:r w:rsidRPr="00166A50">
              <w:rPr>
                <w:b/>
                <w:bCs/>
                <w:lang w:val="en-US"/>
              </w:rPr>
              <w:t>(%)</w:t>
            </w:r>
          </w:p>
        </w:tc>
      </w:tr>
      <w:tr w:rsidR="00345876" w:rsidRPr="00227751" w14:paraId="533F134A" w14:textId="77777777" w:rsidTr="007756D8">
        <w:tc>
          <w:tcPr>
            <w:tcW w:w="1624" w:type="dxa"/>
          </w:tcPr>
          <w:p w14:paraId="2623BFC7"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Исходное значение (среднее)</w:t>
            </w:r>
          </w:p>
        </w:tc>
        <w:tc>
          <w:tcPr>
            <w:tcW w:w="1135" w:type="dxa"/>
            <w:vAlign w:val="center"/>
          </w:tcPr>
          <w:p w14:paraId="4480F5A8"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lang w:val="en-US"/>
              </w:rPr>
              <w:t>8</w:t>
            </w:r>
            <w:r>
              <w:rPr>
                <w:rFonts w:eastAsia="TimesNewRoman"/>
              </w:rPr>
              <w:t>,09</w:t>
            </w:r>
          </w:p>
        </w:tc>
        <w:tc>
          <w:tcPr>
            <w:tcW w:w="1817" w:type="dxa"/>
            <w:vAlign w:val="center"/>
          </w:tcPr>
          <w:p w14:paraId="225D08F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8,02</w:t>
            </w:r>
          </w:p>
        </w:tc>
        <w:tc>
          <w:tcPr>
            <w:tcW w:w="1817" w:type="dxa"/>
            <w:vAlign w:val="center"/>
          </w:tcPr>
          <w:p w14:paraId="662EE5BE"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7,96</w:t>
            </w:r>
          </w:p>
        </w:tc>
        <w:tc>
          <w:tcPr>
            <w:tcW w:w="1135" w:type="dxa"/>
            <w:vAlign w:val="center"/>
          </w:tcPr>
          <w:p w14:paraId="30309253"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8,04</w:t>
            </w:r>
          </w:p>
        </w:tc>
        <w:tc>
          <w:tcPr>
            <w:tcW w:w="1817" w:type="dxa"/>
            <w:vAlign w:val="center"/>
          </w:tcPr>
          <w:p w14:paraId="526A4DF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8,03</w:t>
            </w:r>
          </w:p>
        </w:tc>
      </w:tr>
      <w:tr w:rsidR="00345876" w:rsidRPr="00227751" w14:paraId="2E9AEB1F" w14:textId="77777777" w:rsidTr="007756D8">
        <w:tc>
          <w:tcPr>
            <w:tcW w:w="1624" w:type="dxa"/>
          </w:tcPr>
          <w:p w14:paraId="35D3EE0D"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Изменение от исходного значения</w:t>
            </w:r>
            <w:r w:rsidRPr="0046784B">
              <w:rPr>
                <w:sz w:val="20"/>
                <w:szCs w:val="20"/>
                <w:vertAlign w:val="superscript"/>
              </w:rPr>
              <w:t>1</w:t>
            </w:r>
          </w:p>
        </w:tc>
        <w:tc>
          <w:tcPr>
            <w:tcW w:w="1135" w:type="dxa"/>
            <w:vAlign w:val="center"/>
          </w:tcPr>
          <w:p w14:paraId="1E603F58"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0,06</w:t>
            </w:r>
          </w:p>
        </w:tc>
        <w:tc>
          <w:tcPr>
            <w:tcW w:w="1817" w:type="dxa"/>
            <w:vAlign w:val="center"/>
          </w:tcPr>
          <w:p w14:paraId="6D6AC58B"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-0,46</w:t>
            </w:r>
          </w:p>
        </w:tc>
        <w:tc>
          <w:tcPr>
            <w:tcW w:w="1817" w:type="dxa"/>
            <w:vAlign w:val="center"/>
          </w:tcPr>
          <w:p w14:paraId="342956A4"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-0,63</w:t>
            </w:r>
          </w:p>
        </w:tc>
        <w:tc>
          <w:tcPr>
            <w:tcW w:w="1135" w:type="dxa"/>
            <w:vAlign w:val="center"/>
          </w:tcPr>
          <w:p w14:paraId="30ED8FD8"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0,05</w:t>
            </w:r>
          </w:p>
        </w:tc>
        <w:tc>
          <w:tcPr>
            <w:tcW w:w="1817" w:type="dxa"/>
            <w:vAlign w:val="center"/>
          </w:tcPr>
          <w:p w14:paraId="24B42923"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-0,37</w:t>
            </w:r>
          </w:p>
        </w:tc>
      </w:tr>
      <w:tr w:rsidR="00345876" w:rsidRPr="00227751" w14:paraId="64D5A0F8" w14:textId="77777777" w:rsidTr="007756D8">
        <w:tc>
          <w:tcPr>
            <w:tcW w:w="1624" w:type="dxa"/>
          </w:tcPr>
          <w:p w14:paraId="083AE213"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Разница с плацебо (95% ДИ)</w:t>
            </w:r>
          </w:p>
        </w:tc>
        <w:tc>
          <w:tcPr>
            <w:tcW w:w="1135" w:type="dxa"/>
            <w:vAlign w:val="center"/>
          </w:tcPr>
          <w:p w14:paraId="55FFB643"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4E000D7E"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-0,52*</w:t>
            </w:r>
            <w:r>
              <w:rPr>
                <w:rFonts w:eastAsia="TimesNewRoman"/>
              </w:rPr>
              <w:br/>
              <w:t>(-0,72; -0,32)</w:t>
            </w:r>
          </w:p>
        </w:tc>
        <w:tc>
          <w:tcPr>
            <w:tcW w:w="1817" w:type="dxa"/>
            <w:vAlign w:val="center"/>
          </w:tcPr>
          <w:p w14:paraId="73127CD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-0,68*</w:t>
            </w:r>
            <w:r>
              <w:rPr>
                <w:rFonts w:eastAsia="TimesNewRoman"/>
              </w:rPr>
              <w:br/>
              <w:t>(-0,88; -0,49)</w:t>
            </w:r>
          </w:p>
        </w:tc>
        <w:tc>
          <w:tcPr>
            <w:tcW w:w="1135" w:type="dxa"/>
            <w:vAlign w:val="center"/>
          </w:tcPr>
          <w:p w14:paraId="274CAE7C"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43CE851E"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-0,42*</w:t>
            </w:r>
            <w:r>
              <w:rPr>
                <w:rFonts w:eastAsia="TimesNewRoman"/>
              </w:rPr>
              <w:br/>
              <w:t>(-0,56; -0,28)</w:t>
            </w:r>
          </w:p>
        </w:tc>
      </w:tr>
      <w:tr w:rsidR="00345876" w:rsidRPr="0046784B" w14:paraId="40BB38B0" w14:textId="77777777" w:rsidTr="007756D8">
        <w:tc>
          <w:tcPr>
            <w:tcW w:w="1624" w:type="dxa"/>
            <w:vAlign w:val="center"/>
          </w:tcPr>
          <w:p w14:paraId="728D3876" w14:textId="77777777" w:rsidR="00345876" w:rsidRPr="0046784B" w:rsidRDefault="00345876" w:rsidP="004B66CD">
            <w:pPr>
              <w:autoSpaceDE w:val="0"/>
              <w:autoSpaceDN w:val="0"/>
              <w:adjustRightInd w:val="0"/>
              <w:spacing w:line="240" w:lineRule="auto"/>
              <w:contextualSpacing/>
              <w:rPr>
                <w:rFonts w:eastAsia="TimesNewRoman"/>
              </w:rPr>
            </w:pPr>
            <w:r>
              <w:rPr>
                <w:rFonts w:eastAsia="TimesNewRoman"/>
                <w:lang w:val="en-US"/>
              </w:rPr>
              <w:t>n</w:t>
            </w:r>
          </w:p>
        </w:tc>
        <w:tc>
          <w:tcPr>
            <w:tcW w:w="1135" w:type="dxa"/>
            <w:vAlign w:val="center"/>
          </w:tcPr>
          <w:p w14:paraId="2EBBF610"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89</w:t>
            </w:r>
          </w:p>
        </w:tc>
        <w:tc>
          <w:tcPr>
            <w:tcW w:w="1817" w:type="dxa"/>
            <w:vAlign w:val="center"/>
          </w:tcPr>
          <w:p w14:paraId="7BDB8C91"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94</w:t>
            </w:r>
          </w:p>
        </w:tc>
        <w:tc>
          <w:tcPr>
            <w:tcW w:w="1817" w:type="dxa"/>
            <w:vAlign w:val="center"/>
          </w:tcPr>
          <w:p w14:paraId="30AC7ED4"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91</w:t>
            </w:r>
          </w:p>
        </w:tc>
        <w:tc>
          <w:tcPr>
            <w:tcW w:w="1135" w:type="dxa"/>
            <w:vAlign w:val="center"/>
          </w:tcPr>
          <w:p w14:paraId="648A5112"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178</w:t>
            </w:r>
          </w:p>
        </w:tc>
        <w:tc>
          <w:tcPr>
            <w:tcW w:w="1817" w:type="dxa"/>
            <w:vAlign w:val="center"/>
          </w:tcPr>
          <w:p w14:paraId="29551960"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175</w:t>
            </w:r>
          </w:p>
        </w:tc>
      </w:tr>
      <w:tr w:rsidR="00345876" w:rsidRPr="0046784B" w14:paraId="3391BE1A" w14:textId="77777777" w:rsidTr="007756D8">
        <w:tc>
          <w:tcPr>
            <w:tcW w:w="1624" w:type="dxa"/>
            <w:vAlign w:val="center"/>
          </w:tcPr>
          <w:p w14:paraId="697A9658" w14:textId="77777777" w:rsidR="00345876" w:rsidRPr="0046784B" w:rsidRDefault="00345876" w:rsidP="004B66CD">
            <w:pPr>
              <w:autoSpaceDE w:val="0"/>
              <w:autoSpaceDN w:val="0"/>
              <w:adjustRightInd w:val="0"/>
              <w:spacing w:line="240" w:lineRule="auto"/>
              <w:contextualSpacing/>
              <w:rPr>
                <w:rFonts w:eastAsia="TimesNewRoman"/>
              </w:rPr>
            </w:pPr>
            <w:r w:rsidRPr="0046784B">
              <w:rPr>
                <w:b/>
                <w:bCs/>
              </w:rPr>
              <w:t xml:space="preserve">Пациенты с исходным уровнем </w:t>
            </w:r>
            <w:proofErr w:type="spellStart"/>
            <w:r w:rsidRPr="0046784B">
              <w:rPr>
                <w:b/>
                <w:bCs/>
                <w:lang w:val="en-US"/>
              </w:rPr>
              <w:t>HbA</w:t>
            </w:r>
            <w:proofErr w:type="spellEnd"/>
            <w:r w:rsidRPr="0046784B">
              <w:rPr>
                <w:b/>
                <w:bCs/>
              </w:rPr>
              <w:t>1</w:t>
            </w:r>
            <w:r w:rsidRPr="0046784B">
              <w:rPr>
                <w:b/>
                <w:bCs/>
                <w:lang w:val="en-US"/>
              </w:rPr>
              <w:t>c</w:t>
            </w:r>
            <w:r w:rsidRPr="0046784B">
              <w:rPr>
                <w:b/>
                <w:bCs/>
              </w:rPr>
              <w:t xml:space="preserve"> ≥7%, достигнувшие уровня </w:t>
            </w:r>
            <w:proofErr w:type="spellStart"/>
            <w:r w:rsidRPr="0046784B">
              <w:rPr>
                <w:b/>
                <w:bCs/>
                <w:lang w:val="en-US"/>
              </w:rPr>
              <w:t>HbA</w:t>
            </w:r>
            <w:proofErr w:type="spellEnd"/>
            <w:r w:rsidRPr="0046784B">
              <w:rPr>
                <w:b/>
                <w:bCs/>
              </w:rPr>
              <w:t>1</w:t>
            </w:r>
            <w:r w:rsidRPr="0046784B">
              <w:rPr>
                <w:b/>
                <w:bCs/>
                <w:lang w:val="en-US"/>
              </w:rPr>
              <w:t>c</w:t>
            </w:r>
            <w:r w:rsidRPr="0046784B">
              <w:rPr>
                <w:b/>
                <w:bCs/>
              </w:rPr>
              <w:t xml:space="preserve"> &lt;7% на неделе 52 (%)</w:t>
            </w:r>
          </w:p>
        </w:tc>
        <w:tc>
          <w:tcPr>
            <w:tcW w:w="1135" w:type="dxa"/>
            <w:vAlign w:val="center"/>
          </w:tcPr>
          <w:p w14:paraId="1EE6A914"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6,7</w:t>
            </w:r>
          </w:p>
        </w:tc>
        <w:tc>
          <w:tcPr>
            <w:tcW w:w="1817" w:type="dxa"/>
            <w:vAlign w:val="center"/>
          </w:tcPr>
          <w:p w14:paraId="11F12874"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17,0</w:t>
            </w:r>
          </w:p>
        </w:tc>
        <w:tc>
          <w:tcPr>
            <w:tcW w:w="1817" w:type="dxa"/>
            <w:vAlign w:val="center"/>
          </w:tcPr>
          <w:p w14:paraId="6BA9A8D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24,2</w:t>
            </w:r>
          </w:p>
        </w:tc>
        <w:tc>
          <w:tcPr>
            <w:tcW w:w="1135" w:type="dxa"/>
            <w:vAlign w:val="center"/>
          </w:tcPr>
          <w:p w14:paraId="66BFB4AB"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7,9</w:t>
            </w:r>
          </w:p>
        </w:tc>
        <w:tc>
          <w:tcPr>
            <w:tcW w:w="1817" w:type="dxa"/>
            <w:vAlign w:val="center"/>
          </w:tcPr>
          <w:p w14:paraId="6382FF87"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12,0</w:t>
            </w:r>
          </w:p>
        </w:tc>
      </w:tr>
      <w:tr w:rsidR="00345876" w:rsidRPr="0046784B" w14:paraId="05B81191" w14:textId="77777777" w:rsidTr="007756D8">
        <w:tc>
          <w:tcPr>
            <w:tcW w:w="1624" w:type="dxa"/>
            <w:vAlign w:val="center"/>
          </w:tcPr>
          <w:p w14:paraId="7936C009" w14:textId="77777777" w:rsidR="00345876" w:rsidRPr="0046784B" w:rsidRDefault="00345876" w:rsidP="004B66CD">
            <w:pPr>
              <w:autoSpaceDE w:val="0"/>
              <w:autoSpaceDN w:val="0"/>
              <w:adjustRightInd w:val="0"/>
              <w:spacing w:line="240" w:lineRule="auto"/>
              <w:contextualSpacing/>
              <w:rPr>
                <w:rFonts w:eastAsia="TimesNewRoman"/>
              </w:rPr>
            </w:pPr>
            <w:r>
              <w:rPr>
                <w:rFonts w:eastAsia="TimesNewRoman"/>
                <w:lang w:val="en-US"/>
              </w:rPr>
              <w:t>n</w:t>
            </w:r>
          </w:p>
        </w:tc>
        <w:tc>
          <w:tcPr>
            <w:tcW w:w="1135" w:type="dxa"/>
            <w:vAlign w:val="center"/>
          </w:tcPr>
          <w:p w14:paraId="44721C3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95</w:t>
            </w:r>
          </w:p>
        </w:tc>
        <w:tc>
          <w:tcPr>
            <w:tcW w:w="1817" w:type="dxa"/>
            <w:vAlign w:val="center"/>
          </w:tcPr>
          <w:p w14:paraId="68B263D7"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98</w:t>
            </w:r>
          </w:p>
        </w:tc>
        <w:tc>
          <w:tcPr>
            <w:tcW w:w="1817" w:type="dxa"/>
            <w:vAlign w:val="center"/>
          </w:tcPr>
          <w:p w14:paraId="1EAD2FD6"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97</w:t>
            </w:r>
          </w:p>
        </w:tc>
        <w:tc>
          <w:tcPr>
            <w:tcW w:w="1135" w:type="dxa"/>
            <w:vAlign w:val="center"/>
          </w:tcPr>
          <w:p w14:paraId="7510DA76"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187</w:t>
            </w:r>
          </w:p>
        </w:tc>
        <w:tc>
          <w:tcPr>
            <w:tcW w:w="1817" w:type="dxa"/>
            <w:vAlign w:val="center"/>
          </w:tcPr>
          <w:p w14:paraId="2299EA23"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187</w:t>
            </w:r>
          </w:p>
        </w:tc>
      </w:tr>
      <w:tr w:rsidR="00345876" w:rsidRPr="0046784B" w14:paraId="23EC997D" w14:textId="77777777" w:rsidTr="007756D8">
        <w:tc>
          <w:tcPr>
            <w:tcW w:w="9345" w:type="dxa"/>
            <w:gridSpan w:val="6"/>
            <w:vAlign w:val="center"/>
          </w:tcPr>
          <w:p w14:paraId="01869AC8" w14:textId="77777777" w:rsidR="00345876" w:rsidRPr="0046784B" w:rsidRDefault="00345876" w:rsidP="004B66CD">
            <w:pPr>
              <w:autoSpaceDE w:val="0"/>
              <w:autoSpaceDN w:val="0"/>
              <w:adjustRightInd w:val="0"/>
              <w:spacing w:line="240" w:lineRule="auto"/>
              <w:contextualSpacing/>
              <w:rPr>
                <w:rFonts w:eastAsia="TimesNewRoman"/>
              </w:rPr>
            </w:pPr>
            <w:r w:rsidRPr="00166A50">
              <w:rPr>
                <w:b/>
                <w:bCs/>
              </w:rPr>
              <w:t>Масса тела</w:t>
            </w:r>
            <w:r>
              <w:rPr>
                <w:b/>
                <w:bCs/>
              </w:rPr>
              <w:t xml:space="preserve"> на неделе 52</w:t>
            </w:r>
            <w:r w:rsidRPr="00166A50">
              <w:rPr>
                <w:b/>
                <w:bCs/>
              </w:rPr>
              <w:t xml:space="preserve"> (кг)</w:t>
            </w:r>
            <w:r>
              <w:rPr>
                <w:b/>
                <w:bCs/>
                <w:vertAlign w:val="superscript"/>
              </w:rPr>
              <w:t>2</w:t>
            </w:r>
          </w:p>
        </w:tc>
      </w:tr>
      <w:tr w:rsidR="00345876" w:rsidRPr="0046784B" w14:paraId="12FB4CCA" w14:textId="77777777" w:rsidTr="007756D8">
        <w:tc>
          <w:tcPr>
            <w:tcW w:w="1624" w:type="dxa"/>
          </w:tcPr>
          <w:p w14:paraId="46C9180B"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Исходное значение (среднее)</w:t>
            </w:r>
          </w:p>
        </w:tc>
        <w:tc>
          <w:tcPr>
            <w:tcW w:w="1135" w:type="dxa"/>
            <w:vAlign w:val="center"/>
          </w:tcPr>
          <w:p w14:paraId="2BAC35D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86,00</w:t>
            </w:r>
          </w:p>
        </w:tc>
        <w:tc>
          <w:tcPr>
            <w:tcW w:w="1817" w:type="dxa"/>
            <w:vAlign w:val="center"/>
          </w:tcPr>
          <w:p w14:paraId="089AB1E2"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92,05</w:t>
            </w:r>
          </w:p>
        </w:tc>
        <w:tc>
          <w:tcPr>
            <w:tcW w:w="1817" w:type="dxa"/>
            <w:vAlign w:val="center"/>
          </w:tcPr>
          <w:p w14:paraId="31A6DBBB"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88,06</w:t>
            </w:r>
          </w:p>
        </w:tc>
        <w:tc>
          <w:tcPr>
            <w:tcW w:w="1135" w:type="dxa"/>
            <w:vAlign w:val="center"/>
          </w:tcPr>
          <w:p w14:paraId="69486A5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82,49</w:t>
            </w:r>
          </w:p>
        </w:tc>
        <w:tc>
          <w:tcPr>
            <w:tcW w:w="1817" w:type="dxa"/>
            <w:vAlign w:val="center"/>
          </w:tcPr>
          <w:p w14:paraId="1A24DB3C"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83,22</w:t>
            </w:r>
          </w:p>
        </w:tc>
      </w:tr>
      <w:tr w:rsidR="00345876" w:rsidRPr="0046784B" w14:paraId="44E82B82" w14:textId="77777777" w:rsidTr="007756D8">
        <w:tc>
          <w:tcPr>
            <w:tcW w:w="1624" w:type="dxa"/>
          </w:tcPr>
          <w:p w14:paraId="4DBD9981"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Изменение от исходного значения</w:t>
            </w:r>
            <w:r w:rsidRPr="0046784B">
              <w:rPr>
                <w:sz w:val="20"/>
                <w:szCs w:val="20"/>
                <w:vertAlign w:val="superscript"/>
              </w:rPr>
              <w:t>1</w:t>
            </w:r>
          </w:p>
        </w:tc>
        <w:tc>
          <w:tcPr>
            <w:tcW w:w="1135" w:type="dxa"/>
            <w:vAlign w:val="center"/>
          </w:tcPr>
          <w:p w14:paraId="7DB6C592"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-0,33</w:t>
            </w:r>
          </w:p>
        </w:tc>
        <w:tc>
          <w:tcPr>
            <w:tcW w:w="1817" w:type="dxa"/>
            <w:vAlign w:val="center"/>
          </w:tcPr>
          <w:p w14:paraId="67C67ED4"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-1,76</w:t>
            </w:r>
          </w:p>
        </w:tc>
        <w:tc>
          <w:tcPr>
            <w:tcW w:w="1817" w:type="dxa"/>
            <w:vAlign w:val="center"/>
          </w:tcPr>
          <w:p w14:paraId="44FC708B"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-2,33</w:t>
            </w:r>
          </w:p>
        </w:tc>
        <w:tc>
          <w:tcPr>
            <w:tcW w:w="1135" w:type="dxa"/>
            <w:vAlign w:val="center"/>
          </w:tcPr>
          <w:p w14:paraId="2376630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-0,08</w:t>
            </w:r>
          </w:p>
        </w:tc>
        <w:tc>
          <w:tcPr>
            <w:tcW w:w="1817" w:type="dxa"/>
            <w:vAlign w:val="center"/>
          </w:tcPr>
          <w:p w14:paraId="0FC2F2C5"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-0,98</w:t>
            </w:r>
          </w:p>
        </w:tc>
      </w:tr>
      <w:tr w:rsidR="00345876" w:rsidRPr="0046784B" w14:paraId="0E36C69F" w14:textId="77777777" w:rsidTr="007756D8">
        <w:tc>
          <w:tcPr>
            <w:tcW w:w="1624" w:type="dxa"/>
          </w:tcPr>
          <w:p w14:paraId="19DA000F"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Разница с плацебо (95% ДИ)</w:t>
            </w:r>
          </w:p>
        </w:tc>
        <w:tc>
          <w:tcPr>
            <w:tcW w:w="1135" w:type="dxa"/>
            <w:vAlign w:val="center"/>
          </w:tcPr>
          <w:p w14:paraId="5B40ED27"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64D6E9B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-1,43</w:t>
            </w:r>
            <w:r>
              <w:rPr>
                <w:rFonts w:eastAsia="TimesNewRoman"/>
              </w:rPr>
              <w:br/>
              <w:t>(-2,09; -0,77)</w:t>
            </w:r>
          </w:p>
        </w:tc>
        <w:tc>
          <w:tcPr>
            <w:tcW w:w="1817" w:type="dxa"/>
            <w:vAlign w:val="center"/>
          </w:tcPr>
          <w:p w14:paraId="23D16860"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-2,00</w:t>
            </w:r>
            <w:r>
              <w:rPr>
                <w:rFonts w:eastAsia="TimesNewRoman"/>
              </w:rPr>
              <w:br/>
              <w:t>(-2,66; -1,34)</w:t>
            </w:r>
          </w:p>
        </w:tc>
        <w:tc>
          <w:tcPr>
            <w:tcW w:w="1135" w:type="dxa"/>
            <w:vAlign w:val="center"/>
          </w:tcPr>
          <w:p w14:paraId="339E029E"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4FD735C6"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-0,91</w:t>
            </w:r>
            <w:r>
              <w:rPr>
                <w:rFonts w:eastAsia="TimesNewRoman"/>
              </w:rPr>
              <w:br/>
              <w:t>(-1,41; -0,41)</w:t>
            </w:r>
          </w:p>
        </w:tc>
      </w:tr>
      <w:tr w:rsidR="00345876" w:rsidRPr="0046784B" w14:paraId="336F367B" w14:textId="77777777" w:rsidTr="007756D8">
        <w:tc>
          <w:tcPr>
            <w:tcW w:w="1624" w:type="dxa"/>
            <w:vAlign w:val="center"/>
          </w:tcPr>
          <w:p w14:paraId="666E857F" w14:textId="77777777" w:rsidR="00345876" w:rsidRPr="0046784B" w:rsidRDefault="00345876" w:rsidP="004B66CD">
            <w:pPr>
              <w:autoSpaceDE w:val="0"/>
              <w:autoSpaceDN w:val="0"/>
              <w:adjustRightInd w:val="0"/>
              <w:spacing w:line="240" w:lineRule="auto"/>
              <w:contextualSpacing/>
              <w:rPr>
                <w:rFonts w:eastAsia="TimesNewRoman"/>
              </w:rPr>
            </w:pPr>
            <w:r>
              <w:rPr>
                <w:rFonts w:eastAsia="TimesNewRoman"/>
                <w:lang w:val="en-US"/>
              </w:rPr>
              <w:t>n</w:t>
            </w:r>
          </w:p>
        </w:tc>
        <w:tc>
          <w:tcPr>
            <w:tcW w:w="1135" w:type="dxa"/>
            <w:vAlign w:val="center"/>
          </w:tcPr>
          <w:p w14:paraId="39043AC5"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95</w:t>
            </w:r>
          </w:p>
        </w:tc>
        <w:tc>
          <w:tcPr>
            <w:tcW w:w="1817" w:type="dxa"/>
            <w:vAlign w:val="center"/>
          </w:tcPr>
          <w:p w14:paraId="724F650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98</w:t>
            </w:r>
          </w:p>
        </w:tc>
        <w:tc>
          <w:tcPr>
            <w:tcW w:w="1817" w:type="dxa"/>
            <w:vAlign w:val="center"/>
          </w:tcPr>
          <w:p w14:paraId="6AE429C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97</w:t>
            </w:r>
          </w:p>
        </w:tc>
        <w:tc>
          <w:tcPr>
            <w:tcW w:w="1135" w:type="dxa"/>
            <w:vAlign w:val="center"/>
          </w:tcPr>
          <w:p w14:paraId="4E241FA5"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187</w:t>
            </w:r>
          </w:p>
        </w:tc>
        <w:tc>
          <w:tcPr>
            <w:tcW w:w="1817" w:type="dxa"/>
            <w:vAlign w:val="center"/>
          </w:tcPr>
          <w:p w14:paraId="5ADEE11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187</w:t>
            </w:r>
          </w:p>
        </w:tc>
      </w:tr>
      <w:tr w:rsidR="00345876" w:rsidRPr="0046784B" w14:paraId="624EE97D" w14:textId="77777777" w:rsidTr="007756D8">
        <w:tc>
          <w:tcPr>
            <w:tcW w:w="9345" w:type="dxa"/>
            <w:gridSpan w:val="6"/>
            <w:vAlign w:val="center"/>
          </w:tcPr>
          <w:p w14:paraId="4C89ECD1" w14:textId="7FE522AA" w:rsidR="00345876" w:rsidRPr="0046784B" w:rsidRDefault="00345876" w:rsidP="004B66CD">
            <w:pPr>
              <w:autoSpaceDE w:val="0"/>
              <w:autoSpaceDN w:val="0"/>
              <w:adjustRightInd w:val="0"/>
              <w:spacing w:line="240" w:lineRule="auto"/>
              <w:contextualSpacing/>
              <w:rPr>
                <w:rFonts w:eastAsia="TimesNewRoman"/>
              </w:rPr>
            </w:pPr>
            <w:r w:rsidRPr="00166A50">
              <w:rPr>
                <w:b/>
                <w:bCs/>
              </w:rPr>
              <w:t>САД (мм.</w:t>
            </w:r>
            <w:r w:rsidR="00DC32F1">
              <w:rPr>
                <w:b/>
                <w:bCs/>
              </w:rPr>
              <w:t xml:space="preserve"> </w:t>
            </w:r>
            <w:r w:rsidRPr="00166A50">
              <w:rPr>
                <w:b/>
                <w:bCs/>
              </w:rPr>
              <w:t>рт.</w:t>
            </w:r>
            <w:r w:rsidR="00DC32F1">
              <w:rPr>
                <w:b/>
                <w:bCs/>
              </w:rPr>
              <w:t xml:space="preserve"> </w:t>
            </w:r>
            <w:r w:rsidRPr="00166A50">
              <w:rPr>
                <w:b/>
                <w:bCs/>
              </w:rPr>
              <w:t>ст)</w:t>
            </w:r>
            <w:r>
              <w:rPr>
                <w:b/>
                <w:bCs/>
                <w:vertAlign w:val="superscript"/>
              </w:rPr>
              <w:t>2</w:t>
            </w:r>
          </w:p>
        </w:tc>
      </w:tr>
      <w:tr w:rsidR="00345876" w:rsidRPr="0046784B" w14:paraId="4BA945A9" w14:textId="77777777" w:rsidTr="007756D8">
        <w:tc>
          <w:tcPr>
            <w:tcW w:w="1624" w:type="dxa"/>
          </w:tcPr>
          <w:p w14:paraId="086038E7"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Исходное значение (среднее)</w:t>
            </w:r>
          </w:p>
        </w:tc>
        <w:tc>
          <w:tcPr>
            <w:tcW w:w="1135" w:type="dxa"/>
            <w:vAlign w:val="center"/>
          </w:tcPr>
          <w:p w14:paraId="6E73BD3F"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134,09</w:t>
            </w:r>
          </w:p>
        </w:tc>
        <w:tc>
          <w:tcPr>
            <w:tcW w:w="1817" w:type="dxa"/>
            <w:vAlign w:val="center"/>
          </w:tcPr>
          <w:p w14:paraId="69301717"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137,37</w:t>
            </w:r>
          </w:p>
        </w:tc>
        <w:tc>
          <w:tcPr>
            <w:tcW w:w="1817" w:type="dxa"/>
            <w:vAlign w:val="center"/>
          </w:tcPr>
          <w:p w14:paraId="74F2BB46"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133,68</w:t>
            </w:r>
          </w:p>
        </w:tc>
        <w:tc>
          <w:tcPr>
            <w:tcW w:w="1135" w:type="dxa"/>
            <w:vAlign w:val="center"/>
          </w:tcPr>
          <w:p w14:paraId="1F07582E"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136,38</w:t>
            </w:r>
          </w:p>
        </w:tc>
        <w:tc>
          <w:tcPr>
            <w:tcW w:w="1817" w:type="dxa"/>
            <w:vAlign w:val="center"/>
          </w:tcPr>
          <w:p w14:paraId="77CE97F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136,64</w:t>
            </w:r>
          </w:p>
        </w:tc>
      </w:tr>
      <w:tr w:rsidR="00345876" w:rsidRPr="0046784B" w14:paraId="607F1E2C" w14:textId="77777777" w:rsidTr="007756D8">
        <w:tc>
          <w:tcPr>
            <w:tcW w:w="1624" w:type="dxa"/>
          </w:tcPr>
          <w:p w14:paraId="37E23757"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Изменение от исходного значения</w:t>
            </w:r>
            <w:r w:rsidRPr="0046784B">
              <w:rPr>
                <w:sz w:val="20"/>
                <w:szCs w:val="20"/>
                <w:vertAlign w:val="superscript"/>
              </w:rPr>
              <w:t>1</w:t>
            </w:r>
          </w:p>
        </w:tc>
        <w:tc>
          <w:tcPr>
            <w:tcW w:w="1135" w:type="dxa"/>
            <w:vAlign w:val="center"/>
          </w:tcPr>
          <w:p w14:paraId="7C71E15D"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0,65</w:t>
            </w:r>
          </w:p>
        </w:tc>
        <w:tc>
          <w:tcPr>
            <w:tcW w:w="1817" w:type="dxa"/>
            <w:vAlign w:val="center"/>
          </w:tcPr>
          <w:p w14:paraId="37DFA80B"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-2,92</w:t>
            </w:r>
          </w:p>
        </w:tc>
        <w:tc>
          <w:tcPr>
            <w:tcW w:w="1817" w:type="dxa"/>
            <w:vAlign w:val="center"/>
          </w:tcPr>
          <w:p w14:paraId="1A3E8032"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-4,47</w:t>
            </w:r>
          </w:p>
        </w:tc>
        <w:tc>
          <w:tcPr>
            <w:tcW w:w="1135" w:type="dxa"/>
            <w:vAlign w:val="center"/>
          </w:tcPr>
          <w:p w14:paraId="6AC8BB9A"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0,40</w:t>
            </w:r>
          </w:p>
        </w:tc>
        <w:tc>
          <w:tcPr>
            <w:tcW w:w="1817" w:type="dxa"/>
            <w:vAlign w:val="center"/>
          </w:tcPr>
          <w:p w14:paraId="31D2010D"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-3,88</w:t>
            </w:r>
          </w:p>
        </w:tc>
      </w:tr>
      <w:tr w:rsidR="00345876" w:rsidRPr="0046784B" w14:paraId="48E359E8" w14:textId="77777777" w:rsidTr="007756D8">
        <w:tc>
          <w:tcPr>
            <w:tcW w:w="1624" w:type="dxa"/>
          </w:tcPr>
          <w:p w14:paraId="07B55EA5" w14:textId="77777777" w:rsidR="00345876" w:rsidRPr="0046784B" w:rsidRDefault="00345876" w:rsidP="004B66CD">
            <w:pPr>
              <w:autoSpaceDE w:val="0"/>
              <w:autoSpaceDN w:val="0"/>
              <w:adjustRightInd w:val="0"/>
              <w:spacing w:line="240" w:lineRule="auto"/>
              <w:ind w:left="175"/>
              <w:contextualSpacing/>
              <w:rPr>
                <w:rFonts w:eastAsia="TimesNewRoman"/>
                <w:sz w:val="20"/>
                <w:szCs w:val="20"/>
              </w:rPr>
            </w:pPr>
            <w:r w:rsidRPr="0046784B">
              <w:rPr>
                <w:sz w:val="20"/>
                <w:szCs w:val="20"/>
              </w:rPr>
              <w:t>Разница с плацебо (95% ДИ)</w:t>
            </w:r>
          </w:p>
        </w:tc>
        <w:tc>
          <w:tcPr>
            <w:tcW w:w="1135" w:type="dxa"/>
            <w:vAlign w:val="center"/>
          </w:tcPr>
          <w:p w14:paraId="53FC9F8E"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1D81EC98"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-3,57</w:t>
            </w:r>
            <w:r>
              <w:rPr>
                <w:rFonts w:eastAsia="TimesNewRoman"/>
              </w:rPr>
              <w:br/>
              <w:t>(-6,86; -0,29)</w:t>
            </w:r>
          </w:p>
        </w:tc>
        <w:tc>
          <w:tcPr>
            <w:tcW w:w="1817" w:type="dxa"/>
            <w:vAlign w:val="center"/>
          </w:tcPr>
          <w:p w14:paraId="1C5E4D2D"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-5,12</w:t>
            </w:r>
            <w:r>
              <w:rPr>
                <w:rFonts w:eastAsia="TimesNewRoman"/>
              </w:rPr>
              <w:br/>
              <w:t>(-8,41; -1,82)</w:t>
            </w:r>
          </w:p>
        </w:tc>
        <w:tc>
          <w:tcPr>
            <w:tcW w:w="1135" w:type="dxa"/>
            <w:vAlign w:val="center"/>
          </w:tcPr>
          <w:p w14:paraId="68C37589" w14:textId="77777777" w:rsidR="00345876" w:rsidRPr="0046784B" w:rsidRDefault="00345876" w:rsidP="004B66CD">
            <w:pPr>
              <w:autoSpaceDE w:val="0"/>
              <w:autoSpaceDN w:val="0"/>
              <w:adjustRightInd w:val="0"/>
              <w:spacing w:line="240" w:lineRule="auto"/>
              <w:contextualSpacing/>
              <w:jc w:val="center"/>
              <w:rPr>
                <w:rFonts w:eastAsia="TimesNewRoman"/>
              </w:rPr>
            </w:pPr>
          </w:p>
        </w:tc>
        <w:tc>
          <w:tcPr>
            <w:tcW w:w="1817" w:type="dxa"/>
            <w:vAlign w:val="center"/>
          </w:tcPr>
          <w:p w14:paraId="2D80FFD5" w14:textId="77777777" w:rsidR="00345876" w:rsidRPr="0046784B" w:rsidRDefault="00345876" w:rsidP="004B66CD">
            <w:pPr>
              <w:autoSpaceDE w:val="0"/>
              <w:autoSpaceDN w:val="0"/>
              <w:adjustRightInd w:val="0"/>
              <w:spacing w:line="240" w:lineRule="auto"/>
              <w:contextualSpacing/>
              <w:jc w:val="center"/>
              <w:rPr>
                <w:rFonts w:eastAsia="TimesNewRoman"/>
              </w:rPr>
            </w:pPr>
            <w:r>
              <w:rPr>
                <w:rFonts w:eastAsia="TimesNewRoman"/>
              </w:rPr>
              <w:t>-4,28</w:t>
            </w:r>
            <w:r>
              <w:rPr>
                <w:rFonts w:eastAsia="TimesNewRoman"/>
              </w:rPr>
              <w:br/>
              <w:t>(-6,88; -1,68)</w:t>
            </w:r>
          </w:p>
        </w:tc>
      </w:tr>
      <w:tr w:rsidR="00345876" w:rsidRPr="00227751" w14:paraId="7B271C54" w14:textId="77777777" w:rsidTr="007756D8">
        <w:tc>
          <w:tcPr>
            <w:tcW w:w="9345" w:type="dxa"/>
            <w:gridSpan w:val="6"/>
          </w:tcPr>
          <w:p w14:paraId="54FCF6B7" w14:textId="77777777" w:rsidR="00345876" w:rsidRPr="00227751" w:rsidRDefault="00345876" w:rsidP="004B66CD">
            <w:pPr>
              <w:autoSpaceDE w:val="0"/>
              <w:autoSpaceDN w:val="0"/>
              <w:adjustRightInd w:val="0"/>
              <w:spacing w:line="240" w:lineRule="auto"/>
              <w:ind w:firstLine="22"/>
              <w:contextualSpacing/>
              <w:rPr>
                <w:rFonts w:eastAsia="TimesNewRoman"/>
                <w:b/>
                <w:bCs/>
                <w:sz w:val="20"/>
                <w:szCs w:val="20"/>
              </w:rPr>
            </w:pPr>
            <w:r w:rsidRPr="00227751">
              <w:rPr>
                <w:rFonts w:eastAsia="TimesNewRoman"/>
                <w:b/>
                <w:bCs/>
                <w:sz w:val="20"/>
                <w:szCs w:val="20"/>
              </w:rPr>
              <w:t>Примечание:</w:t>
            </w:r>
          </w:p>
          <w:p w14:paraId="0791B7BB" w14:textId="77777777" w:rsidR="00345876" w:rsidRDefault="00345876" w:rsidP="004B66CD">
            <w:pPr>
              <w:autoSpaceDE w:val="0"/>
              <w:autoSpaceDN w:val="0"/>
              <w:adjustRightInd w:val="0"/>
              <w:spacing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w:t>
            </w:r>
            <w:r>
              <w:rPr>
                <w:rFonts w:eastAsia="TimesNewRoman"/>
                <w:sz w:val="20"/>
                <w:szCs w:val="20"/>
              </w:rPr>
              <w:t>ДИ – доверительный интервал, САД – систолическое артериальное давление</w:t>
            </w:r>
            <w:r>
              <w:rPr>
                <w:sz w:val="20"/>
                <w:szCs w:val="20"/>
              </w:rPr>
              <w:t>;</w:t>
            </w:r>
          </w:p>
          <w:p w14:paraId="7C422DF6" w14:textId="77777777" w:rsidR="00345876" w:rsidRDefault="00345876" w:rsidP="004B66CD">
            <w:pPr>
              <w:autoSpaceDE w:val="0"/>
              <w:autoSpaceDN w:val="0"/>
              <w:adjustRightInd w:val="0"/>
              <w:spacing w:line="240" w:lineRule="auto"/>
              <w:ind w:firstLine="22"/>
              <w:contextualSpacing/>
              <w:rPr>
                <w:rFonts w:eastAsia="TimesNewRoman"/>
                <w:sz w:val="20"/>
                <w:szCs w:val="20"/>
              </w:rPr>
            </w:pPr>
            <w:r>
              <w:rPr>
                <w:rFonts w:eastAsia="TimesNewRoman"/>
                <w:sz w:val="20"/>
                <w:szCs w:val="20"/>
              </w:rPr>
              <w:lastRenderedPageBreak/>
              <w:t>n</w:t>
            </w:r>
            <w:r w:rsidRPr="0046784B">
              <w:rPr>
                <w:rFonts w:eastAsia="TimesNewRoman"/>
                <w:sz w:val="20"/>
                <w:szCs w:val="20"/>
              </w:rPr>
              <w:t xml:space="preserve"> </w:t>
            </w:r>
            <w:r>
              <w:rPr>
                <w:rFonts w:eastAsia="TimesNewRoman"/>
                <w:sz w:val="20"/>
                <w:szCs w:val="20"/>
              </w:rPr>
              <w:t>–</w:t>
            </w:r>
            <w:r w:rsidRPr="0046784B">
              <w:rPr>
                <w:rFonts w:eastAsia="TimesNewRoman"/>
                <w:sz w:val="20"/>
                <w:szCs w:val="20"/>
              </w:rPr>
              <w:t xml:space="preserve"> </w:t>
            </w:r>
            <w:r>
              <w:rPr>
                <w:rFonts w:eastAsia="TimesNewRoman"/>
                <w:sz w:val="20"/>
                <w:szCs w:val="20"/>
              </w:rPr>
              <w:t>количество пациентов, ДИ – доверительный интервал;</w:t>
            </w:r>
          </w:p>
          <w:p w14:paraId="11EA3CF1" w14:textId="77777777" w:rsidR="00345876" w:rsidRPr="00227751" w:rsidRDefault="00345876" w:rsidP="004B66CD">
            <w:pPr>
              <w:autoSpaceDE w:val="0"/>
              <w:autoSpaceDN w:val="0"/>
              <w:adjustRightInd w:val="0"/>
              <w:spacing w:line="240" w:lineRule="auto"/>
              <w:ind w:firstLine="22"/>
              <w:contextualSpacing/>
              <w:rPr>
                <w:rFonts w:eastAsia="TimesNewRoman"/>
                <w:sz w:val="20"/>
                <w:szCs w:val="20"/>
              </w:rPr>
            </w:pPr>
            <w:r w:rsidRPr="00227751">
              <w:rPr>
                <w:rFonts w:eastAsia="TimesNewRoman"/>
                <w:sz w:val="20"/>
                <w:szCs w:val="20"/>
                <w:lang w:val="en-US"/>
              </w:rPr>
              <w:t>a</w:t>
            </w:r>
            <w:r w:rsidRPr="00227751">
              <w:rPr>
                <w:rFonts w:eastAsia="TimesNewRoman"/>
                <w:sz w:val="20"/>
                <w:szCs w:val="20"/>
              </w:rPr>
              <w:t xml:space="preserve"> </w:t>
            </w:r>
            <w:r>
              <w:rPr>
                <w:rFonts w:eastAsia="TimesNewRoman"/>
                <w:sz w:val="20"/>
                <w:szCs w:val="20"/>
              </w:rPr>
              <w:t xml:space="preserve">- </w:t>
            </w:r>
            <w:r w:rsidRPr="009163C8">
              <w:rPr>
                <w:sz w:val="20"/>
                <w:szCs w:val="20"/>
              </w:rPr>
              <w:t>Полный набор анализов с использованием переноса последнего наблюдения до гликемической терапии</w:t>
            </w:r>
            <w:r>
              <w:rPr>
                <w:sz w:val="20"/>
                <w:szCs w:val="20"/>
              </w:rPr>
              <w:t xml:space="preserve"> спасения;</w:t>
            </w:r>
          </w:p>
          <w:p w14:paraId="6230A5B7" w14:textId="77777777" w:rsidR="00345876" w:rsidRPr="00227751" w:rsidRDefault="00345876" w:rsidP="004B66CD">
            <w:pPr>
              <w:autoSpaceDE w:val="0"/>
              <w:autoSpaceDN w:val="0"/>
              <w:adjustRightInd w:val="0"/>
              <w:spacing w:line="240" w:lineRule="auto"/>
              <w:ind w:firstLine="22"/>
              <w:contextualSpacing/>
              <w:rPr>
                <w:rFonts w:eastAsia="TimesNewRoman"/>
                <w:sz w:val="20"/>
                <w:szCs w:val="20"/>
              </w:rPr>
            </w:pPr>
            <w:r w:rsidRPr="00227751">
              <w:rPr>
                <w:rFonts w:eastAsia="TimesNewRoman"/>
                <w:sz w:val="20"/>
                <w:szCs w:val="20"/>
              </w:rPr>
              <w:t xml:space="preserve">1 </w:t>
            </w:r>
            <w:r>
              <w:rPr>
                <w:rFonts w:eastAsia="TimesNewRoman"/>
                <w:sz w:val="20"/>
                <w:szCs w:val="20"/>
              </w:rPr>
              <w:t xml:space="preserve">- </w:t>
            </w:r>
            <w:r w:rsidRPr="003E3E7E">
              <w:rPr>
                <w:rFonts w:eastAsia="TimesNewRoman"/>
                <w:sz w:val="20"/>
                <w:szCs w:val="20"/>
              </w:rPr>
              <w:t xml:space="preserve">Среднее с поправкой на </w:t>
            </w:r>
            <w:r>
              <w:rPr>
                <w:rFonts w:eastAsia="TimesNewRoman"/>
                <w:sz w:val="20"/>
                <w:szCs w:val="20"/>
              </w:rPr>
              <w:t>исходное</w:t>
            </w:r>
            <w:r w:rsidRPr="003E3E7E">
              <w:rPr>
                <w:rFonts w:eastAsia="TimesNewRoman"/>
                <w:sz w:val="20"/>
                <w:szCs w:val="20"/>
              </w:rPr>
              <w:t xml:space="preserve"> значение</w:t>
            </w:r>
            <w:r>
              <w:rPr>
                <w:rFonts w:eastAsia="TimesNewRoman"/>
                <w:sz w:val="20"/>
                <w:szCs w:val="20"/>
              </w:rPr>
              <w:t>;</w:t>
            </w:r>
          </w:p>
          <w:p w14:paraId="7F525836" w14:textId="77777777" w:rsidR="00345876" w:rsidRPr="00227751" w:rsidRDefault="00345876" w:rsidP="004B66CD">
            <w:pPr>
              <w:autoSpaceDE w:val="0"/>
              <w:autoSpaceDN w:val="0"/>
              <w:adjustRightInd w:val="0"/>
              <w:spacing w:line="240" w:lineRule="auto"/>
              <w:ind w:firstLine="22"/>
              <w:contextualSpacing/>
              <w:rPr>
                <w:rFonts w:eastAsia="TimesNewRoman"/>
                <w:sz w:val="20"/>
                <w:szCs w:val="20"/>
              </w:rPr>
            </w:pPr>
            <w:r w:rsidRPr="00227751">
              <w:rPr>
                <w:rFonts w:eastAsia="TimesNewRoman"/>
                <w:sz w:val="20"/>
                <w:szCs w:val="20"/>
              </w:rPr>
              <w:t xml:space="preserve">2 </w:t>
            </w:r>
            <w:r>
              <w:rPr>
                <w:rFonts w:eastAsia="TimesNewRoman"/>
                <w:sz w:val="20"/>
                <w:szCs w:val="20"/>
              </w:rPr>
              <w:t xml:space="preserve">- </w:t>
            </w:r>
            <w:r w:rsidRPr="00227751">
              <w:rPr>
                <w:rFonts w:eastAsia="TimesNewRoman"/>
                <w:sz w:val="20"/>
                <w:szCs w:val="20"/>
              </w:rPr>
              <w:t>Статистическая значимость не оценена в результате процедуры последовательного подтверждающего тестирования</w:t>
            </w:r>
            <w:r>
              <w:rPr>
                <w:rFonts w:eastAsia="TimesNewRoman"/>
                <w:sz w:val="20"/>
                <w:szCs w:val="20"/>
              </w:rPr>
              <w:t>;</w:t>
            </w:r>
          </w:p>
          <w:p w14:paraId="150EFDB1" w14:textId="73BC12DA" w:rsidR="00345876" w:rsidRPr="00227751" w:rsidRDefault="00345876" w:rsidP="004B66CD">
            <w:pPr>
              <w:autoSpaceDE w:val="0"/>
              <w:autoSpaceDN w:val="0"/>
              <w:adjustRightInd w:val="0"/>
              <w:spacing w:line="240" w:lineRule="auto"/>
              <w:ind w:firstLine="22"/>
              <w:contextualSpacing/>
              <w:rPr>
                <w:rFonts w:eastAsia="TimesNewRoman"/>
              </w:rPr>
            </w:pPr>
            <w:r w:rsidRPr="00227751">
              <w:rPr>
                <w:rFonts w:eastAsia="TimesNewRoman"/>
                <w:sz w:val="20"/>
                <w:szCs w:val="20"/>
              </w:rPr>
              <w:t xml:space="preserve">* </w:t>
            </w:r>
            <w:r w:rsidRPr="00227751">
              <w:rPr>
                <w:rFonts w:eastAsia="TimesNewRoman"/>
                <w:sz w:val="20"/>
                <w:szCs w:val="20"/>
                <w:lang w:val="en-US"/>
              </w:rPr>
              <w:t>p</w:t>
            </w:r>
            <w:r>
              <w:rPr>
                <w:rFonts w:eastAsia="TimesNewRoman"/>
                <w:sz w:val="20"/>
                <w:szCs w:val="20"/>
              </w:rPr>
              <w:t xml:space="preserve"> </w:t>
            </w:r>
            <w:r w:rsidRPr="00227751">
              <w:rPr>
                <w:rFonts w:eastAsia="TimesNewRoman"/>
                <w:sz w:val="20"/>
                <w:szCs w:val="20"/>
              </w:rPr>
              <w:t>&lt;</w:t>
            </w:r>
            <w:r>
              <w:rPr>
                <w:rFonts w:eastAsia="TimesNewRoman"/>
                <w:sz w:val="20"/>
                <w:szCs w:val="20"/>
              </w:rPr>
              <w:t xml:space="preserve"> </w:t>
            </w:r>
            <w:r w:rsidR="00856F9A">
              <w:rPr>
                <w:rFonts w:eastAsia="TimesNewRoman"/>
                <w:sz w:val="20"/>
                <w:szCs w:val="20"/>
              </w:rPr>
              <w:t>0,</w:t>
            </w:r>
            <w:r w:rsidRPr="00227751">
              <w:rPr>
                <w:rFonts w:eastAsia="TimesNewRoman"/>
                <w:sz w:val="20"/>
                <w:szCs w:val="20"/>
              </w:rPr>
              <w:t>0001</w:t>
            </w:r>
            <w:r>
              <w:rPr>
                <w:rFonts w:eastAsia="TimesNewRoman"/>
                <w:sz w:val="20"/>
                <w:szCs w:val="20"/>
              </w:rPr>
              <w:t>.</w:t>
            </w:r>
          </w:p>
        </w:tc>
      </w:tr>
    </w:tbl>
    <w:p w14:paraId="2676C917"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360D3386" w14:textId="77777777" w:rsidR="00345876"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Эффективность эмпаглифлозина у п</w:t>
      </w:r>
      <w:r w:rsidRPr="00227751">
        <w:rPr>
          <w:rFonts w:eastAsia="TimesNewRoman"/>
          <w:b/>
          <w:bCs/>
        </w:rPr>
        <w:t>ациент</w:t>
      </w:r>
      <w:r>
        <w:rPr>
          <w:rFonts w:eastAsia="TimesNewRoman"/>
          <w:b/>
          <w:bCs/>
        </w:rPr>
        <w:t>ов</w:t>
      </w:r>
      <w:r w:rsidRPr="00227751">
        <w:rPr>
          <w:rFonts w:eastAsia="TimesNewRoman"/>
          <w:b/>
          <w:bCs/>
        </w:rPr>
        <w:t xml:space="preserve"> с </w:t>
      </w:r>
      <w:r>
        <w:rPr>
          <w:rFonts w:eastAsia="TimesNewRoman"/>
          <w:b/>
          <w:bCs/>
        </w:rPr>
        <w:t>сердечно-сосудистыми заболеваниями</w:t>
      </w:r>
    </w:p>
    <w:p w14:paraId="337E700D" w14:textId="77777777" w:rsidR="00345876" w:rsidRPr="00227751" w:rsidRDefault="00345876" w:rsidP="00345876">
      <w:pPr>
        <w:autoSpaceDE w:val="0"/>
        <w:autoSpaceDN w:val="0"/>
        <w:adjustRightInd w:val="0"/>
        <w:spacing w:after="0" w:line="240" w:lineRule="auto"/>
        <w:ind w:firstLine="709"/>
        <w:contextualSpacing/>
        <w:rPr>
          <w:rFonts w:eastAsia="TimesNewRoman"/>
          <w:highlight w:val="yellow"/>
        </w:rPr>
      </w:pPr>
    </w:p>
    <w:p w14:paraId="149D6A6F" w14:textId="77777777" w:rsidR="00345876" w:rsidRPr="00227751" w:rsidRDefault="00345876" w:rsidP="00345876">
      <w:pPr>
        <w:autoSpaceDE w:val="0"/>
        <w:autoSpaceDN w:val="0"/>
        <w:adjustRightInd w:val="0"/>
        <w:spacing w:after="0" w:line="240" w:lineRule="auto"/>
        <w:contextualSpacing/>
        <w:rPr>
          <w:b/>
          <w:bCs/>
          <w:i/>
          <w:iCs/>
        </w:rPr>
      </w:pPr>
      <w:r w:rsidRPr="00227751">
        <w:rPr>
          <w:b/>
          <w:bCs/>
          <w:i/>
          <w:iCs/>
        </w:rPr>
        <w:t>Эффект эмпаглифлозина на сердечно-сосудистые исходы</w:t>
      </w:r>
    </w:p>
    <w:p w14:paraId="7608D147"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4B519065" w14:textId="77777777" w:rsidR="00345876" w:rsidRPr="00A40FCE"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В двойном слепом плацебо-контролируемом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sidRPr="00A40FCE">
        <w:rPr>
          <w:rFonts w:eastAsia="TimesNewRoman"/>
        </w:rPr>
        <w:t xml:space="preserve"> сравнивали объединенные дозы эмпаглифлозина 10 мг и 25 мг с плацебо в качестве дополнения к стандартной терапии у пациентов с сахарным диабетом 2 типа и установленным </w:t>
      </w:r>
      <w:r>
        <w:rPr>
          <w:rFonts w:eastAsia="TimesNewRoman"/>
        </w:rPr>
        <w:t xml:space="preserve">сопутствующим </w:t>
      </w:r>
      <w:r w:rsidRPr="00A40FCE">
        <w:rPr>
          <w:rFonts w:eastAsia="TimesNewRoman"/>
        </w:rPr>
        <w:t>сердечно-сосудистым заболеванием. Всего было пролечено 7020 пациентов (эмпаглифлозин 10 мг: 2345, эмпаглифлозин 25 мг: 2342, плацебо: 2333)</w:t>
      </w:r>
      <w:r>
        <w:rPr>
          <w:rFonts w:eastAsia="TimesNewRoman"/>
        </w:rPr>
        <w:t>,</w:t>
      </w:r>
      <w:r w:rsidRPr="00A40FCE">
        <w:rPr>
          <w:rFonts w:eastAsia="TimesNewRoman"/>
        </w:rPr>
        <w:t xml:space="preserve"> наблюд</w:t>
      </w:r>
      <w:r>
        <w:rPr>
          <w:rFonts w:eastAsia="TimesNewRoman"/>
        </w:rPr>
        <w:t>ение длилось,</w:t>
      </w:r>
      <w:r w:rsidRPr="00A40FCE">
        <w:rPr>
          <w:rFonts w:eastAsia="TimesNewRoman"/>
        </w:rPr>
        <w:t xml:space="preserve"> в среднем</w:t>
      </w:r>
      <w:r>
        <w:rPr>
          <w:rFonts w:eastAsia="TimesNewRoman"/>
        </w:rPr>
        <w:t>,</w:t>
      </w:r>
      <w:r w:rsidRPr="00A40FCE">
        <w:rPr>
          <w:rFonts w:eastAsia="TimesNewRoman"/>
        </w:rPr>
        <w:t xml:space="preserve"> 3,1 года. Средний возраст </w:t>
      </w:r>
      <w:r>
        <w:rPr>
          <w:rFonts w:eastAsia="TimesNewRoman"/>
        </w:rPr>
        <w:t xml:space="preserve">пациентов </w:t>
      </w:r>
      <w:r w:rsidRPr="00A40FCE">
        <w:rPr>
          <w:rFonts w:eastAsia="TimesNewRoman"/>
        </w:rPr>
        <w:t xml:space="preserve">составил 63 года, средний </w:t>
      </w:r>
      <w:r>
        <w:rPr>
          <w:rFonts w:eastAsia="TimesNewRoman"/>
        </w:rPr>
        <w:t xml:space="preserve">исходный </w:t>
      </w:r>
      <w:r w:rsidRPr="00A40FCE">
        <w:rPr>
          <w:rFonts w:eastAsia="TimesNewRoman"/>
        </w:rPr>
        <w:t xml:space="preserve">уровень </w:t>
      </w:r>
      <w:proofErr w:type="spellStart"/>
      <w:r w:rsidRPr="00A40FCE">
        <w:rPr>
          <w:rFonts w:eastAsia="TimesNewRoman"/>
          <w:lang w:val="en-US"/>
        </w:rPr>
        <w:t>HbA</w:t>
      </w:r>
      <w:proofErr w:type="spellEnd"/>
      <w:r w:rsidRPr="00A40FCE">
        <w:rPr>
          <w:rFonts w:eastAsia="TimesNewRoman"/>
        </w:rPr>
        <w:t>1</w:t>
      </w:r>
      <w:r w:rsidRPr="00A40FCE">
        <w:rPr>
          <w:rFonts w:eastAsia="TimesNewRoman"/>
          <w:lang w:val="en-US"/>
        </w:rPr>
        <w:t>c</w:t>
      </w:r>
      <w:r w:rsidRPr="00A40FCE">
        <w:rPr>
          <w:rFonts w:eastAsia="TimesNewRoman"/>
        </w:rPr>
        <w:t xml:space="preserve"> — 8,1%, 71,5%</w:t>
      </w:r>
      <w:r>
        <w:rPr>
          <w:rFonts w:eastAsia="TimesNewRoman"/>
        </w:rPr>
        <w:t xml:space="preserve"> пациентов были</w:t>
      </w:r>
      <w:r w:rsidRPr="00A40FCE">
        <w:rPr>
          <w:rFonts w:eastAsia="TimesNewRoman"/>
        </w:rPr>
        <w:t xml:space="preserve"> мужчины. Исходно</w:t>
      </w:r>
      <w:r>
        <w:rPr>
          <w:rFonts w:eastAsia="TimesNewRoman"/>
        </w:rPr>
        <w:t>,</w:t>
      </w:r>
      <w:r w:rsidRPr="00A40FCE">
        <w:rPr>
          <w:rFonts w:eastAsia="TimesNewRoman"/>
        </w:rPr>
        <w:t xml:space="preserve"> 74% пациентов получали метформин, 48% — инсулин и 43% — препараты сульфонилмочевины. Около половины пациентов (52,2%) имели рСКФ 60–90 мл/мин/1,73 м</w:t>
      </w:r>
      <w:r w:rsidRPr="00F23BED">
        <w:rPr>
          <w:rFonts w:eastAsia="TimesNewRoman"/>
          <w:vertAlign w:val="superscript"/>
        </w:rPr>
        <w:t>2</w:t>
      </w:r>
      <w:r w:rsidRPr="00A40FCE">
        <w:rPr>
          <w:rFonts w:eastAsia="TimesNewRoman"/>
        </w:rPr>
        <w:t>, 17,8% — 45–60 мл/мин/1,73 м</w:t>
      </w:r>
      <w:r w:rsidRPr="00F23BED">
        <w:rPr>
          <w:rFonts w:eastAsia="TimesNewRoman"/>
          <w:vertAlign w:val="superscript"/>
        </w:rPr>
        <w:t>2</w:t>
      </w:r>
      <w:r w:rsidRPr="00A40FCE">
        <w:rPr>
          <w:rFonts w:eastAsia="TimesNewRoman"/>
        </w:rPr>
        <w:t xml:space="preserve"> и 7,7% — 30–45 мл/мин/1,73 м</w:t>
      </w:r>
      <w:r w:rsidRPr="00F23BED">
        <w:rPr>
          <w:rFonts w:eastAsia="TimesNewRoman"/>
          <w:vertAlign w:val="superscript"/>
        </w:rPr>
        <w:t>2</w:t>
      </w:r>
      <w:r w:rsidRPr="00A40FCE">
        <w:rPr>
          <w:rFonts w:eastAsia="TimesNewRoman"/>
        </w:rPr>
        <w:t>.</w:t>
      </w:r>
    </w:p>
    <w:p w14:paraId="131D596C" w14:textId="77777777" w:rsidR="00345876" w:rsidRPr="00A40FCE"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На 12 неделе наблюдалось скорректированное среднее улучшение </w:t>
      </w:r>
      <w:proofErr w:type="spellStart"/>
      <w:r w:rsidRPr="00A40FCE">
        <w:rPr>
          <w:rFonts w:eastAsia="TimesNewRoman"/>
          <w:lang w:val="en-US"/>
        </w:rPr>
        <w:t>HbA</w:t>
      </w:r>
      <w:proofErr w:type="spellEnd"/>
      <w:r w:rsidRPr="00A40FCE">
        <w:rPr>
          <w:rFonts w:eastAsia="TimesNewRoman"/>
        </w:rPr>
        <w:t>1</w:t>
      </w:r>
      <w:r w:rsidRPr="00A40FCE">
        <w:rPr>
          <w:rFonts w:eastAsia="TimesNewRoman"/>
          <w:lang w:val="en-US"/>
        </w:rPr>
        <w:t>c</w:t>
      </w:r>
      <w:r w:rsidRPr="00A40FCE">
        <w:rPr>
          <w:rFonts w:eastAsia="TimesNewRoman"/>
        </w:rPr>
        <w:t xml:space="preserve"> по сравнению с исходным уровнем на 0,11% (0,02) в группе плацебо, 0,65% (0,02) и 0,71% (0,02) в группах эмпаглифлозина 10 и 25 мг. После первых 12 недель гликемический контроль был оптимизирован независимо от экспериментального лечения. Таким образом, эффект ослаблялся на 94-й неделе со скорректированным средним улучшением </w:t>
      </w:r>
      <w:proofErr w:type="spellStart"/>
      <w:r w:rsidRPr="00A40FCE">
        <w:rPr>
          <w:rFonts w:eastAsia="TimesNewRoman"/>
          <w:lang w:val="en-US"/>
        </w:rPr>
        <w:t>HbA</w:t>
      </w:r>
      <w:proofErr w:type="spellEnd"/>
      <w:r w:rsidRPr="00A40FCE">
        <w:rPr>
          <w:rFonts w:eastAsia="TimesNewRoman"/>
        </w:rPr>
        <w:t>1</w:t>
      </w:r>
      <w:r w:rsidRPr="00A40FCE">
        <w:rPr>
          <w:rFonts w:eastAsia="TimesNewRoman"/>
          <w:lang w:val="en-US"/>
        </w:rPr>
        <w:t>c</w:t>
      </w:r>
      <w:r w:rsidRPr="00A40FCE">
        <w:rPr>
          <w:rFonts w:eastAsia="TimesNewRoman"/>
        </w:rPr>
        <w:t xml:space="preserve"> на 0,08% (0,02) в группе плацебо, 0,50% (0,02) и 0,55% (0,02) в группах эмпаглифлозина 10 и 25 мг.</w:t>
      </w:r>
    </w:p>
    <w:p w14:paraId="67FC38D5" w14:textId="777426D8" w:rsidR="00345876" w:rsidRPr="002604EF"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Эмпаглифлозин лучше предотвращал первичную комбинированную конечную точку смерти от сердечно-сосудистых заболеваний, нефатального инфаркта миокарда или нефатального инсульта по сравнению с плацебо. Эффект лечения был обусловлен значительным снижением смертности от сердечно-сосудистых заболеваний без существенного </w:t>
      </w:r>
      <w:r w:rsidRPr="002604EF">
        <w:rPr>
          <w:rFonts w:eastAsia="TimesNewRoman"/>
        </w:rPr>
        <w:t xml:space="preserve">изменения частоты нефатального инфаркта миокарда или нефатального инсульта. Снижение смертности от сердечно-сосудистых заболеваний было сопоставимо для эмпаглифлозина в дозе 10 мг и 25 мг (рис. </w:t>
      </w:r>
      <w:r w:rsidR="002604EF" w:rsidRPr="002604EF">
        <w:rPr>
          <w:rFonts w:eastAsia="TimesNewRoman"/>
        </w:rPr>
        <w:t>4-</w:t>
      </w:r>
      <w:r w:rsidRPr="002604EF">
        <w:rPr>
          <w:rFonts w:eastAsia="TimesNewRoman"/>
        </w:rPr>
        <w:t xml:space="preserve">1) и подтверждалось улучшением общей выживаемости (табл. </w:t>
      </w:r>
      <w:r w:rsidR="002604EF" w:rsidRPr="002604EF">
        <w:rPr>
          <w:rFonts w:eastAsia="TimesNewRoman"/>
        </w:rPr>
        <w:t>4-</w:t>
      </w:r>
      <w:r w:rsidR="006836D0">
        <w:rPr>
          <w:rFonts w:eastAsia="TimesNewRoman"/>
        </w:rPr>
        <w:t>9</w:t>
      </w:r>
      <w:r w:rsidRPr="002604EF">
        <w:rPr>
          <w:rFonts w:eastAsia="TimesNewRoman"/>
        </w:rPr>
        <w:t>).</w:t>
      </w:r>
    </w:p>
    <w:p w14:paraId="521D30D9" w14:textId="77777777" w:rsidR="00345876" w:rsidRPr="00A40FCE"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Влияние эмпаглифлозина на первичную комбинированную конечную точку смерти от сердечно-сосудистых заболеваний</w:t>
      </w:r>
      <w:r w:rsidRPr="00A40FCE">
        <w:rPr>
          <w:rFonts w:eastAsia="TimesNewRoman"/>
        </w:rPr>
        <w:t>, нефатального ИМ или нефатального инсульта в значительной степени не зависело от гликемического контроля или функции почек (рСКФ) и в целом соответствовало всем категориям рСКФ вплоть до рСКФ 30 мл/мин. /1,73 м</w:t>
      </w:r>
      <w:r w:rsidRPr="00F23BED">
        <w:rPr>
          <w:rFonts w:eastAsia="TimesNewRoman"/>
          <w:vertAlign w:val="superscript"/>
        </w:rPr>
        <w:t>2</w:t>
      </w:r>
      <w:r w:rsidRPr="00A40FCE">
        <w:rPr>
          <w:rFonts w:eastAsia="TimesNewRoman"/>
        </w:rPr>
        <w:t xml:space="preserve"> в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sidRPr="00A40FCE">
        <w:rPr>
          <w:rFonts w:eastAsia="TimesNewRoman"/>
        </w:rPr>
        <w:t>.</w:t>
      </w:r>
    </w:p>
    <w:p w14:paraId="44E7DD22" w14:textId="7AC6120A" w:rsidR="00345876" w:rsidRPr="00A40FCE"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Эффективность предотвращения сердечно-сосудистой смертности не была окончательно установлена у пациентов, применяющих эмпаглифлозин одновременно с </w:t>
      </w:r>
      <w:r w:rsidRPr="00A40FCE">
        <w:rPr>
          <w:rFonts w:eastAsia="TimesNewRoman"/>
        </w:rPr>
        <w:lastRenderedPageBreak/>
        <w:t xml:space="preserve">ингибиторами ДПП-4, или у чернокожих пациентов, поскольку представительство этих групп в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sidRPr="00A40FCE">
        <w:rPr>
          <w:rFonts w:eastAsia="TimesNewRoman"/>
        </w:rPr>
        <w:t xml:space="preserve"> было ограниченным</w:t>
      </w:r>
      <w:r w:rsidR="004B66CD" w:rsidRPr="004B66CD">
        <w:rPr>
          <w:rFonts w:eastAsia="TimesNewRoman"/>
        </w:rPr>
        <w:t xml:space="preserve"> [21]</w:t>
      </w:r>
      <w:r w:rsidRPr="00A40FCE">
        <w:rPr>
          <w:rFonts w:eastAsia="TimesNewRoman"/>
        </w:rPr>
        <w:t>.</w:t>
      </w:r>
    </w:p>
    <w:p w14:paraId="0E1B3533" w14:textId="77777777" w:rsidR="00345876" w:rsidRPr="00A40FCE" w:rsidRDefault="00345876" w:rsidP="00345876">
      <w:pPr>
        <w:autoSpaceDE w:val="0"/>
        <w:autoSpaceDN w:val="0"/>
        <w:adjustRightInd w:val="0"/>
        <w:spacing w:after="0" w:line="240" w:lineRule="auto"/>
        <w:ind w:firstLine="709"/>
        <w:contextualSpacing/>
        <w:rPr>
          <w:rFonts w:eastAsia="TimesNewRoman"/>
        </w:rPr>
      </w:pPr>
    </w:p>
    <w:p w14:paraId="44D4A2D2" w14:textId="5C13A210" w:rsidR="00345876" w:rsidRPr="00A40FCE"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w:t>
      </w:r>
      <w:r w:rsidR="006836D0">
        <w:rPr>
          <w:rFonts w:eastAsia="TimesNewRoman"/>
          <w:b/>
          <w:bCs/>
        </w:rPr>
        <w:t>9</w:t>
      </w:r>
      <w:r w:rsidRPr="002604EF">
        <w:rPr>
          <w:rFonts w:eastAsia="TimesNewRoman"/>
          <w:b/>
          <w:bCs/>
        </w:rPr>
        <w:t>.</w:t>
      </w:r>
      <w:r w:rsidRPr="002604EF">
        <w:t xml:space="preserve"> </w:t>
      </w:r>
      <w:r w:rsidRPr="002604EF">
        <w:rPr>
          <w:rFonts w:eastAsia="TimesNewRoman"/>
        </w:rPr>
        <w:t>Эффект</w:t>
      </w:r>
      <w:r w:rsidRPr="00A40FCE">
        <w:rPr>
          <w:rFonts w:eastAsia="TimesNewRoman"/>
        </w:rPr>
        <w:t xml:space="preserve"> лечения для первичной комбинированной конечной точки, ее компонентов и смертности</w:t>
      </w:r>
      <w:r w:rsidRPr="00A40FCE">
        <w:rPr>
          <w:rFonts w:eastAsia="TimesNewRoman"/>
          <w:vertAlign w:val="superscript"/>
          <w:lang w:val="en-US"/>
        </w:rPr>
        <w:t>a</w:t>
      </w:r>
    </w:p>
    <w:tbl>
      <w:tblPr>
        <w:tblStyle w:val="TableGrid"/>
        <w:tblW w:w="0" w:type="auto"/>
        <w:tblLook w:val="04A0" w:firstRow="1" w:lastRow="0" w:firstColumn="1" w:lastColumn="0" w:noHBand="0" w:noVBand="1"/>
      </w:tblPr>
      <w:tblGrid>
        <w:gridCol w:w="4956"/>
        <w:gridCol w:w="1984"/>
        <w:gridCol w:w="2404"/>
      </w:tblGrid>
      <w:tr w:rsidR="00345876" w:rsidRPr="00A40FCE" w14:paraId="7862D4ED" w14:textId="77777777" w:rsidTr="007756D8">
        <w:trPr>
          <w:tblHeader/>
        </w:trPr>
        <w:tc>
          <w:tcPr>
            <w:tcW w:w="4957" w:type="dxa"/>
            <w:shd w:val="clear" w:color="auto" w:fill="D9D9D9" w:themeFill="background1" w:themeFillShade="D9"/>
            <w:vAlign w:val="center"/>
          </w:tcPr>
          <w:p w14:paraId="2C771C18" w14:textId="77777777" w:rsidR="00345876" w:rsidRPr="000D52F3" w:rsidRDefault="00345876" w:rsidP="004B66CD">
            <w:pPr>
              <w:autoSpaceDE w:val="0"/>
              <w:autoSpaceDN w:val="0"/>
              <w:adjustRightInd w:val="0"/>
              <w:spacing w:line="240" w:lineRule="auto"/>
              <w:contextualSpacing/>
              <w:rPr>
                <w:rFonts w:eastAsia="TimesNewRoman"/>
                <w:b/>
                <w:bCs/>
              </w:rPr>
            </w:pPr>
          </w:p>
        </w:tc>
        <w:tc>
          <w:tcPr>
            <w:tcW w:w="1984" w:type="dxa"/>
            <w:shd w:val="clear" w:color="auto" w:fill="D9D9D9" w:themeFill="background1" w:themeFillShade="D9"/>
            <w:vAlign w:val="center"/>
          </w:tcPr>
          <w:p w14:paraId="707D9B55" w14:textId="77777777" w:rsidR="00345876" w:rsidRPr="000D52F3" w:rsidRDefault="00345876" w:rsidP="004B66CD">
            <w:pPr>
              <w:autoSpaceDE w:val="0"/>
              <w:autoSpaceDN w:val="0"/>
              <w:adjustRightInd w:val="0"/>
              <w:spacing w:line="240" w:lineRule="auto"/>
              <w:contextualSpacing/>
              <w:jc w:val="center"/>
              <w:rPr>
                <w:rFonts w:eastAsia="TimesNewRoman"/>
                <w:b/>
                <w:bCs/>
              </w:rPr>
            </w:pPr>
            <w:r w:rsidRPr="000D52F3">
              <w:rPr>
                <w:rFonts w:eastAsia="TimesNewRoman"/>
                <w:b/>
                <w:bCs/>
              </w:rPr>
              <w:t>Плацебо</w:t>
            </w:r>
          </w:p>
        </w:tc>
        <w:tc>
          <w:tcPr>
            <w:tcW w:w="2404" w:type="dxa"/>
            <w:shd w:val="clear" w:color="auto" w:fill="D9D9D9" w:themeFill="background1" w:themeFillShade="D9"/>
            <w:vAlign w:val="center"/>
          </w:tcPr>
          <w:p w14:paraId="1DBD0B2F" w14:textId="77777777" w:rsidR="00345876" w:rsidRPr="000D52F3" w:rsidRDefault="00345876" w:rsidP="004B66CD">
            <w:pPr>
              <w:autoSpaceDE w:val="0"/>
              <w:autoSpaceDN w:val="0"/>
              <w:adjustRightInd w:val="0"/>
              <w:spacing w:line="240" w:lineRule="auto"/>
              <w:contextualSpacing/>
              <w:jc w:val="center"/>
              <w:rPr>
                <w:rFonts w:eastAsia="TimesNewRoman"/>
                <w:b/>
                <w:bCs/>
                <w:lang w:val="en-US"/>
              </w:rPr>
            </w:pPr>
            <w:r w:rsidRPr="000D52F3">
              <w:rPr>
                <w:rFonts w:eastAsia="TimesNewRoman"/>
                <w:b/>
                <w:bCs/>
              </w:rPr>
              <w:t>Эмпаглифлозин</w:t>
            </w:r>
            <w:r w:rsidRPr="000D52F3">
              <w:rPr>
                <w:rFonts w:eastAsia="TimesNewRoman"/>
                <w:b/>
                <w:bCs/>
                <w:vertAlign w:val="superscript"/>
                <w:lang w:val="en-US"/>
              </w:rPr>
              <w:t>b</w:t>
            </w:r>
          </w:p>
        </w:tc>
      </w:tr>
      <w:tr w:rsidR="00345876" w:rsidRPr="00A40FCE" w14:paraId="43E82FB9" w14:textId="77777777" w:rsidTr="007756D8">
        <w:tc>
          <w:tcPr>
            <w:tcW w:w="4957" w:type="dxa"/>
            <w:vAlign w:val="center"/>
          </w:tcPr>
          <w:p w14:paraId="028F738D" w14:textId="77777777" w:rsidR="00345876" w:rsidRPr="000D52F3" w:rsidRDefault="00345876" w:rsidP="004B66CD">
            <w:pPr>
              <w:autoSpaceDE w:val="0"/>
              <w:autoSpaceDN w:val="0"/>
              <w:adjustRightInd w:val="0"/>
              <w:spacing w:line="240" w:lineRule="auto"/>
              <w:contextualSpacing/>
              <w:rPr>
                <w:rFonts w:eastAsia="TimesNewRoman"/>
              </w:rPr>
            </w:pPr>
            <w:r>
              <w:rPr>
                <w:rFonts w:eastAsia="TimesNewRoman"/>
              </w:rPr>
              <w:t>Количество пациентов</w:t>
            </w:r>
          </w:p>
        </w:tc>
        <w:tc>
          <w:tcPr>
            <w:tcW w:w="1984" w:type="dxa"/>
            <w:vAlign w:val="center"/>
          </w:tcPr>
          <w:p w14:paraId="5450879E"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2333</w:t>
            </w:r>
          </w:p>
        </w:tc>
        <w:tc>
          <w:tcPr>
            <w:tcW w:w="2404" w:type="dxa"/>
            <w:vAlign w:val="center"/>
          </w:tcPr>
          <w:p w14:paraId="306F965D"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4687</w:t>
            </w:r>
          </w:p>
        </w:tc>
      </w:tr>
      <w:tr w:rsidR="00345876" w:rsidRPr="00A40FCE" w14:paraId="075BC99E" w14:textId="77777777" w:rsidTr="007756D8">
        <w:tc>
          <w:tcPr>
            <w:tcW w:w="4957" w:type="dxa"/>
            <w:vAlign w:val="center"/>
          </w:tcPr>
          <w:p w14:paraId="3D7BA00D" w14:textId="77777777" w:rsidR="00345876" w:rsidRPr="000D52F3" w:rsidRDefault="00345876" w:rsidP="004B66CD">
            <w:pPr>
              <w:autoSpaceDE w:val="0"/>
              <w:autoSpaceDN w:val="0"/>
              <w:adjustRightInd w:val="0"/>
              <w:spacing w:line="240" w:lineRule="auto"/>
              <w:contextualSpacing/>
              <w:rPr>
                <w:rFonts w:eastAsia="TimesNewRoman"/>
                <w:b/>
                <w:bCs/>
              </w:rPr>
            </w:pPr>
            <w:r w:rsidRPr="000D52F3">
              <w:rPr>
                <w:rFonts w:eastAsia="TimesNewRoman"/>
                <w:b/>
                <w:bCs/>
              </w:rPr>
              <w:t xml:space="preserve">Время до первой СС смерти, нефатального ИМ или нефатального инсульта, </w:t>
            </w:r>
            <w:r w:rsidRPr="000D52F3">
              <w:rPr>
                <w:rFonts w:eastAsia="TimesNewRoman"/>
                <w:b/>
                <w:bCs/>
                <w:lang w:val="en-US"/>
              </w:rPr>
              <w:t>n</w:t>
            </w:r>
            <w:r w:rsidRPr="000D52F3">
              <w:rPr>
                <w:rFonts w:eastAsia="TimesNewRoman"/>
                <w:b/>
                <w:bCs/>
              </w:rPr>
              <w:t xml:space="preserve"> (%)</w:t>
            </w:r>
          </w:p>
        </w:tc>
        <w:tc>
          <w:tcPr>
            <w:tcW w:w="1984" w:type="dxa"/>
            <w:vAlign w:val="center"/>
          </w:tcPr>
          <w:p w14:paraId="4AB7F661"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282 (12,1)</w:t>
            </w:r>
          </w:p>
        </w:tc>
        <w:tc>
          <w:tcPr>
            <w:tcW w:w="2404" w:type="dxa"/>
            <w:vAlign w:val="center"/>
          </w:tcPr>
          <w:p w14:paraId="0E73B10C"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490 (10,5)</w:t>
            </w:r>
          </w:p>
        </w:tc>
      </w:tr>
      <w:tr w:rsidR="00345876" w:rsidRPr="00A40FCE" w14:paraId="0A6C768C" w14:textId="77777777" w:rsidTr="007756D8">
        <w:tc>
          <w:tcPr>
            <w:tcW w:w="4957" w:type="dxa"/>
            <w:vAlign w:val="center"/>
          </w:tcPr>
          <w:p w14:paraId="675264F9" w14:textId="77777777" w:rsidR="00345876" w:rsidRPr="000D52F3"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(95,02% ДИ)</w:t>
            </w:r>
            <w:r w:rsidRPr="000D52F3">
              <w:rPr>
                <w:rFonts w:eastAsia="TimesNewRoman"/>
              </w:rPr>
              <w:t>*</w:t>
            </w:r>
          </w:p>
        </w:tc>
        <w:tc>
          <w:tcPr>
            <w:tcW w:w="1984" w:type="dxa"/>
            <w:vAlign w:val="center"/>
          </w:tcPr>
          <w:p w14:paraId="5EF89599"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018FF311"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0,86</w:t>
            </w:r>
            <w:r>
              <w:rPr>
                <w:rFonts w:eastAsia="TimesNewRoman"/>
              </w:rPr>
              <w:br/>
              <w:t>(0,74; 0,99)</w:t>
            </w:r>
          </w:p>
        </w:tc>
      </w:tr>
      <w:tr w:rsidR="00345876" w:rsidRPr="00A40FCE" w14:paraId="2BA07BDB" w14:textId="77777777" w:rsidTr="007756D8">
        <w:tc>
          <w:tcPr>
            <w:tcW w:w="4957" w:type="dxa"/>
            <w:vAlign w:val="center"/>
          </w:tcPr>
          <w:p w14:paraId="7E0C8225" w14:textId="77777777" w:rsidR="00345876" w:rsidRPr="000D52F3" w:rsidRDefault="00345876" w:rsidP="004B66CD">
            <w:pPr>
              <w:autoSpaceDE w:val="0"/>
              <w:autoSpaceDN w:val="0"/>
              <w:adjustRightInd w:val="0"/>
              <w:spacing w:line="240" w:lineRule="auto"/>
              <w:ind w:left="175"/>
              <w:contextualSpacing/>
              <w:rPr>
                <w:rFonts w:eastAsia="TimesNewRoman"/>
              </w:rPr>
            </w:pPr>
            <w:r>
              <w:rPr>
                <w:rFonts w:eastAsia="TimesNewRoman"/>
              </w:rPr>
              <w:t>Значение р для оценки эффективности (</w:t>
            </w:r>
            <w:r>
              <w:rPr>
                <w:rFonts w:eastAsia="TimesNewRoman"/>
                <w:lang w:val="en-US"/>
              </w:rPr>
              <w:t>superiority</w:t>
            </w:r>
            <w:r>
              <w:rPr>
                <w:rFonts w:eastAsia="TimesNewRoman"/>
              </w:rPr>
              <w:t>)</w:t>
            </w:r>
          </w:p>
        </w:tc>
        <w:tc>
          <w:tcPr>
            <w:tcW w:w="1984" w:type="dxa"/>
            <w:vAlign w:val="center"/>
          </w:tcPr>
          <w:p w14:paraId="40E9AE01"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5FC53574"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0,0382</w:t>
            </w:r>
          </w:p>
        </w:tc>
      </w:tr>
      <w:tr w:rsidR="00345876" w:rsidRPr="00A40FCE" w14:paraId="1216B615" w14:textId="77777777" w:rsidTr="007756D8">
        <w:tc>
          <w:tcPr>
            <w:tcW w:w="4957" w:type="dxa"/>
            <w:vAlign w:val="center"/>
          </w:tcPr>
          <w:p w14:paraId="46BC5CCC" w14:textId="77777777" w:rsidR="00345876" w:rsidRPr="000D52F3" w:rsidRDefault="00345876" w:rsidP="004B66CD">
            <w:pPr>
              <w:autoSpaceDE w:val="0"/>
              <w:autoSpaceDN w:val="0"/>
              <w:adjustRightInd w:val="0"/>
              <w:spacing w:line="240" w:lineRule="auto"/>
              <w:contextualSpacing/>
              <w:rPr>
                <w:rFonts w:eastAsia="TimesNewRoman"/>
                <w:b/>
                <w:bCs/>
              </w:rPr>
            </w:pPr>
            <w:r>
              <w:rPr>
                <w:rFonts w:eastAsia="TimesNewRoman"/>
                <w:b/>
                <w:bCs/>
              </w:rPr>
              <w:t>СС смерть</w:t>
            </w:r>
            <w:r w:rsidRPr="000D52F3">
              <w:rPr>
                <w:rFonts w:eastAsia="TimesNewRoman"/>
                <w:b/>
                <w:bCs/>
              </w:rPr>
              <w:t xml:space="preserve">, </w:t>
            </w:r>
            <w:r w:rsidRPr="000D52F3">
              <w:rPr>
                <w:rFonts w:eastAsia="TimesNewRoman"/>
                <w:b/>
                <w:bCs/>
                <w:lang w:val="en-US"/>
              </w:rPr>
              <w:t>n</w:t>
            </w:r>
            <w:r w:rsidRPr="000D52F3">
              <w:rPr>
                <w:rFonts w:eastAsia="TimesNewRoman"/>
                <w:b/>
                <w:bCs/>
              </w:rPr>
              <w:t xml:space="preserve"> (%)</w:t>
            </w:r>
          </w:p>
        </w:tc>
        <w:tc>
          <w:tcPr>
            <w:tcW w:w="1984" w:type="dxa"/>
            <w:vAlign w:val="center"/>
          </w:tcPr>
          <w:p w14:paraId="4340C897"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137 (5,9)</w:t>
            </w:r>
          </w:p>
        </w:tc>
        <w:tc>
          <w:tcPr>
            <w:tcW w:w="2404" w:type="dxa"/>
            <w:vAlign w:val="center"/>
          </w:tcPr>
          <w:p w14:paraId="275C1176"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172 (3,7)</w:t>
            </w:r>
          </w:p>
        </w:tc>
      </w:tr>
      <w:tr w:rsidR="00345876" w:rsidRPr="00A40FCE" w14:paraId="323EAF50" w14:textId="77777777" w:rsidTr="007756D8">
        <w:tc>
          <w:tcPr>
            <w:tcW w:w="4957" w:type="dxa"/>
            <w:vAlign w:val="center"/>
          </w:tcPr>
          <w:p w14:paraId="0C5411C8"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 ДИ)</w:t>
            </w:r>
          </w:p>
        </w:tc>
        <w:tc>
          <w:tcPr>
            <w:tcW w:w="1984" w:type="dxa"/>
            <w:vAlign w:val="center"/>
          </w:tcPr>
          <w:p w14:paraId="103AEA72"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3F40C126"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0,62</w:t>
            </w:r>
            <w:r>
              <w:rPr>
                <w:rFonts w:eastAsia="TimesNewRoman"/>
              </w:rPr>
              <w:br/>
              <w:t>(0,49; 0,77)</w:t>
            </w:r>
          </w:p>
        </w:tc>
      </w:tr>
      <w:tr w:rsidR="00345876" w:rsidRPr="00A40FCE" w14:paraId="08614053" w14:textId="77777777" w:rsidTr="007756D8">
        <w:tc>
          <w:tcPr>
            <w:tcW w:w="4957" w:type="dxa"/>
            <w:vAlign w:val="center"/>
          </w:tcPr>
          <w:p w14:paraId="29D8681B"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Значение р</w:t>
            </w:r>
          </w:p>
        </w:tc>
        <w:tc>
          <w:tcPr>
            <w:tcW w:w="1984" w:type="dxa"/>
            <w:vAlign w:val="center"/>
          </w:tcPr>
          <w:p w14:paraId="6E1E97B1"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26AE50DF" w14:textId="77777777" w:rsidR="00345876" w:rsidRPr="00011517" w:rsidRDefault="00345876" w:rsidP="004B66CD">
            <w:pPr>
              <w:autoSpaceDE w:val="0"/>
              <w:autoSpaceDN w:val="0"/>
              <w:adjustRightInd w:val="0"/>
              <w:spacing w:line="240" w:lineRule="auto"/>
              <w:contextualSpacing/>
              <w:jc w:val="center"/>
              <w:rPr>
                <w:rFonts w:eastAsia="TimesNewRoman"/>
              </w:rPr>
            </w:pPr>
            <w:r>
              <w:rPr>
                <w:rFonts w:eastAsia="TimesNewRoman"/>
                <w:lang w:val="en-US"/>
              </w:rPr>
              <w:t>&lt;</w:t>
            </w:r>
            <w:r>
              <w:rPr>
                <w:rFonts w:eastAsia="TimesNewRoman"/>
              </w:rPr>
              <w:t>0,0001</w:t>
            </w:r>
          </w:p>
        </w:tc>
      </w:tr>
      <w:tr w:rsidR="00345876" w:rsidRPr="00A40FCE" w14:paraId="0107C793" w14:textId="77777777" w:rsidTr="007756D8">
        <w:tc>
          <w:tcPr>
            <w:tcW w:w="4957" w:type="dxa"/>
            <w:vAlign w:val="center"/>
          </w:tcPr>
          <w:p w14:paraId="15ED644E" w14:textId="77777777" w:rsidR="00345876" w:rsidRPr="00011517" w:rsidRDefault="00345876" w:rsidP="004B66CD">
            <w:pPr>
              <w:autoSpaceDE w:val="0"/>
              <w:autoSpaceDN w:val="0"/>
              <w:adjustRightInd w:val="0"/>
              <w:spacing w:line="240" w:lineRule="auto"/>
              <w:contextualSpacing/>
              <w:rPr>
                <w:rFonts w:eastAsia="TimesNewRoman"/>
                <w:b/>
                <w:bCs/>
              </w:rPr>
            </w:pPr>
            <w:r>
              <w:rPr>
                <w:rFonts w:eastAsia="TimesNewRoman"/>
                <w:b/>
                <w:bCs/>
              </w:rPr>
              <w:t>Нефатальный ИМ</w:t>
            </w:r>
            <w:r w:rsidRPr="000D52F3">
              <w:rPr>
                <w:rFonts w:eastAsia="TimesNewRoman"/>
                <w:b/>
                <w:bCs/>
              </w:rPr>
              <w:t xml:space="preserve">, </w:t>
            </w:r>
            <w:r w:rsidRPr="000D52F3">
              <w:rPr>
                <w:rFonts w:eastAsia="TimesNewRoman"/>
                <w:b/>
                <w:bCs/>
                <w:lang w:val="en-US"/>
              </w:rPr>
              <w:t>n</w:t>
            </w:r>
            <w:r w:rsidRPr="000D52F3">
              <w:rPr>
                <w:rFonts w:eastAsia="TimesNewRoman"/>
                <w:b/>
                <w:bCs/>
              </w:rPr>
              <w:t xml:space="preserve"> (%)</w:t>
            </w:r>
          </w:p>
        </w:tc>
        <w:tc>
          <w:tcPr>
            <w:tcW w:w="1984" w:type="dxa"/>
            <w:vAlign w:val="center"/>
          </w:tcPr>
          <w:p w14:paraId="4F2DC7FF"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121 (5,2)</w:t>
            </w:r>
          </w:p>
        </w:tc>
        <w:tc>
          <w:tcPr>
            <w:tcW w:w="2404" w:type="dxa"/>
            <w:vAlign w:val="center"/>
          </w:tcPr>
          <w:p w14:paraId="2A5E5C4D"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213 (4,5)</w:t>
            </w:r>
          </w:p>
        </w:tc>
      </w:tr>
      <w:tr w:rsidR="00345876" w:rsidRPr="00A40FCE" w14:paraId="26EE5912" w14:textId="77777777" w:rsidTr="007756D8">
        <w:tc>
          <w:tcPr>
            <w:tcW w:w="4957" w:type="dxa"/>
            <w:vAlign w:val="center"/>
          </w:tcPr>
          <w:p w14:paraId="227FFE76"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 ДИ)</w:t>
            </w:r>
          </w:p>
        </w:tc>
        <w:tc>
          <w:tcPr>
            <w:tcW w:w="1984" w:type="dxa"/>
            <w:vAlign w:val="center"/>
          </w:tcPr>
          <w:p w14:paraId="2351C737"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13545FDD"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0,87</w:t>
            </w:r>
            <w:r>
              <w:rPr>
                <w:rFonts w:eastAsia="TimesNewRoman"/>
              </w:rPr>
              <w:br/>
              <w:t>(0,70; 1,09)</w:t>
            </w:r>
          </w:p>
        </w:tc>
      </w:tr>
      <w:tr w:rsidR="00345876" w:rsidRPr="00A40FCE" w14:paraId="0C02569E" w14:textId="77777777" w:rsidTr="007756D8">
        <w:tc>
          <w:tcPr>
            <w:tcW w:w="4957" w:type="dxa"/>
            <w:vAlign w:val="center"/>
          </w:tcPr>
          <w:p w14:paraId="20DBD714"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Значение р</w:t>
            </w:r>
          </w:p>
        </w:tc>
        <w:tc>
          <w:tcPr>
            <w:tcW w:w="1984" w:type="dxa"/>
            <w:vAlign w:val="center"/>
          </w:tcPr>
          <w:p w14:paraId="2CD6D9B2"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496A3F11"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0,2189</w:t>
            </w:r>
          </w:p>
        </w:tc>
      </w:tr>
      <w:tr w:rsidR="00345876" w:rsidRPr="00A40FCE" w14:paraId="50C16089" w14:textId="77777777" w:rsidTr="007756D8">
        <w:tc>
          <w:tcPr>
            <w:tcW w:w="4957" w:type="dxa"/>
            <w:vAlign w:val="center"/>
          </w:tcPr>
          <w:p w14:paraId="50C1A8B0" w14:textId="77777777" w:rsidR="00345876" w:rsidRPr="00011517" w:rsidRDefault="00345876" w:rsidP="004B66CD">
            <w:pPr>
              <w:autoSpaceDE w:val="0"/>
              <w:autoSpaceDN w:val="0"/>
              <w:adjustRightInd w:val="0"/>
              <w:spacing w:line="240" w:lineRule="auto"/>
              <w:contextualSpacing/>
              <w:rPr>
                <w:rFonts w:eastAsia="TimesNewRoman"/>
                <w:b/>
                <w:bCs/>
              </w:rPr>
            </w:pPr>
            <w:r w:rsidRPr="00011517">
              <w:rPr>
                <w:rFonts w:eastAsia="TimesNewRoman"/>
                <w:b/>
                <w:bCs/>
              </w:rPr>
              <w:t xml:space="preserve">Нефатальный инсульт, </w:t>
            </w:r>
            <w:r w:rsidRPr="00011517">
              <w:rPr>
                <w:rFonts w:eastAsia="TimesNewRoman"/>
                <w:b/>
                <w:bCs/>
                <w:lang w:val="en-US"/>
              </w:rPr>
              <w:t>n</w:t>
            </w:r>
            <w:r w:rsidRPr="00011517">
              <w:rPr>
                <w:rFonts w:eastAsia="TimesNewRoman"/>
                <w:b/>
                <w:bCs/>
              </w:rPr>
              <w:t xml:space="preserve"> (%)</w:t>
            </w:r>
          </w:p>
        </w:tc>
        <w:tc>
          <w:tcPr>
            <w:tcW w:w="1984" w:type="dxa"/>
            <w:vAlign w:val="center"/>
          </w:tcPr>
          <w:p w14:paraId="3071581B"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60 (2,6)</w:t>
            </w:r>
          </w:p>
        </w:tc>
        <w:tc>
          <w:tcPr>
            <w:tcW w:w="2404" w:type="dxa"/>
            <w:vAlign w:val="center"/>
          </w:tcPr>
          <w:p w14:paraId="074DDA6E"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150 (3,2)</w:t>
            </w:r>
          </w:p>
        </w:tc>
      </w:tr>
      <w:tr w:rsidR="00345876" w:rsidRPr="00A40FCE" w14:paraId="72DED2B4" w14:textId="77777777" w:rsidTr="007756D8">
        <w:tc>
          <w:tcPr>
            <w:tcW w:w="4957" w:type="dxa"/>
            <w:vAlign w:val="center"/>
          </w:tcPr>
          <w:p w14:paraId="25A158EA"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 ДИ)</w:t>
            </w:r>
          </w:p>
        </w:tc>
        <w:tc>
          <w:tcPr>
            <w:tcW w:w="1984" w:type="dxa"/>
            <w:vAlign w:val="center"/>
          </w:tcPr>
          <w:p w14:paraId="39DCC720"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65CFE05A"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1,24</w:t>
            </w:r>
            <w:r>
              <w:rPr>
                <w:rFonts w:eastAsia="TimesNewRoman"/>
              </w:rPr>
              <w:br/>
              <w:t>(0,92; 1,67)</w:t>
            </w:r>
          </w:p>
        </w:tc>
      </w:tr>
      <w:tr w:rsidR="00345876" w:rsidRPr="00A40FCE" w14:paraId="0A019A13" w14:textId="77777777" w:rsidTr="007756D8">
        <w:tc>
          <w:tcPr>
            <w:tcW w:w="4957" w:type="dxa"/>
            <w:vAlign w:val="center"/>
          </w:tcPr>
          <w:p w14:paraId="694646D0"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Значение р</w:t>
            </w:r>
          </w:p>
        </w:tc>
        <w:tc>
          <w:tcPr>
            <w:tcW w:w="1984" w:type="dxa"/>
            <w:vAlign w:val="center"/>
          </w:tcPr>
          <w:p w14:paraId="48178A7B"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4A286042"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0,1638</w:t>
            </w:r>
          </w:p>
        </w:tc>
      </w:tr>
      <w:tr w:rsidR="00345876" w:rsidRPr="00A40FCE" w14:paraId="615E0CBF" w14:textId="77777777" w:rsidTr="007756D8">
        <w:tc>
          <w:tcPr>
            <w:tcW w:w="4957" w:type="dxa"/>
            <w:vAlign w:val="center"/>
          </w:tcPr>
          <w:p w14:paraId="7A807310" w14:textId="77777777" w:rsidR="00345876" w:rsidRPr="00011517" w:rsidRDefault="00345876" w:rsidP="004B66CD">
            <w:pPr>
              <w:autoSpaceDE w:val="0"/>
              <w:autoSpaceDN w:val="0"/>
              <w:adjustRightInd w:val="0"/>
              <w:spacing w:line="240" w:lineRule="auto"/>
              <w:contextualSpacing/>
              <w:rPr>
                <w:rFonts w:eastAsia="TimesNewRoman"/>
                <w:b/>
                <w:bCs/>
              </w:rPr>
            </w:pPr>
            <w:r w:rsidRPr="00011517">
              <w:rPr>
                <w:rFonts w:eastAsia="TimesNewRoman"/>
                <w:b/>
                <w:bCs/>
              </w:rPr>
              <w:t xml:space="preserve">Все случаи смерти, </w:t>
            </w:r>
            <w:r w:rsidRPr="00011517">
              <w:rPr>
                <w:rFonts w:eastAsia="TimesNewRoman"/>
                <w:b/>
                <w:bCs/>
                <w:lang w:val="en-US"/>
              </w:rPr>
              <w:t>n</w:t>
            </w:r>
            <w:r w:rsidRPr="00011517">
              <w:rPr>
                <w:rFonts w:eastAsia="TimesNewRoman"/>
                <w:b/>
                <w:bCs/>
              </w:rPr>
              <w:t xml:space="preserve"> (%)</w:t>
            </w:r>
          </w:p>
        </w:tc>
        <w:tc>
          <w:tcPr>
            <w:tcW w:w="1984" w:type="dxa"/>
            <w:vAlign w:val="center"/>
          </w:tcPr>
          <w:p w14:paraId="2CCB1471"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194 (8,3)</w:t>
            </w:r>
          </w:p>
        </w:tc>
        <w:tc>
          <w:tcPr>
            <w:tcW w:w="2404" w:type="dxa"/>
            <w:vAlign w:val="center"/>
          </w:tcPr>
          <w:p w14:paraId="05DBEE9F"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269 (5,7)</w:t>
            </w:r>
          </w:p>
        </w:tc>
      </w:tr>
      <w:tr w:rsidR="00345876" w:rsidRPr="00A40FCE" w14:paraId="4921BDF5" w14:textId="77777777" w:rsidTr="007756D8">
        <w:tc>
          <w:tcPr>
            <w:tcW w:w="4957" w:type="dxa"/>
            <w:vAlign w:val="center"/>
          </w:tcPr>
          <w:p w14:paraId="701BE40F"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 ДИ)</w:t>
            </w:r>
          </w:p>
        </w:tc>
        <w:tc>
          <w:tcPr>
            <w:tcW w:w="1984" w:type="dxa"/>
            <w:vAlign w:val="center"/>
          </w:tcPr>
          <w:p w14:paraId="79090A22"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6AD6AFC3"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0,68</w:t>
            </w:r>
            <w:r>
              <w:rPr>
                <w:rFonts w:eastAsia="TimesNewRoman"/>
              </w:rPr>
              <w:br/>
              <w:t>(0,57; 0,82)</w:t>
            </w:r>
          </w:p>
        </w:tc>
      </w:tr>
      <w:tr w:rsidR="00345876" w:rsidRPr="00A40FCE" w14:paraId="22127783" w14:textId="77777777" w:rsidTr="007756D8">
        <w:tc>
          <w:tcPr>
            <w:tcW w:w="4957" w:type="dxa"/>
            <w:vAlign w:val="center"/>
          </w:tcPr>
          <w:p w14:paraId="2E812C0F"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Значение р</w:t>
            </w:r>
          </w:p>
        </w:tc>
        <w:tc>
          <w:tcPr>
            <w:tcW w:w="1984" w:type="dxa"/>
            <w:vAlign w:val="center"/>
          </w:tcPr>
          <w:p w14:paraId="2C83FCF0"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5E8B5396"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lang w:val="en-US"/>
              </w:rPr>
              <w:t>&lt;</w:t>
            </w:r>
            <w:r>
              <w:rPr>
                <w:rFonts w:eastAsia="TimesNewRoman"/>
              </w:rPr>
              <w:t>0,0001</w:t>
            </w:r>
          </w:p>
        </w:tc>
      </w:tr>
      <w:tr w:rsidR="00345876" w:rsidRPr="00A40FCE" w14:paraId="1C1F4A5A" w14:textId="77777777" w:rsidTr="007756D8">
        <w:tc>
          <w:tcPr>
            <w:tcW w:w="4957" w:type="dxa"/>
            <w:vAlign w:val="center"/>
          </w:tcPr>
          <w:p w14:paraId="397FA426" w14:textId="77777777" w:rsidR="00345876" w:rsidRPr="00011517" w:rsidRDefault="00345876" w:rsidP="004B66CD">
            <w:pPr>
              <w:autoSpaceDE w:val="0"/>
              <w:autoSpaceDN w:val="0"/>
              <w:adjustRightInd w:val="0"/>
              <w:spacing w:line="240" w:lineRule="auto"/>
              <w:contextualSpacing/>
              <w:rPr>
                <w:rFonts w:eastAsia="TimesNewRoman"/>
                <w:b/>
                <w:bCs/>
              </w:rPr>
            </w:pPr>
            <w:r w:rsidRPr="00011517">
              <w:rPr>
                <w:rFonts w:eastAsia="TimesNewRoman"/>
                <w:b/>
                <w:bCs/>
              </w:rPr>
              <w:t xml:space="preserve">Смерть не связанная с СС событиями, </w:t>
            </w:r>
            <w:r w:rsidRPr="00011517">
              <w:rPr>
                <w:rFonts w:eastAsia="TimesNewRoman"/>
                <w:b/>
                <w:bCs/>
                <w:lang w:val="en-US"/>
              </w:rPr>
              <w:t>n</w:t>
            </w:r>
            <w:r w:rsidRPr="00011517">
              <w:rPr>
                <w:rFonts w:eastAsia="TimesNewRoman"/>
                <w:b/>
                <w:bCs/>
              </w:rPr>
              <w:t xml:space="preserve"> (%)</w:t>
            </w:r>
          </w:p>
        </w:tc>
        <w:tc>
          <w:tcPr>
            <w:tcW w:w="1984" w:type="dxa"/>
            <w:vAlign w:val="center"/>
          </w:tcPr>
          <w:p w14:paraId="70C90B30"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57 (2,4)</w:t>
            </w:r>
          </w:p>
        </w:tc>
        <w:tc>
          <w:tcPr>
            <w:tcW w:w="2404" w:type="dxa"/>
            <w:vAlign w:val="center"/>
          </w:tcPr>
          <w:p w14:paraId="6BBF11EB"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97 (2,1)</w:t>
            </w:r>
          </w:p>
        </w:tc>
      </w:tr>
      <w:tr w:rsidR="00345876" w:rsidRPr="00A40FCE" w14:paraId="4EB26CC3" w14:textId="77777777" w:rsidTr="007756D8">
        <w:tc>
          <w:tcPr>
            <w:tcW w:w="4957" w:type="dxa"/>
            <w:vAlign w:val="center"/>
          </w:tcPr>
          <w:p w14:paraId="77741A69" w14:textId="77777777" w:rsidR="00345876" w:rsidRPr="00A40FCE" w:rsidRDefault="00345876" w:rsidP="004B66CD">
            <w:pPr>
              <w:autoSpaceDE w:val="0"/>
              <w:autoSpaceDN w:val="0"/>
              <w:adjustRightInd w:val="0"/>
              <w:spacing w:line="240" w:lineRule="auto"/>
              <w:ind w:left="175"/>
              <w:contextualSpacing/>
              <w:rPr>
                <w:rFonts w:eastAsia="TimesNewRoman"/>
              </w:rPr>
            </w:pPr>
            <w:r>
              <w:rPr>
                <w:rFonts w:eastAsia="TimesNewRoman"/>
              </w:rPr>
              <w:t>ОР в сравнении с плацебо (95% ДИ)</w:t>
            </w:r>
          </w:p>
        </w:tc>
        <w:tc>
          <w:tcPr>
            <w:tcW w:w="1984" w:type="dxa"/>
            <w:vAlign w:val="center"/>
          </w:tcPr>
          <w:p w14:paraId="3C26256E" w14:textId="77777777" w:rsidR="00345876" w:rsidRPr="00A40FCE" w:rsidRDefault="00345876" w:rsidP="004B66CD">
            <w:pPr>
              <w:autoSpaceDE w:val="0"/>
              <w:autoSpaceDN w:val="0"/>
              <w:adjustRightInd w:val="0"/>
              <w:spacing w:line="240" w:lineRule="auto"/>
              <w:contextualSpacing/>
              <w:jc w:val="center"/>
              <w:rPr>
                <w:rFonts w:eastAsia="TimesNewRoman"/>
              </w:rPr>
            </w:pPr>
          </w:p>
        </w:tc>
        <w:tc>
          <w:tcPr>
            <w:tcW w:w="2404" w:type="dxa"/>
            <w:vAlign w:val="center"/>
          </w:tcPr>
          <w:p w14:paraId="1E76CD65" w14:textId="77777777" w:rsidR="00345876" w:rsidRPr="00A40FCE" w:rsidRDefault="00345876" w:rsidP="004B66CD">
            <w:pPr>
              <w:autoSpaceDE w:val="0"/>
              <w:autoSpaceDN w:val="0"/>
              <w:adjustRightInd w:val="0"/>
              <w:spacing w:line="240" w:lineRule="auto"/>
              <w:contextualSpacing/>
              <w:jc w:val="center"/>
              <w:rPr>
                <w:rFonts w:eastAsia="TimesNewRoman"/>
              </w:rPr>
            </w:pPr>
            <w:r>
              <w:rPr>
                <w:rFonts w:eastAsia="TimesNewRoman"/>
              </w:rPr>
              <w:t>0,84</w:t>
            </w:r>
            <w:r>
              <w:rPr>
                <w:rFonts w:eastAsia="TimesNewRoman"/>
              </w:rPr>
              <w:br/>
              <w:t>(0,60; 1,16)</w:t>
            </w:r>
          </w:p>
        </w:tc>
      </w:tr>
      <w:tr w:rsidR="00345876" w:rsidRPr="00A40FCE" w14:paraId="1EAEC190" w14:textId="77777777" w:rsidTr="007756D8">
        <w:tc>
          <w:tcPr>
            <w:tcW w:w="9345" w:type="dxa"/>
            <w:gridSpan w:val="3"/>
          </w:tcPr>
          <w:p w14:paraId="2E036336" w14:textId="77777777" w:rsidR="00345876" w:rsidRPr="00A40FCE" w:rsidRDefault="00345876" w:rsidP="004B66CD">
            <w:pPr>
              <w:autoSpaceDE w:val="0"/>
              <w:autoSpaceDN w:val="0"/>
              <w:adjustRightInd w:val="0"/>
              <w:spacing w:line="240" w:lineRule="auto"/>
              <w:ind w:firstLine="22"/>
              <w:contextualSpacing/>
              <w:rPr>
                <w:rFonts w:eastAsia="TimesNewRoman"/>
                <w:b/>
                <w:bCs/>
                <w:sz w:val="20"/>
                <w:szCs w:val="20"/>
              </w:rPr>
            </w:pPr>
            <w:r w:rsidRPr="00A40FCE">
              <w:rPr>
                <w:rFonts w:eastAsia="TimesNewRoman"/>
                <w:b/>
                <w:bCs/>
                <w:sz w:val="20"/>
                <w:szCs w:val="20"/>
              </w:rPr>
              <w:t>Примечание:</w:t>
            </w:r>
          </w:p>
          <w:p w14:paraId="5301D772" w14:textId="77777777" w:rsidR="00345876" w:rsidRDefault="00345876" w:rsidP="004B66CD">
            <w:pPr>
              <w:autoSpaceDE w:val="0"/>
              <w:autoSpaceDN w:val="0"/>
              <w:adjustRightInd w:val="0"/>
              <w:spacing w:line="240" w:lineRule="auto"/>
              <w:ind w:firstLine="22"/>
              <w:contextualSpacing/>
              <w:rPr>
                <w:rFonts w:eastAsia="TimesNewRoman"/>
                <w:sz w:val="20"/>
                <w:szCs w:val="20"/>
              </w:rPr>
            </w:pPr>
            <w:r w:rsidRPr="00A40FCE">
              <w:rPr>
                <w:rFonts w:eastAsia="TimesNewRoman"/>
                <w:sz w:val="20"/>
                <w:szCs w:val="20"/>
                <w:lang w:val="en-US"/>
              </w:rPr>
              <w:t>C</w:t>
            </w:r>
            <w:r w:rsidRPr="00A40FCE">
              <w:rPr>
                <w:rFonts w:eastAsia="TimesNewRoman"/>
                <w:sz w:val="20"/>
                <w:szCs w:val="20"/>
              </w:rPr>
              <w:t>С = сердечно-сосудистые, ИМ = инфаркт миокарда</w:t>
            </w:r>
            <w:r>
              <w:rPr>
                <w:rFonts w:eastAsia="TimesNewRoman"/>
                <w:sz w:val="20"/>
                <w:szCs w:val="20"/>
              </w:rPr>
              <w:t xml:space="preserve">, ОР – отношение рисков, ДИ – доверительный </w:t>
            </w:r>
            <w:r w:rsidRPr="000D52F3">
              <w:rPr>
                <w:rFonts w:eastAsia="TimesNewRoman"/>
                <w:sz w:val="20"/>
                <w:szCs w:val="20"/>
              </w:rPr>
              <w:t xml:space="preserve">интервал, </w:t>
            </w:r>
            <w:r w:rsidRPr="000D52F3">
              <w:rPr>
                <w:rFonts w:eastAsia="TimesNewRoman"/>
                <w:sz w:val="20"/>
                <w:szCs w:val="20"/>
                <w:lang w:val="en-US"/>
              </w:rPr>
              <w:t>Superiority</w:t>
            </w:r>
            <w:r w:rsidRPr="000D52F3">
              <w:rPr>
                <w:rFonts w:eastAsia="TimesNewRoman"/>
                <w:sz w:val="20"/>
                <w:szCs w:val="20"/>
              </w:rPr>
              <w:t xml:space="preserve"> – превосходит плацебо;</w:t>
            </w:r>
          </w:p>
          <w:p w14:paraId="08B31F89" w14:textId="77777777" w:rsidR="00345876" w:rsidRPr="000D52F3" w:rsidRDefault="00345876" w:rsidP="004B66CD">
            <w:pPr>
              <w:autoSpaceDE w:val="0"/>
              <w:autoSpaceDN w:val="0"/>
              <w:adjustRightInd w:val="0"/>
              <w:spacing w:line="240" w:lineRule="auto"/>
              <w:ind w:firstLine="22"/>
              <w:contextualSpacing/>
              <w:rPr>
                <w:rFonts w:eastAsia="TimesNewRoman"/>
                <w:sz w:val="20"/>
                <w:szCs w:val="20"/>
              </w:rPr>
            </w:pPr>
            <w:r w:rsidRPr="000D52F3">
              <w:rPr>
                <w:rFonts w:eastAsia="TimesNewRoman"/>
                <w:sz w:val="20"/>
                <w:szCs w:val="20"/>
                <w:lang w:val="en-US"/>
              </w:rPr>
              <w:t>n</w:t>
            </w:r>
            <w:r w:rsidRPr="000D52F3">
              <w:rPr>
                <w:rFonts w:eastAsia="TimesNewRoman"/>
                <w:sz w:val="20"/>
                <w:szCs w:val="20"/>
              </w:rPr>
              <w:t xml:space="preserve"> – количество пациентов;</w:t>
            </w:r>
          </w:p>
          <w:p w14:paraId="5ACD8C8E" w14:textId="77777777" w:rsidR="00345876" w:rsidRPr="00A40FCE" w:rsidRDefault="00345876" w:rsidP="004B66CD">
            <w:pPr>
              <w:autoSpaceDE w:val="0"/>
              <w:autoSpaceDN w:val="0"/>
              <w:adjustRightInd w:val="0"/>
              <w:spacing w:line="240" w:lineRule="auto"/>
              <w:ind w:firstLine="22"/>
              <w:contextualSpacing/>
              <w:rPr>
                <w:rFonts w:eastAsia="TimesNewRoman"/>
                <w:sz w:val="20"/>
                <w:szCs w:val="20"/>
              </w:rPr>
            </w:pPr>
            <w:r w:rsidRPr="00A40FCE">
              <w:rPr>
                <w:rFonts w:eastAsia="TimesNewRoman"/>
                <w:sz w:val="20"/>
                <w:szCs w:val="20"/>
                <w:lang w:val="en-US"/>
              </w:rPr>
              <w:t>a</w:t>
            </w:r>
            <w:r w:rsidRPr="00A40FCE">
              <w:rPr>
                <w:rFonts w:eastAsia="TimesNewRoman"/>
                <w:sz w:val="20"/>
                <w:szCs w:val="20"/>
              </w:rPr>
              <w:t xml:space="preserve"> - Пролеченная группа (пациенты, получившие хотя бы одну дозу исследуемого препарата);</w:t>
            </w:r>
          </w:p>
          <w:p w14:paraId="1A960FDC" w14:textId="77777777" w:rsidR="00345876" w:rsidRPr="00A40FCE" w:rsidRDefault="00345876" w:rsidP="004B66CD">
            <w:pPr>
              <w:autoSpaceDE w:val="0"/>
              <w:autoSpaceDN w:val="0"/>
              <w:adjustRightInd w:val="0"/>
              <w:spacing w:line="240" w:lineRule="auto"/>
              <w:ind w:firstLine="22"/>
              <w:contextualSpacing/>
              <w:rPr>
                <w:rFonts w:eastAsia="TimesNewRoman"/>
                <w:sz w:val="20"/>
                <w:szCs w:val="20"/>
              </w:rPr>
            </w:pPr>
            <w:r w:rsidRPr="00A40FCE">
              <w:rPr>
                <w:rFonts w:eastAsia="TimesNewRoman"/>
                <w:sz w:val="20"/>
                <w:szCs w:val="20"/>
                <w:lang w:val="en-US"/>
              </w:rPr>
              <w:t>b</w:t>
            </w:r>
            <w:r w:rsidRPr="00A40FCE">
              <w:rPr>
                <w:rFonts w:eastAsia="TimesNewRoman"/>
                <w:sz w:val="20"/>
                <w:szCs w:val="20"/>
              </w:rPr>
              <w:t xml:space="preserve"> - Объединенные дозы эмпаглифлозина 10 мг и 25 мг;</w:t>
            </w:r>
          </w:p>
          <w:p w14:paraId="09EB3075" w14:textId="77777777" w:rsidR="00345876" w:rsidRPr="00A40FCE" w:rsidRDefault="00345876" w:rsidP="004B66CD">
            <w:pPr>
              <w:autoSpaceDE w:val="0"/>
              <w:autoSpaceDN w:val="0"/>
              <w:adjustRightInd w:val="0"/>
              <w:spacing w:line="240" w:lineRule="auto"/>
              <w:ind w:firstLine="22"/>
              <w:contextualSpacing/>
              <w:rPr>
                <w:rFonts w:eastAsia="TimesNewRoman"/>
              </w:rPr>
            </w:pPr>
            <w:r w:rsidRPr="00A40FCE">
              <w:rPr>
                <w:rFonts w:eastAsia="TimesNewRoman"/>
                <w:sz w:val="20"/>
                <w:szCs w:val="20"/>
              </w:rPr>
              <w:t xml:space="preserve">* - Поскольку данные исследования были включены в промежуточный анализ, применялся двусторонний доверительный интервал 95,02%, который соответствует значению </w:t>
            </w:r>
            <w:r w:rsidRPr="00A40FCE">
              <w:rPr>
                <w:rFonts w:eastAsia="TimesNewRoman"/>
                <w:sz w:val="20"/>
                <w:szCs w:val="20"/>
                <w:lang w:val="en-US"/>
              </w:rPr>
              <w:t>p</w:t>
            </w:r>
            <w:r w:rsidRPr="00A40FCE">
              <w:rPr>
                <w:rFonts w:eastAsia="TimesNewRoman"/>
                <w:sz w:val="20"/>
                <w:szCs w:val="20"/>
              </w:rPr>
              <w:t xml:space="preserve"> &lt; 0,0498 для значимости.</w:t>
            </w:r>
          </w:p>
        </w:tc>
      </w:tr>
    </w:tbl>
    <w:p w14:paraId="695BDA23" w14:textId="463C1D9D" w:rsidR="004B66CD" w:rsidRPr="000A2765" w:rsidRDefault="004B66CD" w:rsidP="00856F9A">
      <w:pPr>
        <w:autoSpaceDE w:val="0"/>
        <w:autoSpaceDN w:val="0"/>
        <w:adjustRightInd w:val="0"/>
        <w:spacing w:after="0" w:line="240" w:lineRule="auto"/>
        <w:contextualSpacing/>
        <w:rPr>
          <w:rFonts w:eastAsia="TimesNewRoman"/>
        </w:rPr>
      </w:pPr>
    </w:p>
    <w:p w14:paraId="5523791B" w14:textId="77777777" w:rsidR="00DC32F1" w:rsidRDefault="00DC32F1">
      <w:pPr>
        <w:spacing w:after="0" w:line="240" w:lineRule="auto"/>
        <w:jc w:val="left"/>
        <w:rPr>
          <w:rFonts w:eastAsia="TimesNewRoman"/>
          <w:b/>
          <w:bCs/>
        </w:rPr>
      </w:pPr>
      <w:r>
        <w:rPr>
          <w:rFonts w:eastAsia="TimesNewRoman"/>
          <w:b/>
          <w:bCs/>
        </w:rPr>
        <w:br w:type="page"/>
      </w:r>
    </w:p>
    <w:p w14:paraId="286E0476" w14:textId="5C6977BD" w:rsidR="00345876" w:rsidRPr="00A40FCE" w:rsidRDefault="00345876" w:rsidP="00345876">
      <w:pPr>
        <w:autoSpaceDE w:val="0"/>
        <w:autoSpaceDN w:val="0"/>
        <w:adjustRightInd w:val="0"/>
        <w:spacing w:after="0" w:line="240" w:lineRule="auto"/>
        <w:contextualSpacing/>
        <w:rPr>
          <w:rFonts w:eastAsia="TimesNewRoman"/>
        </w:rPr>
      </w:pPr>
      <w:r w:rsidRPr="002604EF">
        <w:rPr>
          <w:rFonts w:eastAsia="TimesNewRoman"/>
          <w:b/>
          <w:bCs/>
        </w:rPr>
        <w:lastRenderedPageBreak/>
        <w:t xml:space="preserve">Рисунок </w:t>
      </w:r>
      <w:r w:rsidR="002604EF" w:rsidRPr="000C7F59">
        <w:rPr>
          <w:rFonts w:eastAsia="TimesNewRoman"/>
          <w:b/>
          <w:bCs/>
        </w:rPr>
        <w:t>4-</w:t>
      </w:r>
      <w:r w:rsidRPr="002604EF">
        <w:rPr>
          <w:rFonts w:eastAsia="TimesNewRoman"/>
          <w:b/>
          <w:bCs/>
        </w:rPr>
        <w:t>1.</w:t>
      </w:r>
      <w:r w:rsidRPr="002604EF">
        <w:rPr>
          <w:rFonts w:eastAsia="TimesNewRoman"/>
        </w:rPr>
        <w:t xml:space="preserve"> Время</w:t>
      </w:r>
      <w:r w:rsidRPr="00A40FCE">
        <w:rPr>
          <w:rFonts w:eastAsia="TimesNewRoman"/>
        </w:rPr>
        <w:t xml:space="preserve"> до наступления </w:t>
      </w:r>
      <w:r>
        <w:rPr>
          <w:rFonts w:eastAsia="TimesNewRoman"/>
        </w:rPr>
        <w:t xml:space="preserve">смерти от </w:t>
      </w:r>
      <w:r w:rsidRPr="00A40FCE">
        <w:rPr>
          <w:rFonts w:eastAsia="TimesNewRoman"/>
        </w:rPr>
        <w:t xml:space="preserve">сердечно-сосудистой </w:t>
      </w:r>
      <w:r>
        <w:rPr>
          <w:rFonts w:eastAsia="TimesNewRoman"/>
        </w:rPr>
        <w:t>патологии</w:t>
      </w:r>
      <w:r w:rsidRPr="00A40FCE">
        <w:rPr>
          <w:rFonts w:eastAsia="TimesNewRoman"/>
        </w:rPr>
        <w:t xml:space="preserve"> в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Pr>
          <w:rFonts w:eastAsia="TimesNewRoman"/>
        </w:rPr>
        <w:t>.</w:t>
      </w:r>
    </w:p>
    <w:p w14:paraId="1FADE9E7"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r w:rsidRPr="002E070C">
        <w:rPr>
          <w:rFonts w:eastAsia="TimesNewRoman"/>
          <w:noProof/>
          <w:lang w:eastAsia="ru-RU"/>
        </w:rPr>
        <w:drawing>
          <wp:inline distT="0" distB="0" distL="0" distR="0" wp14:anchorId="23171A4E" wp14:editId="4858F116">
            <wp:extent cx="5124450" cy="2914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2">
                      <a:extLst>
                        <a:ext uri="{28A0092B-C50C-407E-A947-70E740481C1C}">
                          <a14:useLocalDpi xmlns:a14="http://schemas.microsoft.com/office/drawing/2010/main" val="0"/>
                        </a:ext>
                      </a:extLst>
                    </a:blip>
                    <a:stretch>
                      <a:fillRect/>
                    </a:stretch>
                  </pic:blipFill>
                  <pic:spPr>
                    <a:xfrm>
                      <a:off x="0" y="0"/>
                      <a:ext cx="5124450" cy="2914650"/>
                    </a:xfrm>
                    <a:prstGeom prst="rect">
                      <a:avLst/>
                    </a:prstGeom>
                  </pic:spPr>
                </pic:pic>
              </a:graphicData>
            </a:graphic>
          </wp:inline>
        </w:drawing>
      </w:r>
    </w:p>
    <w:p w14:paraId="6DF2FDE2" w14:textId="77777777" w:rsidR="00345876" w:rsidRPr="00A40FCE" w:rsidRDefault="00345876" w:rsidP="00345876">
      <w:pPr>
        <w:autoSpaceDE w:val="0"/>
        <w:autoSpaceDN w:val="0"/>
        <w:adjustRightInd w:val="0"/>
        <w:spacing w:after="0" w:line="240" w:lineRule="auto"/>
        <w:contextualSpacing/>
        <w:rPr>
          <w:rFonts w:eastAsia="TimesNewRoman"/>
          <w:b/>
          <w:bCs/>
          <w:sz w:val="20"/>
          <w:szCs w:val="20"/>
        </w:rPr>
      </w:pPr>
      <w:r w:rsidRPr="00A40FCE">
        <w:rPr>
          <w:rFonts w:eastAsia="TimesNewRoman"/>
          <w:b/>
          <w:bCs/>
          <w:sz w:val="20"/>
          <w:szCs w:val="20"/>
        </w:rPr>
        <w:t>Примечание:</w:t>
      </w:r>
    </w:p>
    <w:p w14:paraId="1E02C56F" w14:textId="77777777" w:rsidR="00345876" w:rsidRPr="00A40FCE" w:rsidRDefault="00345876" w:rsidP="00345876">
      <w:pPr>
        <w:autoSpaceDE w:val="0"/>
        <w:autoSpaceDN w:val="0"/>
        <w:adjustRightInd w:val="0"/>
        <w:spacing w:after="0" w:line="240" w:lineRule="auto"/>
        <w:contextualSpacing/>
        <w:rPr>
          <w:rFonts w:eastAsia="TimesNewRoman"/>
          <w:sz w:val="20"/>
          <w:szCs w:val="20"/>
        </w:rPr>
      </w:pPr>
      <w:r w:rsidRPr="00A40FCE">
        <w:rPr>
          <w:rFonts w:eastAsia="TimesNewRoman"/>
          <w:sz w:val="20"/>
          <w:szCs w:val="20"/>
          <w:lang w:val="en-US"/>
        </w:rPr>
        <w:t>Patients</w:t>
      </w:r>
      <w:r w:rsidRPr="00A40FCE">
        <w:rPr>
          <w:rFonts w:eastAsia="TimesNewRoman"/>
          <w:sz w:val="20"/>
          <w:szCs w:val="20"/>
        </w:rPr>
        <w:t xml:space="preserve"> </w:t>
      </w:r>
      <w:r w:rsidRPr="00A40FCE">
        <w:rPr>
          <w:rFonts w:eastAsia="TimesNewRoman"/>
          <w:sz w:val="20"/>
          <w:szCs w:val="20"/>
          <w:lang w:val="en-US"/>
        </w:rPr>
        <w:t>with</w:t>
      </w:r>
      <w:r w:rsidRPr="00A40FCE">
        <w:rPr>
          <w:rFonts w:eastAsia="TimesNewRoman"/>
          <w:sz w:val="20"/>
          <w:szCs w:val="20"/>
        </w:rPr>
        <w:t xml:space="preserve"> </w:t>
      </w:r>
      <w:r w:rsidRPr="00A40FCE">
        <w:rPr>
          <w:rFonts w:eastAsia="TimesNewRoman"/>
          <w:sz w:val="20"/>
          <w:szCs w:val="20"/>
          <w:lang w:val="en-US"/>
        </w:rPr>
        <w:t>event</w:t>
      </w:r>
      <w:r w:rsidRPr="00A40FCE">
        <w:rPr>
          <w:rFonts w:eastAsia="TimesNewRoman"/>
          <w:sz w:val="20"/>
          <w:szCs w:val="20"/>
        </w:rPr>
        <w:t xml:space="preserve"> – пациенты, с зарегистрированным исхо</w:t>
      </w:r>
      <w:r>
        <w:rPr>
          <w:rFonts w:eastAsia="TimesNewRoman"/>
          <w:sz w:val="20"/>
          <w:szCs w:val="20"/>
        </w:rPr>
        <w:t>д</w:t>
      </w:r>
      <w:r w:rsidRPr="00A40FCE">
        <w:rPr>
          <w:rFonts w:eastAsia="TimesNewRoman"/>
          <w:sz w:val="20"/>
          <w:szCs w:val="20"/>
        </w:rPr>
        <w:t xml:space="preserve">ом (смерть от сердечно-сосудистой патологии); </w:t>
      </w:r>
      <w:r w:rsidRPr="00A40FCE">
        <w:rPr>
          <w:rFonts w:eastAsia="TimesNewRoman"/>
          <w:sz w:val="20"/>
          <w:szCs w:val="20"/>
          <w:lang w:val="en-US"/>
        </w:rPr>
        <w:t>time</w:t>
      </w:r>
      <w:r w:rsidRPr="00A40FCE">
        <w:rPr>
          <w:rFonts w:eastAsia="TimesNewRoman"/>
          <w:sz w:val="20"/>
          <w:szCs w:val="20"/>
        </w:rPr>
        <w:t xml:space="preserve"> </w:t>
      </w:r>
      <w:r w:rsidRPr="00A40FCE">
        <w:rPr>
          <w:rFonts w:eastAsia="TimesNewRoman"/>
          <w:sz w:val="20"/>
          <w:szCs w:val="20"/>
          <w:lang w:val="en-US"/>
        </w:rPr>
        <w:t>since</w:t>
      </w:r>
      <w:r w:rsidRPr="00A40FCE">
        <w:rPr>
          <w:rFonts w:eastAsia="TimesNewRoman"/>
          <w:sz w:val="20"/>
          <w:szCs w:val="20"/>
        </w:rPr>
        <w:t xml:space="preserve"> </w:t>
      </w:r>
      <w:r w:rsidRPr="00A40FCE">
        <w:rPr>
          <w:rFonts w:eastAsia="TimesNewRoman"/>
          <w:sz w:val="20"/>
          <w:szCs w:val="20"/>
          <w:lang w:val="en-US"/>
        </w:rPr>
        <w:t>randomization</w:t>
      </w:r>
      <w:r w:rsidRPr="00A40FCE">
        <w:rPr>
          <w:rFonts w:eastAsia="TimesNewRoman"/>
          <w:sz w:val="20"/>
          <w:szCs w:val="20"/>
        </w:rPr>
        <w:t xml:space="preserve"> – время от момента рандомизации.</w:t>
      </w:r>
    </w:p>
    <w:p w14:paraId="6B5CF063" w14:textId="77777777" w:rsidR="00345876" w:rsidRPr="00A40FCE" w:rsidRDefault="00345876" w:rsidP="00345876">
      <w:pPr>
        <w:autoSpaceDE w:val="0"/>
        <w:autoSpaceDN w:val="0"/>
        <w:adjustRightInd w:val="0"/>
        <w:spacing w:after="0" w:line="240" w:lineRule="auto"/>
        <w:ind w:firstLine="709"/>
        <w:contextualSpacing/>
        <w:rPr>
          <w:rFonts w:eastAsia="TimesNewRoman"/>
        </w:rPr>
      </w:pPr>
    </w:p>
    <w:p w14:paraId="677F0797" w14:textId="77777777" w:rsidR="00345876" w:rsidRPr="00227751" w:rsidRDefault="00345876" w:rsidP="00345876">
      <w:pPr>
        <w:autoSpaceDE w:val="0"/>
        <w:autoSpaceDN w:val="0"/>
        <w:adjustRightInd w:val="0"/>
        <w:spacing w:after="0" w:line="240" w:lineRule="auto"/>
        <w:contextualSpacing/>
        <w:rPr>
          <w:rFonts w:eastAsia="TimesNewRoman"/>
          <w:b/>
          <w:bCs/>
          <w:i/>
          <w:iCs/>
        </w:rPr>
      </w:pPr>
      <w:r w:rsidRPr="00227751">
        <w:rPr>
          <w:rFonts w:eastAsia="TimesNewRoman"/>
          <w:b/>
          <w:bCs/>
          <w:i/>
          <w:iCs/>
        </w:rPr>
        <w:t>Эффект эмпаглифлозина на сердечную недостаточность, требующую госпитализации</w:t>
      </w:r>
    </w:p>
    <w:p w14:paraId="0F530EFD"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0072BF4E" w14:textId="17B978D1" w:rsidR="00345876"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В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sidRPr="00A40FCE">
        <w:rPr>
          <w:rFonts w:eastAsia="TimesNewRoman"/>
        </w:rPr>
        <w:t xml:space="preserve"> эмпаглифлозин снижал риск сердечной недостаточности, требующей госпитализации, по сравнению с плацебо (эмпаглифлозин 2,7%; плацебо 4,1%; ОР 0,65, 95% ДИ 0,50</w:t>
      </w:r>
      <w:r>
        <w:rPr>
          <w:rFonts w:eastAsia="TimesNewRoman"/>
        </w:rPr>
        <w:t>;</w:t>
      </w:r>
      <w:r w:rsidRPr="00A40FCE">
        <w:rPr>
          <w:rFonts w:eastAsia="TimesNewRoman"/>
        </w:rPr>
        <w:t xml:space="preserve"> 0,85)</w:t>
      </w:r>
      <w:r w:rsidR="004B66CD" w:rsidRPr="004B66CD">
        <w:rPr>
          <w:rFonts w:eastAsia="TimesNewRoman"/>
        </w:rPr>
        <w:t xml:space="preserve"> [21]</w:t>
      </w:r>
      <w:r w:rsidRPr="00A40FCE">
        <w:rPr>
          <w:rFonts w:eastAsia="TimesNewRoman"/>
        </w:rPr>
        <w:t>.</w:t>
      </w:r>
    </w:p>
    <w:p w14:paraId="4D21BA13" w14:textId="77777777" w:rsidR="00345876" w:rsidRPr="00A40FCE" w:rsidRDefault="00345876" w:rsidP="00345876">
      <w:pPr>
        <w:autoSpaceDE w:val="0"/>
        <w:autoSpaceDN w:val="0"/>
        <w:adjustRightInd w:val="0"/>
        <w:spacing w:after="0" w:line="240" w:lineRule="auto"/>
        <w:ind w:firstLine="709"/>
        <w:contextualSpacing/>
        <w:rPr>
          <w:rFonts w:eastAsia="TimesNewRoman"/>
        </w:rPr>
      </w:pPr>
    </w:p>
    <w:p w14:paraId="21EC4139" w14:textId="77777777" w:rsidR="00345876" w:rsidRPr="00A40FCE"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 эмпаглифлозина на нефропатию</w:t>
      </w:r>
    </w:p>
    <w:p w14:paraId="7F8EF03C" w14:textId="77777777" w:rsidR="00345876" w:rsidRPr="000A2765" w:rsidRDefault="00345876" w:rsidP="00345876">
      <w:pPr>
        <w:autoSpaceDE w:val="0"/>
        <w:autoSpaceDN w:val="0"/>
        <w:adjustRightInd w:val="0"/>
        <w:spacing w:after="0" w:line="240" w:lineRule="auto"/>
        <w:ind w:firstLine="709"/>
        <w:contextualSpacing/>
        <w:rPr>
          <w:rFonts w:eastAsia="TimesNewRoman"/>
        </w:rPr>
      </w:pPr>
    </w:p>
    <w:p w14:paraId="29A32768" w14:textId="77777777" w:rsidR="00345876" w:rsidRPr="00A40FCE"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 xml:space="preserve">В исследовании </w:t>
      </w:r>
      <w:r w:rsidRPr="00A40FCE">
        <w:rPr>
          <w:rFonts w:eastAsia="TimesNewRoman"/>
          <w:lang w:val="en-US"/>
        </w:rPr>
        <w:t>EMPA</w:t>
      </w:r>
      <w:r w:rsidRPr="00A40FCE">
        <w:rPr>
          <w:rFonts w:eastAsia="TimesNewRoman"/>
        </w:rPr>
        <w:t>-</w:t>
      </w:r>
      <w:r w:rsidRPr="00A40FCE">
        <w:rPr>
          <w:rFonts w:eastAsia="TimesNewRoman"/>
          <w:lang w:val="en-US"/>
        </w:rPr>
        <w:t>REG</w:t>
      </w:r>
      <w:r w:rsidRPr="00A40FCE">
        <w:rPr>
          <w:rFonts w:eastAsia="TimesNewRoman"/>
        </w:rPr>
        <w:t xml:space="preserve"> </w:t>
      </w:r>
      <w:r w:rsidRPr="00A40FCE">
        <w:rPr>
          <w:rFonts w:eastAsia="TimesNewRoman"/>
          <w:lang w:val="en-US"/>
        </w:rPr>
        <w:t>OUTCOME</w:t>
      </w:r>
      <w:r w:rsidRPr="00A40FCE">
        <w:rPr>
          <w:rFonts w:eastAsia="TimesNewRoman"/>
        </w:rPr>
        <w:t xml:space="preserve"> для времени до первого </w:t>
      </w:r>
      <w:r>
        <w:rPr>
          <w:rFonts w:eastAsia="TimesNewRoman"/>
        </w:rPr>
        <w:t>про</w:t>
      </w:r>
      <w:r w:rsidRPr="00A40FCE">
        <w:rPr>
          <w:rFonts w:eastAsia="TimesNewRoman"/>
        </w:rPr>
        <w:t>явления нефропатии ОР составил</w:t>
      </w:r>
      <w:r>
        <w:rPr>
          <w:rFonts w:eastAsia="TimesNewRoman"/>
        </w:rPr>
        <w:t>о</w:t>
      </w:r>
      <w:r w:rsidRPr="00A40FCE">
        <w:rPr>
          <w:rFonts w:eastAsia="TimesNewRoman"/>
        </w:rPr>
        <w:t xml:space="preserve"> 0,61 (95% ДИ 0,53</w:t>
      </w:r>
      <w:r>
        <w:rPr>
          <w:rFonts w:eastAsia="TimesNewRoman"/>
        </w:rPr>
        <w:t>;</w:t>
      </w:r>
      <w:r w:rsidRPr="00A40FCE">
        <w:rPr>
          <w:rFonts w:eastAsia="TimesNewRoman"/>
        </w:rPr>
        <w:t xml:space="preserve"> 0,70) для эмпаглифлозина (12,7%) по сравнению с плацебо (18,8%).</w:t>
      </w:r>
    </w:p>
    <w:p w14:paraId="732B9320" w14:textId="640CB18F" w:rsidR="00345876" w:rsidRPr="004B66CD" w:rsidRDefault="00345876" w:rsidP="00345876">
      <w:pPr>
        <w:autoSpaceDE w:val="0"/>
        <w:autoSpaceDN w:val="0"/>
        <w:adjustRightInd w:val="0"/>
        <w:spacing w:after="0" w:line="240" w:lineRule="auto"/>
        <w:ind w:firstLine="709"/>
        <w:contextualSpacing/>
        <w:rPr>
          <w:rFonts w:eastAsia="TimesNewRoman"/>
        </w:rPr>
      </w:pPr>
      <w:r w:rsidRPr="00A40FCE">
        <w:rPr>
          <w:rFonts w:eastAsia="TimesNewRoman"/>
        </w:rPr>
        <w:t>Кроме того, эмпаглифлозин показал более высокую (ОР 1,82, 95 % ДИ 1,40</w:t>
      </w:r>
      <w:r>
        <w:rPr>
          <w:rFonts w:eastAsia="TimesNewRoman"/>
        </w:rPr>
        <w:t>;</w:t>
      </w:r>
      <w:r w:rsidRPr="00A40FCE">
        <w:rPr>
          <w:rFonts w:eastAsia="TimesNewRoman"/>
        </w:rPr>
        <w:t xml:space="preserve"> 2,37) частоту возникновения устойчивой нормо- или микроальбуминурии (49,7 %) у пациентов с исходной макроальбуминурией по сравнению с плацебо (28,8 %)</w:t>
      </w:r>
      <w:r w:rsidR="004B66CD" w:rsidRPr="004B66CD">
        <w:rPr>
          <w:rFonts w:eastAsia="TimesNewRoman"/>
        </w:rPr>
        <w:t xml:space="preserve"> [21]</w:t>
      </w:r>
      <w:r w:rsidRPr="00A40FCE">
        <w:rPr>
          <w:rFonts w:eastAsia="TimesNewRoman"/>
        </w:rPr>
        <w:t>.</w:t>
      </w:r>
    </w:p>
    <w:p w14:paraId="69B8245D" w14:textId="77777777" w:rsidR="00345876" w:rsidRDefault="00345876" w:rsidP="00345876">
      <w:pPr>
        <w:autoSpaceDE w:val="0"/>
        <w:autoSpaceDN w:val="0"/>
        <w:adjustRightInd w:val="0"/>
        <w:spacing w:after="0" w:line="240" w:lineRule="auto"/>
        <w:ind w:firstLine="709"/>
        <w:contextualSpacing/>
        <w:rPr>
          <w:rFonts w:eastAsia="TimesNewRoman"/>
        </w:rPr>
      </w:pPr>
    </w:p>
    <w:p w14:paraId="5857F9CC" w14:textId="77777777" w:rsidR="00345876" w:rsidRPr="00AE66E8"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 эмпаглифлозина на гликемию натощак</w:t>
      </w:r>
    </w:p>
    <w:p w14:paraId="4216E42C"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033C3664" w14:textId="2E76482D" w:rsidR="00345876" w:rsidRPr="00AE66E8" w:rsidRDefault="00345876" w:rsidP="00345876">
      <w:pPr>
        <w:autoSpaceDE w:val="0"/>
        <w:autoSpaceDN w:val="0"/>
        <w:adjustRightInd w:val="0"/>
        <w:spacing w:after="0" w:line="240" w:lineRule="auto"/>
        <w:ind w:firstLine="709"/>
        <w:contextualSpacing/>
        <w:rPr>
          <w:rFonts w:eastAsia="TimesNewRoman"/>
        </w:rPr>
      </w:pPr>
      <w:r w:rsidRPr="00AE66E8">
        <w:rPr>
          <w:rFonts w:eastAsia="TimesNewRoman"/>
        </w:rPr>
        <w:t xml:space="preserve">В четырех плацебо-контролируемых исследованиях лечение эмпаглифлозином в качестве монотерапии или в качестве дополнительной терапии к метформину, пиоглитазону или метформину в сочетании с сульфонилмочевиной приводило к среднему изменению ГПН на -20,5 мг/дл </w:t>
      </w:r>
      <w:r>
        <w:rPr>
          <w:rFonts w:eastAsia="TimesNewRoman"/>
        </w:rPr>
        <w:t>(</w:t>
      </w:r>
      <w:r w:rsidRPr="00AE66E8">
        <w:rPr>
          <w:rFonts w:eastAsia="TimesNewRoman"/>
        </w:rPr>
        <w:t>-1,14 ммоль/л</w:t>
      </w:r>
      <w:r>
        <w:rPr>
          <w:rFonts w:eastAsia="TimesNewRoman"/>
        </w:rPr>
        <w:t>)</w:t>
      </w:r>
      <w:r w:rsidRPr="00AE66E8">
        <w:rPr>
          <w:rFonts w:eastAsia="TimesNewRoman"/>
        </w:rPr>
        <w:t xml:space="preserve"> по сравнению с исходным уровнем для эмпаглифлозина. 10 мг и -23,2 мг/дл </w:t>
      </w:r>
      <w:r>
        <w:rPr>
          <w:rFonts w:eastAsia="TimesNewRoman"/>
        </w:rPr>
        <w:t>(</w:t>
      </w:r>
      <w:r w:rsidRPr="00AE66E8">
        <w:rPr>
          <w:rFonts w:eastAsia="TimesNewRoman"/>
        </w:rPr>
        <w:t>-1,29 ммоль/л</w:t>
      </w:r>
      <w:r>
        <w:rPr>
          <w:rFonts w:eastAsia="TimesNewRoman"/>
        </w:rPr>
        <w:t>)</w:t>
      </w:r>
      <w:r w:rsidRPr="00AE66E8">
        <w:rPr>
          <w:rFonts w:eastAsia="TimesNewRoman"/>
        </w:rPr>
        <w:t xml:space="preserve"> для эмпаглифлозина 25 мг по сравнению с плацебо (7,4 мг/дл </w:t>
      </w:r>
      <w:r>
        <w:rPr>
          <w:rFonts w:eastAsia="TimesNewRoman"/>
        </w:rPr>
        <w:t xml:space="preserve">или </w:t>
      </w:r>
      <w:r w:rsidRPr="00AE66E8">
        <w:rPr>
          <w:rFonts w:eastAsia="TimesNewRoman"/>
        </w:rPr>
        <w:t>0,41 ммоль/л). Этот эффект наблюдался через 24 недели и сохранялся в течение 76 недель</w:t>
      </w:r>
      <w:r w:rsidR="004B66CD" w:rsidRPr="004B66CD">
        <w:rPr>
          <w:rFonts w:eastAsia="TimesNewRoman"/>
        </w:rPr>
        <w:t xml:space="preserve"> [21]</w:t>
      </w:r>
      <w:r w:rsidRPr="00AE66E8">
        <w:rPr>
          <w:rFonts w:eastAsia="TimesNewRoman"/>
        </w:rPr>
        <w:t>.</w:t>
      </w:r>
    </w:p>
    <w:p w14:paraId="37FF5BF7"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5A77F111" w14:textId="77777777" w:rsidR="00345876" w:rsidRPr="00AE66E8"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 эмпаглифлозина на гликемию через 2 часа после приема пищи</w:t>
      </w:r>
    </w:p>
    <w:p w14:paraId="4667FDF4"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1E865F3F" w14:textId="2C7EFA4F" w:rsidR="00345876" w:rsidRPr="00AE66E8" w:rsidRDefault="00345876" w:rsidP="00345876">
      <w:pPr>
        <w:autoSpaceDE w:val="0"/>
        <w:autoSpaceDN w:val="0"/>
        <w:adjustRightInd w:val="0"/>
        <w:spacing w:after="0" w:line="240" w:lineRule="auto"/>
        <w:ind w:firstLine="709"/>
        <w:contextualSpacing/>
        <w:rPr>
          <w:rFonts w:eastAsia="TimesNewRoman"/>
        </w:rPr>
      </w:pPr>
      <w:r w:rsidRPr="00AE66E8">
        <w:rPr>
          <w:rFonts w:eastAsia="TimesNewRoman"/>
        </w:rPr>
        <w:t>Лечение эмпаглифлозином в качестве дополнения к метформину или метформину и производному сульфонилмочевины приводило к клинически значимому снижению уровня глюкозы через 2 часа после приема пищи (тест на толерантность к приему пищи) через 24 недели (дополнение к метформину: плацебо +5,9 мг/дл, эмпаглифлозин 10 мг: -46,0 мг/дл, эмпаглифлозин 25 мг: -44,6 мг/дл, дополнение к метформину и сульфонилмочевине: плацебо -2,3 мг/дл, эмпаглифлозин 10 мг: -35,7 мг/дл, эмпаглифлозин 25 мг: -36,6 мг/дл)</w:t>
      </w:r>
      <w:r w:rsidR="004B66CD" w:rsidRPr="004B66CD">
        <w:rPr>
          <w:rFonts w:eastAsia="TimesNewRoman"/>
        </w:rPr>
        <w:t xml:space="preserve"> [21]</w:t>
      </w:r>
      <w:r w:rsidRPr="00AE66E8">
        <w:rPr>
          <w:rFonts w:eastAsia="TimesNewRoman"/>
        </w:rPr>
        <w:t>.</w:t>
      </w:r>
    </w:p>
    <w:p w14:paraId="2400B30E"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49E1D848" w14:textId="77777777" w:rsidR="00345876" w:rsidRPr="00AE66E8" w:rsidRDefault="00345876" w:rsidP="00345876">
      <w:pPr>
        <w:autoSpaceDE w:val="0"/>
        <w:autoSpaceDN w:val="0"/>
        <w:adjustRightInd w:val="0"/>
        <w:spacing w:after="0" w:line="240" w:lineRule="auto"/>
        <w:contextualSpacing/>
        <w:rPr>
          <w:rFonts w:eastAsia="TimesNewRoman"/>
        </w:rPr>
      </w:pPr>
      <w:r>
        <w:rPr>
          <w:rFonts w:eastAsia="TimesNewRoman"/>
          <w:b/>
          <w:bCs/>
        </w:rPr>
        <w:t>Эффект эмпаглифлозина у п</w:t>
      </w:r>
      <w:r w:rsidRPr="00AE66E8">
        <w:rPr>
          <w:rFonts w:eastAsia="TimesNewRoman"/>
          <w:b/>
          <w:bCs/>
        </w:rPr>
        <w:t>ациент</w:t>
      </w:r>
      <w:r>
        <w:rPr>
          <w:rFonts w:eastAsia="TimesNewRoman"/>
          <w:b/>
          <w:bCs/>
        </w:rPr>
        <w:t>ов</w:t>
      </w:r>
      <w:r w:rsidRPr="00AE66E8">
        <w:rPr>
          <w:rFonts w:eastAsia="TimesNewRoman"/>
          <w:b/>
          <w:bCs/>
        </w:rPr>
        <w:t xml:space="preserve"> с высоким исходным уровнем </w:t>
      </w:r>
      <w:proofErr w:type="spellStart"/>
      <w:r w:rsidRPr="00AE66E8">
        <w:rPr>
          <w:rFonts w:eastAsia="TimesNewRoman"/>
          <w:b/>
          <w:bCs/>
          <w:lang w:val="en-US"/>
        </w:rPr>
        <w:t>HbA</w:t>
      </w:r>
      <w:proofErr w:type="spellEnd"/>
      <w:r w:rsidRPr="00AE66E8">
        <w:rPr>
          <w:rFonts w:eastAsia="TimesNewRoman"/>
          <w:b/>
          <w:bCs/>
        </w:rPr>
        <w:t>1</w:t>
      </w:r>
      <w:r w:rsidRPr="00AE66E8">
        <w:rPr>
          <w:rFonts w:eastAsia="TimesNewRoman"/>
          <w:b/>
          <w:bCs/>
          <w:lang w:val="en-US"/>
        </w:rPr>
        <w:t>c</w:t>
      </w:r>
      <w:r w:rsidRPr="00AE66E8">
        <w:rPr>
          <w:rFonts w:eastAsia="TimesNewRoman"/>
          <w:b/>
          <w:bCs/>
        </w:rPr>
        <w:t xml:space="preserve"> &gt;10%</w:t>
      </w:r>
    </w:p>
    <w:p w14:paraId="783324D5"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5D19080C" w14:textId="47288804" w:rsidR="00345876" w:rsidRDefault="00345876" w:rsidP="00345876">
      <w:pPr>
        <w:autoSpaceDE w:val="0"/>
        <w:autoSpaceDN w:val="0"/>
        <w:adjustRightInd w:val="0"/>
        <w:spacing w:after="0" w:line="240" w:lineRule="auto"/>
        <w:ind w:firstLine="709"/>
        <w:contextualSpacing/>
        <w:rPr>
          <w:rFonts w:eastAsia="TimesNewRoman"/>
        </w:rPr>
      </w:pPr>
      <w:r w:rsidRPr="00AE66E8">
        <w:rPr>
          <w:rFonts w:eastAsia="TimesNewRoman"/>
        </w:rPr>
        <w:t>В заранее определенном объединенном анализе трех исследований фазы 3 лечение эмпаглифлозином 25 мг в открытом режиме у пациентов с тяжелой гипергликемией (</w:t>
      </w:r>
      <w:r w:rsidRPr="00AE66E8">
        <w:rPr>
          <w:rFonts w:eastAsia="TimesNewRoman"/>
          <w:lang w:val="en-US"/>
        </w:rPr>
        <w:t>N</w:t>
      </w:r>
      <w:r w:rsidRPr="00AE66E8">
        <w:rPr>
          <w:rFonts w:eastAsia="TimesNewRoman"/>
        </w:rPr>
        <w:t xml:space="preserve"> = 184, средний исходный уровень </w:t>
      </w:r>
      <w:proofErr w:type="spellStart"/>
      <w:r w:rsidRPr="00AE66E8">
        <w:rPr>
          <w:rFonts w:eastAsia="TimesNewRoman"/>
          <w:lang w:val="en-US"/>
        </w:rPr>
        <w:t>HbA</w:t>
      </w:r>
      <w:proofErr w:type="spellEnd"/>
      <w:r w:rsidRPr="00AE66E8">
        <w:rPr>
          <w:rFonts w:eastAsia="TimesNewRoman"/>
        </w:rPr>
        <w:t>1</w:t>
      </w:r>
      <w:r w:rsidRPr="00AE66E8">
        <w:rPr>
          <w:rFonts w:eastAsia="TimesNewRoman"/>
          <w:lang w:val="en-US"/>
        </w:rPr>
        <w:t>c</w:t>
      </w:r>
      <w:r w:rsidRPr="00AE66E8">
        <w:rPr>
          <w:rFonts w:eastAsia="TimesNewRoman"/>
        </w:rPr>
        <w:t xml:space="preserve"> 11,15%) привело к клинически значимому снижению </w:t>
      </w:r>
      <w:proofErr w:type="spellStart"/>
      <w:r w:rsidRPr="00AE66E8">
        <w:rPr>
          <w:rFonts w:eastAsia="TimesNewRoman"/>
          <w:lang w:val="en-US"/>
        </w:rPr>
        <w:t>HbA</w:t>
      </w:r>
      <w:proofErr w:type="spellEnd"/>
      <w:r w:rsidRPr="00AE66E8">
        <w:rPr>
          <w:rFonts w:eastAsia="TimesNewRoman"/>
        </w:rPr>
        <w:t>1</w:t>
      </w:r>
      <w:r w:rsidRPr="00AE66E8">
        <w:rPr>
          <w:rFonts w:eastAsia="TimesNewRoman"/>
          <w:lang w:val="en-US"/>
        </w:rPr>
        <w:t>c</w:t>
      </w:r>
      <w:r w:rsidRPr="00AE66E8">
        <w:rPr>
          <w:rFonts w:eastAsia="TimesNewRoman"/>
        </w:rPr>
        <w:t xml:space="preserve"> по сравнению с исходным уровнем на 3,27%. на 24 неделе; в эти исследования не включались группы плацебо или эмпаглифлозина 10 мг</w:t>
      </w:r>
      <w:r w:rsidR="004B66CD" w:rsidRPr="004B66CD">
        <w:rPr>
          <w:rFonts w:eastAsia="TimesNewRoman"/>
        </w:rPr>
        <w:t xml:space="preserve"> [21]</w:t>
      </w:r>
      <w:r w:rsidRPr="00AE66E8">
        <w:rPr>
          <w:rFonts w:eastAsia="TimesNewRoman"/>
        </w:rPr>
        <w:t>.</w:t>
      </w:r>
    </w:p>
    <w:p w14:paraId="24569A30"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2965F782" w14:textId="77777777" w:rsidR="00345876" w:rsidRPr="00AE66E8"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 эмпаглифлозина на массу тела</w:t>
      </w:r>
    </w:p>
    <w:p w14:paraId="47D5086C"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52B0FB0A" w14:textId="0C206395" w:rsidR="00345876" w:rsidRPr="00AE66E8" w:rsidRDefault="00345876" w:rsidP="00345876">
      <w:pPr>
        <w:autoSpaceDE w:val="0"/>
        <w:autoSpaceDN w:val="0"/>
        <w:adjustRightInd w:val="0"/>
        <w:spacing w:after="0" w:line="240" w:lineRule="auto"/>
        <w:ind w:firstLine="709"/>
        <w:contextualSpacing/>
        <w:rPr>
          <w:rFonts w:eastAsia="TimesNewRoman"/>
        </w:rPr>
      </w:pPr>
      <w:r w:rsidRPr="00AE66E8">
        <w:rPr>
          <w:rFonts w:eastAsia="TimesNewRoman"/>
        </w:rPr>
        <w:t>В заранее определенном объединенном анализе 4 плацебо-контролируемых исследований лечение эмпаглифлозином привело к снижению массы тела (-0,24 кг для плацебо, -2,04 кг для эмпаглифлозина 10 мг и -2,26 кг для эмпаглифлозина 25 мг) на 24-й неделе, что было сохранялся до 52-й недели (-0,16 кг для плацебо, -1,96 кг для эмпаглифлозина 10 мг и -2,25 кг для эмпаглифлозина 25 мг)</w:t>
      </w:r>
      <w:r w:rsidR="004B66CD" w:rsidRPr="004B66CD">
        <w:rPr>
          <w:rFonts w:eastAsia="TimesNewRoman"/>
        </w:rPr>
        <w:t xml:space="preserve"> [21]</w:t>
      </w:r>
      <w:r w:rsidRPr="00AE66E8">
        <w:rPr>
          <w:rFonts w:eastAsia="TimesNewRoman"/>
        </w:rPr>
        <w:t>.</w:t>
      </w:r>
    </w:p>
    <w:p w14:paraId="6A9B865F"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6B7EDF3F" w14:textId="77777777" w:rsidR="00345876" w:rsidRPr="00AE66E8" w:rsidRDefault="00345876" w:rsidP="00345876">
      <w:pPr>
        <w:autoSpaceDE w:val="0"/>
        <w:autoSpaceDN w:val="0"/>
        <w:adjustRightInd w:val="0"/>
        <w:spacing w:after="0" w:line="240" w:lineRule="auto"/>
        <w:contextualSpacing/>
        <w:rPr>
          <w:rFonts w:eastAsia="TimesNewRoman"/>
          <w:b/>
          <w:bCs/>
        </w:rPr>
      </w:pPr>
      <w:r>
        <w:rPr>
          <w:rFonts w:eastAsia="TimesNewRoman"/>
          <w:b/>
          <w:bCs/>
        </w:rPr>
        <w:t>Эффект эмпаглифлозина на артериальное давление</w:t>
      </w:r>
    </w:p>
    <w:p w14:paraId="7D4773F0" w14:textId="77777777" w:rsidR="00345876" w:rsidRPr="00AE66E8" w:rsidRDefault="00345876" w:rsidP="00345876">
      <w:pPr>
        <w:autoSpaceDE w:val="0"/>
        <w:autoSpaceDN w:val="0"/>
        <w:adjustRightInd w:val="0"/>
        <w:spacing w:after="0" w:line="240" w:lineRule="auto"/>
        <w:ind w:firstLine="709"/>
        <w:contextualSpacing/>
        <w:rPr>
          <w:rFonts w:eastAsia="TimesNewRoman"/>
        </w:rPr>
      </w:pPr>
    </w:p>
    <w:p w14:paraId="3937A85D" w14:textId="597DC6C5" w:rsidR="00345876" w:rsidRPr="002604EF" w:rsidRDefault="00345876" w:rsidP="00345876">
      <w:pPr>
        <w:autoSpaceDE w:val="0"/>
        <w:autoSpaceDN w:val="0"/>
        <w:adjustRightInd w:val="0"/>
        <w:spacing w:after="0" w:line="240" w:lineRule="auto"/>
        <w:ind w:firstLine="709"/>
        <w:contextualSpacing/>
        <w:rPr>
          <w:rFonts w:eastAsia="TimesNewRoman"/>
        </w:rPr>
      </w:pPr>
      <w:r w:rsidRPr="00AE66E8">
        <w:rPr>
          <w:rFonts w:eastAsia="TimesNewRoman"/>
        </w:rPr>
        <w:t xml:space="preserve">Эффективность и безопасность эмпаглифлозина оценивали в двойном слепом плацебо-контролируемом исследовании продолжительностью 12 недель у пациентов с </w:t>
      </w:r>
      <w:r>
        <w:rPr>
          <w:rFonts w:eastAsia="TimesNewRoman"/>
        </w:rPr>
        <w:t>СД</w:t>
      </w:r>
      <w:r w:rsidRPr="00AE66E8">
        <w:rPr>
          <w:rFonts w:eastAsia="TimesNewRoman"/>
        </w:rPr>
        <w:t xml:space="preserve"> 2 типа и повышенным артериальным давлением, получавших различные </w:t>
      </w:r>
      <w:r w:rsidRPr="002604EF">
        <w:rPr>
          <w:rFonts w:eastAsia="TimesNewRoman"/>
        </w:rPr>
        <w:t xml:space="preserve">противодиабетические и до 2-х антигипертензивных препаратов. Лечение эмпаглифлозином один раз в день приводило к статистически значимому улучшению уровня </w:t>
      </w:r>
      <w:proofErr w:type="spellStart"/>
      <w:r w:rsidRPr="002604EF">
        <w:rPr>
          <w:rFonts w:eastAsia="TimesNewRoman"/>
          <w:lang w:val="en-US"/>
        </w:rPr>
        <w:t>HbA</w:t>
      </w:r>
      <w:proofErr w:type="spellEnd"/>
      <w:r w:rsidRPr="002604EF">
        <w:rPr>
          <w:rFonts w:eastAsia="TimesNewRoman"/>
        </w:rPr>
        <w:t>1</w:t>
      </w:r>
      <w:r w:rsidRPr="002604EF">
        <w:rPr>
          <w:rFonts w:eastAsia="TimesNewRoman"/>
          <w:lang w:val="en-US"/>
        </w:rPr>
        <w:t>c</w:t>
      </w:r>
      <w:r w:rsidRPr="002604EF">
        <w:rPr>
          <w:rFonts w:eastAsia="TimesNewRoman"/>
        </w:rPr>
        <w:t xml:space="preserve"> и среднего систолического и диастолического артериального давления за 24 часа, что определялось амбулаторным мониторированием артериального давления (таблица </w:t>
      </w:r>
      <w:r w:rsidR="002604EF" w:rsidRPr="002604EF">
        <w:rPr>
          <w:rFonts w:eastAsia="TimesNewRoman"/>
        </w:rPr>
        <w:t>4-</w:t>
      </w:r>
      <w:r w:rsidR="006836D0">
        <w:rPr>
          <w:rFonts w:eastAsia="TimesNewRoman"/>
        </w:rPr>
        <w:t>10</w:t>
      </w:r>
      <w:r w:rsidRPr="002604EF">
        <w:rPr>
          <w:rFonts w:eastAsia="TimesNewRoman"/>
        </w:rPr>
        <w:t>). Лечение эмпаглифлозином обеспечивало снижение сидячего САД и ДАД</w:t>
      </w:r>
      <w:r w:rsidR="004B66CD" w:rsidRPr="002604EF">
        <w:rPr>
          <w:rFonts w:eastAsia="TimesNewRoman"/>
        </w:rPr>
        <w:t xml:space="preserve"> [21]</w:t>
      </w:r>
      <w:r w:rsidRPr="002604EF">
        <w:rPr>
          <w:rFonts w:eastAsia="TimesNewRoman"/>
        </w:rPr>
        <w:t>.</w:t>
      </w:r>
    </w:p>
    <w:p w14:paraId="2742BA19"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45EA2168" w14:textId="02C8BD25" w:rsidR="00345876" w:rsidRPr="00AE66E8"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2604EF">
        <w:rPr>
          <w:rFonts w:eastAsia="TimesNewRoman"/>
          <w:b/>
          <w:bCs/>
        </w:rPr>
        <w:t>4-</w:t>
      </w:r>
      <w:r w:rsidR="006836D0">
        <w:rPr>
          <w:rFonts w:eastAsia="TimesNewRoman"/>
          <w:b/>
          <w:bCs/>
        </w:rPr>
        <w:t>10</w:t>
      </w:r>
      <w:r w:rsidRPr="002604EF">
        <w:rPr>
          <w:rFonts w:eastAsia="TimesNewRoman"/>
          <w:b/>
          <w:bCs/>
        </w:rPr>
        <w:t>.</w:t>
      </w:r>
      <w:r w:rsidRPr="002604EF">
        <w:rPr>
          <w:rFonts w:eastAsia="TimesNewRoman"/>
        </w:rPr>
        <w:t xml:space="preserve"> Эффективность</w:t>
      </w:r>
      <w:r w:rsidRPr="00AE66E8">
        <w:rPr>
          <w:rFonts w:eastAsia="TimesNewRoman"/>
        </w:rPr>
        <w:t xml:space="preserve"> </w:t>
      </w:r>
      <w:r>
        <w:rPr>
          <w:rFonts w:eastAsia="TimesNewRoman"/>
        </w:rPr>
        <w:t>по</w:t>
      </w:r>
      <w:r w:rsidRPr="00AE66E8">
        <w:rPr>
          <w:rFonts w:eastAsia="TimesNewRoman"/>
        </w:rPr>
        <w:t xml:space="preserve"> </w:t>
      </w:r>
      <w:r>
        <w:rPr>
          <w:rFonts w:eastAsia="TimesNewRoman"/>
        </w:rPr>
        <w:t>данным</w:t>
      </w:r>
      <w:r w:rsidRPr="00AE66E8">
        <w:rPr>
          <w:rFonts w:eastAsia="TimesNewRoman"/>
        </w:rPr>
        <w:t xml:space="preserve"> 12-</w:t>
      </w:r>
      <w:r>
        <w:rPr>
          <w:rFonts w:eastAsia="TimesNewRoman"/>
        </w:rPr>
        <w:t>и</w:t>
      </w:r>
      <w:r w:rsidRPr="00AE66E8">
        <w:rPr>
          <w:rFonts w:eastAsia="TimesNewRoman"/>
        </w:rPr>
        <w:t xml:space="preserve"> </w:t>
      </w:r>
      <w:r>
        <w:rPr>
          <w:rFonts w:eastAsia="TimesNewRoman"/>
        </w:rPr>
        <w:t>недельного</w:t>
      </w:r>
      <w:r w:rsidRPr="00AE66E8">
        <w:rPr>
          <w:rFonts w:eastAsia="TimesNewRoman"/>
        </w:rPr>
        <w:t xml:space="preserve"> </w:t>
      </w:r>
      <w:r>
        <w:rPr>
          <w:rFonts w:eastAsia="TimesNewRoman"/>
        </w:rPr>
        <w:t>плацебо</w:t>
      </w:r>
      <w:r w:rsidRPr="00AE66E8">
        <w:rPr>
          <w:rFonts w:eastAsia="TimesNewRoman"/>
        </w:rPr>
        <w:t>-</w:t>
      </w:r>
      <w:r>
        <w:rPr>
          <w:rFonts w:eastAsia="TimesNewRoman"/>
        </w:rPr>
        <w:t>контролируемого</w:t>
      </w:r>
      <w:r w:rsidRPr="00AE66E8">
        <w:rPr>
          <w:rFonts w:eastAsia="TimesNewRoman"/>
        </w:rPr>
        <w:t xml:space="preserve"> </w:t>
      </w:r>
      <w:r>
        <w:rPr>
          <w:rFonts w:eastAsia="TimesNewRoman"/>
        </w:rPr>
        <w:t>исследования</w:t>
      </w:r>
      <w:r w:rsidRPr="00AE66E8">
        <w:rPr>
          <w:rFonts w:eastAsia="TimesNewRoman"/>
        </w:rPr>
        <w:t xml:space="preserve"> </w:t>
      </w:r>
      <w:r>
        <w:rPr>
          <w:rFonts w:eastAsia="TimesNewRoman"/>
        </w:rPr>
        <w:t>терапии</w:t>
      </w:r>
      <w:r w:rsidRPr="00AE66E8">
        <w:rPr>
          <w:rFonts w:eastAsia="TimesNewRoman"/>
        </w:rPr>
        <w:t xml:space="preserve"> </w:t>
      </w:r>
      <w:r>
        <w:rPr>
          <w:rFonts w:eastAsia="TimesNewRoman"/>
        </w:rPr>
        <w:t>эмпаглифлозином</w:t>
      </w:r>
      <w:r w:rsidRPr="00AE66E8">
        <w:rPr>
          <w:rFonts w:eastAsia="TimesNewRoman"/>
        </w:rPr>
        <w:t xml:space="preserve"> </w:t>
      </w:r>
      <w:r>
        <w:rPr>
          <w:rFonts w:eastAsia="TimesNewRoman"/>
        </w:rPr>
        <w:t>у</w:t>
      </w:r>
      <w:r w:rsidRPr="00AE66E8">
        <w:rPr>
          <w:rFonts w:eastAsia="TimesNewRoman"/>
        </w:rPr>
        <w:t xml:space="preserve"> </w:t>
      </w:r>
      <w:r>
        <w:rPr>
          <w:rFonts w:eastAsia="TimesNewRoman"/>
        </w:rPr>
        <w:t>пациентов</w:t>
      </w:r>
      <w:r w:rsidRPr="00AE66E8">
        <w:rPr>
          <w:rFonts w:eastAsia="TimesNewRoman"/>
        </w:rPr>
        <w:t xml:space="preserve"> </w:t>
      </w:r>
      <w:r>
        <w:rPr>
          <w:rFonts w:eastAsia="TimesNewRoman"/>
        </w:rPr>
        <w:t>с</w:t>
      </w:r>
      <w:r w:rsidRPr="00AE66E8">
        <w:rPr>
          <w:rFonts w:eastAsia="TimesNewRoman"/>
        </w:rPr>
        <w:t xml:space="preserve"> </w:t>
      </w:r>
      <w:r>
        <w:rPr>
          <w:rFonts w:eastAsia="TimesNewRoman"/>
        </w:rPr>
        <w:t>СД</w:t>
      </w:r>
      <w:r w:rsidRPr="00AE66E8">
        <w:rPr>
          <w:rFonts w:eastAsia="TimesNewRoman"/>
        </w:rPr>
        <w:t xml:space="preserve"> 2 </w:t>
      </w:r>
      <w:r>
        <w:rPr>
          <w:rFonts w:eastAsia="TimesNewRoman"/>
        </w:rPr>
        <w:t>типа</w:t>
      </w:r>
      <w:r w:rsidRPr="00AE66E8">
        <w:rPr>
          <w:rFonts w:eastAsia="TimesNewRoman"/>
        </w:rPr>
        <w:t xml:space="preserve"> </w:t>
      </w:r>
      <w:r>
        <w:rPr>
          <w:rFonts w:eastAsia="TimesNewRoman"/>
        </w:rPr>
        <w:t>и</w:t>
      </w:r>
      <w:r w:rsidRPr="00AE66E8">
        <w:rPr>
          <w:rFonts w:eastAsia="TimesNewRoman"/>
        </w:rPr>
        <w:t xml:space="preserve"> </w:t>
      </w:r>
      <w:r>
        <w:rPr>
          <w:rFonts w:eastAsia="TimesNewRoman"/>
        </w:rPr>
        <w:t>неконтролируемой</w:t>
      </w:r>
      <w:r w:rsidRPr="00AE66E8">
        <w:rPr>
          <w:rFonts w:eastAsia="TimesNewRoman"/>
        </w:rPr>
        <w:t xml:space="preserve"> </w:t>
      </w:r>
      <w:r>
        <w:rPr>
          <w:rFonts w:eastAsia="TimesNewRoman"/>
        </w:rPr>
        <w:t>артериальной</w:t>
      </w:r>
      <w:r w:rsidRPr="00AE66E8">
        <w:rPr>
          <w:rFonts w:eastAsia="TimesNewRoman"/>
        </w:rPr>
        <w:t xml:space="preserve"> </w:t>
      </w:r>
      <w:r>
        <w:rPr>
          <w:rFonts w:eastAsia="TimesNewRoman"/>
        </w:rPr>
        <w:t>гипертензией</w:t>
      </w:r>
      <w:r w:rsidRPr="00AE66E8">
        <w:rPr>
          <w:rFonts w:eastAsia="TimesNewRoman"/>
          <w:vertAlign w:val="superscript"/>
        </w:rPr>
        <w:t>а</w:t>
      </w:r>
      <w:r w:rsidRPr="00AE66E8">
        <w:rPr>
          <w:rFonts w:eastAsia="TimesNewRoman"/>
        </w:rPr>
        <w:t>.</w:t>
      </w:r>
    </w:p>
    <w:tbl>
      <w:tblPr>
        <w:tblStyle w:val="TableGrid"/>
        <w:tblW w:w="0" w:type="auto"/>
        <w:tblLook w:val="04A0" w:firstRow="1" w:lastRow="0" w:firstColumn="1" w:lastColumn="0" w:noHBand="0" w:noVBand="1"/>
      </w:tblPr>
      <w:tblGrid>
        <w:gridCol w:w="4934"/>
        <w:gridCol w:w="1165"/>
        <w:gridCol w:w="1555"/>
        <w:gridCol w:w="1690"/>
      </w:tblGrid>
      <w:tr w:rsidR="00345876" w:rsidRPr="00AE66E8" w14:paraId="157B7583" w14:textId="77777777" w:rsidTr="007756D8">
        <w:trPr>
          <w:tblHeader/>
        </w:trPr>
        <w:tc>
          <w:tcPr>
            <w:tcW w:w="4957" w:type="dxa"/>
            <w:vMerge w:val="restart"/>
            <w:shd w:val="clear" w:color="auto" w:fill="D9D9D9" w:themeFill="background1" w:themeFillShade="D9"/>
            <w:vAlign w:val="center"/>
          </w:tcPr>
          <w:p w14:paraId="421061D5"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p>
        </w:tc>
        <w:tc>
          <w:tcPr>
            <w:tcW w:w="1134" w:type="dxa"/>
            <w:vMerge w:val="restart"/>
            <w:shd w:val="clear" w:color="auto" w:fill="D9D9D9" w:themeFill="background1" w:themeFillShade="D9"/>
            <w:vAlign w:val="center"/>
          </w:tcPr>
          <w:p w14:paraId="0985F40F"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r w:rsidRPr="00FA17D7">
              <w:rPr>
                <w:rFonts w:eastAsia="TimesNewRoman"/>
                <w:b/>
                <w:bCs/>
              </w:rPr>
              <w:t>Плацебо</w:t>
            </w:r>
          </w:p>
        </w:tc>
        <w:tc>
          <w:tcPr>
            <w:tcW w:w="3254" w:type="dxa"/>
            <w:gridSpan w:val="2"/>
            <w:shd w:val="clear" w:color="auto" w:fill="D9D9D9" w:themeFill="background1" w:themeFillShade="D9"/>
            <w:vAlign w:val="center"/>
          </w:tcPr>
          <w:p w14:paraId="72F0A875"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r w:rsidRPr="00FA17D7">
              <w:rPr>
                <w:rFonts w:eastAsia="TimesNewRoman"/>
                <w:b/>
                <w:bCs/>
              </w:rPr>
              <w:t>Эмпаглифлозин</w:t>
            </w:r>
          </w:p>
        </w:tc>
      </w:tr>
      <w:tr w:rsidR="00345876" w:rsidRPr="00AE66E8" w14:paraId="260AF989" w14:textId="77777777" w:rsidTr="007756D8">
        <w:trPr>
          <w:tblHeader/>
        </w:trPr>
        <w:tc>
          <w:tcPr>
            <w:tcW w:w="4957" w:type="dxa"/>
            <w:vMerge/>
            <w:shd w:val="clear" w:color="auto" w:fill="D9D9D9" w:themeFill="background1" w:themeFillShade="D9"/>
            <w:vAlign w:val="center"/>
          </w:tcPr>
          <w:p w14:paraId="3C57D05F"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p>
        </w:tc>
        <w:tc>
          <w:tcPr>
            <w:tcW w:w="1134" w:type="dxa"/>
            <w:vMerge/>
            <w:shd w:val="clear" w:color="auto" w:fill="D9D9D9" w:themeFill="background1" w:themeFillShade="D9"/>
            <w:vAlign w:val="center"/>
          </w:tcPr>
          <w:p w14:paraId="0FE1A5AE"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p>
        </w:tc>
        <w:tc>
          <w:tcPr>
            <w:tcW w:w="1559" w:type="dxa"/>
            <w:shd w:val="clear" w:color="auto" w:fill="D9D9D9" w:themeFill="background1" w:themeFillShade="D9"/>
            <w:vAlign w:val="center"/>
          </w:tcPr>
          <w:p w14:paraId="5E9DBD88"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r w:rsidRPr="00FA17D7">
              <w:rPr>
                <w:rFonts w:eastAsia="TimesNewRoman"/>
                <w:b/>
                <w:bCs/>
              </w:rPr>
              <w:t>10 мг</w:t>
            </w:r>
          </w:p>
        </w:tc>
        <w:tc>
          <w:tcPr>
            <w:tcW w:w="1695" w:type="dxa"/>
            <w:shd w:val="clear" w:color="auto" w:fill="D9D9D9" w:themeFill="background1" w:themeFillShade="D9"/>
            <w:vAlign w:val="center"/>
          </w:tcPr>
          <w:p w14:paraId="647CE285" w14:textId="77777777" w:rsidR="00345876" w:rsidRPr="00FA17D7" w:rsidRDefault="00345876" w:rsidP="004B66CD">
            <w:pPr>
              <w:autoSpaceDE w:val="0"/>
              <w:autoSpaceDN w:val="0"/>
              <w:adjustRightInd w:val="0"/>
              <w:spacing w:line="240" w:lineRule="auto"/>
              <w:ind w:firstLine="22"/>
              <w:contextualSpacing/>
              <w:jc w:val="center"/>
              <w:rPr>
                <w:rFonts w:eastAsia="TimesNewRoman"/>
                <w:b/>
                <w:bCs/>
              </w:rPr>
            </w:pPr>
            <w:r w:rsidRPr="00FA17D7">
              <w:rPr>
                <w:rFonts w:eastAsia="TimesNewRoman"/>
                <w:b/>
                <w:bCs/>
              </w:rPr>
              <w:t>25 мг</w:t>
            </w:r>
          </w:p>
        </w:tc>
      </w:tr>
      <w:tr w:rsidR="00345876" w:rsidRPr="00AE66E8" w14:paraId="2F563ED9" w14:textId="77777777" w:rsidTr="007756D8">
        <w:tc>
          <w:tcPr>
            <w:tcW w:w="4957" w:type="dxa"/>
          </w:tcPr>
          <w:p w14:paraId="0E13C1DB" w14:textId="77777777" w:rsidR="00345876" w:rsidRPr="00FA17D7" w:rsidRDefault="00345876" w:rsidP="004B66CD">
            <w:pPr>
              <w:autoSpaceDE w:val="0"/>
              <w:autoSpaceDN w:val="0"/>
              <w:adjustRightInd w:val="0"/>
              <w:spacing w:line="240" w:lineRule="auto"/>
              <w:ind w:firstLine="22"/>
              <w:contextualSpacing/>
              <w:rPr>
                <w:rFonts w:eastAsia="TimesNewRoman"/>
              </w:rPr>
            </w:pPr>
            <w:r w:rsidRPr="00FA17D7">
              <w:rPr>
                <w:rFonts w:eastAsia="TimesNewRoman"/>
              </w:rPr>
              <w:t>Количество пациентов</w:t>
            </w:r>
          </w:p>
        </w:tc>
        <w:tc>
          <w:tcPr>
            <w:tcW w:w="1134" w:type="dxa"/>
            <w:vAlign w:val="center"/>
          </w:tcPr>
          <w:p w14:paraId="2700B42B"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271</w:t>
            </w:r>
          </w:p>
        </w:tc>
        <w:tc>
          <w:tcPr>
            <w:tcW w:w="1559" w:type="dxa"/>
            <w:vAlign w:val="center"/>
          </w:tcPr>
          <w:p w14:paraId="610CA5A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276</w:t>
            </w:r>
          </w:p>
        </w:tc>
        <w:tc>
          <w:tcPr>
            <w:tcW w:w="1695" w:type="dxa"/>
            <w:vAlign w:val="center"/>
          </w:tcPr>
          <w:p w14:paraId="3D3B847B"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276</w:t>
            </w:r>
          </w:p>
        </w:tc>
      </w:tr>
      <w:tr w:rsidR="00345876" w:rsidRPr="00AE66E8" w14:paraId="4BB9D2B2" w14:textId="77777777" w:rsidTr="007756D8">
        <w:tc>
          <w:tcPr>
            <w:tcW w:w="9345" w:type="dxa"/>
            <w:gridSpan w:val="4"/>
            <w:vAlign w:val="center"/>
          </w:tcPr>
          <w:p w14:paraId="1AB5CE58" w14:textId="77777777" w:rsidR="00345876" w:rsidRPr="00FA17D7" w:rsidRDefault="00345876" w:rsidP="004B66CD">
            <w:pPr>
              <w:autoSpaceDE w:val="0"/>
              <w:autoSpaceDN w:val="0"/>
              <w:adjustRightInd w:val="0"/>
              <w:spacing w:line="240" w:lineRule="auto"/>
              <w:ind w:firstLine="22"/>
              <w:contextualSpacing/>
              <w:rPr>
                <w:rFonts w:eastAsia="TimesNewRoman"/>
              </w:rPr>
            </w:pPr>
            <w:r w:rsidRPr="00FA17D7">
              <w:rPr>
                <w:b/>
                <w:bCs/>
                <w:lang w:val="en-US"/>
              </w:rPr>
              <w:t xml:space="preserve">HbA1c </w:t>
            </w:r>
            <w:r w:rsidRPr="00FA17D7">
              <w:rPr>
                <w:b/>
                <w:bCs/>
              </w:rPr>
              <w:t xml:space="preserve">на неделе 12 </w:t>
            </w:r>
            <w:r w:rsidRPr="00FA17D7">
              <w:rPr>
                <w:b/>
                <w:bCs/>
                <w:lang w:val="en-US"/>
              </w:rPr>
              <w:t>(%)</w:t>
            </w:r>
            <w:r w:rsidRPr="00FA17D7">
              <w:rPr>
                <w:b/>
                <w:bCs/>
                <w:vertAlign w:val="superscript"/>
              </w:rPr>
              <w:t>1</w:t>
            </w:r>
          </w:p>
        </w:tc>
      </w:tr>
      <w:tr w:rsidR="00345876" w:rsidRPr="00AE66E8" w14:paraId="28966F04" w14:textId="77777777" w:rsidTr="007756D8">
        <w:tc>
          <w:tcPr>
            <w:tcW w:w="4957" w:type="dxa"/>
            <w:vAlign w:val="center"/>
          </w:tcPr>
          <w:p w14:paraId="32D4D081"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Исходное значение (среднее)</w:t>
            </w:r>
          </w:p>
        </w:tc>
        <w:tc>
          <w:tcPr>
            <w:tcW w:w="1134" w:type="dxa"/>
            <w:vAlign w:val="center"/>
          </w:tcPr>
          <w:p w14:paraId="294FB689"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7,90</w:t>
            </w:r>
          </w:p>
        </w:tc>
        <w:tc>
          <w:tcPr>
            <w:tcW w:w="1559" w:type="dxa"/>
            <w:vAlign w:val="center"/>
          </w:tcPr>
          <w:p w14:paraId="721A7F28"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7,89</w:t>
            </w:r>
          </w:p>
        </w:tc>
        <w:tc>
          <w:tcPr>
            <w:tcW w:w="1695" w:type="dxa"/>
            <w:vAlign w:val="center"/>
          </w:tcPr>
          <w:p w14:paraId="7D8D161E"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7,92</w:t>
            </w:r>
          </w:p>
        </w:tc>
      </w:tr>
      <w:tr w:rsidR="00345876" w:rsidRPr="00AE66E8" w14:paraId="71C09308" w14:textId="77777777" w:rsidTr="007756D8">
        <w:tc>
          <w:tcPr>
            <w:tcW w:w="4957" w:type="dxa"/>
            <w:vAlign w:val="center"/>
          </w:tcPr>
          <w:p w14:paraId="2E2DB882"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lastRenderedPageBreak/>
              <w:t>Изменение от исходного значения</w:t>
            </w:r>
            <w:r w:rsidRPr="00FA17D7">
              <w:rPr>
                <w:vertAlign w:val="superscript"/>
              </w:rPr>
              <w:t>2</w:t>
            </w:r>
          </w:p>
        </w:tc>
        <w:tc>
          <w:tcPr>
            <w:tcW w:w="1134" w:type="dxa"/>
            <w:vAlign w:val="center"/>
          </w:tcPr>
          <w:p w14:paraId="2B0C14B7"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0,03</w:t>
            </w:r>
          </w:p>
        </w:tc>
        <w:tc>
          <w:tcPr>
            <w:tcW w:w="1559" w:type="dxa"/>
            <w:vAlign w:val="center"/>
          </w:tcPr>
          <w:p w14:paraId="098380E2"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-0,59</w:t>
            </w:r>
          </w:p>
        </w:tc>
        <w:tc>
          <w:tcPr>
            <w:tcW w:w="1695" w:type="dxa"/>
            <w:vAlign w:val="center"/>
          </w:tcPr>
          <w:p w14:paraId="14F40DC2"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-0,62</w:t>
            </w:r>
          </w:p>
        </w:tc>
      </w:tr>
      <w:tr w:rsidR="00345876" w:rsidRPr="00AE66E8" w14:paraId="194B584E" w14:textId="77777777" w:rsidTr="007756D8">
        <w:tc>
          <w:tcPr>
            <w:tcW w:w="4957" w:type="dxa"/>
            <w:vAlign w:val="center"/>
          </w:tcPr>
          <w:p w14:paraId="03D585A8"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Разница с плацебо (95% ДИ)</w:t>
            </w:r>
            <w:r w:rsidRPr="00FA17D7">
              <w:rPr>
                <w:vertAlign w:val="superscript"/>
              </w:rPr>
              <w:t>2</w:t>
            </w:r>
          </w:p>
        </w:tc>
        <w:tc>
          <w:tcPr>
            <w:tcW w:w="1134" w:type="dxa"/>
            <w:vAlign w:val="center"/>
          </w:tcPr>
          <w:p w14:paraId="3175394D"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p>
        </w:tc>
        <w:tc>
          <w:tcPr>
            <w:tcW w:w="1559" w:type="dxa"/>
            <w:vAlign w:val="center"/>
          </w:tcPr>
          <w:p w14:paraId="79240C72"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-0,62*</w:t>
            </w:r>
            <w:r>
              <w:rPr>
                <w:rFonts w:eastAsia="TimesNewRoman"/>
              </w:rPr>
              <w:br/>
              <w:t>(-0,72; -0,52)</w:t>
            </w:r>
          </w:p>
        </w:tc>
        <w:tc>
          <w:tcPr>
            <w:tcW w:w="1695" w:type="dxa"/>
            <w:vAlign w:val="center"/>
          </w:tcPr>
          <w:p w14:paraId="76FE6A92"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-0,65*</w:t>
            </w:r>
            <w:r>
              <w:rPr>
                <w:rFonts w:eastAsia="TimesNewRoman"/>
              </w:rPr>
              <w:br/>
              <w:t>(-0,75; -0,55)</w:t>
            </w:r>
          </w:p>
        </w:tc>
      </w:tr>
      <w:tr w:rsidR="00345876" w:rsidRPr="00AE66E8" w14:paraId="3766BA63" w14:textId="77777777" w:rsidTr="007756D8">
        <w:tc>
          <w:tcPr>
            <w:tcW w:w="9345" w:type="dxa"/>
            <w:gridSpan w:val="4"/>
          </w:tcPr>
          <w:p w14:paraId="7A876626" w14:textId="77777777" w:rsidR="00345876" w:rsidRPr="00FA17D7" w:rsidRDefault="00345876" w:rsidP="004B66CD">
            <w:pPr>
              <w:autoSpaceDE w:val="0"/>
              <w:autoSpaceDN w:val="0"/>
              <w:adjustRightInd w:val="0"/>
              <w:spacing w:line="240" w:lineRule="auto"/>
              <w:ind w:firstLine="22"/>
              <w:contextualSpacing/>
              <w:rPr>
                <w:rFonts w:eastAsia="TimesNewRoman"/>
                <w:b/>
                <w:bCs/>
              </w:rPr>
            </w:pPr>
            <w:r w:rsidRPr="00FA17D7">
              <w:rPr>
                <w:rFonts w:eastAsia="TimesNewRoman"/>
                <w:b/>
                <w:bCs/>
              </w:rPr>
              <w:t>САД в течение 24-х часов на неделе 12</w:t>
            </w:r>
            <w:r w:rsidRPr="00FA17D7">
              <w:rPr>
                <w:rFonts w:eastAsia="TimesNewRoman"/>
                <w:b/>
                <w:bCs/>
                <w:vertAlign w:val="superscript"/>
              </w:rPr>
              <w:t>3</w:t>
            </w:r>
          </w:p>
        </w:tc>
      </w:tr>
      <w:tr w:rsidR="00345876" w:rsidRPr="00AE66E8" w14:paraId="467068A8" w14:textId="77777777" w:rsidTr="007756D8">
        <w:tc>
          <w:tcPr>
            <w:tcW w:w="4957" w:type="dxa"/>
            <w:vAlign w:val="center"/>
          </w:tcPr>
          <w:p w14:paraId="7B094818"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Исходное значение (среднее)</w:t>
            </w:r>
          </w:p>
        </w:tc>
        <w:tc>
          <w:tcPr>
            <w:tcW w:w="1134" w:type="dxa"/>
            <w:vAlign w:val="center"/>
          </w:tcPr>
          <w:p w14:paraId="2E1FC2A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131,72</w:t>
            </w:r>
          </w:p>
        </w:tc>
        <w:tc>
          <w:tcPr>
            <w:tcW w:w="1559" w:type="dxa"/>
            <w:vAlign w:val="center"/>
          </w:tcPr>
          <w:p w14:paraId="137B0C96"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131,34</w:t>
            </w:r>
          </w:p>
        </w:tc>
        <w:tc>
          <w:tcPr>
            <w:tcW w:w="1695" w:type="dxa"/>
            <w:vAlign w:val="center"/>
          </w:tcPr>
          <w:p w14:paraId="729E856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131,18</w:t>
            </w:r>
          </w:p>
        </w:tc>
      </w:tr>
      <w:tr w:rsidR="00345876" w:rsidRPr="00AE66E8" w14:paraId="2DF1EF49" w14:textId="77777777" w:rsidTr="007756D8">
        <w:tc>
          <w:tcPr>
            <w:tcW w:w="4957" w:type="dxa"/>
            <w:vAlign w:val="center"/>
          </w:tcPr>
          <w:p w14:paraId="616BBD56"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Изменение от исходного значения</w:t>
            </w:r>
            <w:r w:rsidRPr="00FA17D7">
              <w:rPr>
                <w:vertAlign w:val="superscript"/>
              </w:rPr>
              <w:t>4</w:t>
            </w:r>
          </w:p>
        </w:tc>
        <w:tc>
          <w:tcPr>
            <w:tcW w:w="1134" w:type="dxa"/>
            <w:vAlign w:val="center"/>
          </w:tcPr>
          <w:p w14:paraId="7D4B70F1"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0,48</w:t>
            </w:r>
          </w:p>
        </w:tc>
        <w:tc>
          <w:tcPr>
            <w:tcW w:w="1559" w:type="dxa"/>
            <w:vAlign w:val="center"/>
          </w:tcPr>
          <w:p w14:paraId="5238D28C"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-2,95</w:t>
            </w:r>
          </w:p>
        </w:tc>
        <w:tc>
          <w:tcPr>
            <w:tcW w:w="1695" w:type="dxa"/>
            <w:vAlign w:val="center"/>
          </w:tcPr>
          <w:p w14:paraId="68F22E9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-3,68</w:t>
            </w:r>
          </w:p>
        </w:tc>
      </w:tr>
      <w:tr w:rsidR="00345876" w:rsidRPr="00AE66E8" w14:paraId="289A7858" w14:textId="77777777" w:rsidTr="007756D8">
        <w:tc>
          <w:tcPr>
            <w:tcW w:w="4957" w:type="dxa"/>
            <w:vAlign w:val="center"/>
          </w:tcPr>
          <w:p w14:paraId="35757F3D"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Разница с плацебо (95% ДИ)</w:t>
            </w:r>
            <w:r w:rsidRPr="00FA17D7">
              <w:rPr>
                <w:vertAlign w:val="superscript"/>
              </w:rPr>
              <w:t>4</w:t>
            </w:r>
          </w:p>
        </w:tc>
        <w:tc>
          <w:tcPr>
            <w:tcW w:w="1134" w:type="dxa"/>
            <w:vAlign w:val="center"/>
          </w:tcPr>
          <w:p w14:paraId="779F1814"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p>
        </w:tc>
        <w:tc>
          <w:tcPr>
            <w:tcW w:w="1559" w:type="dxa"/>
            <w:vAlign w:val="center"/>
          </w:tcPr>
          <w:p w14:paraId="2D6BBE10"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-3,44*</w:t>
            </w:r>
            <w:r>
              <w:rPr>
                <w:rFonts w:eastAsia="TimesNewRoman"/>
              </w:rPr>
              <w:br/>
              <w:t>(-4,78; -2,09)</w:t>
            </w:r>
          </w:p>
        </w:tc>
        <w:tc>
          <w:tcPr>
            <w:tcW w:w="1695" w:type="dxa"/>
            <w:vAlign w:val="center"/>
          </w:tcPr>
          <w:p w14:paraId="19673CF6"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-4,16*</w:t>
            </w:r>
            <w:r>
              <w:rPr>
                <w:rFonts w:eastAsia="TimesNewRoman"/>
              </w:rPr>
              <w:br/>
              <w:t>(-5,50; -2,83)</w:t>
            </w:r>
          </w:p>
        </w:tc>
      </w:tr>
      <w:tr w:rsidR="00345876" w:rsidRPr="00AE66E8" w14:paraId="41ACB857" w14:textId="77777777" w:rsidTr="007756D8">
        <w:tc>
          <w:tcPr>
            <w:tcW w:w="9345" w:type="dxa"/>
            <w:gridSpan w:val="4"/>
          </w:tcPr>
          <w:p w14:paraId="49078CAE" w14:textId="77777777" w:rsidR="00345876" w:rsidRPr="00FA17D7" w:rsidRDefault="00345876" w:rsidP="004B66CD">
            <w:pPr>
              <w:autoSpaceDE w:val="0"/>
              <w:autoSpaceDN w:val="0"/>
              <w:adjustRightInd w:val="0"/>
              <w:spacing w:line="240" w:lineRule="auto"/>
              <w:ind w:firstLine="22"/>
              <w:contextualSpacing/>
              <w:rPr>
                <w:rFonts w:eastAsia="TimesNewRoman"/>
              </w:rPr>
            </w:pPr>
            <w:r w:rsidRPr="00FA17D7">
              <w:rPr>
                <w:rFonts w:eastAsia="TimesNewRoman"/>
                <w:b/>
                <w:bCs/>
              </w:rPr>
              <w:t>ДАД в течение 24-х часов на неделе 12</w:t>
            </w:r>
            <w:r w:rsidRPr="00FA17D7">
              <w:rPr>
                <w:rFonts w:eastAsia="TimesNewRoman"/>
                <w:b/>
                <w:bCs/>
                <w:vertAlign w:val="superscript"/>
              </w:rPr>
              <w:t>3</w:t>
            </w:r>
          </w:p>
        </w:tc>
      </w:tr>
      <w:tr w:rsidR="00345876" w:rsidRPr="00AE66E8" w14:paraId="70B959E7" w14:textId="77777777" w:rsidTr="007756D8">
        <w:tc>
          <w:tcPr>
            <w:tcW w:w="4957" w:type="dxa"/>
            <w:vAlign w:val="center"/>
          </w:tcPr>
          <w:p w14:paraId="1A28C63D"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Исходное значение (среднее)</w:t>
            </w:r>
          </w:p>
        </w:tc>
        <w:tc>
          <w:tcPr>
            <w:tcW w:w="1134" w:type="dxa"/>
            <w:vAlign w:val="center"/>
          </w:tcPr>
          <w:p w14:paraId="2949C377"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75,16</w:t>
            </w:r>
          </w:p>
        </w:tc>
        <w:tc>
          <w:tcPr>
            <w:tcW w:w="1559" w:type="dxa"/>
            <w:vAlign w:val="center"/>
          </w:tcPr>
          <w:p w14:paraId="0DDC73A4"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75,13</w:t>
            </w:r>
          </w:p>
        </w:tc>
        <w:tc>
          <w:tcPr>
            <w:tcW w:w="1695" w:type="dxa"/>
            <w:vAlign w:val="center"/>
          </w:tcPr>
          <w:p w14:paraId="5D4D1206"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74,64</w:t>
            </w:r>
          </w:p>
        </w:tc>
      </w:tr>
      <w:tr w:rsidR="00345876" w:rsidRPr="00AE66E8" w14:paraId="5AEF3034" w14:textId="77777777" w:rsidTr="007756D8">
        <w:tc>
          <w:tcPr>
            <w:tcW w:w="4957" w:type="dxa"/>
            <w:vAlign w:val="center"/>
          </w:tcPr>
          <w:p w14:paraId="11BAD813"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Изменение от исходного значения</w:t>
            </w:r>
            <w:r w:rsidRPr="00FA17D7">
              <w:rPr>
                <w:vertAlign w:val="superscript"/>
              </w:rPr>
              <w:t>5</w:t>
            </w:r>
          </w:p>
        </w:tc>
        <w:tc>
          <w:tcPr>
            <w:tcW w:w="1134" w:type="dxa"/>
            <w:vAlign w:val="center"/>
          </w:tcPr>
          <w:p w14:paraId="48000CC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0,32</w:t>
            </w:r>
          </w:p>
        </w:tc>
        <w:tc>
          <w:tcPr>
            <w:tcW w:w="1559" w:type="dxa"/>
            <w:vAlign w:val="center"/>
          </w:tcPr>
          <w:p w14:paraId="44F6C06D"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-1,04</w:t>
            </w:r>
          </w:p>
        </w:tc>
        <w:tc>
          <w:tcPr>
            <w:tcW w:w="1695" w:type="dxa"/>
            <w:vAlign w:val="center"/>
          </w:tcPr>
          <w:p w14:paraId="4940EDCA"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-1,40</w:t>
            </w:r>
          </w:p>
        </w:tc>
      </w:tr>
      <w:tr w:rsidR="00345876" w:rsidRPr="00AE66E8" w14:paraId="271CE6C9" w14:textId="77777777" w:rsidTr="007756D8">
        <w:tc>
          <w:tcPr>
            <w:tcW w:w="4957" w:type="dxa"/>
            <w:vAlign w:val="center"/>
          </w:tcPr>
          <w:p w14:paraId="25192238" w14:textId="77777777" w:rsidR="00345876" w:rsidRPr="00FA17D7" w:rsidRDefault="00345876" w:rsidP="004B66CD">
            <w:pPr>
              <w:autoSpaceDE w:val="0"/>
              <w:autoSpaceDN w:val="0"/>
              <w:adjustRightInd w:val="0"/>
              <w:spacing w:line="240" w:lineRule="auto"/>
              <w:ind w:left="164" w:firstLine="22"/>
              <w:contextualSpacing/>
              <w:rPr>
                <w:rFonts w:eastAsia="TimesNewRoman"/>
              </w:rPr>
            </w:pPr>
            <w:r w:rsidRPr="00FA17D7">
              <w:t>Разница с плацебо (95% ДИ)</w:t>
            </w:r>
            <w:r w:rsidRPr="00FA17D7">
              <w:rPr>
                <w:vertAlign w:val="superscript"/>
              </w:rPr>
              <w:t>5</w:t>
            </w:r>
          </w:p>
        </w:tc>
        <w:tc>
          <w:tcPr>
            <w:tcW w:w="1134" w:type="dxa"/>
            <w:vAlign w:val="center"/>
          </w:tcPr>
          <w:p w14:paraId="50428453"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p>
        </w:tc>
        <w:tc>
          <w:tcPr>
            <w:tcW w:w="1559" w:type="dxa"/>
            <w:vAlign w:val="center"/>
          </w:tcPr>
          <w:p w14:paraId="22DB5705"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-1,36**</w:t>
            </w:r>
            <w:r>
              <w:rPr>
                <w:rFonts w:eastAsia="TimesNewRoman"/>
              </w:rPr>
              <w:br/>
              <w:t>(-2,15; -0,56)</w:t>
            </w:r>
          </w:p>
        </w:tc>
        <w:tc>
          <w:tcPr>
            <w:tcW w:w="1695" w:type="dxa"/>
            <w:vAlign w:val="center"/>
          </w:tcPr>
          <w:p w14:paraId="53A61FC0" w14:textId="77777777" w:rsidR="00345876" w:rsidRPr="00AE66E8"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-1,72*</w:t>
            </w:r>
            <w:r>
              <w:rPr>
                <w:rFonts w:eastAsia="TimesNewRoman"/>
              </w:rPr>
              <w:br/>
              <w:t>(-2,51; -0,93)</w:t>
            </w:r>
          </w:p>
        </w:tc>
      </w:tr>
      <w:tr w:rsidR="00345876" w:rsidRPr="00AE66E8" w14:paraId="0EB24985" w14:textId="77777777" w:rsidTr="007756D8">
        <w:tc>
          <w:tcPr>
            <w:tcW w:w="9345" w:type="dxa"/>
            <w:gridSpan w:val="4"/>
          </w:tcPr>
          <w:p w14:paraId="1ACE854A" w14:textId="77777777" w:rsidR="00345876" w:rsidRPr="00BD0BCF" w:rsidRDefault="00345876" w:rsidP="004B66CD">
            <w:pPr>
              <w:autoSpaceDE w:val="0"/>
              <w:autoSpaceDN w:val="0"/>
              <w:adjustRightInd w:val="0"/>
              <w:spacing w:line="240" w:lineRule="auto"/>
              <w:contextualSpacing/>
              <w:rPr>
                <w:rFonts w:eastAsia="TimesNewRoman"/>
                <w:b/>
                <w:bCs/>
                <w:sz w:val="20"/>
                <w:szCs w:val="20"/>
              </w:rPr>
            </w:pPr>
            <w:r w:rsidRPr="00BD0BCF">
              <w:rPr>
                <w:rFonts w:eastAsia="TimesNewRoman"/>
                <w:b/>
                <w:bCs/>
                <w:sz w:val="20"/>
                <w:szCs w:val="20"/>
              </w:rPr>
              <w:t>Примечание:</w:t>
            </w:r>
          </w:p>
          <w:p w14:paraId="7FDC1A4E" w14:textId="77777777" w:rsidR="00345876" w:rsidRPr="00FA17D7" w:rsidRDefault="00345876" w:rsidP="004B66CD">
            <w:pPr>
              <w:autoSpaceDE w:val="0"/>
              <w:autoSpaceDN w:val="0"/>
              <w:adjustRightInd w:val="0"/>
              <w:spacing w:line="240" w:lineRule="auto"/>
              <w:contextualSpacing/>
              <w:rPr>
                <w:sz w:val="20"/>
                <w:szCs w:val="20"/>
              </w:rPr>
            </w:pPr>
            <w:proofErr w:type="spellStart"/>
            <w:r w:rsidRPr="00166A50">
              <w:rPr>
                <w:sz w:val="20"/>
                <w:szCs w:val="20"/>
                <w:lang w:val="en-US"/>
              </w:rPr>
              <w:t>HbA</w:t>
            </w:r>
            <w:proofErr w:type="spellEnd"/>
            <w:r w:rsidRPr="00166A50">
              <w:rPr>
                <w:sz w:val="20"/>
                <w:szCs w:val="20"/>
              </w:rPr>
              <w:t>1</w:t>
            </w:r>
            <w:r w:rsidRPr="00166A50">
              <w:rPr>
                <w:sz w:val="20"/>
                <w:szCs w:val="20"/>
                <w:lang w:val="en-US"/>
              </w:rPr>
              <w:t>c</w:t>
            </w:r>
            <w:r>
              <w:rPr>
                <w:sz w:val="20"/>
                <w:szCs w:val="20"/>
              </w:rPr>
              <w:t xml:space="preserve"> – гликированный гемоглобин, </w:t>
            </w:r>
            <w:r>
              <w:rPr>
                <w:rFonts w:eastAsia="TimesNewRoman"/>
                <w:sz w:val="20"/>
                <w:szCs w:val="20"/>
              </w:rPr>
              <w:t>ДИ – доверительный интервал, САД – систолическое артериальное давление, ДАД – диастолическое артериальное давление</w:t>
            </w:r>
            <w:r>
              <w:rPr>
                <w:sz w:val="20"/>
                <w:szCs w:val="20"/>
              </w:rPr>
              <w:t>;</w:t>
            </w:r>
          </w:p>
          <w:p w14:paraId="39EA2BE8"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lang w:val="en-US"/>
              </w:rPr>
              <w:t>a</w:t>
            </w:r>
            <w:r w:rsidRPr="00BD0BCF">
              <w:rPr>
                <w:rFonts w:eastAsia="TimesNewRoman"/>
                <w:sz w:val="20"/>
                <w:szCs w:val="20"/>
              </w:rPr>
              <w:t xml:space="preserve"> - Полный набор для анализа;</w:t>
            </w:r>
          </w:p>
          <w:p w14:paraId="67A329A3"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 xml:space="preserve">1 - </w:t>
            </w:r>
            <w:r w:rsidRPr="00BD0BCF">
              <w:rPr>
                <w:sz w:val="20"/>
                <w:szCs w:val="20"/>
              </w:rPr>
              <w:t xml:space="preserve">Перенос последнего наблюдения, </w:t>
            </w:r>
            <w:r w:rsidRPr="00BD0BCF">
              <w:rPr>
                <w:rFonts w:eastAsia="TimesNewRoman"/>
                <w:sz w:val="20"/>
                <w:szCs w:val="20"/>
              </w:rPr>
              <w:t>значения после приема противодиабетической спасательной терапии цензурированы;</w:t>
            </w:r>
          </w:p>
          <w:p w14:paraId="7981418E"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 xml:space="preserve">2 Среднее значение с поправкой на исходный уровень </w:t>
            </w:r>
            <w:proofErr w:type="spellStart"/>
            <w:r w:rsidRPr="00BD0BCF">
              <w:rPr>
                <w:rFonts w:eastAsia="TimesNewRoman"/>
                <w:sz w:val="20"/>
                <w:szCs w:val="20"/>
                <w:lang w:val="en-US"/>
              </w:rPr>
              <w:t>HbA</w:t>
            </w:r>
            <w:proofErr w:type="spellEnd"/>
            <w:r w:rsidRPr="00BD0BCF">
              <w:rPr>
                <w:rFonts w:eastAsia="TimesNewRoman"/>
                <w:sz w:val="20"/>
                <w:szCs w:val="20"/>
              </w:rPr>
              <w:t>1</w:t>
            </w:r>
            <w:r w:rsidRPr="00BD0BCF">
              <w:rPr>
                <w:rFonts w:eastAsia="TimesNewRoman"/>
                <w:sz w:val="20"/>
                <w:szCs w:val="20"/>
                <w:lang w:val="en-US"/>
              </w:rPr>
              <w:t>c</w:t>
            </w:r>
            <w:r w:rsidRPr="00BD0BCF">
              <w:rPr>
                <w:rFonts w:eastAsia="TimesNewRoman"/>
                <w:sz w:val="20"/>
                <w:szCs w:val="20"/>
              </w:rPr>
              <w:t>, исходную рСКФ, географический регион и количество антигипертензивных лекарственных средств;</w:t>
            </w:r>
          </w:p>
          <w:p w14:paraId="6EBCE1A4"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 xml:space="preserve">3 - </w:t>
            </w:r>
            <w:r w:rsidRPr="00BD0BCF">
              <w:rPr>
                <w:sz w:val="20"/>
                <w:szCs w:val="20"/>
              </w:rPr>
              <w:t xml:space="preserve">Перенос последнего наблюдения, </w:t>
            </w:r>
            <w:r w:rsidRPr="00BD0BCF">
              <w:rPr>
                <w:rFonts w:eastAsia="TimesNewRoman"/>
                <w:sz w:val="20"/>
                <w:szCs w:val="20"/>
              </w:rPr>
              <w:t>значения после приема противодиабетической терапии спасения или смены антигипертензивной терапии спасения цензурированы;</w:t>
            </w:r>
          </w:p>
          <w:p w14:paraId="5F29308F"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4 - Среднее значение, скорректированное с учетом исходного САД, исходного уровня HbA1c, исходной рСКФ, географического региона и количества антигипертензивных лекарственных средств;</w:t>
            </w:r>
          </w:p>
          <w:p w14:paraId="4A38D203" w14:textId="77777777"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5 - Среднее значение скорректировано с учетом исходного уровня ДАД, исходного уровня HbA1c, исходного уровня рСКФ, географического региона и количества антигипертензивных лекарственных средств;</w:t>
            </w:r>
          </w:p>
          <w:p w14:paraId="00DDA4CB" w14:textId="73461CAE" w:rsidR="00345876" w:rsidRPr="00BD0BCF" w:rsidRDefault="00345876" w:rsidP="004B66CD">
            <w:pPr>
              <w:autoSpaceDE w:val="0"/>
              <w:autoSpaceDN w:val="0"/>
              <w:adjustRightInd w:val="0"/>
              <w:spacing w:line="240" w:lineRule="auto"/>
              <w:ind w:firstLine="22"/>
              <w:contextualSpacing/>
              <w:rPr>
                <w:rFonts w:eastAsia="TimesNewRoman"/>
                <w:sz w:val="20"/>
                <w:szCs w:val="20"/>
              </w:rPr>
            </w:pPr>
            <w:r w:rsidRPr="00BD0BCF">
              <w:rPr>
                <w:rFonts w:eastAsia="TimesNewRoman"/>
                <w:sz w:val="20"/>
                <w:szCs w:val="20"/>
              </w:rPr>
              <w:t xml:space="preserve">* </w:t>
            </w:r>
            <w:r w:rsidRPr="00BD0BCF">
              <w:rPr>
                <w:rFonts w:eastAsia="TimesNewRoman"/>
                <w:sz w:val="20"/>
                <w:szCs w:val="20"/>
                <w:lang w:val="en-US"/>
              </w:rPr>
              <w:t>p</w:t>
            </w:r>
            <w:r w:rsidR="00856F9A">
              <w:rPr>
                <w:rFonts w:eastAsia="TimesNewRoman"/>
                <w:sz w:val="20"/>
                <w:szCs w:val="20"/>
              </w:rPr>
              <w:t xml:space="preserve"> &lt; 0,</w:t>
            </w:r>
            <w:r w:rsidRPr="00BD0BCF">
              <w:rPr>
                <w:rFonts w:eastAsia="TimesNewRoman"/>
                <w:sz w:val="20"/>
                <w:szCs w:val="20"/>
              </w:rPr>
              <w:t>0001;</w:t>
            </w:r>
          </w:p>
          <w:p w14:paraId="5207C235" w14:textId="7E0315A5" w:rsidR="00345876" w:rsidRPr="00BD0BCF" w:rsidRDefault="00345876" w:rsidP="004B66CD">
            <w:pPr>
              <w:autoSpaceDE w:val="0"/>
              <w:autoSpaceDN w:val="0"/>
              <w:adjustRightInd w:val="0"/>
              <w:spacing w:line="240" w:lineRule="auto"/>
              <w:ind w:firstLine="22"/>
              <w:contextualSpacing/>
              <w:rPr>
                <w:rFonts w:eastAsia="TimesNewRoman"/>
              </w:rPr>
            </w:pPr>
            <w:r w:rsidRPr="00BD0BCF">
              <w:rPr>
                <w:rFonts w:eastAsia="TimesNewRoman"/>
                <w:sz w:val="20"/>
                <w:szCs w:val="20"/>
              </w:rPr>
              <w:t xml:space="preserve">** </w:t>
            </w:r>
            <w:r w:rsidRPr="00BD0BCF">
              <w:rPr>
                <w:rFonts w:eastAsia="TimesNewRoman"/>
                <w:sz w:val="20"/>
                <w:szCs w:val="20"/>
                <w:lang w:val="en-US"/>
              </w:rPr>
              <w:t>p</w:t>
            </w:r>
            <w:r w:rsidR="00856F9A">
              <w:rPr>
                <w:rFonts w:eastAsia="TimesNewRoman"/>
                <w:sz w:val="20"/>
                <w:szCs w:val="20"/>
              </w:rPr>
              <w:t xml:space="preserve"> &lt; 0,</w:t>
            </w:r>
            <w:r w:rsidRPr="00BD0BCF">
              <w:rPr>
                <w:rFonts w:eastAsia="TimesNewRoman"/>
                <w:sz w:val="20"/>
                <w:szCs w:val="20"/>
              </w:rPr>
              <w:t>001.</w:t>
            </w:r>
          </w:p>
        </w:tc>
      </w:tr>
    </w:tbl>
    <w:p w14:paraId="68BB1F39" w14:textId="77777777" w:rsidR="00345876" w:rsidRPr="002E070C" w:rsidRDefault="00345876" w:rsidP="00345876">
      <w:pPr>
        <w:autoSpaceDE w:val="0"/>
        <w:autoSpaceDN w:val="0"/>
        <w:adjustRightInd w:val="0"/>
        <w:spacing w:after="0" w:line="240" w:lineRule="auto"/>
        <w:ind w:firstLine="709"/>
        <w:contextualSpacing/>
        <w:rPr>
          <w:rFonts w:eastAsia="TimesNewRoman"/>
          <w:lang w:val="en-US"/>
        </w:rPr>
      </w:pPr>
    </w:p>
    <w:p w14:paraId="6DA9B87A" w14:textId="01FB4DA3" w:rsidR="00345876" w:rsidRDefault="00345876" w:rsidP="00345876">
      <w:pPr>
        <w:autoSpaceDE w:val="0"/>
        <w:autoSpaceDN w:val="0"/>
        <w:adjustRightInd w:val="0"/>
        <w:spacing w:after="0" w:line="240" w:lineRule="auto"/>
        <w:ind w:firstLine="709"/>
        <w:contextualSpacing/>
        <w:rPr>
          <w:rFonts w:eastAsia="TimesNewRoman"/>
        </w:rPr>
      </w:pPr>
      <w:r w:rsidRPr="00BD0BCF">
        <w:rPr>
          <w:rFonts w:eastAsia="TimesNewRoman"/>
        </w:rPr>
        <w:t xml:space="preserve">В </w:t>
      </w:r>
      <w:r w:rsidRPr="00AE66E8">
        <w:rPr>
          <w:rFonts w:eastAsia="TimesNewRoman"/>
        </w:rPr>
        <w:t xml:space="preserve">заранее определенном </w:t>
      </w:r>
      <w:r w:rsidRPr="00BD0BCF">
        <w:rPr>
          <w:rFonts w:eastAsia="TimesNewRoman"/>
        </w:rPr>
        <w:t>объединенном анализе 4 плацебо-контролируемых исследований лечение эмпаглифлозином приводило к снижению систолического артериального давления (эмпаглифлозин 10 мг: -3,9 мм</w:t>
      </w:r>
      <w:r w:rsidR="00E25D5C">
        <w:rPr>
          <w:rFonts w:eastAsia="TimesNewRoman"/>
        </w:rPr>
        <w:t xml:space="preserve"> </w:t>
      </w:r>
      <w:r w:rsidRPr="00BD0BCF">
        <w:rPr>
          <w:rFonts w:eastAsia="TimesNewRoman"/>
        </w:rPr>
        <w:t>рт.</w:t>
      </w:r>
      <w:r w:rsidR="00E25D5C">
        <w:rPr>
          <w:rFonts w:eastAsia="TimesNewRoman"/>
        </w:rPr>
        <w:t xml:space="preserve"> </w:t>
      </w:r>
      <w:r w:rsidRPr="00BD0BCF">
        <w:rPr>
          <w:rFonts w:eastAsia="TimesNewRoman"/>
        </w:rPr>
        <w:t>ст.; эмпаглифлозин 25 мг: -4,3 мм рт.</w:t>
      </w:r>
      <w:r w:rsidR="00E25D5C">
        <w:rPr>
          <w:rFonts w:eastAsia="TimesNewRoman"/>
        </w:rPr>
        <w:t xml:space="preserve"> </w:t>
      </w:r>
      <w:r w:rsidRPr="00BD0BCF">
        <w:rPr>
          <w:rFonts w:eastAsia="TimesNewRoman"/>
        </w:rPr>
        <w:t>ст.) по сравнению с плацебо (-0,5 мм рт.</w:t>
      </w:r>
      <w:r w:rsidR="00E25D5C">
        <w:rPr>
          <w:rFonts w:eastAsia="TimesNewRoman"/>
        </w:rPr>
        <w:t xml:space="preserve"> </w:t>
      </w:r>
      <w:r w:rsidRPr="00BD0BCF">
        <w:rPr>
          <w:rFonts w:eastAsia="TimesNewRoman"/>
        </w:rPr>
        <w:t>ст.). и диастолическое артериальное давление (эмпаглифлозин 10 мг: -1,8 мм рт.</w:t>
      </w:r>
      <w:r w:rsidR="00E25D5C">
        <w:rPr>
          <w:rFonts w:eastAsia="TimesNewRoman"/>
        </w:rPr>
        <w:t xml:space="preserve"> </w:t>
      </w:r>
      <w:r w:rsidRPr="00BD0BCF">
        <w:rPr>
          <w:rFonts w:eastAsia="TimesNewRoman"/>
        </w:rPr>
        <w:t>ст.; эмпаглифлозин 25 мг: -2,0 мм рт.</w:t>
      </w:r>
      <w:r w:rsidR="00E25D5C">
        <w:rPr>
          <w:rFonts w:eastAsia="TimesNewRoman"/>
        </w:rPr>
        <w:t xml:space="preserve"> </w:t>
      </w:r>
      <w:r w:rsidRPr="00BD0BCF">
        <w:rPr>
          <w:rFonts w:eastAsia="TimesNewRoman"/>
        </w:rPr>
        <w:t>ст.) по сравнению с плацебо (-0,5 мм рт.</w:t>
      </w:r>
      <w:r w:rsidR="00E25D5C">
        <w:rPr>
          <w:rFonts w:eastAsia="TimesNewRoman"/>
        </w:rPr>
        <w:t xml:space="preserve"> </w:t>
      </w:r>
      <w:r w:rsidRPr="00BD0BCF">
        <w:rPr>
          <w:rFonts w:eastAsia="TimesNewRoman"/>
        </w:rPr>
        <w:t>ст.) на 24-й неделе, которое сохранялось до 52-й недели</w:t>
      </w:r>
      <w:r w:rsidR="004B66CD" w:rsidRPr="004B66CD">
        <w:rPr>
          <w:rFonts w:eastAsia="TimesNewRoman"/>
        </w:rPr>
        <w:t xml:space="preserve"> [21]</w:t>
      </w:r>
      <w:r w:rsidRPr="00BD0BCF">
        <w:rPr>
          <w:rFonts w:eastAsia="TimesNewRoman"/>
        </w:rPr>
        <w:t>.</w:t>
      </w:r>
    </w:p>
    <w:p w14:paraId="30585987" w14:textId="7F752C2A" w:rsidR="00856F9A" w:rsidRDefault="00856F9A">
      <w:pPr>
        <w:spacing w:after="0" w:line="240" w:lineRule="auto"/>
        <w:jc w:val="left"/>
      </w:pPr>
    </w:p>
    <w:p w14:paraId="326C906B" w14:textId="77777777" w:rsidR="00C035FA" w:rsidRDefault="008D5756">
      <w:pPr>
        <w:pStyle w:val="Heading4"/>
        <w:spacing w:before="0" w:after="0" w:line="240" w:lineRule="auto"/>
        <w:rPr>
          <w:rFonts w:ascii="Times New Roman" w:hAnsi="Times New Roman"/>
          <w:sz w:val="24"/>
          <w:szCs w:val="24"/>
        </w:rPr>
      </w:pPr>
      <w:bookmarkStart w:id="150" w:name="_Toc139366892"/>
      <w:bookmarkStart w:id="151" w:name="_Hlk130839092"/>
      <w:r>
        <w:rPr>
          <w:rFonts w:ascii="Times New Roman" w:hAnsi="Times New Roman"/>
          <w:sz w:val="24"/>
          <w:szCs w:val="24"/>
        </w:rPr>
        <w:t>4.3.1.2. Сердечная недостаточность</w:t>
      </w:r>
      <w:bookmarkEnd w:id="150"/>
    </w:p>
    <w:p w14:paraId="09ED1CFC" w14:textId="77777777" w:rsidR="00C035FA" w:rsidRDefault="00C035FA">
      <w:pPr>
        <w:spacing w:after="0" w:line="240" w:lineRule="auto"/>
        <w:ind w:firstLine="709"/>
        <w:rPr>
          <w:b/>
          <w:color w:val="000000"/>
          <w:highlight w:val="yellow"/>
          <w:u w:val="single"/>
        </w:rPr>
      </w:pPr>
    </w:p>
    <w:p w14:paraId="1EEAA0A3" w14:textId="77777777" w:rsidR="00345876" w:rsidRPr="00227751" w:rsidRDefault="00345876" w:rsidP="00345876">
      <w:pPr>
        <w:autoSpaceDE w:val="0"/>
        <w:autoSpaceDN w:val="0"/>
        <w:adjustRightInd w:val="0"/>
        <w:spacing w:after="0" w:line="240" w:lineRule="auto"/>
        <w:contextualSpacing/>
        <w:rPr>
          <w:rFonts w:eastAsia="TimesNewRoman"/>
        </w:rPr>
      </w:pPr>
      <w:bookmarkStart w:id="152" w:name="_Hlk130997233"/>
      <w:bookmarkEnd w:id="151"/>
      <w:r w:rsidRPr="00227751">
        <w:rPr>
          <w:rFonts w:eastAsia="TimesNewRoman"/>
          <w:b/>
          <w:bCs/>
          <w:i/>
          <w:iCs/>
        </w:rPr>
        <w:t>Э</w:t>
      </w:r>
      <w:r>
        <w:rPr>
          <w:rFonts w:eastAsia="TimesNewRoman"/>
          <w:b/>
          <w:bCs/>
          <w:i/>
          <w:iCs/>
        </w:rPr>
        <w:t>ффективность э</w:t>
      </w:r>
      <w:r w:rsidRPr="00227751">
        <w:rPr>
          <w:rFonts w:eastAsia="TimesNewRoman"/>
          <w:b/>
          <w:bCs/>
          <w:i/>
          <w:iCs/>
        </w:rPr>
        <w:t>мпаглифлозин</w:t>
      </w:r>
      <w:r>
        <w:rPr>
          <w:rFonts w:eastAsia="TimesNewRoman"/>
          <w:b/>
          <w:bCs/>
          <w:i/>
          <w:iCs/>
        </w:rPr>
        <w:t>а</w:t>
      </w:r>
      <w:r w:rsidRPr="00227751">
        <w:rPr>
          <w:rFonts w:eastAsia="TimesNewRoman"/>
          <w:b/>
          <w:bCs/>
          <w:i/>
          <w:iCs/>
        </w:rPr>
        <w:t xml:space="preserve"> у </w:t>
      </w:r>
      <w:r>
        <w:rPr>
          <w:rFonts w:eastAsia="TimesNewRoman"/>
          <w:b/>
          <w:bCs/>
          <w:i/>
          <w:iCs/>
        </w:rPr>
        <w:t>пациентов</w:t>
      </w:r>
      <w:r w:rsidRPr="00227751">
        <w:rPr>
          <w:rFonts w:eastAsia="TimesNewRoman"/>
          <w:b/>
          <w:bCs/>
          <w:i/>
          <w:iCs/>
        </w:rPr>
        <w:t xml:space="preserve"> с сердечной недостаточностью и сниженной фракцией выброса</w:t>
      </w:r>
      <w:r>
        <w:rPr>
          <w:rFonts w:eastAsia="TimesNewRoman"/>
          <w:b/>
          <w:bCs/>
          <w:i/>
          <w:iCs/>
        </w:rPr>
        <w:t xml:space="preserve"> левого желудочка</w:t>
      </w:r>
    </w:p>
    <w:p w14:paraId="2A2154FC" w14:textId="77777777" w:rsidR="00345876" w:rsidRDefault="00345876" w:rsidP="00345876">
      <w:pPr>
        <w:autoSpaceDE w:val="0"/>
        <w:autoSpaceDN w:val="0"/>
        <w:adjustRightInd w:val="0"/>
        <w:spacing w:after="0" w:line="240" w:lineRule="auto"/>
        <w:ind w:firstLine="709"/>
        <w:contextualSpacing/>
        <w:rPr>
          <w:rFonts w:eastAsia="TimesNewRoman"/>
        </w:rPr>
      </w:pPr>
    </w:p>
    <w:p w14:paraId="5BC60AF2" w14:textId="77777777" w:rsidR="00345876" w:rsidRPr="00227751" w:rsidRDefault="00345876" w:rsidP="00345876">
      <w:pPr>
        <w:autoSpaceDE w:val="0"/>
        <w:autoSpaceDN w:val="0"/>
        <w:adjustRightInd w:val="0"/>
        <w:spacing w:after="0" w:line="240" w:lineRule="auto"/>
        <w:ind w:firstLine="709"/>
        <w:contextualSpacing/>
        <w:rPr>
          <w:rFonts w:eastAsia="TimesNewRoman"/>
        </w:rPr>
      </w:pPr>
      <w:r w:rsidRPr="00227751">
        <w:rPr>
          <w:rFonts w:eastAsia="TimesNewRoman"/>
        </w:rPr>
        <w:t>Рандомизированное двойное слепое плацебо-контролируемое исследование (</w:t>
      </w:r>
      <w:r w:rsidRPr="00227751">
        <w:rPr>
          <w:rFonts w:eastAsia="TimesNewRoman"/>
          <w:lang w:val="en-US"/>
        </w:rPr>
        <w:t>EMPEROR</w:t>
      </w:r>
      <w:r w:rsidRPr="00227751">
        <w:rPr>
          <w:rFonts w:eastAsia="TimesNewRoman"/>
        </w:rPr>
        <w:t>-</w:t>
      </w:r>
      <w:r w:rsidRPr="00227751">
        <w:rPr>
          <w:rFonts w:eastAsia="TimesNewRoman"/>
          <w:lang w:val="en-US"/>
        </w:rPr>
        <w:t>Reduced</w:t>
      </w:r>
      <w:r w:rsidRPr="00227751">
        <w:rPr>
          <w:rFonts w:eastAsia="TimesNewRoman"/>
        </w:rPr>
        <w:t xml:space="preserve">) было проведено у 3730 пациентов с хронической сердечной недостаточностью </w:t>
      </w:r>
      <w:r w:rsidRPr="00227751">
        <w:rPr>
          <w:rFonts w:eastAsia="TimesNewRoman"/>
          <w:lang w:val="en-US"/>
        </w:rPr>
        <w:t>II</w:t>
      </w:r>
      <w:r w:rsidRPr="00227751">
        <w:rPr>
          <w:rFonts w:eastAsia="TimesNewRoman"/>
        </w:rPr>
        <w:t>-</w:t>
      </w:r>
      <w:r w:rsidRPr="00227751">
        <w:rPr>
          <w:rFonts w:eastAsia="TimesNewRoman"/>
          <w:lang w:val="en-US"/>
        </w:rPr>
        <w:t>IV</w:t>
      </w:r>
      <w:r w:rsidRPr="00227751">
        <w:rPr>
          <w:rFonts w:eastAsia="TimesNewRoman"/>
        </w:rPr>
        <w:t xml:space="preserve"> </w:t>
      </w:r>
      <w:r>
        <w:rPr>
          <w:rFonts w:eastAsia="TimesNewRoman"/>
        </w:rPr>
        <w:t xml:space="preserve">степени по классификации </w:t>
      </w:r>
      <w:r w:rsidRPr="00227751">
        <w:rPr>
          <w:rFonts w:eastAsia="TimesNewRoman"/>
        </w:rPr>
        <w:t>Нью-Йоркской кардиологической ассоциации</w:t>
      </w:r>
      <w:r>
        <w:rPr>
          <w:rFonts w:eastAsia="TimesNewRoman"/>
        </w:rPr>
        <w:t xml:space="preserve"> (</w:t>
      </w:r>
      <w:r w:rsidRPr="00227751">
        <w:rPr>
          <w:rFonts w:eastAsia="TimesNewRoman"/>
          <w:lang w:val="en-US"/>
        </w:rPr>
        <w:t>NYHA</w:t>
      </w:r>
      <w:r w:rsidRPr="00227751">
        <w:rPr>
          <w:rFonts w:eastAsia="TimesNewRoman"/>
        </w:rPr>
        <w:t xml:space="preserve">) и сниженной фракцией выброса </w:t>
      </w:r>
      <w:r>
        <w:rPr>
          <w:rFonts w:eastAsia="TimesNewRoman"/>
        </w:rPr>
        <w:t xml:space="preserve">левого желудочка </w:t>
      </w:r>
      <w:r w:rsidRPr="00227751">
        <w:rPr>
          <w:rFonts w:eastAsia="TimesNewRoman"/>
        </w:rPr>
        <w:t xml:space="preserve">(ФВ ЛЖ ≤40%) для </w:t>
      </w:r>
      <w:r w:rsidRPr="00227751">
        <w:rPr>
          <w:rFonts w:eastAsia="TimesNewRoman"/>
        </w:rPr>
        <w:lastRenderedPageBreak/>
        <w:t>оценки эффективност</w:t>
      </w:r>
      <w:r>
        <w:rPr>
          <w:rFonts w:eastAsia="TimesNewRoman"/>
        </w:rPr>
        <w:t>и</w:t>
      </w:r>
      <w:r w:rsidRPr="00227751">
        <w:rPr>
          <w:rFonts w:eastAsia="TimesNewRoman"/>
        </w:rPr>
        <w:t xml:space="preserve"> и безопасност</w:t>
      </w:r>
      <w:r>
        <w:rPr>
          <w:rFonts w:eastAsia="TimesNewRoman"/>
        </w:rPr>
        <w:t>и</w:t>
      </w:r>
      <w:r w:rsidRPr="00227751">
        <w:rPr>
          <w:rFonts w:eastAsia="TimesNewRoman"/>
        </w:rPr>
        <w:t xml:space="preserve"> эмпаглифлозина в дозе 10 мг 1 раз в сутки в качестве дополнения к стандартной терапии сердечной недостаточности. Первичной конечной точкой было время до </w:t>
      </w:r>
      <w:r>
        <w:rPr>
          <w:rFonts w:eastAsia="TimesNewRoman"/>
        </w:rPr>
        <w:t>регистрации</w:t>
      </w:r>
      <w:r w:rsidRPr="00227751">
        <w:rPr>
          <w:rFonts w:eastAsia="TimesNewRoman"/>
        </w:rPr>
        <w:t xml:space="preserve"> перво</w:t>
      </w:r>
      <w:r>
        <w:rPr>
          <w:rFonts w:eastAsia="TimesNewRoman"/>
        </w:rPr>
        <w:t>го сердечно-сосудистого</w:t>
      </w:r>
      <w:r w:rsidRPr="00227751">
        <w:rPr>
          <w:rFonts w:eastAsia="TimesNewRoman"/>
        </w:rPr>
        <w:t xml:space="preserve"> событи</w:t>
      </w:r>
      <w:r>
        <w:rPr>
          <w:rFonts w:eastAsia="TimesNewRoman"/>
        </w:rPr>
        <w:t>я,</w:t>
      </w:r>
      <w:r w:rsidRPr="00227751">
        <w:rPr>
          <w:rFonts w:eastAsia="TimesNewRoman"/>
        </w:rPr>
        <w:t xml:space="preserve"> сердечно-сосудистой смерти</w:t>
      </w:r>
      <w:r>
        <w:rPr>
          <w:rFonts w:eastAsia="TimesNewRoman"/>
        </w:rPr>
        <w:t xml:space="preserve"> или </w:t>
      </w:r>
      <w:r w:rsidRPr="00227751">
        <w:rPr>
          <w:rFonts w:eastAsia="TimesNewRoman"/>
        </w:rPr>
        <w:t>госпитализации по п</w:t>
      </w:r>
      <w:r>
        <w:rPr>
          <w:rFonts w:eastAsia="TimesNewRoman"/>
        </w:rPr>
        <w:t>ричине</w:t>
      </w:r>
      <w:r w:rsidRPr="00227751">
        <w:rPr>
          <w:rFonts w:eastAsia="TimesNewRoman"/>
        </w:rPr>
        <w:t xml:space="preserve"> сердечной недостаточности (СН). В подтверждающее тестирование были включены случаи выявленной </w:t>
      </w:r>
      <w:r>
        <w:rPr>
          <w:rFonts w:eastAsia="TimesNewRoman"/>
        </w:rPr>
        <w:t>госпитализации по поводу СН</w:t>
      </w:r>
      <w:r w:rsidRPr="00227751">
        <w:rPr>
          <w:rFonts w:eastAsia="TimesNewRoman"/>
        </w:rPr>
        <w:t xml:space="preserve"> (перв</w:t>
      </w:r>
      <w:r>
        <w:rPr>
          <w:rFonts w:eastAsia="TimesNewRoman"/>
        </w:rPr>
        <w:t>ичной</w:t>
      </w:r>
      <w:r w:rsidRPr="00227751">
        <w:rPr>
          <w:rFonts w:eastAsia="TimesNewRoman"/>
        </w:rPr>
        <w:t xml:space="preserve"> и повторной) и </w:t>
      </w:r>
      <w:r>
        <w:rPr>
          <w:rFonts w:eastAsia="TimesNewRoman"/>
        </w:rPr>
        <w:t>ухудшения</w:t>
      </w:r>
      <w:r w:rsidRPr="00227751">
        <w:rPr>
          <w:rFonts w:eastAsia="TimesNewRoman"/>
        </w:rPr>
        <w:t xml:space="preserve"> рСКФ (</w:t>
      </w:r>
      <w:r w:rsidRPr="00DD4F43">
        <w:rPr>
          <w:rFonts w:eastAsia="TimesNewRoman"/>
        </w:rPr>
        <w:t>CKD-EPI</w:t>
      </w:r>
      <w:r w:rsidRPr="00227751">
        <w:rPr>
          <w:rFonts w:eastAsia="TimesNewRoman"/>
        </w:rPr>
        <w:t xml:space="preserve">) по сравнению с исходным уровнем. Исходная терапия </w:t>
      </w:r>
      <w:r>
        <w:rPr>
          <w:rFonts w:eastAsia="TimesNewRoman"/>
        </w:rPr>
        <w:t>СН</w:t>
      </w:r>
      <w:r w:rsidRPr="00227751">
        <w:rPr>
          <w:rFonts w:eastAsia="TimesNewRoman"/>
        </w:rPr>
        <w:t xml:space="preserve"> включала ингибиторы АПФ</w:t>
      </w:r>
      <w:r>
        <w:rPr>
          <w:rFonts w:eastAsia="TimesNewRoman"/>
        </w:rPr>
        <w:t xml:space="preserve"> </w:t>
      </w:r>
      <w:r w:rsidRPr="00227751">
        <w:rPr>
          <w:rFonts w:eastAsia="TimesNewRoman"/>
        </w:rPr>
        <w:t>/</w:t>
      </w:r>
      <w:r>
        <w:rPr>
          <w:rFonts w:eastAsia="TimesNewRoman"/>
        </w:rPr>
        <w:t xml:space="preserve"> </w:t>
      </w:r>
      <w:r w:rsidRPr="00227751">
        <w:rPr>
          <w:rFonts w:eastAsia="TimesNewRoman"/>
        </w:rPr>
        <w:t>блокаторы рецепторов ангиотензина</w:t>
      </w:r>
      <w:r>
        <w:rPr>
          <w:rFonts w:eastAsia="TimesNewRoman"/>
        </w:rPr>
        <w:t xml:space="preserve"> </w:t>
      </w:r>
      <w:r w:rsidRPr="00227751">
        <w:rPr>
          <w:rFonts w:eastAsia="TimesNewRoman"/>
        </w:rPr>
        <w:t>/</w:t>
      </w:r>
      <w:r>
        <w:rPr>
          <w:rFonts w:eastAsia="TimesNewRoman"/>
        </w:rPr>
        <w:t xml:space="preserve"> </w:t>
      </w:r>
      <w:r w:rsidRPr="00227751">
        <w:rPr>
          <w:rFonts w:eastAsia="TimesNewRoman"/>
        </w:rPr>
        <w:t>ингибиторы рецепторов ангиотензина-неприлизина (88,3%), бета-блокаторы (94,7%), антагонисты минералокортикоидных рецепторов (71,3%) и диуретики (95,0%).</w:t>
      </w:r>
    </w:p>
    <w:p w14:paraId="579EBB5E" w14:textId="64A31A56" w:rsidR="00345876" w:rsidRPr="00227751" w:rsidRDefault="00345876" w:rsidP="00345876">
      <w:pPr>
        <w:autoSpaceDE w:val="0"/>
        <w:autoSpaceDN w:val="0"/>
        <w:adjustRightInd w:val="0"/>
        <w:spacing w:after="0" w:line="240" w:lineRule="auto"/>
        <w:ind w:firstLine="709"/>
        <w:contextualSpacing/>
        <w:rPr>
          <w:rFonts w:eastAsia="TimesNewRoman"/>
        </w:rPr>
      </w:pPr>
      <w:r w:rsidRPr="00227751">
        <w:rPr>
          <w:rFonts w:eastAsia="TimesNewRoman"/>
        </w:rPr>
        <w:t>В общей сложности 1863 пациент</w:t>
      </w:r>
      <w:r>
        <w:rPr>
          <w:rFonts w:eastAsia="TimesNewRoman"/>
        </w:rPr>
        <w:t>ов</w:t>
      </w:r>
      <w:r w:rsidRPr="00227751">
        <w:rPr>
          <w:rFonts w:eastAsia="TimesNewRoman"/>
        </w:rPr>
        <w:t xml:space="preserve"> были рандомизированы для получения эмпаглифлозина в дозе 10 мг (</w:t>
      </w:r>
      <w:r>
        <w:rPr>
          <w:rFonts w:eastAsia="TimesNewRoman"/>
        </w:rPr>
        <w:t xml:space="preserve">группа </w:t>
      </w:r>
      <w:r w:rsidRPr="00227751">
        <w:rPr>
          <w:rFonts w:eastAsia="TimesNewRoman"/>
        </w:rPr>
        <w:t>плацебо</w:t>
      </w:r>
      <w:r>
        <w:rPr>
          <w:rFonts w:eastAsia="TimesNewRoman"/>
        </w:rPr>
        <w:t xml:space="preserve"> </w:t>
      </w:r>
      <w:r w:rsidR="006C3766">
        <w:rPr>
          <w:rFonts w:eastAsia="TimesNewRoman"/>
        </w:rPr>
        <w:t>– 1</w:t>
      </w:r>
      <w:r w:rsidRPr="00227751">
        <w:rPr>
          <w:rFonts w:eastAsia="TimesNewRoman"/>
        </w:rPr>
        <w:t>867</w:t>
      </w:r>
      <w:r>
        <w:rPr>
          <w:rFonts w:eastAsia="TimesNewRoman"/>
        </w:rPr>
        <w:t xml:space="preserve"> пациентов</w:t>
      </w:r>
      <w:r w:rsidRPr="00227751">
        <w:rPr>
          <w:rFonts w:eastAsia="TimesNewRoman"/>
        </w:rPr>
        <w:t xml:space="preserve">) и наблюдались в среднем в течение 15,7 месяцев. Исследуемая популяция состояла из 76,1% мужчин и 23,9% женщин со средним возрастом 66,8 лет (диапазон: 25-94 года), 26,8% были в возрасте 75 лет и старше. 70,5% исследуемого населения были белыми, 18,0% азиатами и 6,9% чернокожими/афроамериканцами. При рандомизации 75,1% пациентов относились к классу </w:t>
      </w:r>
      <w:r w:rsidRPr="00227751">
        <w:rPr>
          <w:rFonts w:eastAsia="TimesNewRoman"/>
          <w:lang w:val="en-US"/>
        </w:rPr>
        <w:t>II</w:t>
      </w:r>
      <w:r w:rsidRPr="00227751">
        <w:rPr>
          <w:rFonts w:eastAsia="TimesNewRoman"/>
        </w:rPr>
        <w:t xml:space="preserve"> по </w:t>
      </w:r>
      <w:r w:rsidRPr="00227751">
        <w:rPr>
          <w:rFonts w:eastAsia="TimesNewRoman"/>
          <w:lang w:val="en-US"/>
        </w:rPr>
        <w:t>NYHA</w:t>
      </w:r>
      <w:r w:rsidRPr="00227751">
        <w:rPr>
          <w:rFonts w:eastAsia="TimesNewRoman"/>
        </w:rPr>
        <w:t xml:space="preserve">, 24,4% </w:t>
      </w:r>
      <w:r w:rsidR="006C3766">
        <w:rPr>
          <w:rFonts w:eastAsia="TimesNewRoman"/>
        </w:rPr>
        <w:t>–</w:t>
      </w:r>
      <w:r w:rsidRPr="00227751">
        <w:rPr>
          <w:rFonts w:eastAsia="TimesNewRoman"/>
        </w:rPr>
        <w:t xml:space="preserve"> к классу </w:t>
      </w:r>
      <w:r w:rsidRPr="00227751">
        <w:rPr>
          <w:rFonts w:eastAsia="TimesNewRoman"/>
          <w:lang w:val="en-US"/>
        </w:rPr>
        <w:t>III</w:t>
      </w:r>
      <w:r w:rsidRPr="00227751">
        <w:rPr>
          <w:rFonts w:eastAsia="TimesNewRoman"/>
        </w:rPr>
        <w:t xml:space="preserve"> и 0,5% </w:t>
      </w:r>
      <w:r w:rsidR="006C3766">
        <w:rPr>
          <w:rFonts w:eastAsia="TimesNewRoman"/>
        </w:rPr>
        <w:t>–</w:t>
      </w:r>
      <w:r w:rsidRPr="00227751">
        <w:rPr>
          <w:rFonts w:eastAsia="TimesNewRoman"/>
        </w:rPr>
        <w:t xml:space="preserve"> к классу </w:t>
      </w:r>
      <w:r w:rsidRPr="00227751">
        <w:rPr>
          <w:rFonts w:eastAsia="TimesNewRoman"/>
          <w:lang w:val="en-US"/>
        </w:rPr>
        <w:t>IV</w:t>
      </w:r>
      <w:r w:rsidRPr="00227751">
        <w:rPr>
          <w:rFonts w:eastAsia="TimesNewRoman"/>
        </w:rPr>
        <w:t>. Средняя ФВ ЛЖ составила 27,5%. Исходно средняя рСКФ составляла 62,0 мл/мин/1,73 м</w:t>
      </w:r>
      <w:r w:rsidRPr="00594626">
        <w:rPr>
          <w:rFonts w:eastAsia="TimesNewRoman"/>
          <w:vertAlign w:val="superscript"/>
        </w:rPr>
        <w:t>2</w:t>
      </w:r>
      <w:r w:rsidRPr="00227751">
        <w:rPr>
          <w:rFonts w:eastAsia="TimesNewRoman"/>
        </w:rPr>
        <w:t>, а медиана отношения альбумина к креатинину в моче (</w:t>
      </w:r>
      <w:r>
        <w:rPr>
          <w:rFonts w:eastAsia="TimesNewRoman"/>
        </w:rPr>
        <w:t>АКМ</w:t>
      </w:r>
      <w:r w:rsidRPr="00227751">
        <w:rPr>
          <w:rFonts w:eastAsia="TimesNewRoman"/>
        </w:rPr>
        <w:t xml:space="preserve">) составляла 22 мг/г. Около половины пациентов (51,7%) имели рСКФ ≥60 мл/мин/1,73 м2, 24,1% </w:t>
      </w:r>
      <w:r w:rsidR="006C3766">
        <w:rPr>
          <w:rFonts w:eastAsia="TimesNewRoman"/>
        </w:rPr>
        <w:t>–</w:t>
      </w:r>
      <w:r w:rsidRPr="00227751">
        <w:rPr>
          <w:rFonts w:eastAsia="TimesNewRoman"/>
        </w:rPr>
        <w:t xml:space="preserve"> от 45 до &lt;60 мл/мин/1,73 м</w:t>
      </w:r>
      <w:r w:rsidRPr="00594626">
        <w:rPr>
          <w:rFonts w:eastAsia="TimesNewRoman"/>
          <w:vertAlign w:val="superscript"/>
        </w:rPr>
        <w:t>2</w:t>
      </w:r>
      <w:r w:rsidRPr="00227751">
        <w:rPr>
          <w:rFonts w:eastAsia="TimesNewRoman"/>
        </w:rPr>
        <w:t>, 18,6% — от 30 до &lt;45 мл/мин/1,73 м</w:t>
      </w:r>
      <w:r w:rsidRPr="00594626">
        <w:rPr>
          <w:rFonts w:eastAsia="TimesNewRoman"/>
          <w:vertAlign w:val="superscript"/>
        </w:rPr>
        <w:t xml:space="preserve">2 </w:t>
      </w:r>
      <w:r w:rsidRPr="00227751">
        <w:rPr>
          <w:rFonts w:eastAsia="TimesNewRoman"/>
        </w:rPr>
        <w:t>и 5,3% от 20 до &lt;30 мл/мин/1,73 м</w:t>
      </w:r>
      <w:r w:rsidRPr="00594626">
        <w:rPr>
          <w:rFonts w:eastAsia="TimesNewRoman"/>
          <w:vertAlign w:val="superscript"/>
        </w:rPr>
        <w:t>2</w:t>
      </w:r>
      <w:r w:rsidRPr="00227751">
        <w:rPr>
          <w:rFonts w:eastAsia="TimesNewRoman"/>
        </w:rPr>
        <w:t>.</w:t>
      </w:r>
    </w:p>
    <w:p w14:paraId="7F86F862" w14:textId="40C41FFF" w:rsidR="00345876" w:rsidRPr="002604EF" w:rsidRDefault="00345876" w:rsidP="00345876">
      <w:pPr>
        <w:autoSpaceDE w:val="0"/>
        <w:autoSpaceDN w:val="0"/>
        <w:adjustRightInd w:val="0"/>
        <w:spacing w:after="0" w:line="240" w:lineRule="auto"/>
        <w:ind w:firstLine="709"/>
        <w:contextualSpacing/>
        <w:rPr>
          <w:rFonts w:eastAsia="TimesNewRoman"/>
        </w:rPr>
      </w:pPr>
      <w:r w:rsidRPr="00227751">
        <w:rPr>
          <w:rFonts w:eastAsia="TimesNewRoman"/>
        </w:rPr>
        <w:t xml:space="preserve">Эмпаглифлозин превосходил плацебо в снижении риска первичной комбинированной конечной точки смерти от сердечно-сосудистых заболеваний или госпитализаций по поводу </w:t>
      </w:r>
      <w:r w:rsidRPr="002604EF">
        <w:rPr>
          <w:rFonts w:eastAsia="TimesNewRoman"/>
        </w:rPr>
        <w:t xml:space="preserve">сердечной недостаточности. Кроме того, эмпаглифлозин значительно снижал риск возникновения госпитализации по причине СН (первичной и повторной) и значительно снижал скорость снижения рСКФ (таблица </w:t>
      </w:r>
      <w:r w:rsidR="002604EF" w:rsidRPr="002604EF">
        <w:rPr>
          <w:rFonts w:eastAsia="TimesNewRoman"/>
        </w:rPr>
        <w:t>4-1</w:t>
      </w:r>
      <w:r w:rsidR="006836D0">
        <w:rPr>
          <w:rFonts w:eastAsia="TimesNewRoman"/>
        </w:rPr>
        <w:t>1</w:t>
      </w:r>
      <w:r w:rsidRPr="002604EF">
        <w:rPr>
          <w:rFonts w:eastAsia="TimesNewRoman"/>
        </w:rPr>
        <w:t xml:space="preserve">; рис. </w:t>
      </w:r>
      <w:r w:rsidR="002604EF" w:rsidRPr="002604EF">
        <w:rPr>
          <w:rFonts w:eastAsia="TimesNewRoman"/>
        </w:rPr>
        <w:t>4-</w:t>
      </w:r>
      <w:r w:rsidRPr="002604EF">
        <w:rPr>
          <w:rFonts w:eastAsia="TimesNewRoman"/>
        </w:rPr>
        <w:t xml:space="preserve">2 и </w:t>
      </w:r>
      <w:r w:rsidR="002604EF" w:rsidRPr="002604EF">
        <w:rPr>
          <w:rFonts w:eastAsia="TimesNewRoman"/>
        </w:rPr>
        <w:t>4-</w:t>
      </w:r>
      <w:r w:rsidRPr="002604EF">
        <w:rPr>
          <w:rFonts w:eastAsia="TimesNewRoman"/>
        </w:rPr>
        <w:t>3)</w:t>
      </w:r>
      <w:r w:rsidR="004B66CD" w:rsidRPr="002604EF">
        <w:rPr>
          <w:rFonts w:eastAsia="TimesNewRoman"/>
        </w:rPr>
        <w:t xml:space="preserve"> [21]</w:t>
      </w:r>
      <w:r w:rsidRPr="002604EF">
        <w:rPr>
          <w:rFonts w:eastAsia="TimesNewRoman"/>
        </w:rPr>
        <w:t>.</w:t>
      </w:r>
    </w:p>
    <w:bookmarkEnd w:id="152"/>
    <w:p w14:paraId="77F3D5BD"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605BA387" w14:textId="6FEC4A7B" w:rsidR="00345876" w:rsidRPr="00DD4F43"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4-1</w:t>
      </w:r>
      <w:r w:rsidR="006836D0">
        <w:rPr>
          <w:rFonts w:eastAsia="TimesNewRoman"/>
          <w:b/>
          <w:bCs/>
        </w:rPr>
        <w:t>1</w:t>
      </w:r>
      <w:r w:rsidRPr="002604EF">
        <w:rPr>
          <w:rFonts w:eastAsia="TimesNewRoman"/>
          <w:b/>
          <w:bCs/>
        </w:rPr>
        <w:t>.</w:t>
      </w:r>
      <w:r w:rsidRPr="002604EF">
        <w:rPr>
          <w:rFonts w:eastAsia="TimesNewRoman"/>
        </w:rPr>
        <w:t xml:space="preserve"> Эффективность терапии</w:t>
      </w:r>
      <w:r w:rsidRPr="00DD4F43">
        <w:rPr>
          <w:rFonts w:eastAsia="TimesNewRoman"/>
        </w:rPr>
        <w:t xml:space="preserve"> для первичной комбинированной конечной точки, ее компонентов и двух ключевых вторичных конечных точек, включенных в заранее определенное подтверждающее тестирование.</w:t>
      </w:r>
    </w:p>
    <w:tbl>
      <w:tblPr>
        <w:tblStyle w:val="TableGrid"/>
        <w:tblW w:w="0" w:type="auto"/>
        <w:tblLook w:val="04A0" w:firstRow="1" w:lastRow="0" w:firstColumn="1" w:lastColumn="0" w:noHBand="0" w:noVBand="1"/>
      </w:tblPr>
      <w:tblGrid>
        <w:gridCol w:w="4956"/>
        <w:gridCol w:w="1643"/>
        <w:gridCol w:w="2745"/>
      </w:tblGrid>
      <w:tr w:rsidR="00345876" w:rsidRPr="00DD4F43" w14:paraId="3104FAE3" w14:textId="77777777" w:rsidTr="00B47330">
        <w:trPr>
          <w:trHeight w:val="655"/>
          <w:tblHeader/>
        </w:trPr>
        <w:tc>
          <w:tcPr>
            <w:tcW w:w="4957" w:type="dxa"/>
            <w:shd w:val="clear" w:color="auto" w:fill="D9D9D9" w:themeFill="background1" w:themeFillShade="D9"/>
            <w:vAlign w:val="center"/>
          </w:tcPr>
          <w:p w14:paraId="369D533A" w14:textId="59836599" w:rsidR="00345876" w:rsidRPr="00644506" w:rsidRDefault="00B47330" w:rsidP="00B47330">
            <w:pPr>
              <w:autoSpaceDE w:val="0"/>
              <w:autoSpaceDN w:val="0"/>
              <w:adjustRightInd w:val="0"/>
              <w:spacing w:line="240" w:lineRule="auto"/>
              <w:contextualSpacing/>
              <w:jc w:val="center"/>
              <w:rPr>
                <w:rFonts w:eastAsia="TimesNewRoman"/>
                <w:b/>
                <w:bCs/>
              </w:rPr>
            </w:pPr>
            <w:r>
              <w:rPr>
                <w:rFonts w:eastAsia="TimesNewRoman"/>
                <w:b/>
                <w:bCs/>
              </w:rPr>
              <w:t>Параметр</w:t>
            </w:r>
          </w:p>
        </w:tc>
        <w:tc>
          <w:tcPr>
            <w:tcW w:w="1643" w:type="dxa"/>
            <w:shd w:val="clear" w:color="auto" w:fill="D9D9D9" w:themeFill="background1" w:themeFillShade="D9"/>
            <w:vAlign w:val="center"/>
          </w:tcPr>
          <w:p w14:paraId="4C8EA219" w14:textId="77777777" w:rsidR="00345876" w:rsidRPr="00644506" w:rsidRDefault="00345876" w:rsidP="00B47330">
            <w:pPr>
              <w:autoSpaceDE w:val="0"/>
              <w:autoSpaceDN w:val="0"/>
              <w:adjustRightInd w:val="0"/>
              <w:spacing w:line="240" w:lineRule="auto"/>
              <w:contextualSpacing/>
              <w:jc w:val="center"/>
              <w:rPr>
                <w:rFonts w:eastAsia="TimesNewRoman"/>
                <w:b/>
                <w:bCs/>
              </w:rPr>
            </w:pPr>
            <w:r w:rsidRPr="00644506">
              <w:rPr>
                <w:rFonts w:eastAsia="TimesNewRoman"/>
                <w:b/>
                <w:bCs/>
              </w:rPr>
              <w:t>Плацебо</w:t>
            </w:r>
          </w:p>
        </w:tc>
        <w:tc>
          <w:tcPr>
            <w:tcW w:w="2745" w:type="dxa"/>
            <w:shd w:val="clear" w:color="auto" w:fill="D9D9D9" w:themeFill="background1" w:themeFillShade="D9"/>
            <w:vAlign w:val="center"/>
          </w:tcPr>
          <w:p w14:paraId="16ED849B" w14:textId="77777777" w:rsidR="00345876" w:rsidRPr="00644506" w:rsidRDefault="00345876" w:rsidP="00B47330">
            <w:pPr>
              <w:autoSpaceDE w:val="0"/>
              <w:autoSpaceDN w:val="0"/>
              <w:adjustRightInd w:val="0"/>
              <w:spacing w:line="240" w:lineRule="auto"/>
              <w:contextualSpacing/>
              <w:jc w:val="center"/>
              <w:rPr>
                <w:rFonts w:eastAsia="TimesNewRoman"/>
                <w:b/>
                <w:bCs/>
              </w:rPr>
            </w:pPr>
            <w:r w:rsidRPr="00644506">
              <w:rPr>
                <w:rFonts w:eastAsia="TimesNewRoman"/>
                <w:b/>
                <w:bCs/>
              </w:rPr>
              <w:t>Эмпаглифлозин 10 мг</w:t>
            </w:r>
          </w:p>
        </w:tc>
      </w:tr>
      <w:tr w:rsidR="00345876" w:rsidRPr="00DD4F43" w14:paraId="3E425769" w14:textId="77777777" w:rsidTr="007756D8">
        <w:tc>
          <w:tcPr>
            <w:tcW w:w="4957" w:type="dxa"/>
            <w:vAlign w:val="center"/>
          </w:tcPr>
          <w:p w14:paraId="2719A25E" w14:textId="77777777" w:rsidR="00345876" w:rsidRPr="00DD4F43" w:rsidRDefault="00345876" w:rsidP="004B66CD">
            <w:pPr>
              <w:autoSpaceDE w:val="0"/>
              <w:autoSpaceDN w:val="0"/>
              <w:adjustRightInd w:val="0"/>
              <w:spacing w:line="240" w:lineRule="auto"/>
              <w:ind w:firstLine="22"/>
              <w:contextualSpacing/>
              <w:rPr>
                <w:rFonts w:eastAsia="TimesNewRoman"/>
              </w:rPr>
            </w:pPr>
            <w:r>
              <w:rPr>
                <w:rFonts w:eastAsia="TimesNewRoman"/>
              </w:rPr>
              <w:t>Количество пациентов</w:t>
            </w:r>
          </w:p>
        </w:tc>
        <w:tc>
          <w:tcPr>
            <w:tcW w:w="1643" w:type="dxa"/>
            <w:vAlign w:val="center"/>
          </w:tcPr>
          <w:p w14:paraId="1D76CA11"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1867</w:t>
            </w:r>
          </w:p>
        </w:tc>
        <w:tc>
          <w:tcPr>
            <w:tcW w:w="2745" w:type="dxa"/>
            <w:vAlign w:val="center"/>
          </w:tcPr>
          <w:p w14:paraId="7132A073"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1863</w:t>
            </w:r>
          </w:p>
        </w:tc>
      </w:tr>
      <w:tr w:rsidR="00345876" w:rsidRPr="00DD4F43" w14:paraId="1EA8B297" w14:textId="77777777" w:rsidTr="007756D8">
        <w:tc>
          <w:tcPr>
            <w:tcW w:w="4957" w:type="dxa"/>
            <w:vAlign w:val="center"/>
          </w:tcPr>
          <w:p w14:paraId="122025E6" w14:textId="77777777" w:rsidR="00345876" w:rsidRPr="00644506" w:rsidRDefault="00345876" w:rsidP="004B66CD">
            <w:pPr>
              <w:autoSpaceDE w:val="0"/>
              <w:autoSpaceDN w:val="0"/>
              <w:adjustRightInd w:val="0"/>
              <w:spacing w:line="240" w:lineRule="auto"/>
              <w:ind w:firstLine="22"/>
              <w:contextualSpacing/>
              <w:rPr>
                <w:rFonts w:eastAsia="TimesNewRoman"/>
              </w:rPr>
            </w:pPr>
            <w:r>
              <w:rPr>
                <w:rFonts w:eastAsia="TimesNewRoman"/>
              </w:rPr>
              <w:t xml:space="preserve">Время до первой ССС или ГСН, </w:t>
            </w:r>
            <w:r>
              <w:rPr>
                <w:rFonts w:eastAsia="TimesNewRoman"/>
                <w:lang w:val="en-US"/>
              </w:rPr>
              <w:t>n</w:t>
            </w:r>
            <w:r w:rsidRPr="00644506">
              <w:rPr>
                <w:rFonts w:eastAsia="TimesNewRoman"/>
              </w:rPr>
              <w:t xml:space="preserve"> (%)</w:t>
            </w:r>
          </w:p>
        </w:tc>
        <w:tc>
          <w:tcPr>
            <w:tcW w:w="1643" w:type="dxa"/>
            <w:vAlign w:val="center"/>
          </w:tcPr>
          <w:p w14:paraId="765A985B"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462 (24,7)</w:t>
            </w:r>
          </w:p>
        </w:tc>
        <w:tc>
          <w:tcPr>
            <w:tcW w:w="2745" w:type="dxa"/>
            <w:vAlign w:val="center"/>
          </w:tcPr>
          <w:p w14:paraId="0C93D6EB"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361 (19,4)</w:t>
            </w:r>
          </w:p>
        </w:tc>
      </w:tr>
      <w:tr w:rsidR="00345876" w:rsidRPr="00DD4F43" w14:paraId="4142D4D4" w14:textId="77777777" w:rsidTr="007756D8">
        <w:tc>
          <w:tcPr>
            <w:tcW w:w="4957" w:type="dxa"/>
            <w:vAlign w:val="center"/>
          </w:tcPr>
          <w:p w14:paraId="48D80DB1"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ОР в сравнении с плацебо (95% ДИ)*</w:t>
            </w:r>
          </w:p>
        </w:tc>
        <w:tc>
          <w:tcPr>
            <w:tcW w:w="1643" w:type="dxa"/>
            <w:vAlign w:val="center"/>
          </w:tcPr>
          <w:p w14:paraId="23921A0A"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36FDCA33"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0,75 (0,65; 0,86)</w:t>
            </w:r>
          </w:p>
        </w:tc>
      </w:tr>
      <w:tr w:rsidR="00345876" w:rsidRPr="00DD4F43" w14:paraId="5E31BE9D" w14:textId="77777777" w:rsidTr="007756D8">
        <w:tc>
          <w:tcPr>
            <w:tcW w:w="4957" w:type="dxa"/>
            <w:vAlign w:val="center"/>
          </w:tcPr>
          <w:p w14:paraId="3BEB9BBD"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Значение р для оценки эффективности (</w:t>
            </w:r>
            <w:r>
              <w:rPr>
                <w:rFonts w:eastAsia="TimesNewRoman"/>
                <w:lang w:val="en-US"/>
              </w:rPr>
              <w:t>superiority</w:t>
            </w:r>
            <w:r>
              <w:rPr>
                <w:rFonts w:eastAsia="TimesNewRoman"/>
              </w:rPr>
              <w:t>)</w:t>
            </w:r>
          </w:p>
        </w:tc>
        <w:tc>
          <w:tcPr>
            <w:tcW w:w="1643" w:type="dxa"/>
            <w:vAlign w:val="center"/>
          </w:tcPr>
          <w:p w14:paraId="58C26984"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3556CE36" w14:textId="77777777" w:rsidR="00345876" w:rsidRPr="00644506" w:rsidRDefault="00345876" w:rsidP="004B66CD">
            <w:pPr>
              <w:autoSpaceDE w:val="0"/>
              <w:autoSpaceDN w:val="0"/>
              <w:adjustRightInd w:val="0"/>
              <w:spacing w:line="240" w:lineRule="auto"/>
              <w:ind w:firstLine="22"/>
              <w:contextualSpacing/>
              <w:jc w:val="center"/>
              <w:rPr>
                <w:rFonts w:eastAsia="TimesNewRoman"/>
              </w:rPr>
            </w:pPr>
            <w:r>
              <w:rPr>
                <w:rFonts w:eastAsia="TimesNewRoman"/>
                <w:lang w:val="en-US"/>
              </w:rPr>
              <w:t>&lt;</w:t>
            </w:r>
            <w:r>
              <w:rPr>
                <w:rFonts w:eastAsia="TimesNewRoman"/>
              </w:rPr>
              <w:t>0,0001</w:t>
            </w:r>
          </w:p>
        </w:tc>
      </w:tr>
      <w:tr w:rsidR="00345876" w:rsidRPr="00DD4F43" w14:paraId="2134F2AE" w14:textId="77777777" w:rsidTr="007756D8">
        <w:tc>
          <w:tcPr>
            <w:tcW w:w="4957" w:type="dxa"/>
            <w:vAlign w:val="center"/>
          </w:tcPr>
          <w:p w14:paraId="356A7470" w14:textId="1CCA938E" w:rsidR="00345876" w:rsidRPr="00DD4F43" w:rsidRDefault="00345876">
            <w:pPr>
              <w:autoSpaceDE w:val="0"/>
              <w:autoSpaceDN w:val="0"/>
              <w:adjustRightInd w:val="0"/>
              <w:spacing w:line="240" w:lineRule="auto"/>
              <w:ind w:firstLine="22"/>
              <w:contextualSpacing/>
              <w:rPr>
                <w:rFonts w:eastAsia="TimesNewRoman"/>
              </w:rPr>
            </w:pPr>
            <w:r>
              <w:rPr>
                <w:rFonts w:eastAsia="TimesNewRoman"/>
              </w:rPr>
              <w:t xml:space="preserve">ССС, </w:t>
            </w:r>
            <w:r>
              <w:rPr>
                <w:rFonts w:eastAsia="TimesNewRoman"/>
                <w:lang w:val="en-US"/>
              </w:rPr>
              <w:t>n</w:t>
            </w:r>
            <w:r w:rsidRPr="00644506">
              <w:rPr>
                <w:rFonts w:eastAsia="TimesNewRoman"/>
              </w:rPr>
              <w:t xml:space="preserve"> (%)</w:t>
            </w:r>
          </w:p>
        </w:tc>
        <w:tc>
          <w:tcPr>
            <w:tcW w:w="1643" w:type="dxa"/>
            <w:vAlign w:val="center"/>
          </w:tcPr>
          <w:p w14:paraId="5001B9A3"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202 (10,8)</w:t>
            </w:r>
          </w:p>
        </w:tc>
        <w:tc>
          <w:tcPr>
            <w:tcW w:w="2745" w:type="dxa"/>
            <w:vAlign w:val="center"/>
          </w:tcPr>
          <w:p w14:paraId="6D3B90F5"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187 (10,0)</w:t>
            </w:r>
          </w:p>
        </w:tc>
      </w:tr>
      <w:tr w:rsidR="00345876" w:rsidRPr="00DD4F43" w14:paraId="76CB5123" w14:textId="77777777" w:rsidTr="007756D8">
        <w:tc>
          <w:tcPr>
            <w:tcW w:w="4957" w:type="dxa"/>
            <w:vAlign w:val="center"/>
          </w:tcPr>
          <w:p w14:paraId="074EB171"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ОР в сравнении с плацебо (95% ДИ)*</w:t>
            </w:r>
          </w:p>
        </w:tc>
        <w:tc>
          <w:tcPr>
            <w:tcW w:w="1643" w:type="dxa"/>
            <w:vAlign w:val="center"/>
          </w:tcPr>
          <w:p w14:paraId="70F9E050"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3D1F59F8"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0,92 (0,75; 1,12)</w:t>
            </w:r>
          </w:p>
        </w:tc>
      </w:tr>
      <w:tr w:rsidR="00345876" w:rsidRPr="00DD4F43" w14:paraId="15B8482C" w14:textId="77777777" w:rsidTr="007756D8">
        <w:tc>
          <w:tcPr>
            <w:tcW w:w="4957" w:type="dxa"/>
            <w:vAlign w:val="center"/>
          </w:tcPr>
          <w:p w14:paraId="70F4A7F1" w14:textId="77777777" w:rsidR="00345876" w:rsidRPr="00DD4F43" w:rsidRDefault="00345876" w:rsidP="004B66CD">
            <w:pPr>
              <w:autoSpaceDE w:val="0"/>
              <w:autoSpaceDN w:val="0"/>
              <w:adjustRightInd w:val="0"/>
              <w:spacing w:line="240" w:lineRule="auto"/>
              <w:ind w:firstLine="22"/>
              <w:contextualSpacing/>
              <w:rPr>
                <w:rFonts w:eastAsia="TimesNewRoman"/>
              </w:rPr>
            </w:pPr>
            <w:r>
              <w:rPr>
                <w:rFonts w:eastAsia="TimesNewRoman"/>
              </w:rPr>
              <w:t xml:space="preserve">ГСН (первичная), </w:t>
            </w:r>
            <w:r>
              <w:rPr>
                <w:rFonts w:eastAsia="TimesNewRoman"/>
                <w:lang w:val="en-US"/>
              </w:rPr>
              <w:t>n</w:t>
            </w:r>
            <w:r w:rsidRPr="00644506">
              <w:rPr>
                <w:rFonts w:eastAsia="TimesNewRoman"/>
              </w:rPr>
              <w:t xml:space="preserve"> (%)</w:t>
            </w:r>
          </w:p>
        </w:tc>
        <w:tc>
          <w:tcPr>
            <w:tcW w:w="1643" w:type="dxa"/>
            <w:vAlign w:val="center"/>
          </w:tcPr>
          <w:p w14:paraId="74DBCF0B"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342 (18,3)</w:t>
            </w:r>
          </w:p>
        </w:tc>
        <w:tc>
          <w:tcPr>
            <w:tcW w:w="2745" w:type="dxa"/>
            <w:vAlign w:val="center"/>
          </w:tcPr>
          <w:p w14:paraId="2FA2DAFF"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246 (13,2)</w:t>
            </w:r>
          </w:p>
        </w:tc>
      </w:tr>
      <w:tr w:rsidR="00345876" w:rsidRPr="00DD4F43" w14:paraId="72819A57" w14:textId="77777777" w:rsidTr="007756D8">
        <w:tc>
          <w:tcPr>
            <w:tcW w:w="4957" w:type="dxa"/>
            <w:vAlign w:val="center"/>
          </w:tcPr>
          <w:p w14:paraId="59B58A2A"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ОР в сравнении с плацебо (95% ДИ)</w:t>
            </w:r>
          </w:p>
        </w:tc>
        <w:tc>
          <w:tcPr>
            <w:tcW w:w="1643" w:type="dxa"/>
            <w:vAlign w:val="center"/>
          </w:tcPr>
          <w:p w14:paraId="2482405B"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33EBA765"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0,69 (0,59; 0,81)</w:t>
            </w:r>
          </w:p>
        </w:tc>
      </w:tr>
      <w:tr w:rsidR="00345876" w:rsidRPr="00DD4F43" w14:paraId="09916F71" w14:textId="77777777" w:rsidTr="007756D8">
        <w:tc>
          <w:tcPr>
            <w:tcW w:w="4957" w:type="dxa"/>
            <w:vAlign w:val="center"/>
          </w:tcPr>
          <w:p w14:paraId="710AF4D6" w14:textId="77777777" w:rsidR="00345876" w:rsidRPr="00DD4F43" w:rsidRDefault="00345876" w:rsidP="004B66CD">
            <w:pPr>
              <w:autoSpaceDE w:val="0"/>
              <w:autoSpaceDN w:val="0"/>
              <w:adjustRightInd w:val="0"/>
              <w:spacing w:line="240" w:lineRule="auto"/>
              <w:ind w:firstLine="22"/>
              <w:contextualSpacing/>
              <w:rPr>
                <w:rFonts w:eastAsia="TimesNewRoman"/>
              </w:rPr>
            </w:pPr>
            <w:r>
              <w:rPr>
                <w:rFonts w:eastAsia="TimesNewRoman"/>
              </w:rPr>
              <w:t xml:space="preserve">ГСН (повторная), </w:t>
            </w:r>
            <w:r>
              <w:rPr>
                <w:rFonts w:eastAsia="TimesNewRoman"/>
                <w:lang w:val="en-US"/>
              </w:rPr>
              <w:t>n</w:t>
            </w:r>
            <w:r w:rsidRPr="00644506">
              <w:rPr>
                <w:rFonts w:eastAsia="TimesNewRoman"/>
              </w:rPr>
              <w:t xml:space="preserve"> (%)</w:t>
            </w:r>
          </w:p>
        </w:tc>
        <w:tc>
          <w:tcPr>
            <w:tcW w:w="1643" w:type="dxa"/>
            <w:vAlign w:val="center"/>
          </w:tcPr>
          <w:p w14:paraId="4C5FB20C"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553</w:t>
            </w:r>
          </w:p>
        </w:tc>
        <w:tc>
          <w:tcPr>
            <w:tcW w:w="2745" w:type="dxa"/>
            <w:vAlign w:val="center"/>
          </w:tcPr>
          <w:p w14:paraId="0E3E5D64"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388</w:t>
            </w:r>
          </w:p>
        </w:tc>
      </w:tr>
      <w:tr w:rsidR="00345876" w:rsidRPr="00DD4F43" w14:paraId="0BE9A7C2" w14:textId="77777777" w:rsidTr="007756D8">
        <w:tc>
          <w:tcPr>
            <w:tcW w:w="4957" w:type="dxa"/>
            <w:vAlign w:val="center"/>
          </w:tcPr>
          <w:p w14:paraId="2B6CF8AD"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ОР в сравнении с плацебо (95% ДИ)*</w:t>
            </w:r>
          </w:p>
        </w:tc>
        <w:tc>
          <w:tcPr>
            <w:tcW w:w="1643" w:type="dxa"/>
            <w:vAlign w:val="center"/>
          </w:tcPr>
          <w:p w14:paraId="0E8CC849"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49EC5E47"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0,70 (0,58; 0,85)</w:t>
            </w:r>
          </w:p>
        </w:tc>
      </w:tr>
      <w:tr w:rsidR="00345876" w:rsidRPr="00DD4F43" w14:paraId="3CB75940" w14:textId="77777777" w:rsidTr="007756D8">
        <w:tc>
          <w:tcPr>
            <w:tcW w:w="4957" w:type="dxa"/>
            <w:vAlign w:val="center"/>
          </w:tcPr>
          <w:p w14:paraId="1DD5686A" w14:textId="77777777" w:rsidR="00345876" w:rsidRPr="00DD4F43" w:rsidRDefault="00345876" w:rsidP="004B66CD">
            <w:pPr>
              <w:autoSpaceDE w:val="0"/>
              <w:autoSpaceDN w:val="0"/>
              <w:adjustRightInd w:val="0"/>
              <w:spacing w:line="240" w:lineRule="auto"/>
              <w:ind w:left="164"/>
              <w:contextualSpacing/>
              <w:rPr>
                <w:rFonts w:eastAsia="TimesNewRoman"/>
              </w:rPr>
            </w:pPr>
            <w:r>
              <w:rPr>
                <w:rFonts w:eastAsia="TimesNewRoman"/>
              </w:rPr>
              <w:t>Значение р</w:t>
            </w:r>
          </w:p>
        </w:tc>
        <w:tc>
          <w:tcPr>
            <w:tcW w:w="1643" w:type="dxa"/>
            <w:vAlign w:val="center"/>
          </w:tcPr>
          <w:p w14:paraId="1F13610F"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457F38EB"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0,0003</w:t>
            </w:r>
          </w:p>
        </w:tc>
      </w:tr>
      <w:tr w:rsidR="00345876" w:rsidRPr="00DD4F43" w14:paraId="4B52BC30" w14:textId="77777777" w:rsidTr="007756D8">
        <w:tc>
          <w:tcPr>
            <w:tcW w:w="4957" w:type="dxa"/>
            <w:vAlign w:val="center"/>
          </w:tcPr>
          <w:p w14:paraId="60E7C9D5" w14:textId="77777777" w:rsidR="00345876" w:rsidRPr="00644506" w:rsidRDefault="00345876" w:rsidP="004B66CD">
            <w:pPr>
              <w:autoSpaceDE w:val="0"/>
              <w:autoSpaceDN w:val="0"/>
              <w:adjustRightInd w:val="0"/>
              <w:spacing w:line="240" w:lineRule="auto"/>
              <w:ind w:firstLine="22"/>
              <w:contextualSpacing/>
              <w:rPr>
                <w:rFonts w:eastAsia="TimesNewRoman"/>
              </w:rPr>
            </w:pPr>
            <w:r w:rsidRPr="00644506">
              <w:rPr>
                <w:rFonts w:eastAsia="TimesNewRoman"/>
              </w:rPr>
              <w:t>рСКФ</w:t>
            </w:r>
            <w:r>
              <w:rPr>
                <w:rFonts w:eastAsia="TimesNewRoman"/>
              </w:rPr>
              <w:t xml:space="preserve"> (</w:t>
            </w:r>
            <w:r w:rsidRPr="00644506">
              <w:rPr>
                <w:rFonts w:eastAsia="TimesNewRoman"/>
              </w:rPr>
              <w:t>CKD EPI</w:t>
            </w:r>
            <w:r>
              <w:rPr>
                <w:rFonts w:eastAsia="TimesNewRoman"/>
              </w:rPr>
              <w:t>)**, частота снижения (мл/мин/1,73м</w:t>
            </w:r>
            <w:r w:rsidRPr="00644506">
              <w:rPr>
                <w:rFonts w:eastAsia="TimesNewRoman"/>
                <w:vertAlign w:val="superscript"/>
              </w:rPr>
              <w:t>2</w:t>
            </w:r>
            <w:r>
              <w:rPr>
                <w:rFonts w:eastAsia="TimesNewRoman"/>
              </w:rPr>
              <w:t>/лет)</w:t>
            </w:r>
          </w:p>
        </w:tc>
        <w:tc>
          <w:tcPr>
            <w:tcW w:w="1643" w:type="dxa"/>
            <w:vAlign w:val="center"/>
          </w:tcPr>
          <w:p w14:paraId="3736EB90"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-2,28</w:t>
            </w:r>
          </w:p>
        </w:tc>
        <w:tc>
          <w:tcPr>
            <w:tcW w:w="2745" w:type="dxa"/>
            <w:vAlign w:val="center"/>
          </w:tcPr>
          <w:p w14:paraId="50F7BE77"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-0,55</w:t>
            </w:r>
          </w:p>
        </w:tc>
      </w:tr>
      <w:tr w:rsidR="00345876" w:rsidRPr="00DD4F43" w14:paraId="36A44C73" w14:textId="77777777" w:rsidTr="007756D8">
        <w:tc>
          <w:tcPr>
            <w:tcW w:w="4957" w:type="dxa"/>
            <w:vAlign w:val="center"/>
          </w:tcPr>
          <w:p w14:paraId="400A58ED"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lastRenderedPageBreak/>
              <w:t>Разница с плацебо (95% ДИ)</w:t>
            </w:r>
          </w:p>
        </w:tc>
        <w:tc>
          <w:tcPr>
            <w:tcW w:w="1643" w:type="dxa"/>
            <w:vAlign w:val="center"/>
          </w:tcPr>
          <w:p w14:paraId="68024D9E"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3B689837"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r>
              <w:rPr>
                <w:rFonts w:eastAsia="TimesNewRoman"/>
              </w:rPr>
              <w:t>1,73 (1,10; 2,37)</w:t>
            </w:r>
          </w:p>
        </w:tc>
      </w:tr>
      <w:tr w:rsidR="00345876" w:rsidRPr="00DD4F43" w14:paraId="41911B8A" w14:textId="77777777" w:rsidTr="007756D8">
        <w:tc>
          <w:tcPr>
            <w:tcW w:w="4957" w:type="dxa"/>
            <w:vAlign w:val="center"/>
          </w:tcPr>
          <w:p w14:paraId="5815A2C8" w14:textId="77777777" w:rsidR="00345876" w:rsidRPr="00DD4F43" w:rsidRDefault="00345876" w:rsidP="004B66CD">
            <w:pPr>
              <w:autoSpaceDE w:val="0"/>
              <w:autoSpaceDN w:val="0"/>
              <w:adjustRightInd w:val="0"/>
              <w:spacing w:line="240" w:lineRule="auto"/>
              <w:ind w:left="164" w:firstLine="22"/>
              <w:contextualSpacing/>
              <w:rPr>
                <w:rFonts w:eastAsia="TimesNewRoman"/>
              </w:rPr>
            </w:pPr>
            <w:r>
              <w:rPr>
                <w:rFonts w:eastAsia="TimesNewRoman"/>
              </w:rPr>
              <w:t>Значение р</w:t>
            </w:r>
          </w:p>
        </w:tc>
        <w:tc>
          <w:tcPr>
            <w:tcW w:w="1643" w:type="dxa"/>
            <w:vAlign w:val="center"/>
          </w:tcPr>
          <w:p w14:paraId="5112A5AD" w14:textId="77777777" w:rsidR="00345876" w:rsidRPr="00DD4F43" w:rsidRDefault="00345876" w:rsidP="004B66CD">
            <w:pPr>
              <w:autoSpaceDE w:val="0"/>
              <w:autoSpaceDN w:val="0"/>
              <w:adjustRightInd w:val="0"/>
              <w:spacing w:line="240" w:lineRule="auto"/>
              <w:ind w:firstLine="22"/>
              <w:contextualSpacing/>
              <w:jc w:val="center"/>
              <w:rPr>
                <w:rFonts w:eastAsia="TimesNewRoman"/>
              </w:rPr>
            </w:pPr>
          </w:p>
        </w:tc>
        <w:tc>
          <w:tcPr>
            <w:tcW w:w="2745" w:type="dxa"/>
            <w:vAlign w:val="center"/>
          </w:tcPr>
          <w:p w14:paraId="536AC194" w14:textId="77777777" w:rsidR="00345876" w:rsidRPr="002D5D76" w:rsidRDefault="00345876" w:rsidP="004B66CD">
            <w:pPr>
              <w:autoSpaceDE w:val="0"/>
              <w:autoSpaceDN w:val="0"/>
              <w:adjustRightInd w:val="0"/>
              <w:spacing w:line="240" w:lineRule="auto"/>
              <w:ind w:firstLine="22"/>
              <w:contextualSpacing/>
              <w:jc w:val="center"/>
              <w:rPr>
                <w:rFonts w:eastAsia="TimesNewRoman"/>
              </w:rPr>
            </w:pPr>
            <w:r>
              <w:rPr>
                <w:rFonts w:eastAsia="TimesNewRoman"/>
                <w:lang w:val="en-US"/>
              </w:rPr>
              <w:t>&lt;</w:t>
            </w:r>
            <w:r>
              <w:rPr>
                <w:rFonts w:eastAsia="TimesNewRoman"/>
              </w:rPr>
              <w:t>0,0001</w:t>
            </w:r>
          </w:p>
        </w:tc>
      </w:tr>
      <w:tr w:rsidR="00345876" w:rsidRPr="00DD4F43" w14:paraId="5C75B8B1" w14:textId="77777777" w:rsidTr="007756D8">
        <w:tc>
          <w:tcPr>
            <w:tcW w:w="9345" w:type="dxa"/>
            <w:gridSpan w:val="3"/>
          </w:tcPr>
          <w:p w14:paraId="76DA4FA0" w14:textId="77777777" w:rsidR="00345876" w:rsidRPr="00DD4F43" w:rsidRDefault="00345876" w:rsidP="004B66CD">
            <w:pPr>
              <w:autoSpaceDE w:val="0"/>
              <w:autoSpaceDN w:val="0"/>
              <w:adjustRightInd w:val="0"/>
              <w:spacing w:line="240" w:lineRule="auto"/>
              <w:ind w:firstLine="22"/>
              <w:contextualSpacing/>
              <w:rPr>
                <w:rFonts w:eastAsia="TimesNewRoman"/>
                <w:b/>
                <w:bCs/>
                <w:sz w:val="20"/>
                <w:szCs w:val="20"/>
              </w:rPr>
            </w:pPr>
            <w:r w:rsidRPr="00DD4F43">
              <w:rPr>
                <w:rFonts w:eastAsia="TimesNewRoman"/>
                <w:b/>
                <w:bCs/>
                <w:sz w:val="20"/>
                <w:szCs w:val="20"/>
              </w:rPr>
              <w:t>Примечание:</w:t>
            </w:r>
          </w:p>
          <w:p w14:paraId="302DACCE" w14:textId="46085B70" w:rsidR="00345876" w:rsidRDefault="00345876" w:rsidP="004B66CD">
            <w:pPr>
              <w:autoSpaceDE w:val="0"/>
              <w:autoSpaceDN w:val="0"/>
              <w:adjustRightInd w:val="0"/>
              <w:spacing w:line="240" w:lineRule="auto"/>
              <w:ind w:firstLine="22"/>
              <w:contextualSpacing/>
              <w:rPr>
                <w:rFonts w:eastAsia="TimesNewRoman"/>
                <w:sz w:val="20"/>
                <w:szCs w:val="20"/>
              </w:rPr>
            </w:pPr>
            <w:r w:rsidRPr="00DD4F43">
              <w:rPr>
                <w:rFonts w:eastAsia="TimesNewRoman"/>
                <w:sz w:val="20"/>
                <w:szCs w:val="20"/>
                <w:lang w:val="en-US"/>
              </w:rPr>
              <w:t>C</w:t>
            </w:r>
            <w:r w:rsidRPr="00DD4F43">
              <w:rPr>
                <w:rFonts w:eastAsia="TimesNewRoman"/>
                <w:sz w:val="20"/>
                <w:szCs w:val="20"/>
              </w:rPr>
              <w:t>С = сердечно-сосудистый, ГСН = госпита</w:t>
            </w:r>
            <w:r w:rsidR="00E25D5C">
              <w:rPr>
                <w:rFonts w:eastAsia="TimesNewRoman"/>
                <w:sz w:val="20"/>
                <w:szCs w:val="20"/>
              </w:rPr>
              <w:t>л</w:t>
            </w:r>
            <w:r w:rsidRPr="00DD4F43">
              <w:rPr>
                <w:rFonts w:eastAsia="TimesNewRoman"/>
                <w:sz w:val="20"/>
                <w:szCs w:val="20"/>
              </w:rPr>
              <w:t xml:space="preserve">изация по причине сердечной недостаточности, рСКФ = расчетная скорость клубочковой фильтрации, </w:t>
            </w:r>
            <w:r w:rsidRPr="00DD4F43">
              <w:rPr>
                <w:rFonts w:eastAsia="TimesNewRoman"/>
                <w:sz w:val="20"/>
                <w:szCs w:val="20"/>
                <w:lang w:val="en-US"/>
              </w:rPr>
              <w:t>CKD</w:t>
            </w:r>
            <w:r w:rsidRPr="00DD4F43">
              <w:rPr>
                <w:rFonts w:eastAsia="TimesNewRoman"/>
                <w:sz w:val="20"/>
                <w:szCs w:val="20"/>
              </w:rPr>
              <w:t xml:space="preserve"> </w:t>
            </w:r>
            <w:r w:rsidRPr="00DD4F43">
              <w:rPr>
                <w:rFonts w:eastAsia="TimesNewRoman"/>
                <w:sz w:val="20"/>
                <w:szCs w:val="20"/>
                <w:lang w:val="en-US"/>
              </w:rPr>
              <w:t>EPI</w:t>
            </w:r>
            <w:r w:rsidRPr="00DD4F43">
              <w:rPr>
                <w:rFonts w:eastAsia="TimesNewRoman"/>
                <w:sz w:val="20"/>
                <w:szCs w:val="20"/>
              </w:rPr>
              <w:t xml:space="preserve"> = расчет рСКФ по уравнению сотрудничества в эпидемиологии хронической болезни почек;</w:t>
            </w:r>
          </w:p>
          <w:p w14:paraId="634B2217" w14:textId="77777777" w:rsidR="00345876" w:rsidRPr="00644506" w:rsidRDefault="00345876" w:rsidP="004B66CD">
            <w:pPr>
              <w:autoSpaceDE w:val="0"/>
              <w:autoSpaceDN w:val="0"/>
              <w:adjustRightInd w:val="0"/>
              <w:spacing w:line="240" w:lineRule="auto"/>
              <w:ind w:firstLine="22"/>
              <w:contextualSpacing/>
              <w:rPr>
                <w:rFonts w:eastAsia="TimesNewRoman"/>
                <w:sz w:val="20"/>
                <w:szCs w:val="20"/>
              </w:rPr>
            </w:pPr>
            <w:r>
              <w:rPr>
                <w:rFonts w:eastAsia="TimesNewRoman"/>
                <w:sz w:val="20"/>
                <w:szCs w:val="20"/>
                <w:lang w:val="en-US"/>
              </w:rPr>
              <w:t>n</w:t>
            </w:r>
            <w:r w:rsidRPr="00644506">
              <w:rPr>
                <w:rFonts w:eastAsia="TimesNewRoman"/>
                <w:sz w:val="20"/>
                <w:szCs w:val="20"/>
              </w:rPr>
              <w:t xml:space="preserve"> -</w:t>
            </w:r>
            <w:r>
              <w:rPr>
                <w:rFonts w:eastAsia="TimesNewRoman"/>
                <w:sz w:val="20"/>
                <w:szCs w:val="20"/>
              </w:rPr>
              <w:t xml:space="preserve">количество пациентов, ДИ – доверительный интервал, ОР – отношение рисков, </w:t>
            </w:r>
            <w:r w:rsidRPr="000D52F3">
              <w:rPr>
                <w:rFonts w:eastAsia="TimesNewRoman"/>
                <w:sz w:val="20"/>
                <w:szCs w:val="20"/>
                <w:lang w:val="en-US"/>
              </w:rPr>
              <w:t>Superiority</w:t>
            </w:r>
            <w:r w:rsidRPr="000D52F3">
              <w:rPr>
                <w:rFonts w:eastAsia="TimesNewRoman"/>
                <w:sz w:val="20"/>
                <w:szCs w:val="20"/>
              </w:rPr>
              <w:t xml:space="preserve"> – превосходит плацебо</w:t>
            </w:r>
            <w:r>
              <w:rPr>
                <w:rFonts w:eastAsia="TimesNewRoman"/>
                <w:sz w:val="20"/>
                <w:szCs w:val="20"/>
              </w:rPr>
              <w:t>;</w:t>
            </w:r>
          </w:p>
          <w:p w14:paraId="5467C297" w14:textId="77777777" w:rsidR="00345876" w:rsidRPr="00DD4F43" w:rsidRDefault="00345876" w:rsidP="004B66CD">
            <w:pPr>
              <w:autoSpaceDE w:val="0"/>
              <w:autoSpaceDN w:val="0"/>
              <w:adjustRightInd w:val="0"/>
              <w:spacing w:line="240" w:lineRule="auto"/>
              <w:ind w:firstLine="22"/>
              <w:contextualSpacing/>
              <w:rPr>
                <w:rFonts w:eastAsia="TimesNewRoman"/>
                <w:sz w:val="20"/>
                <w:szCs w:val="20"/>
              </w:rPr>
            </w:pPr>
            <w:r w:rsidRPr="00DD4F43">
              <w:rPr>
                <w:rFonts w:eastAsia="TimesNewRoman"/>
                <w:sz w:val="20"/>
                <w:szCs w:val="20"/>
              </w:rPr>
              <w:t xml:space="preserve">* - ССС (сердечно-сосудистая смерть) </w:t>
            </w:r>
            <w:r w:rsidRPr="00DD4F43">
              <w:rPr>
                <w:rFonts w:eastAsia="TimesNewRoman"/>
                <w:sz w:val="20"/>
                <w:szCs w:val="20"/>
                <w:lang w:val="en-US"/>
              </w:rPr>
              <w:t>and</w:t>
            </w:r>
            <w:r w:rsidRPr="00DD4F43">
              <w:rPr>
                <w:rFonts w:eastAsia="TimesNewRoman"/>
                <w:sz w:val="20"/>
                <w:szCs w:val="20"/>
              </w:rPr>
              <w:t xml:space="preserve"> ГСН события оценивались независимым комитетом по клиническим событиям и анализировались на основе рандомизированной выборки;</w:t>
            </w:r>
          </w:p>
          <w:p w14:paraId="2BA10CD3" w14:textId="77777777" w:rsidR="00345876" w:rsidRPr="00DD4F43" w:rsidRDefault="00345876" w:rsidP="004B66CD">
            <w:pPr>
              <w:autoSpaceDE w:val="0"/>
              <w:autoSpaceDN w:val="0"/>
              <w:adjustRightInd w:val="0"/>
              <w:spacing w:line="240" w:lineRule="auto"/>
              <w:ind w:firstLine="22"/>
              <w:contextualSpacing/>
              <w:rPr>
                <w:rFonts w:eastAsia="TimesNewRoman"/>
                <w:sz w:val="20"/>
                <w:szCs w:val="20"/>
              </w:rPr>
            </w:pPr>
            <w:r w:rsidRPr="00DD4F43">
              <w:rPr>
                <w:rFonts w:eastAsia="TimesNewRoman"/>
                <w:sz w:val="20"/>
                <w:szCs w:val="20"/>
              </w:rPr>
              <w:t xml:space="preserve">** - </w:t>
            </w:r>
            <w:r>
              <w:rPr>
                <w:rFonts w:eastAsia="TimesNewRoman"/>
                <w:sz w:val="20"/>
                <w:szCs w:val="20"/>
              </w:rPr>
              <w:t>Изменение</w:t>
            </w:r>
            <w:r w:rsidRPr="00DD4F43">
              <w:rPr>
                <w:rFonts w:eastAsia="TimesNewRoman"/>
                <w:sz w:val="20"/>
                <w:szCs w:val="20"/>
              </w:rPr>
              <w:t xml:space="preserve"> рСКФ было проанализировано на основе обработанного множества. Пересечение составляет -0,95 мл/мин/1,73 м</w:t>
            </w:r>
            <w:r w:rsidRPr="00DD4F43">
              <w:rPr>
                <w:rFonts w:eastAsia="TimesNewRoman"/>
                <w:sz w:val="20"/>
                <w:szCs w:val="20"/>
                <w:vertAlign w:val="superscript"/>
              </w:rPr>
              <w:t>2</w:t>
            </w:r>
            <w:r w:rsidRPr="00DD4F43">
              <w:rPr>
                <w:rFonts w:eastAsia="TimesNewRoman"/>
                <w:sz w:val="20"/>
                <w:szCs w:val="20"/>
              </w:rPr>
              <w:t xml:space="preserve"> для плацебо и -3,02 мл/мин/1,73 м</w:t>
            </w:r>
            <w:r w:rsidRPr="00DD4F43">
              <w:rPr>
                <w:rFonts w:eastAsia="TimesNewRoman"/>
                <w:sz w:val="20"/>
                <w:szCs w:val="20"/>
                <w:vertAlign w:val="superscript"/>
              </w:rPr>
              <w:t>2</w:t>
            </w:r>
            <w:r w:rsidRPr="00DD4F43">
              <w:rPr>
                <w:rFonts w:eastAsia="TimesNewRoman"/>
                <w:sz w:val="20"/>
                <w:szCs w:val="20"/>
              </w:rPr>
              <w:t xml:space="preserve"> для эмпаглифлозина. Пересечение представляет собой острое влияние на рСКФ, а </w:t>
            </w:r>
            <w:r>
              <w:rPr>
                <w:rFonts w:eastAsia="TimesNewRoman"/>
                <w:sz w:val="20"/>
                <w:szCs w:val="20"/>
              </w:rPr>
              <w:t xml:space="preserve">наклон </w:t>
            </w:r>
            <w:r w:rsidRPr="00DD4F43">
              <w:rPr>
                <w:rFonts w:eastAsia="TimesNewRoman"/>
                <w:sz w:val="20"/>
                <w:szCs w:val="20"/>
              </w:rPr>
              <w:t>представляет долгосрочный эффект.</w:t>
            </w:r>
          </w:p>
        </w:tc>
      </w:tr>
    </w:tbl>
    <w:p w14:paraId="2B3B476D" w14:textId="77777777" w:rsidR="00345876" w:rsidRPr="00B97285" w:rsidRDefault="00345876" w:rsidP="00345876">
      <w:pPr>
        <w:autoSpaceDE w:val="0"/>
        <w:autoSpaceDN w:val="0"/>
        <w:adjustRightInd w:val="0"/>
        <w:spacing w:after="0" w:line="240" w:lineRule="auto"/>
        <w:ind w:firstLine="709"/>
        <w:contextualSpacing/>
        <w:rPr>
          <w:rFonts w:eastAsia="TimesNewRoman"/>
        </w:rPr>
      </w:pPr>
    </w:p>
    <w:p w14:paraId="1C2FF45F" w14:textId="733FEF5D" w:rsidR="00345876" w:rsidRPr="00C71108"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Рисунок </w:t>
      </w:r>
      <w:r w:rsidR="002604EF" w:rsidRPr="000C7F59">
        <w:rPr>
          <w:rFonts w:eastAsia="TimesNewRoman"/>
          <w:b/>
          <w:bCs/>
        </w:rPr>
        <w:t>4-</w:t>
      </w:r>
      <w:r w:rsidRPr="002604EF">
        <w:rPr>
          <w:rFonts w:eastAsia="TimesNewRoman"/>
          <w:b/>
          <w:bCs/>
        </w:rPr>
        <w:t>2.</w:t>
      </w:r>
      <w:r w:rsidRPr="002604EF">
        <w:rPr>
          <w:rFonts w:eastAsia="TimesNewRoman"/>
        </w:rPr>
        <w:t xml:space="preserve"> Время</w:t>
      </w:r>
      <w:r w:rsidRPr="00C71108">
        <w:rPr>
          <w:rFonts w:eastAsia="TimesNewRoman"/>
        </w:rPr>
        <w:t xml:space="preserve"> до первого случая констатированной сердечно-сосудистой смерти или </w:t>
      </w:r>
      <w:r>
        <w:rPr>
          <w:rFonts w:eastAsia="TimesNewRoman"/>
        </w:rPr>
        <w:t>госпитализации по причине сердечной недостаточности.</w:t>
      </w:r>
    </w:p>
    <w:p w14:paraId="76BE96D5" w14:textId="77777777" w:rsidR="00345876" w:rsidRPr="002E070C" w:rsidRDefault="00345876" w:rsidP="008B4F9C">
      <w:pPr>
        <w:autoSpaceDE w:val="0"/>
        <w:autoSpaceDN w:val="0"/>
        <w:adjustRightInd w:val="0"/>
        <w:spacing w:after="0" w:line="240" w:lineRule="auto"/>
        <w:contextualSpacing/>
        <w:rPr>
          <w:rFonts w:eastAsia="TimesNewRoman"/>
          <w:lang w:val="en-US"/>
        </w:rPr>
      </w:pPr>
      <w:r w:rsidRPr="002E070C">
        <w:rPr>
          <w:rFonts w:eastAsia="TimesNewRoman"/>
          <w:noProof/>
          <w:lang w:eastAsia="ru-RU"/>
        </w:rPr>
        <w:drawing>
          <wp:inline distT="0" distB="0" distL="0" distR="0" wp14:anchorId="31BF6B5B" wp14:editId="43ECCF92">
            <wp:extent cx="584835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848350" cy="3657600"/>
                    </a:xfrm>
                    <a:prstGeom prst="rect">
                      <a:avLst/>
                    </a:prstGeom>
                  </pic:spPr>
                </pic:pic>
              </a:graphicData>
            </a:graphic>
          </wp:inline>
        </w:drawing>
      </w:r>
    </w:p>
    <w:p w14:paraId="08AD5DAC" w14:textId="77777777" w:rsidR="00345876" w:rsidRPr="000A2765" w:rsidRDefault="00345876" w:rsidP="00345876">
      <w:pPr>
        <w:autoSpaceDE w:val="0"/>
        <w:autoSpaceDN w:val="0"/>
        <w:adjustRightInd w:val="0"/>
        <w:spacing w:after="0" w:line="240" w:lineRule="auto"/>
        <w:contextualSpacing/>
        <w:rPr>
          <w:rFonts w:eastAsia="TimesNewRoman"/>
          <w:b/>
          <w:bCs/>
          <w:sz w:val="20"/>
          <w:szCs w:val="20"/>
          <w:lang w:val="en-US"/>
        </w:rPr>
      </w:pPr>
      <w:r w:rsidRPr="00C71108">
        <w:rPr>
          <w:rFonts w:eastAsia="TimesNewRoman"/>
          <w:b/>
          <w:bCs/>
          <w:sz w:val="20"/>
          <w:szCs w:val="20"/>
        </w:rPr>
        <w:t>Примечание</w:t>
      </w:r>
      <w:r w:rsidRPr="000A2765">
        <w:rPr>
          <w:rFonts w:eastAsia="TimesNewRoman"/>
          <w:b/>
          <w:bCs/>
          <w:sz w:val="20"/>
          <w:szCs w:val="20"/>
          <w:lang w:val="en-US"/>
        </w:rPr>
        <w:t>:</w:t>
      </w:r>
    </w:p>
    <w:p w14:paraId="7DEF3F5C" w14:textId="77777777" w:rsidR="00345876" w:rsidRPr="000A2765" w:rsidRDefault="00345876" w:rsidP="00345876">
      <w:pPr>
        <w:autoSpaceDE w:val="0"/>
        <w:autoSpaceDN w:val="0"/>
        <w:adjustRightInd w:val="0"/>
        <w:spacing w:after="0" w:line="240" w:lineRule="auto"/>
        <w:contextualSpacing/>
        <w:rPr>
          <w:rFonts w:eastAsia="TimesNewRoman"/>
          <w:sz w:val="20"/>
          <w:szCs w:val="20"/>
          <w:lang w:val="en-US"/>
        </w:rPr>
      </w:pPr>
      <w:r w:rsidRPr="00C71108">
        <w:rPr>
          <w:rFonts w:eastAsia="TimesNewRoman"/>
          <w:sz w:val="20"/>
          <w:szCs w:val="20"/>
          <w:lang w:val="en-US"/>
        </w:rPr>
        <w:t>Estimated</w:t>
      </w:r>
      <w:r w:rsidRPr="000A2765">
        <w:rPr>
          <w:rFonts w:eastAsia="TimesNewRoman"/>
          <w:sz w:val="20"/>
          <w:szCs w:val="20"/>
          <w:lang w:val="en-US"/>
        </w:rPr>
        <w:t xml:space="preserve"> </w:t>
      </w:r>
      <w:r w:rsidRPr="00C71108">
        <w:rPr>
          <w:rFonts w:eastAsia="TimesNewRoman"/>
          <w:sz w:val="20"/>
          <w:szCs w:val="20"/>
          <w:lang w:val="en-US"/>
        </w:rPr>
        <w:t>cumulative</w:t>
      </w:r>
      <w:r w:rsidRPr="000A2765">
        <w:rPr>
          <w:rFonts w:eastAsia="TimesNewRoman"/>
          <w:sz w:val="20"/>
          <w:szCs w:val="20"/>
          <w:lang w:val="en-US"/>
        </w:rPr>
        <w:t xml:space="preserve"> </w:t>
      </w:r>
      <w:r w:rsidRPr="00C71108">
        <w:rPr>
          <w:rFonts w:eastAsia="TimesNewRoman"/>
          <w:sz w:val="20"/>
          <w:szCs w:val="20"/>
          <w:lang w:val="en-US"/>
        </w:rPr>
        <w:t>incidence</w:t>
      </w:r>
      <w:r w:rsidRPr="000A2765">
        <w:rPr>
          <w:rFonts w:eastAsia="TimesNewRoman"/>
          <w:sz w:val="20"/>
          <w:szCs w:val="20"/>
          <w:lang w:val="en-US"/>
        </w:rPr>
        <w:t xml:space="preserve"> </w:t>
      </w:r>
      <w:r w:rsidRPr="00C71108">
        <w:rPr>
          <w:rFonts w:eastAsia="TimesNewRoman"/>
          <w:sz w:val="20"/>
          <w:szCs w:val="20"/>
          <w:lang w:val="en-US"/>
        </w:rPr>
        <w:t>fraction</w:t>
      </w:r>
      <w:r w:rsidRPr="000A2765">
        <w:rPr>
          <w:rFonts w:eastAsia="TimesNewRoman"/>
          <w:sz w:val="20"/>
          <w:szCs w:val="20"/>
          <w:lang w:val="en-US"/>
        </w:rPr>
        <w:t xml:space="preserve"> - </w:t>
      </w:r>
      <w:r>
        <w:rPr>
          <w:rFonts w:eastAsia="TimesNewRoman"/>
          <w:sz w:val="20"/>
          <w:szCs w:val="20"/>
        </w:rPr>
        <w:t>р</w:t>
      </w:r>
      <w:r w:rsidRPr="00C71108">
        <w:rPr>
          <w:rFonts w:eastAsia="TimesNewRoman"/>
          <w:sz w:val="20"/>
          <w:szCs w:val="20"/>
        </w:rPr>
        <w:t>асчетная</w:t>
      </w:r>
      <w:r w:rsidRPr="000A2765">
        <w:rPr>
          <w:rFonts w:eastAsia="TimesNewRoman"/>
          <w:sz w:val="20"/>
          <w:szCs w:val="20"/>
          <w:lang w:val="en-US"/>
        </w:rPr>
        <w:t xml:space="preserve"> </w:t>
      </w:r>
      <w:r w:rsidRPr="00C71108">
        <w:rPr>
          <w:rFonts w:eastAsia="TimesNewRoman"/>
          <w:sz w:val="20"/>
          <w:szCs w:val="20"/>
        </w:rPr>
        <w:t>кумулятивная</w:t>
      </w:r>
      <w:r w:rsidRPr="000A2765">
        <w:rPr>
          <w:rFonts w:eastAsia="TimesNewRoman"/>
          <w:sz w:val="20"/>
          <w:szCs w:val="20"/>
          <w:lang w:val="en-US"/>
        </w:rPr>
        <w:t xml:space="preserve"> </w:t>
      </w:r>
      <w:r w:rsidRPr="00C71108">
        <w:rPr>
          <w:rFonts w:eastAsia="TimesNewRoman"/>
          <w:sz w:val="20"/>
          <w:szCs w:val="20"/>
        </w:rPr>
        <w:t>доля</w:t>
      </w:r>
      <w:r w:rsidRPr="000A2765">
        <w:rPr>
          <w:rFonts w:eastAsia="TimesNewRoman"/>
          <w:sz w:val="20"/>
          <w:szCs w:val="20"/>
          <w:lang w:val="en-US"/>
        </w:rPr>
        <w:t xml:space="preserve"> </w:t>
      </w:r>
      <w:r w:rsidRPr="00C71108">
        <w:rPr>
          <w:rFonts w:eastAsia="TimesNewRoman"/>
          <w:sz w:val="20"/>
          <w:szCs w:val="20"/>
        </w:rPr>
        <w:t>заболеваемости</w:t>
      </w:r>
      <w:r w:rsidRPr="000A2765">
        <w:rPr>
          <w:rFonts w:eastAsia="TimesNewRoman"/>
          <w:sz w:val="20"/>
          <w:szCs w:val="20"/>
          <w:lang w:val="en-US"/>
        </w:rPr>
        <w:t xml:space="preserve">; </w:t>
      </w:r>
      <w:r w:rsidRPr="00C71108">
        <w:rPr>
          <w:rFonts w:eastAsia="TimesNewRoman"/>
          <w:sz w:val="20"/>
          <w:szCs w:val="20"/>
        </w:rPr>
        <w:t>горизонтальная</w:t>
      </w:r>
      <w:r w:rsidRPr="000A2765">
        <w:rPr>
          <w:rFonts w:eastAsia="TimesNewRoman"/>
          <w:sz w:val="20"/>
          <w:szCs w:val="20"/>
          <w:lang w:val="en-US"/>
        </w:rPr>
        <w:t xml:space="preserve"> </w:t>
      </w:r>
      <w:r w:rsidRPr="00C71108">
        <w:rPr>
          <w:rFonts w:eastAsia="TimesNewRoman"/>
          <w:sz w:val="20"/>
          <w:szCs w:val="20"/>
        </w:rPr>
        <w:t>ось</w:t>
      </w:r>
      <w:r w:rsidRPr="000A2765">
        <w:rPr>
          <w:rFonts w:eastAsia="TimesNewRoman"/>
          <w:sz w:val="20"/>
          <w:szCs w:val="20"/>
          <w:lang w:val="en-US"/>
        </w:rPr>
        <w:t xml:space="preserve"> – </w:t>
      </w:r>
      <w:r w:rsidRPr="00C71108">
        <w:rPr>
          <w:rFonts w:eastAsia="TimesNewRoman"/>
          <w:sz w:val="20"/>
          <w:szCs w:val="20"/>
        </w:rPr>
        <w:t>дни</w:t>
      </w:r>
      <w:r w:rsidRPr="000A2765">
        <w:rPr>
          <w:rFonts w:eastAsia="TimesNewRoman"/>
          <w:sz w:val="20"/>
          <w:szCs w:val="20"/>
          <w:lang w:val="en-US"/>
        </w:rPr>
        <w:t xml:space="preserve"> </w:t>
      </w:r>
      <w:r w:rsidRPr="00C71108">
        <w:rPr>
          <w:rFonts w:eastAsia="TimesNewRoman"/>
          <w:sz w:val="20"/>
          <w:szCs w:val="20"/>
        </w:rPr>
        <w:t>исследования</w:t>
      </w:r>
      <w:r w:rsidRPr="000A2765">
        <w:rPr>
          <w:rFonts w:eastAsia="TimesNewRoman"/>
          <w:sz w:val="20"/>
          <w:szCs w:val="20"/>
          <w:lang w:val="en-US"/>
        </w:rPr>
        <w:t xml:space="preserve">; </w:t>
      </w:r>
      <w:r w:rsidRPr="00C71108">
        <w:rPr>
          <w:rFonts w:eastAsia="TimesNewRoman"/>
          <w:sz w:val="20"/>
          <w:szCs w:val="20"/>
        </w:rPr>
        <w:t>сплошная</w:t>
      </w:r>
      <w:r w:rsidRPr="000A2765">
        <w:rPr>
          <w:rFonts w:eastAsia="TimesNewRoman"/>
          <w:sz w:val="20"/>
          <w:szCs w:val="20"/>
          <w:lang w:val="en-US"/>
        </w:rPr>
        <w:t xml:space="preserve"> </w:t>
      </w:r>
      <w:r w:rsidRPr="00C71108">
        <w:rPr>
          <w:rFonts w:eastAsia="TimesNewRoman"/>
          <w:sz w:val="20"/>
          <w:szCs w:val="20"/>
        </w:rPr>
        <w:t>линия</w:t>
      </w:r>
      <w:r w:rsidRPr="000A2765">
        <w:rPr>
          <w:rFonts w:eastAsia="TimesNewRoman"/>
          <w:sz w:val="20"/>
          <w:szCs w:val="20"/>
          <w:lang w:val="en-US"/>
        </w:rPr>
        <w:t xml:space="preserve"> – </w:t>
      </w:r>
      <w:r>
        <w:rPr>
          <w:rFonts w:eastAsia="TimesNewRoman"/>
          <w:sz w:val="20"/>
          <w:szCs w:val="20"/>
        </w:rPr>
        <w:t>плацебо</w:t>
      </w:r>
      <w:r w:rsidRPr="000A2765">
        <w:rPr>
          <w:rFonts w:eastAsia="TimesNewRoman"/>
          <w:sz w:val="20"/>
          <w:szCs w:val="20"/>
          <w:lang w:val="en-US"/>
        </w:rPr>
        <w:t xml:space="preserve"> (1867 </w:t>
      </w:r>
      <w:r w:rsidRPr="00C71108">
        <w:rPr>
          <w:rFonts w:eastAsia="TimesNewRoman"/>
          <w:sz w:val="20"/>
          <w:szCs w:val="20"/>
        </w:rPr>
        <w:t>пациента</w:t>
      </w:r>
      <w:r w:rsidRPr="000A2765">
        <w:rPr>
          <w:rFonts w:eastAsia="TimesNewRoman"/>
          <w:sz w:val="20"/>
          <w:szCs w:val="20"/>
          <w:lang w:val="en-US"/>
        </w:rPr>
        <w:t xml:space="preserve">); </w:t>
      </w:r>
      <w:r w:rsidRPr="00C71108">
        <w:rPr>
          <w:rFonts w:eastAsia="TimesNewRoman"/>
          <w:sz w:val="20"/>
          <w:szCs w:val="20"/>
        </w:rPr>
        <w:t>прерывистая</w:t>
      </w:r>
      <w:r w:rsidRPr="000A2765">
        <w:rPr>
          <w:rFonts w:eastAsia="TimesNewRoman"/>
          <w:sz w:val="20"/>
          <w:szCs w:val="20"/>
          <w:lang w:val="en-US"/>
        </w:rPr>
        <w:t xml:space="preserve"> </w:t>
      </w:r>
      <w:r w:rsidRPr="00C71108">
        <w:rPr>
          <w:rFonts w:eastAsia="TimesNewRoman"/>
          <w:sz w:val="20"/>
          <w:szCs w:val="20"/>
        </w:rPr>
        <w:t>линия</w:t>
      </w:r>
      <w:r w:rsidRPr="000A2765">
        <w:rPr>
          <w:rFonts w:eastAsia="TimesNewRoman"/>
          <w:sz w:val="20"/>
          <w:szCs w:val="20"/>
          <w:lang w:val="en-US"/>
        </w:rPr>
        <w:t xml:space="preserve"> – </w:t>
      </w:r>
      <w:r w:rsidRPr="00C71108">
        <w:rPr>
          <w:rFonts w:eastAsia="TimesNewRoman"/>
          <w:sz w:val="20"/>
          <w:szCs w:val="20"/>
        </w:rPr>
        <w:t>эмпаглифлозин</w:t>
      </w:r>
      <w:r w:rsidRPr="000A2765">
        <w:rPr>
          <w:rFonts w:eastAsia="TimesNewRoman"/>
          <w:sz w:val="20"/>
          <w:szCs w:val="20"/>
          <w:lang w:val="en-US"/>
        </w:rPr>
        <w:t xml:space="preserve"> 10 </w:t>
      </w:r>
      <w:r w:rsidRPr="00C71108">
        <w:rPr>
          <w:rFonts w:eastAsia="TimesNewRoman"/>
          <w:sz w:val="20"/>
          <w:szCs w:val="20"/>
        </w:rPr>
        <w:t>мг</w:t>
      </w:r>
      <w:r w:rsidRPr="000A2765">
        <w:rPr>
          <w:rFonts w:eastAsia="TimesNewRoman"/>
          <w:sz w:val="20"/>
          <w:szCs w:val="20"/>
          <w:lang w:val="en-US"/>
        </w:rPr>
        <w:t xml:space="preserve"> (1863 </w:t>
      </w:r>
      <w:r w:rsidRPr="00C71108">
        <w:rPr>
          <w:rFonts w:eastAsia="TimesNewRoman"/>
          <w:sz w:val="20"/>
          <w:szCs w:val="20"/>
        </w:rPr>
        <w:t>пациентов</w:t>
      </w:r>
      <w:r w:rsidRPr="000A2765">
        <w:rPr>
          <w:rFonts w:eastAsia="TimesNewRoman"/>
          <w:sz w:val="20"/>
          <w:szCs w:val="20"/>
          <w:lang w:val="en-US"/>
        </w:rPr>
        <w:t>).</w:t>
      </w:r>
    </w:p>
    <w:p w14:paraId="5E5EAF3F" w14:textId="77777777" w:rsidR="00345876" w:rsidRPr="000A2765" w:rsidRDefault="00345876" w:rsidP="00345876">
      <w:pPr>
        <w:autoSpaceDE w:val="0"/>
        <w:autoSpaceDN w:val="0"/>
        <w:adjustRightInd w:val="0"/>
        <w:spacing w:after="0" w:line="240" w:lineRule="auto"/>
        <w:ind w:firstLine="709"/>
        <w:contextualSpacing/>
        <w:rPr>
          <w:rFonts w:eastAsia="TimesNewRoman"/>
          <w:lang w:val="en-US"/>
        </w:rPr>
      </w:pPr>
    </w:p>
    <w:p w14:paraId="7175E36B" w14:textId="77777777" w:rsidR="00345876" w:rsidRPr="00920C4B" w:rsidRDefault="00345876" w:rsidP="00345876">
      <w:pPr>
        <w:autoSpaceDE w:val="0"/>
        <w:autoSpaceDN w:val="0"/>
        <w:adjustRightInd w:val="0"/>
        <w:spacing w:after="0" w:line="240" w:lineRule="auto"/>
        <w:ind w:firstLine="709"/>
        <w:contextualSpacing/>
        <w:rPr>
          <w:rFonts w:eastAsia="TimesNewRoman"/>
        </w:rPr>
      </w:pPr>
      <w:bookmarkStart w:id="153" w:name="_Hlk130997246"/>
      <w:r w:rsidRPr="00920C4B">
        <w:rPr>
          <w:rFonts w:eastAsia="TimesNewRoman"/>
        </w:rPr>
        <w:t xml:space="preserve">Результаты </w:t>
      </w:r>
      <w:r>
        <w:rPr>
          <w:rFonts w:eastAsia="TimesNewRoman"/>
        </w:rPr>
        <w:t xml:space="preserve">оценки </w:t>
      </w:r>
      <w:r w:rsidRPr="00920C4B">
        <w:rPr>
          <w:rFonts w:eastAsia="TimesNewRoman"/>
        </w:rPr>
        <w:t>первичной комбинированной конечной точки</w:t>
      </w:r>
      <w:r>
        <w:rPr>
          <w:rFonts w:eastAsia="TimesNewRoman"/>
        </w:rPr>
        <w:t>,</w:t>
      </w:r>
      <w:r w:rsidRPr="00920C4B">
        <w:rPr>
          <w:rFonts w:eastAsia="TimesNewRoman"/>
        </w:rPr>
        <w:t xml:space="preserve"> в целом</w:t>
      </w:r>
      <w:r>
        <w:rPr>
          <w:rFonts w:eastAsia="TimesNewRoman"/>
        </w:rPr>
        <w:t xml:space="preserve">, </w:t>
      </w:r>
      <w:r w:rsidRPr="00920C4B">
        <w:rPr>
          <w:rFonts w:eastAsia="TimesNewRoman"/>
        </w:rPr>
        <w:t>соответствовали отношению рисков (</w:t>
      </w:r>
      <w:r>
        <w:rPr>
          <w:rFonts w:eastAsia="TimesNewRoman"/>
        </w:rPr>
        <w:t>ОР</w:t>
      </w:r>
      <w:r w:rsidRPr="00920C4B">
        <w:rPr>
          <w:rFonts w:eastAsia="TimesNewRoman"/>
        </w:rPr>
        <w:t>) ниже 1 в заранее определенных подгруппах, включа</w:t>
      </w:r>
      <w:r>
        <w:rPr>
          <w:rFonts w:eastAsia="TimesNewRoman"/>
        </w:rPr>
        <w:t>ющих</w:t>
      </w:r>
      <w:r w:rsidRPr="00920C4B">
        <w:rPr>
          <w:rFonts w:eastAsia="TimesNewRoman"/>
        </w:rPr>
        <w:t xml:space="preserve"> пациентов с сердечной недостаточностью, с </w:t>
      </w:r>
      <w:r>
        <w:rPr>
          <w:rFonts w:eastAsia="TimesNewRoman"/>
        </w:rPr>
        <w:t>СД</w:t>
      </w:r>
      <w:r w:rsidRPr="00920C4B">
        <w:rPr>
          <w:rFonts w:eastAsia="TimesNewRoman"/>
        </w:rPr>
        <w:t xml:space="preserve"> 2 типа или без него, с почечной недостаточностью или без нее (до рСКФ 20 мл/мин/1,73 м</w:t>
      </w:r>
      <w:r w:rsidRPr="00920C4B">
        <w:rPr>
          <w:rFonts w:eastAsia="TimesNewRoman"/>
          <w:vertAlign w:val="superscript"/>
        </w:rPr>
        <w:t>2</w:t>
      </w:r>
      <w:r w:rsidRPr="00920C4B">
        <w:rPr>
          <w:rFonts w:eastAsia="TimesNewRoman"/>
        </w:rPr>
        <w:t>).</w:t>
      </w:r>
    </w:p>
    <w:p w14:paraId="52A2706A" w14:textId="2AA63AC8" w:rsidR="00345876" w:rsidRPr="00920C4B" w:rsidRDefault="00345876" w:rsidP="00345876">
      <w:pPr>
        <w:autoSpaceDE w:val="0"/>
        <w:autoSpaceDN w:val="0"/>
        <w:adjustRightInd w:val="0"/>
        <w:spacing w:after="0" w:line="240" w:lineRule="auto"/>
        <w:ind w:firstLine="709"/>
        <w:contextualSpacing/>
        <w:rPr>
          <w:rFonts w:eastAsia="TimesNewRoman"/>
        </w:rPr>
      </w:pPr>
      <w:r w:rsidRPr="00920C4B">
        <w:rPr>
          <w:rFonts w:eastAsia="TimesNewRoman"/>
        </w:rPr>
        <w:t xml:space="preserve">Во время лечения снижение рСКФ с течением времени было медленнее в группе эмпаглифлозина по сравнению с группой </w:t>
      </w:r>
      <w:r w:rsidRPr="002604EF">
        <w:rPr>
          <w:rFonts w:eastAsia="TimesNewRoman"/>
        </w:rPr>
        <w:t xml:space="preserve">плацебо (рис. </w:t>
      </w:r>
      <w:r w:rsidR="002604EF" w:rsidRPr="002604EF">
        <w:rPr>
          <w:rFonts w:eastAsia="TimesNewRoman"/>
        </w:rPr>
        <w:t>4-</w:t>
      </w:r>
      <w:r w:rsidRPr="002604EF">
        <w:rPr>
          <w:rFonts w:eastAsia="TimesNewRoman"/>
        </w:rPr>
        <w:t>3). Лечение</w:t>
      </w:r>
      <w:r w:rsidRPr="00920C4B">
        <w:rPr>
          <w:rFonts w:eastAsia="TimesNewRoman"/>
        </w:rPr>
        <w:t xml:space="preserve"> эмпаглифлозином в </w:t>
      </w:r>
      <w:r w:rsidRPr="00920C4B">
        <w:rPr>
          <w:rFonts w:eastAsia="TimesNewRoman"/>
        </w:rPr>
        <w:lastRenderedPageBreak/>
        <w:t xml:space="preserve">дозе 10 мг значительно </w:t>
      </w:r>
      <w:r w:rsidRPr="002604EF">
        <w:rPr>
          <w:rFonts w:eastAsia="TimesNewRoman"/>
        </w:rPr>
        <w:t xml:space="preserve">снижало рСКФ (таблица </w:t>
      </w:r>
      <w:r w:rsidR="002604EF" w:rsidRPr="002604EF">
        <w:rPr>
          <w:rFonts w:eastAsia="TimesNewRoman"/>
        </w:rPr>
        <w:t>4-10</w:t>
      </w:r>
      <w:r w:rsidRPr="002604EF">
        <w:rPr>
          <w:rFonts w:eastAsia="TimesNewRoman"/>
        </w:rPr>
        <w:t>), и этот</w:t>
      </w:r>
      <w:r w:rsidRPr="00920C4B">
        <w:rPr>
          <w:rFonts w:eastAsia="TimesNewRoman"/>
        </w:rPr>
        <w:t xml:space="preserve"> эффект был одинаковым во всех заранее определенных подгруппах. У пациентов, получавших эмпаглифлозин, наблюдалось начальное снижение рСКФ, которое возвращалось к исходному уровню после прекращения лечения, подтверждая, что гемодинамические изменения играют роль в острых эффектах эмпаглифлозина на рСКФ</w:t>
      </w:r>
      <w:r w:rsidR="004B66CD" w:rsidRPr="004B66CD">
        <w:rPr>
          <w:rFonts w:eastAsia="TimesNewRoman"/>
        </w:rPr>
        <w:t xml:space="preserve"> [21]</w:t>
      </w:r>
      <w:r w:rsidRPr="00920C4B">
        <w:rPr>
          <w:rFonts w:eastAsia="TimesNewRoman"/>
        </w:rPr>
        <w:t>.</w:t>
      </w:r>
    </w:p>
    <w:bookmarkEnd w:id="153"/>
    <w:p w14:paraId="3CBF65C1" w14:textId="77777777" w:rsidR="00345876" w:rsidRPr="00920C4B" w:rsidRDefault="00345876" w:rsidP="00345876">
      <w:pPr>
        <w:autoSpaceDE w:val="0"/>
        <w:autoSpaceDN w:val="0"/>
        <w:adjustRightInd w:val="0"/>
        <w:spacing w:after="0" w:line="240" w:lineRule="auto"/>
        <w:ind w:firstLine="709"/>
        <w:contextualSpacing/>
        <w:rPr>
          <w:rFonts w:eastAsia="TimesNewRoman"/>
        </w:rPr>
      </w:pPr>
    </w:p>
    <w:p w14:paraId="15AF6F63" w14:textId="5A312EA0" w:rsidR="00345876" w:rsidRPr="000A2765"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Рисунок </w:t>
      </w:r>
      <w:r w:rsidR="002604EF" w:rsidRPr="000C7F59">
        <w:rPr>
          <w:rFonts w:eastAsia="TimesNewRoman"/>
          <w:b/>
          <w:bCs/>
        </w:rPr>
        <w:t>4-</w:t>
      </w:r>
      <w:r w:rsidRPr="002604EF">
        <w:rPr>
          <w:rFonts w:eastAsia="TimesNewRoman"/>
          <w:b/>
          <w:bCs/>
        </w:rPr>
        <w:t>3.</w:t>
      </w:r>
      <w:r w:rsidRPr="002604EF">
        <w:rPr>
          <w:rFonts w:eastAsia="TimesNewRoman"/>
        </w:rPr>
        <w:t xml:space="preserve"> Изменения</w:t>
      </w:r>
      <w:r>
        <w:rPr>
          <w:rFonts w:eastAsia="TimesNewRoman"/>
        </w:rPr>
        <w:t xml:space="preserve"> рСКФ во времени</w:t>
      </w:r>
      <w:r w:rsidRPr="000A2765">
        <w:rPr>
          <w:rFonts w:eastAsia="TimesNewRoman"/>
        </w:rPr>
        <w:t>*</w:t>
      </w:r>
    </w:p>
    <w:p w14:paraId="0650ED61" w14:textId="77777777" w:rsidR="00345876" w:rsidRPr="002E070C" w:rsidRDefault="00345876" w:rsidP="00B37CE9">
      <w:pPr>
        <w:autoSpaceDE w:val="0"/>
        <w:autoSpaceDN w:val="0"/>
        <w:adjustRightInd w:val="0"/>
        <w:spacing w:after="0" w:line="240" w:lineRule="auto"/>
        <w:contextualSpacing/>
        <w:jc w:val="center"/>
        <w:rPr>
          <w:rFonts w:eastAsia="TimesNewRoman"/>
          <w:lang w:val="en-US"/>
        </w:rPr>
      </w:pPr>
      <w:r w:rsidRPr="002E070C">
        <w:rPr>
          <w:rFonts w:eastAsia="TimesNewRoman"/>
          <w:noProof/>
          <w:lang w:eastAsia="ru-RU"/>
        </w:rPr>
        <w:drawing>
          <wp:inline distT="0" distB="0" distL="0" distR="0" wp14:anchorId="178C0339" wp14:editId="623A2390">
            <wp:extent cx="5838825" cy="4171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4">
                      <a:extLst>
                        <a:ext uri="{28A0092B-C50C-407E-A947-70E740481C1C}">
                          <a14:useLocalDpi xmlns:a14="http://schemas.microsoft.com/office/drawing/2010/main" val="0"/>
                        </a:ext>
                      </a:extLst>
                    </a:blip>
                    <a:stretch>
                      <a:fillRect/>
                    </a:stretch>
                  </pic:blipFill>
                  <pic:spPr>
                    <a:xfrm>
                      <a:off x="0" y="0"/>
                      <a:ext cx="5838825" cy="4171950"/>
                    </a:xfrm>
                    <a:prstGeom prst="rect">
                      <a:avLst/>
                    </a:prstGeom>
                  </pic:spPr>
                </pic:pic>
              </a:graphicData>
            </a:graphic>
          </wp:inline>
        </w:drawing>
      </w:r>
    </w:p>
    <w:p w14:paraId="69AF4F7E" w14:textId="77777777" w:rsidR="00345876" w:rsidRPr="000A2765" w:rsidRDefault="00345876" w:rsidP="00345876">
      <w:pPr>
        <w:autoSpaceDE w:val="0"/>
        <w:autoSpaceDN w:val="0"/>
        <w:adjustRightInd w:val="0"/>
        <w:spacing w:after="0" w:line="240" w:lineRule="auto"/>
        <w:contextualSpacing/>
        <w:rPr>
          <w:rFonts w:eastAsia="TimesNewRoman"/>
          <w:b/>
          <w:bCs/>
          <w:sz w:val="20"/>
          <w:szCs w:val="20"/>
        </w:rPr>
      </w:pPr>
      <w:r w:rsidRPr="00920C4B">
        <w:rPr>
          <w:rFonts w:eastAsia="TimesNewRoman"/>
          <w:b/>
          <w:bCs/>
          <w:sz w:val="20"/>
          <w:szCs w:val="20"/>
        </w:rPr>
        <w:t>Примечание</w:t>
      </w:r>
      <w:r w:rsidRPr="000A2765">
        <w:rPr>
          <w:rFonts w:eastAsia="TimesNewRoman"/>
          <w:b/>
          <w:bCs/>
          <w:sz w:val="20"/>
          <w:szCs w:val="20"/>
        </w:rPr>
        <w:t>:</w:t>
      </w:r>
    </w:p>
    <w:p w14:paraId="058989E4" w14:textId="77777777" w:rsidR="00345876" w:rsidRPr="00920C4B" w:rsidRDefault="00345876" w:rsidP="00345876">
      <w:pPr>
        <w:autoSpaceDE w:val="0"/>
        <w:autoSpaceDN w:val="0"/>
        <w:adjustRightInd w:val="0"/>
        <w:spacing w:after="0" w:line="240" w:lineRule="auto"/>
        <w:contextualSpacing/>
        <w:rPr>
          <w:rFonts w:eastAsia="TimesNewRoman"/>
          <w:sz w:val="20"/>
          <w:szCs w:val="20"/>
        </w:rPr>
      </w:pPr>
      <w:r w:rsidRPr="00920C4B">
        <w:rPr>
          <w:rFonts w:eastAsia="TimesNewRoman"/>
          <w:sz w:val="20"/>
          <w:szCs w:val="20"/>
        </w:rPr>
        <w:t xml:space="preserve">* - </w:t>
      </w:r>
      <w:r w:rsidRPr="00920C4B">
        <w:rPr>
          <w:rFonts w:eastAsia="TimesNewRoman"/>
          <w:color w:val="000000" w:themeColor="text1"/>
          <w:sz w:val="20"/>
          <w:szCs w:val="20"/>
        </w:rPr>
        <w:t xml:space="preserve">Модель </w:t>
      </w:r>
      <w:r w:rsidRPr="00920C4B">
        <w:rPr>
          <w:rFonts w:eastAsia="TimesNewRoman"/>
          <w:color w:val="000000" w:themeColor="text1"/>
          <w:sz w:val="20"/>
          <w:szCs w:val="20"/>
          <w:lang w:val="en-US"/>
        </w:rPr>
        <w:t>MMRM</w:t>
      </w:r>
      <w:r w:rsidRPr="00920C4B">
        <w:rPr>
          <w:rFonts w:eastAsia="TimesNewRoman"/>
          <w:color w:val="000000" w:themeColor="text1"/>
          <w:sz w:val="20"/>
          <w:szCs w:val="20"/>
        </w:rPr>
        <w:t xml:space="preserve"> (</w:t>
      </w:r>
      <w:r w:rsidR="004276B7">
        <w:fldChar w:fldCharType="begin"/>
      </w:r>
      <w:r w:rsidR="004276B7">
        <w:instrText xml:space="preserve"> HYPERLINK "https://www.multitran.com/m.exe?s=%D1%81%D0%BC%D0%B5%D1%88%D0%B0%D0%BD%D0%BD%D0%B0%D1%8F+%D0%BC%D0%BE%D0%B4%D0%B5%D0%BB%D1%8C+%D0%BF%D0%BE%D0%B2%D1%82%D0%BE%D1%80%D0%BD%D1%8B%D1%85+%D0%B8%D0%B7%D0%BC%D0%B5%D1%80%D0%B5%D0%BD%D0%B8</w:instrText>
      </w:r>
      <w:r w:rsidR="004276B7">
        <w:instrText xml:space="preserve">%D0%B9&amp;l1=2&amp;l2=1" </w:instrText>
      </w:r>
      <w:r w:rsidR="004276B7">
        <w:fldChar w:fldCharType="separate"/>
      </w:r>
      <w:r w:rsidRPr="00920C4B">
        <w:rPr>
          <w:rStyle w:val="Hyperlink"/>
          <w:color w:val="000000" w:themeColor="text1"/>
          <w:sz w:val="20"/>
          <w:szCs w:val="20"/>
        </w:rPr>
        <w:t>смешанная модель повторных измерений</w:t>
      </w:r>
      <w:r w:rsidR="004276B7">
        <w:rPr>
          <w:rStyle w:val="Hyperlink"/>
          <w:color w:val="000000" w:themeColor="text1"/>
          <w:sz w:val="20"/>
          <w:szCs w:val="20"/>
        </w:rPr>
        <w:fldChar w:fldCharType="end"/>
      </w:r>
      <w:r w:rsidRPr="00920C4B">
        <w:rPr>
          <w:rFonts w:eastAsia="TimesNewRoman"/>
          <w:color w:val="000000" w:themeColor="text1"/>
          <w:sz w:val="20"/>
          <w:szCs w:val="20"/>
        </w:rPr>
        <w:t xml:space="preserve">) рСКФ </w:t>
      </w:r>
      <w:r w:rsidRPr="00920C4B">
        <w:rPr>
          <w:rFonts w:eastAsia="TimesNewRoman"/>
          <w:sz w:val="20"/>
          <w:szCs w:val="20"/>
        </w:rPr>
        <w:t xml:space="preserve">(по формуле </w:t>
      </w:r>
      <w:r w:rsidRPr="00920C4B">
        <w:rPr>
          <w:rFonts w:eastAsia="TimesNewRoman"/>
          <w:sz w:val="20"/>
          <w:szCs w:val="20"/>
          <w:lang w:val="en-US"/>
        </w:rPr>
        <w:t>CKD</w:t>
      </w:r>
      <w:r w:rsidRPr="00920C4B">
        <w:rPr>
          <w:rFonts w:eastAsia="TimesNewRoman"/>
          <w:sz w:val="20"/>
          <w:szCs w:val="20"/>
        </w:rPr>
        <w:t>-</w:t>
      </w:r>
      <w:r w:rsidRPr="00920C4B">
        <w:rPr>
          <w:rFonts w:eastAsia="TimesNewRoman"/>
          <w:sz w:val="20"/>
          <w:szCs w:val="20"/>
          <w:lang w:val="en-US"/>
        </w:rPr>
        <w:t>EPI</w:t>
      </w:r>
      <w:r w:rsidRPr="00920C4B">
        <w:rPr>
          <w:rFonts w:eastAsia="TimesNewRoman"/>
          <w:sz w:val="20"/>
          <w:szCs w:val="20"/>
        </w:rPr>
        <w:t xml:space="preserve"> в мл/мин/1.73м</w:t>
      </w:r>
      <w:r w:rsidRPr="00920C4B">
        <w:rPr>
          <w:rFonts w:eastAsia="TimesNewRoman"/>
          <w:sz w:val="20"/>
          <w:szCs w:val="20"/>
          <w:vertAlign w:val="superscript"/>
        </w:rPr>
        <w:t>2</w:t>
      </w:r>
      <w:r w:rsidRPr="00920C4B">
        <w:rPr>
          <w:rFonts w:eastAsia="TimesNewRoman"/>
          <w:sz w:val="20"/>
          <w:szCs w:val="20"/>
        </w:rPr>
        <w:t xml:space="preserve">с течением времени - рандомизированная выборка; </w:t>
      </w:r>
      <w:r w:rsidRPr="00920C4B">
        <w:rPr>
          <w:rFonts w:eastAsia="TimesNewRoman"/>
          <w:sz w:val="20"/>
          <w:szCs w:val="20"/>
          <w:lang w:val="en-US"/>
        </w:rPr>
        <w:t>adjusted</w:t>
      </w:r>
      <w:r w:rsidRPr="00920C4B">
        <w:rPr>
          <w:rFonts w:eastAsia="TimesNewRoman"/>
          <w:sz w:val="20"/>
          <w:szCs w:val="20"/>
        </w:rPr>
        <w:t xml:space="preserve"> </w:t>
      </w:r>
      <w:r w:rsidRPr="00920C4B">
        <w:rPr>
          <w:rFonts w:eastAsia="TimesNewRoman"/>
          <w:sz w:val="20"/>
          <w:szCs w:val="20"/>
          <w:lang w:val="en-US"/>
        </w:rPr>
        <w:t>mean</w:t>
      </w:r>
      <w:r w:rsidRPr="00920C4B">
        <w:rPr>
          <w:rFonts w:eastAsia="TimesNewRoman"/>
          <w:sz w:val="20"/>
          <w:szCs w:val="20"/>
        </w:rPr>
        <w:t xml:space="preserve"> (</w:t>
      </w:r>
      <w:r w:rsidRPr="00920C4B">
        <w:rPr>
          <w:rFonts w:eastAsia="TimesNewRoman"/>
          <w:sz w:val="20"/>
          <w:szCs w:val="20"/>
          <w:lang w:val="en-US"/>
        </w:rPr>
        <w:t>SE</w:t>
      </w:r>
      <w:r w:rsidRPr="00920C4B">
        <w:rPr>
          <w:rFonts w:eastAsia="TimesNewRoman"/>
          <w:sz w:val="20"/>
          <w:szCs w:val="20"/>
        </w:rPr>
        <w:t xml:space="preserve">) – скорректированное среднее; </w:t>
      </w:r>
      <w:r w:rsidRPr="00920C4B">
        <w:rPr>
          <w:rFonts w:eastAsia="TimesNewRoman"/>
          <w:sz w:val="20"/>
          <w:szCs w:val="20"/>
          <w:lang w:val="en-US"/>
        </w:rPr>
        <w:t>planned</w:t>
      </w:r>
      <w:r w:rsidRPr="00920C4B">
        <w:rPr>
          <w:rFonts w:eastAsia="TimesNewRoman"/>
          <w:sz w:val="20"/>
          <w:szCs w:val="20"/>
        </w:rPr>
        <w:t xml:space="preserve"> </w:t>
      </w:r>
      <w:r w:rsidRPr="00920C4B">
        <w:rPr>
          <w:rFonts w:eastAsia="TimesNewRoman"/>
          <w:sz w:val="20"/>
          <w:szCs w:val="20"/>
          <w:lang w:val="en-US"/>
        </w:rPr>
        <w:t>study</w:t>
      </w:r>
      <w:r w:rsidRPr="00920C4B">
        <w:rPr>
          <w:rFonts w:eastAsia="TimesNewRoman"/>
          <w:sz w:val="20"/>
          <w:szCs w:val="20"/>
        </w:rPr>
        <w:t xml:space="preserve"> </w:t>
      </w:r>
      <w:r w:rsidRPr="00920C4B">
        <w:rPr>
          <w:rFonts w:eastAsia="TimesNewRoman"/>
          <w:sz w:val="20"/>
          <w:szCs w:val="20"/>
          <w:lang w:val="en-US"/>
        </w:rPr>
        <w:t>week</w:t>
      </w:r>
      <w:r w:rsidRPr="00920C4B">
        <w:rPr>
          <w:rFonts w:eastAsia="TimesNewRoman"/>
          <w:sz w:val="20"/>
          <w:szCs w:val="20"/>
        </w:rPr>
        <w:t xml:space="preserve"> – неделя исследования.</w:t>
      </w:r>
    </w:p>
    <w:p w14:paraId="087B9FA3" w14:textId="77777777" w:rsidR="00345876" w:rsidRPr="00920C4B" w:rsidRDefault="00345876" w:rsidP="00345876">
      <w:pPr>
        <w:autoSpaceDE w:val="0"/>
        <w:autoSpaceDN w:val="0"/>
        <w:adjustRightInd w:val="0"/>
        <w:spacing w:after="0" w:line="240" w:lineRule="auto"/>
        <w:ind w:firstLine="709"/>
        <w:contextualSpacing/>
        <w:rPr>
          <w:rFonts w:eastAsia="TimesNewRoman"/>
        </w:rPr>
      </w:pPr>
    </w:p>
    <w:p w14:paraId="09A7DF59" w14:textId="77777777" w:rsidR="00345876" w:rsidRPr="00920C4B" w:rsidRDefault="00345876" w:rsidP="00345876">
      <w:pPr>
        <w:autoSpaceDE w:val="0"/>
        <w:autoSpaceDN w:val="0"/>
        <w:adjustRightInd w:val="0"/>
        <w:spacing w:after="0" w:line="240" w:lineRule="auto"/>
        <w:contextualSpacing/>
        <w:rPr>
          <w:b/>
          <w:bCs/>
          <w:i/>
          <w:iCs/>
        </w:rPr>
      </w:pPr>
      <w:bookmarkStart w:id="154" w:name="_Hlk130997260"/>
      <w:r w:rsidRPr="00920C4B">
        <w:rPr>
          <w:b/>
          <w:bCs/>
          <w:i/>
          <w:iCs/>
        </w:rPr>
        <w:t>Э</w:t>
      </w:r>
      <w:r>
        <w:rPr>
          <w:b/>
          <w:bCs/>
          <w:i/>
          <w:iCs/>
        </w:rPr>
        <w:t>ффективность</w:t>
      </w:r>
      <w:r w:rsidRPr="00920C4B">
        <w:rPr>
          <w:b/>
          <w:bCs/>
          <w:i/>
          <w:iCs/>
        </w:rPr>
        <w:t xml:space="preserve"> </w:t>
      </w:r>
      <w:r>
        <w:rPr>
          <w:b/>
          <w:bCs/>
          <w:i/>
          <w:iCs/>
        </w:rPr>
        <w:t>э</w:t>
      </w:r>
      <w:r w:rsidRPr="00920C4B">
        <w:rPr>
          <w:b/>
          <w:bCs/>
          <w:i/>
          <w:iCs/>
        </w:rPr>
        <w:t>мпаглифлозин</w:t>
      </w:r>
      <w:r>
        <w:rPr>
          <w:b/>
          <w:bCs/>
          <w:i/>
          <w:iCs/>
        </w:rPr>
        <w:t>а</w:t>
      </w:r>
      <w:r w:rsidRPr="00920C4B">
        <w:rPr>
          <w:b/>
          <w:bCs/>
          <w:i/>
          <w:iCs/>
        </w:rPr>
        <w:t xml:space="preserve"> у </w:t>
      </w:r>
      <w:r>
        <w:rPr>
          <w:b/>
          <w:bCs/>
          <w:i/>
          <w:iCs/>
        </w:rPr>
        <w:t>пациентов</w:t>
      </w:r>
      <w:r w:rsidRPr="00920C4B">
        <w:rPr>
          <w:b/>
          <w:bCs/>
          <w:i/>
          <w:iCs/>
        </w:rPr>
        <w:t xml:space="preserve"> с сердечной недостаточностью и сохранной фракцией выброса</w:t>
      </w:r>
    </w:p>
    <w:p w14:paraId="0830167A" w14:textId="77777777" w:rsidR="00345876" w:rsidRDefault="00345876" w:rsidP="00345876">
      <w:pPr>
        <w:autoSpaceDE w:val="0"/>
        <w:autoSpaceDN w:val="0"/>
        <w:adjustRightInd w:val="0"/>
        <w:spacing w:after="0" w:line="240" w:lineRule="auto"/>
        <w:ind w:firstLine="709"/>
        <w:contextualSpacing/>
        <w:rPr>
          <w:b/>
          <w:bCs/>
          <w:i/>
          <w:iCs/>
        </w:rPr>
      </w:pPr>
    </w:p>
    <w:p w14:paraId="37DB0230" w14:textId="77777777" w:rsidR="00345876" w:rsidRPr="00920C4B" w:rsidRDefault="00345876" w:rsidP="00345876">
      <w:pPr>
        <w:autoSpaceDE w:val="0"/>
        <w:autoSpaceDN w:val="0"/>
        <w:adjustRightInd w:val="0"/>
        <w:spacing w:after="0" w:line="240" w:lineRule="auto"/>
        <w:ind w:firstLine="709"/>
        <w:contextualSpacing/>
        <w:rPr>
          <w:rFonts w:eastAsia="TimesNewRoman"/>
        </w:rPr>
      </w:pPr>
      <w:r w:rsidRPr="00920C4B">
        <w:rPr>
          <w:rFonts w:eastAsia="TimesNewRoman"/>
        </w:rPr>
        <w:t>Рандомизированное двойное слепое плацебо-контролируемое исследование (</w:t>
      </w:r>
      <w:r w:rsidRPr="00920C4B">
        <w:rPr>
          <w:rFonts w:eastAsia="TimesNewRoman"/>
          <w:lang w:val="en-US"/>
        </w:rPr>
        <w:t>EMPEROR</w:t>
      </w:r>
      <w:r w:rsidRPr="00920C4B">
        <w:rPr>
          <w:rFonts w:eastAsia="TimesNewRoman"/>
        </w:rPr>
        <w:t>-</w:t>
      </w:r>
      <w:r w:rsidRPr="00920C4B">
        <w:rPr>
          <w:rFonts w:eastAsia="TimesNewRoman"/>
          <w:lang w:val="en-US"/>
        </w:rPr>
        <w:t>Preserved</w:t>
      </w:r>
      <w:r w:rsidRPr="00920C4B">
        <w:rPr>
          <w:rFonts w:eastAsia="TimesNewRoman"/>
        </w:rPr>
        <w:t>) было проведено у 5988 пациентов с хронической сердечной недостаточностью (</w:t>
      </w:r>
      <w:r w:rsidRPr="00920C4B">
        <w:rPr>
          <w:rFonts w:eastAsia="TimesNewRoman"/>
          <w:lang w:val="en-US"/>
        </w:rPr>
        <w:t>NYHA</w:t>
      </w:r>
      <w:r w:rsidRPr="00920C4B">
        <w:rPr>
          <w:rFonts w:eastAsia="TimesNewRoman"/>
        </w:rPr>
        <w:t xml:space="preserve"> </w:t>
      </w:r>
      <w:r w:rsidRPr="00920C4B">
        <w:rPr>
          <w:rFonts w:eastAsia="TimesNewRoman"/>
          <w:lang w:val="en-US"/>
        </w:rPr>
        <w:t>II</w:t>
      </w:r>
      <w:r w:rsidRPr="00920C4B">
        <w:rPr>
          <w:rFonts w:eastAsia="TimesNewRoman"/>
        </w:rPr>
        <w:t>-</w:t>
      </w:r>
      <w:r w:rsidRPr="00920C4B">
        <w:rPr>
          <w:rFonts w:eastAsia="TimesNewRoman"/>
          <w:lang w:val="en-US"/>
        </w:rPr>
        <w:t>IV</w:t>
      </w:r>
      <w:r w:rsidRPr="00920C4B">
        <w:rPr>
          <w:rFonts w:eastAsia="TimesNewRoman"/>
        </w:rPr>
        <w:t>) и сохраненной фракцией выброса</w:t>
      </w:r>
      <w:r>
        <w:rPr>
          <w:rFonts w:eastAsia="TimesNewRoman"/>
        </w:rPr>
        <w:t xml:space="preserve"> левого желудочка</w:t>
      </w:r>
      <w:r w:rsidRPr="00920C4B">
        <w:rPr>
          <w:rFonts w:eastAsia="TimesNewRoman"/>
        </w:rPr>
        <w:t xml:space="preserve"> (ФВ ЛЖ &gt;40%) для оценки эффективности и безопасности эмпаглифлозина</w:t>
      </w:r>
      <w:r>
        <w:rPr>
          <w:rFonts w:eastAsia="TimesNewRoman"/>
        </w:rPr>
        <w:t xml:space="preserve"> в дозе</w:t>
      </w:r>
      <w:r w:rsidRPr="00920C4B">
        <w:rPr>
          <w:rFonts w:eastAsia="TimesNewRoman"/>
        </w:rPr>
        <w:t xml:space="preserve"> 10 мг один раз в день в качестве дополнения к стандартной терапии. Первичной конечной точкой было время до вынесения решения о первом событии либо сердечно-сосудистой (СС) смерти, либо госпитализации по поводу сердечной недостаточности (</w:t>
      </w:r>
      <w:r>
        <w:rPr>
          <w:rFonts w:eastAsia="TimesNewRoman"/>
        </w:rPr>
        <w:t>ГСН</w:t>
      </w:r>
      <w:r w:rsidRPr="00920C4B">
        <w:rPr>
          <w:rFonts w:eastAsia="TimesNewRoman"/>
        </w:rPr>
        <w:t xml:space="preserve">). В подтверждающее тестирование были включены случаи выявленной ГСН (первой и повторной) и </w:t>
      </w:r>
      <w:r>
        <w:rPr>
          <w:rFonts w:eastAsia="TimesNewRoman"/>
        </w:rPr>
        <w:t>уровень</w:t>
      </w:r>
      <w:r w:rsidRPr="00920C4B">
        <w:rPr>
          <w:rFonts w:eastAsia="TimesNewRoman"/>
        </w:rPr>
        <w:t xml:space="preserve"> изменения рСКФ (</w:t>
      </w:r>
      <w:r>
        <w:rPr>
          <w:rFonts w:eastAsia="TimesNewRoman"/>
        </w:rPr>
        <w:t xml:space="preserve">по формуле </w:t>
      </w:r>
      <w:r w:rsidRPr="00920C4B">
        <w:rPr>
          <w:rFonts w:eastAsia="TimesNewRoman"/>
        </w:rPr>
        <w:t>CKD-EPI</w:t>
      </w:r>
      <w:r>
        <w:rPr>
          <w:rFonts w:eastAsia="TimesNewRoman"/>
        </w:rPr>
        <w:t>)</w:t>
      </w:r>
      <w:r w:rsidRPr="00920C4B">
        <w:rPr>
          <w:rFonts w:eastAsia="TimesNewRoman"/>
        </w:rPr>
        <w:t xml:space="preserve"> по сравнению с исходным уровнем. Базовая </w:t>
      </w:r>
      <w:r w:rsidRPr="00920C4B">
        <w:rPr>
          <w:rFonts w:eastAsia="TimesNewRoman"/>
        </w:rPr>
        <w:lastRenderedPageBreak/>
        <w:t>терапия включала ингибиторы АПФ/блокаторы рецепторов ангиотензина/ингибиторы рецепторов ангиотензина и неприлизина (80,7%), бета-блокаторы (86,3%), антагонисты минералокортикоидных рецепторов (37,5%) и диуретики (86,2%).</w:t>
      </w:r>
    </w:p>
    <w:p w14:paraId="67EFCA4B" w14:textId="25DC7F22" w:rsidR="00345876" w:rsidRPr="00920C4B" w:rsidRDefault="00345876" w:rsidP="00345876">
      <w:pPr>
        <w:autoSpaceDE w:val="0"/>
        <w:autoSpaceDN w:val="0"/>
        <w:adjustRightInd w:val="0"/>
        <w:spacing w:after="0" w:line="240" w:lineRule="auto"/>
        <w:ind w:firstLine="709"/>
        <w:contextualSpacing/>
        <w:rPr>
          <w:rFonts w:eastAsia="TimesNewRoman"/>
        </w:rPr>
      </w:pPr>
      <w:r w:rsidRPr="00920C4B">
        <w:rPr>
          <w:rFonts w:eastAsia="TimesNewRoman"/>
        </w:rPr>
        <w:t xml:space="preserve">В общей сложности 2997 пациентов были рандомизированы для получения эмпаглифлозина в дозе 10 мг (плацебо: 2991) и наблюдались в среднем 26,2 месяца. Исследуемая популяция состояла из 55,3% мужчин и 44,7% женщин со средним возрастом 71,9 года (диапазон: 22-100 лет), 43,0% были в возрасте 75 лет и старше. 75,9% исследуемого населения были белыми, 13,8% азиатами и 4,3% чернокожими/афроамериканцами. При рандомизации 81,5% пациентов относились к классу </w:t>
      </w:r>
      <w:r w:rsidRPr="00920C4B">
        <w:rPr>
          <w:rFonts w:eastAsia="TimesNewRoman"/>
          <w:lang w:val="en-US"/>
        </w:rPr>
        <w:t>II</w:t>
      </w:r>
      <w:r w:rsidRPr="00920C4B">
        <w:rPr>
          <w:rFonts w:eastAsia="TimesNewRoman"/>
        </w:rPr>
        <w:t xml:space="preserve"> по </w:t>
      </w:r>
      <w:r w:rsidRPr="00920C4B">
        <w:rPr>
          <w:rFonts w:eastAsia="TimesNewRoman"/>
          <w:lang w:val="en-US"/>
        </w:rPr>
        <w:t>NYHA</w:t>
      </w:r>
      <w:r w:rsidRPr="00920C4B">
        <w:rPr>
          <w:rFonts w:eastAsia="TimesNewRoman"/>
        </w:rPr>
        <w:t xml:space="preserve">, 18,1% </w:t>
      </w:r>
      <w:r w:rsidR="00E70A4F">
        <w:rPr>
          <w:rFonts w:eastAsia="TimesNewRoman"/>
        </w:rPr>
        <w:t>–</w:t>
      </w:r>
      <w:r w:rsidRPr="00920C4B">
        <w:rPr>
          <w:rFonts w:eastAsia="TimesNewRoman"/>
        </w:rPr>
        <w:t xml:space="preserve"> к классу </w:t>
      </w:r>
      <w:r w:rsidRPr="00920C4B">
        <w:rPr>
          <w:rFonts w:eastAsia="TimesNewRoman"/>
          <w:lang w:val="en-US"/>
        </w:rPr>
        <w:t>III</w:t>
      </w:r>
      <w:r w:rsidRPr="00920C4B">
        <w:rPr>
          <w:rFonts w:eastAsia="TimesNewRoman"/>
        </w:rPr>
        <w:t xml:space="preserve"> и 0,3% </w:t>
      </w:r>
      <w:r w:rsidR="00E70A4F">
        <w:rPr>
          <w:rFonts w:eastAsia="TimesNewRoman"/>
        </w:rPr>
        <w:t>–</w:t>
      </w:r>
      <w:r w:rsidRPr="00920C4B">
        <w:rPr>
          <w:rFonts w:eastAsia="TimesNewRoman"/>
        </w:rPr>
        <w:t xml:space="preserve"> к классу </w:t>
      </w:r>
      <w:r w:rsidRPr="00920C4B">
        <w:rPr>
          <w:rFonts w:eastAsia="TimesNewRoman"/>
          <w:lang w:val="en-US"/>
        </w:rPr>
        <w:t>IV</w:t>
      </w:r>
      <w:r w:rsidRPr="00920C4B">
        <w:rPr>
          <w:rFonts w:eastAsia="TimesNewRoman"/>
        </w:rPr>
        <w:t xml:space="preserve">. В популяцию исследования </w:t>
      </w:r>
      <w:r w:rsidRPr="00920C4B">
        <w:rPr>
          <w:rFonts w:eastAsia="TimesNewRoman"/>
          <w:lang w:val="en-US"/>
        </w:rPr>
        <w:t>EMPEROR</w:t>
      </w:r>
      <w:r w:rsidR="00E25D5C">
        <w:rPr>
          <w:rFonts w:eastAsia="TimesNewRoman"/>
        </w:rPr>
        <w:t xml:space="preserve"> </w:t>
      </w:r>
      <w:r w:rsidRPr="00920C4B">
        <w:rPr>
          <w:rFonts w:eastAsia="TimesNewRoman"/>
          <w:lang w:val="en-US"/>
        </w:rPr>
        <w:t>Preserved</w:t>
      </w:r>
      <w:r w:rsidRPr="00920C4B">
        <w:rPr>
          <w:rFonts w:eastAsia="TimesNewRoman"/>
        </w:rPr>
        <w:t xml:space="preserve"> вошли пациенты с ФВ ЛЖ &lt;50% (33,1%), с ФВ ЛЖ от 50 до &lt;60% (34,4%) и ФВ ЛЖ ≥60% (32,5%). Исходно средняя рСКФ составляла 60,6 мл/мин/1,73 м2, а медиана отношения альбумина к креатинину в моче (</w:t>
      </w:r>
      <w:r>
        <w:rPr>
          <w:rFonts w:eastAsia="TimesNewRoman"/>
        </w:rPr>
        <w:t>АКМ</w:t>
      </w:r>
      <w:r w:rsidRPr="00920C4B">
        <w:rPr>
          <w:rFonts w:eastAsia="TimesNewRoman"/>
        </w:rPr>
        <w:t>) составляла 21 мг/г. Около половины пациентов (50,1%) имели рСКФ ≥60 мл/мин/1,73 м</w:t>
      </w:r>
      <w:r w:rsidRPr="00594626">
        <w:rPr>
          <w:rFonts w:eastAsia="TimesNewRoman"/>
          <w:vertAlign w:val="superscript"/>
        </w:rPr>
        <w:t>2</w:t>
      </w:r>
      <w:r w:rsidRPr="00920C4B">
        <w:rPr>
          <w:rFonts w:eastAsia="TimesNewRoman"/>
        </w:rPr>
        <w:t xml:space="preserve">, 26,1% </w:t>
      </w:r>
      <w:r w:rsidR="00E70A4F">
        <w:rPr>
          <w:rFonts w:eastAsia="TimesNewRoman"/>
        </w:rPr>
        <w:t>–</w:t>
      </w:r>
      <w:r w:rsidRPr="00920C4B">
        <w:rPr>
          <w:rFonts w:eastAsia="TimesNewRoman"/>
        </w:rPr>
        <w:t xml:space="preserve"> от 45 до &lt;60 мл/мин/1,73 м</w:t>
      </w:r>
      <w:r w:rsidRPr="00594626">
        <w:rPr>
          <w:rFonts w:eastAsia="TimesNewRoman"/>
          <w:vertAlign w:val="superscript"/>
        </w:rPr>
        <w:t>2</w:t>
      </w:r>
      <w:r w:rsidRPr="00920C4B">
        <w:rPr>
          <w:rFonts w:eastAsia="TimesNewRoman"/>
        </w:rPr>
        <w:t xml:space="preserve">, 18,6% </w:t>
      </w:r>
      <w:r w:rsidR="00E70A4F">
        <w:rPr>
          <w:rFonts w:eastAsia="TimesNewRoman"/>
        </w:rPr>
        <w:t>–</w:t>
      </w:r>
      <w:r w:rsidRPr="00920C4B">
        <w:rPr>
          <w:rFonts w:eastAsia="TimesNewRoman"/>
        </w:rPr>
        <w:t xml:space="preserve"> от 30 до &lt;45 мл/мин/1,73 м</w:t>
      </w:r>
      <w:r w:rsidRPr="00594626">
        <w:rPr>
          <w:rFonts w:eastAsia="TimesNewRoman"/>
          <w:vertAlign w:val="superscript"/>
        </w:rPr>
        <w:t>2</w:t>
      </w:r>
      <w:r w:rsidRPr="00920C4B">
        <w:rPr>
          <w:rFonts w:eastAsia="TimesNewRoman"/>
        </w:rPr>
        <w:t xml:space="preserve"> и 4,9% от 20 до &lt;30 мл/мин/1,73 м</w:t>
      </w:r>
      <w:r w:rsidRPr="00594626">
        <w:rPr>
          <w:rFonts w:eastAsia="TimesNewRoman"/>
          <w:vertAlign w:val="superscript"/>
        </w:rPr>
        <w:t>2</w:t>
      </w:r>
      <w:r w:rsidRPr="00920C4B">
        <w:rPr>
          <w:rFonts w:eastAsia="TimesNewRoman"/>
        </w:rPr>
        <w:t>.</w:t>
      </w:r>
    </w:p>
    <w:p w14:paraId="75309DCC" w14:textId="01326DB8" w:rsidR="00345876" w:rsidRPr="002604EF" w:rsidRDefault="00345876" w:rsidP="00345876">
      <w:pPr>
        <w:autoSpaceDE w:val="0"/>
        <w:autoSpaceDN w:val="0"/>
        <w:adjustRightInd w:val="0"/>
        <w:spacing w:after="0" w:line="240" w:lineRule="auto"/>
        <w:ind w:firstLine="709"/>
        <w:contextualSpacing/>
        <w:rPr>
          <w:rFonts w:eastAsia="TimesNewRoman"/>
        </w:rPr>
      </w:pPr>
      <w:r w:rsidRPr="002604EF">
        <w:rPr>
          <w:rFonts w:eastAsia="TimesNewRoman"/>
        </w:rPr>
        <w:t xml:space="preserve">Эмпаглифлозин превосходил плацебо в снижении риска первичной комбинированной конечной точки смерти от сердечно-сосудистых заболеваний или госпитализаций по поводу сердечной недостаточности. Кроме того, эмпаглифлозин значительно снижал риск возникновения госпитализации по причине СН (первичной и повторной) и значительно снижал рСКФ (таблица </w:t>
      </w:r>
      <w:r w:rsidR="002604EF" w:rsidRPr="002604EF">
        <w:rPr>
          <w:rFonts w:eastAsia="TimesNewRoman"/>
        </w:rPr>
        <w:t>4-1</w:t>
      </w:r>
      <w:r w:rsidR="006836D0">
        <w:rPr>
          <w:rFonts w:eastAsia="TimesNewRoman"/>
        </w:rPr>
        <w:t>2</w:t>
      </w:r>
      <w:r w:rsidRPr="002604EF">
        <w:rPr>
          <w:rFonts w:eastAsia="TimesNewRoman"/>
        </w:rPr>
        <w:t xml:space="preserve">; рисунки </w:t>
      </w:r>
      <w:r w:rsidR="002604EF" w:rsidRPr="002604EF">
        <w:rPr>
          <w:rFonts w:eastAsia="TimesNewRoman"/>
        </w:rPr>
        <w:t>4-</w:t>
      </w:r>
      <w:r w:rsidRPr="002604EF">
        <w:rPr>
          <w:rFonts w:eastAsia="TimesNewRoman"/>
        </w:rPr>
        <w:t xml:space="preserve">4 и </w:t>
      </w:r>
      <w:r w:rsidR="002604EF" w:rsidRPr="002604EF">
        <w:rPr>
          <w:rFonts w:eastAsia="TimesNewRoman"/>
        </w:rPr>
        <w:t>4-</w:t>
      </w:r>
      <w:r w:rsidRPr="002604EF">
        <w:rPr>
          <w:rFonts w:eastAsia="TimesNewRoman"/>
        </w:rPr>
        <w:t>5)</w:t>
      </w:r>
      <w:r w:rsidR="004B66CD" w:rsidRPr="002604EF">
        <w:rPr>
          <w:rFonts w:eastAsia="TimesNewRoman"/>
        </w:rPr>
        <w:t xml:space="preserve"> [21]</w:t>
      </w:r>
      <w:r w:rsidRPr="002604EF">
        <w:rPr>
          <w:rFonts w:eastAsia="TimesNewRoman"/>
        </w:rPr>
        <w:t>.</w:t>
      </w:r>
    </w:p>
    <w:bookmarkEnd w:id="154"/>
    <w:p w14:paraId="6522934B" w14:textId="77777777" w:rsidR="00345876" w:rsidRPr="002604EF" w:rsidRDefault="00345876" w:rsidP="00345876">
      <w:pPr>
        <w:autoSpaceDE w:val="0"/>
        <w:autoSpaceDN w:val="0"/>
        <w:adjustRightInd w:val="0"/>
        <w:spacing w:after="0" w:line="240" w:lineRule="auto"/>
        <w:ind w:firstLine="709"/>
        <w:contextualSpacing/>
        <w:rPr>
          <w:rFonts w:eastAsia="TimesNewRoman"/>
        </w:rPr>
      </w:pPr>
    </w:p>
    <w:p w14:paraId="7A798B92" w14:textId="59C03216" w:rsidR="00345876" w:rsidRPr="00920C4B"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Таблица </w:t>
      </w:r>
      <w:r w:rsidR="002604EF" w:rsidRPr="000C7F59">
        <w:rPr>
          <w:rFonts w:eastAsia="TimesNewRoman"/>
          <w:b/>
          <w:bCs/>
        </w:rPr>
        <w:t>4-1</w:t>
      </w:r>
      <w:r w:rsidR="006836D0">
        <w:rPr>
          <w:rFonts w:eastAsia="TimesNewRoman"/>
          <w:b/>
          <w:bCs/>
        </w:rPr>
        <w:t>2</w:t>
      </w:r>
      <w:r w:rsidRPr="002604EF">
        <w:rPr>
          <w:rFonts w:eastAsia="TimesNewRoman"/>
          <w:b/>
          <w:bCs/>
        </w:rPr>
        <w:t>.</w:t>
      </w:r>
      <w:r w:rsidRPr="002604EF">
        <w:rPr>
          <w:rFonts w:eastAsia="TimesNewRoman"/>
        </w:rPr>
        <w:t xml:space="preserve"> Эффективность терапии для первичной комбинированной конечной точки, ее компонентов и двух</w:t>
      </w:r>
      <w:r w:rsidRPr="00920C4B">
        <w:rPr>
          <w:rFonts w:eastAsia="TimesNewRoman"/>
        </w:rPr>
        <w:t xml:space="preserve"> ключевых вторичных конечных точек, включенных в заранее определенное подтверждающее тестирование.</w:t>
      </w:r>
    </w:p>
    <w:tbl>
      <w:tblPr>
        <w:tblStyle w:val="TableGrid"/>
        <w:tblW w:w="0" w:type="auto"/>
        <w:tblLook w:val="04A0" w:firstRow="1" w:lastRow="0" w:firstColumn="1" w:lastColumn="0" w:noHBand="0" w:noVBand="1"/>
      </w:tblPr>
      <w:tblGrid>
        <w:gridCol w:w="4814"/>
        <w:gridCol w:w="1843"/>
        <w:gridCol w:w="2687"/>
      </w:tblGrid>
      <w:tr w:rsidR="00345876" w:rsidRPr="00920C4B" w14:paraId="62A35ADC" w14:textId="77777777" w:rsidTr="007756D8">
        <w:trPr>
          <w:tblHeader/>
        </w:trPr>
        <w:tc>
          <w:tcPr>
            <w:tcW w:w="4815" w:type="dxa"/>
            <w:shd w:val="clear" w:color="auto" w:fill="D9D9D9" w:themeFill="background1" w:themeFillShade="D9"/>
            <w:vAlign w:val="center"/>
          </w:tcPr>
          <w:p w14:paraId="23EC4C63" w14:textId="77777777" w:rsidR="00345876" w:rsidRPr="002D5D76" w:rsidRDefault="00345876" w:rsidP="004B66CD">
            <w:pPr>
              <w:autoSpaceDE w:val="0"/>
              <w:autoSpaceDN w:val="0"/>
              <w:adjustRightInd w:val="0"/>
              <w:spacing w:after="0" w:line="240" w:lineRule="auto"/>
              <w:ind w:firstLine="22"/>
              <w:contextualSpacing/>
              <w:jc w:val="center"/>
              <w:rPr>
                <w:rFonts w:eastAsia="TimesNewRoman"/>
                <w:b/>
                <w:bCs/>
              </w:rPr>
            </w:pPr>
          </w:p>
        </w:tc>
        <w:tc>
          <w:tcPr>
            <w:tcW w:w="1843" w:type="dxa"/>
            <w:shd w:val="clear" w:color="auto" w:fill="D9D9D9" w:themeFill="background1" w:themeFillShade="D9"/>
            <w:vAlign w:val="center"/>
          </w:tcPr>
          <w:p w14:paraId="3B3B3E9E" w14:textId="77777777" w:rsidR="00345876" w:rsidRPr="002D5D76" w:rsidRDefault="00345876" w:rsidP="004B66CD">
            <w:pPr>
              <w:autoSpaceDE w:val="0"/>
              <w:autoSpaceDN w:val="0"/>
              <w:adjustRightInd w:val="0"/>
              <w:spacing w:after="0" w:line="240" w:lineRule="auto"/>
              <w:ind w:firstLine="22"/>
              <w:contextualSpacing/>
              <w:jc w:val="center"/>
              <w:rPr>
                <w:rFonts w:eastAsia="TimesNewRoman"/>
                <w:b/>
                <w:bCs/>
              </w:rPr>
            </w:pPr>
            <w:r w:rsidRPr="002D5D76">
              <w:rPr>
                <w:rFonts w:eastAsia="TimesNewRoman"/>
                <w:b/>
                <w:bCs/>
              </w:rPr>
              <w:t>Плацебо</w:t>
            </w:r>
          </w:p>
        </w:tc>
        <w:tc>
          <w:tcPr>
            <w:tcW w:w="2687" w:type="dxa"/>
            <w:shd w:val="clear" w:color="auto" w:fill="D9D9D9" w:themeFill="background1" w:themeFillShade="D9"/>
            <w:vAlign w:val="center"/>
          </w:tcPr>
          <w:p w14:paraId="6ADE0644" w14:textId="77777777" w:rsidR="00345876" w:rsidRPr="002D5D76" w:rsidRDefault="00345876" w:rsidP="004B66CD">
            <w:pPr>
              <w:autoSpaceDE w:val="0"/>
              <w:autoSpaceDN w:val="0"/>
              <w:adjustRightInd w:val="0"/>
              <w:spacing w:after="0" w:line="240" w:lineRule="auto"/>
              <w:ind w:firstLine="22"/>
              <w:contextualSpacing/>
              <w:jc w:val="center"/>
              <w:rPr>
                <w:rFonts w:eastAsia="TimesNewRoman"/>
                <w:b/>
                <w:bCs/>
              </w:rPr>
            </w:pPr>
            <w:r w:rsidRPr="002D5D76">
              <w:rPr>
                <w:rFonts w:eastAsia="TimesNewRoman"/>
                <w:b/>
                <w:bCs/>
              </w:rPr>
              <w:t>Эмпаглифлозин 10 мг</w:t>
            </w:r>
          </w:p>
        </w:tc>
      </w:tr>
      <w:tr w:rsidR="00345876" w:rsidRPr="00920C4B" w14:paraId="11430476" w14:textId="77777777" w:rsidTr="007756D8">
        <w:tc>
          <w:tcPr>
            <w:tcW w:w="4815" w:type="dxa"/>
            <w:vAlign w:val="center"/>
          </w:tcPr>
          <w:p w14:paraId="2FE18303" w14:textId="77777777" w:rsidR="00345876" w:rsidRPr="00920C4B" w:rsidRDefault="00345876" w:rsidP="004B66CD">
            <w:pPr>
              <w:autoSpaceDE w:val="0"/>
              <w:autoSpaceDN w:val="0"/>
              <w:adjustRightInd w:val="0"/>
              <w:spacing w:after="0" w:line="240" w:lineRule="auto"/>
              <w:ind w:firstLine="22"/>
              <w:contextualSpacing/>
              <w:rPr>
                <w:rFonts w:eastAsia="TimesNewRoman"/>
              </w:rPr>
            </w:pPr>
            <w:r>
              <w:rPr>
                <w:rFonts w:eastAsia="TimesNewRoman"/>
              </w:rPr>
              <w:t>Количество пациентов</w:t>
            </w:r>
          </w:p>
        </w:tc>
        <w:tc>
          <w:tcPr>
            <w:tcW w:w="1843" w:type="dxa"/>
            <w:vAlign w:val="center"/>
          </w:tcPr>
          <w:p w14:paraId="796BE2CD"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2991</w:t>
            </w:r>
          </w:p>
        </w:tc>
        <w:tc>
          <w:tcPr>
            <w:tcW w:w="2687" w:type="dxa"/>
            <w:vAlign w:val="center"/>
          </w:tcPr>
          <w:p w14:paraId="3AE8D513"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2997</w:t>
            </w:r>
          </w:p>
        </w:tc>
      </w:tr>
      <w:tr w:rsidR="00345876" w:rsidRPr="00920C4B" w14:paraId="139D3F8B" w14:textId="77777777" w:rsidTr="007756D8">
        <w:tc>
          <w:tcPr>
            <w:tcW w:w="4815" w:type="dxa"/>
            <w:vAlign w:val="center"/>
          </w:tcPr>
          <w:p w14:paraId="530ECC14" w14:textId="77777777" w:rsidR="00345876" w:rsidRPr="002D5D76" w:rsidRDefault="00345876" w:rsidP="004B66CD">
            <w:pPr>
              <w:autoSpaceDE w:val="0"/>
              <w:autoSpaceDN w:val="0"/>
              <w:adjustRightInd w:val="0"/>
              <w:spacing w:after="0" w:line="240" w:lineRule="auto"/>
              <w:ind w:firstLine="22"/>
              <w:contextualSpacing/>
              <w:rPr>
                <w:rFonts w:eastAsia="TimesNewRoman"/>
              </w:rPr>
            </w:pPr>
            <w:r>
              <w:rPr>
                <w:rFonts w:eastAsia="TimesNewRoman"/>
              </w:rPr>
              <w:t xml:space="preserve">Время до первой ССС или ГСН, </w:t>
            </w:r>
            <w:r>
              <w:rPr>
                <w:rFonts w:eastAsia="TimesNewRoman"/>
                <w:lang w:val="en-US"/>
              </w:rPr>
              <w:t>n</w:t>
            </w:r>
            <w:r>
              <w:rPr>
                <w:rFonts w:eastAsia="TimesNewRoman"/>
              </w:rPr>
              <w:t xml:space="preserve"> (%)</w:t>
            </w:r>
          </w:p>
        </w:tc>
        <w:tc>
          <w:tcPr>
            <w:tcW w:w="1843" w:type="dxa"/>
            <w:vAlign w:val="center"/>
          </w:tcPr>
          <w:p w14:paraId="79B7F15B" w14:textId="77777777" w:rsidR="00345876" w:rsidRPr="002D5D76"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lang w:val="en-US"/>
              </w:rPr>
              <w:t>511 (17</w:t>
            </w:r>
            <w:r>
              <w:rPr>
                <w:rFonts w:eastAsia="TimesNewRoman"/>
              </w:rPr>
              <w:t>,1)</w:t>
            </w:r>
          </w:p>
        </w:tc>
        <w:tc>
          <w:tcPr>
            <w:tcW w:w="2687" w:type="dxa"/>
            <w:vAlign w:val="center"/>
          </w:tcPr>
          <w:p w14:paraId="20B324F3"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415 (13,8)</w:t>
            </w:r>
          </w:p>
        </w:tc>
      </w:tr>
      <w:tr w:rsidR="00345876" w:rsidRPr="00920C4B" w14:paraId="56E96029" w14:textId="77777777" w:rsidTr="007756D8">
        <w:tc>
          <w:tcPr>
            <w:tcW w:w="4815" w:type="dxa"/>
            <w:vAlign w:val="center"/>
          </w:tcPr>
          <w:p w14:paraId="129B72FE"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ОР в сравнении с плацебо (95% ДИ)*</w:t>
            </w:r>
          </w:p>
        </w:tc>
        <w:tc>
          <w:tcPr>
            <w:tcW w:w="1843" w:type="dxa"/>
            <w:vAlign w:val="center"/>
          </w:tcPr>
          <w:p w14:paraId="7097364A"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740AA1AD"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0,79 (0,69; 0,90)</w:t>
            </w:r>
          </w:p>
        </w:tc>
      </w:tr>
      <w:tr w:rsidR="00345876" w:rsidRPr="00920C4B" w14:paraId="170C61E2" w14:textId="77777777" w:rsidTr="007756D8">
        <w:tc>
          <w:tcPr>
            <w:tcW w:w="4815" w:type="dxa"/>
            <w:vAlign w:val="center"/>
          </w:tcPr>
          <w:p w14:paraId="521AD78A"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Значение р для оценки эффективности (</w:t>
            </w:r>
            <w:r>
              <w:rPr>
                <w:rFonts w:eastAsia="TimesNewRoman"/>
                <w:lang w:val="en-US"/>
              </w:rPr>
              <w:t>superiority</w:t>
            </w:r>
            <w:r>
              <w:rPr>
                <w:rFonts w:eastAsia="TimesNewRoman"/>
              </w:rPr>
              <w:t>)</w:t>
            </w:r>
          </w:p>
        </w:tc>
        <w:tc>
          <w:tcPr>
            <w:tcW w:w="1843" w:type="dxa"/>
            <w:vAlign w:val="center"/>
          </w:tcPr>
          <w:p w14:paraId="6ACBB062"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233A84FB"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0,0003</w:t>
            </w:r>
          </w:p>
        </w:tc>
      </w:tr>
      <w:tr w:rsidR="00345876" w:rsidRPr="00920C4B" w14:paraId="3BA07594" w14:textId="77777777" w:rsidTr="007756D8">
        <w:tc>
          <w:tcPr>
            <w:tcW w:w="4815" w:type="dxa"/>
            <w:vAlign w:val="center"/>
          </w:tcPr>
          <w:p w14:paraId="5113E6A1" w14:textId="77777777" w:rsidR="00345876" w:rsidRPr="002D5D76" w:rsidRDefault="00345876" w:rsidP="004B66CD">
            <w:pPr>
              <w:autoSpaceDE w:val="0"/>
              <w:autoSpaceDN w:val="0"/>
              <w:adjustRightInd w:val="0"/>
              <w:spacing w:after="0" w:line="240" w:lineRule="auto"/>
              <w:ind w:firstLine="22"/>
              <w:contextualSpacing/>
              <w:rPr>
                <w:rFonts w:eastAsia="TimesNewRoman"/>
                <w:lang w:val="en-US"/>
              </w:rPr>
            </w:pPr>
            <w:r>
              <w:rPr>
                <w:rFonts w:eastAsia="TimesNewRoman"/>
              </w:rPr>
              <w:t xml:space="preserve">ССС, </w:t>
            </w:r>
            <w:r>
              <w:rPr>
                <w:rFonts w:eastAsia="TimesNewRoman"/>
                <w:lang w:val="en-US"/>
              </w:rPr>
              <w:t>n (%)</w:t>
            </w:r>
          </w:p>
        </w:tc>
        <w:tc>
          <w:tcPr>
            <w:tcW w:w="1843" w:type="dxa"/>
            <w:vAlign w:val="center"/>
          </w:tcPr>
          <w:p w14:paraId="03838BEE"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244 (8,2)</w:t>
            </w:r>
          </w:p>
        </w:tc>
        <w:tc>
          <w:tcPr>
            <w:tcW w:w="2687" w:type="dxa"/>
            <w:vAlign w:val="center"/>
          </w:tcPr>
          <w:p w14:paraId="689BC9FA"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219 (7,3)</w:t>
            </w:r>
          </w:p>
        </w:tc>
      </w:tr>
      <w:tr w:rsidR="00345876" w:rsidRPr="00920C4B" w14:paraId="39F79FDD" w14:textId="77777777" w:rsidTr="007756D8">
        <w:tc>
          <w:tcPr>
            <w:tcW w:w="4815" w:type="dxa"/>
            <w:vAlign w:val="center"/>
          </w:tcPr>
          <w:p w14:paraId="15CB8EFA"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ОР в сравнении с плацебо (95% ДИ)</w:t>
            </w:r>
          </w:p>
        </w:tc>
        <w:tc>
          <w:tcPr>
            <w:tcW w:w="1843" w:type="dxa"/>
            <w:vAlign w:val="center"/>
          </w:tcPr>
          <w:p w14:paraId="3D38C8FD"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46836648"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0,91 (0,76; 1,09)</w:t>
            </w:r>
          </w:p>
        </w:tc>
      </w:tr>
      <w:tr w:rsidR="00345876" w:rsidRPr="00920C4B" w14:paraId="7F818174" w14:textId="77777777" w:rsidTr="007756D8">
        <w:tc>
          <w:tcPr>
            <w:tcW w:w="4815" w:type="dxa"/>
            <w:vAlign w:val="center"/>
          </w:tcPr>
          <w:p w14:paraId="6BBCB49A" w14:textId="77777777" w:rsidR="00345876" w:rsidRPr="002D5D76" w:rsidRDefault="00345876" w:rsidP="004B66CD">
            <w:pPr>
              <w:autoSpaceDE w:val="0"/>
              <w:autoSpaceDN w:val="0"/>
              <w:adjustRightInd w:val="0"/>
              <w:spacing w:after="0" w:line="240" w:lineRule="auto"/>
              <w:ind w:firstLine="22"/>
              <w:contextualSpacing/>
              <w:rPr>
                <w:rFonts w:eastAsia="TimesNewRoman"/>
                <w:lang w:val="en-US"/>
              </w:rPr>
            </w:pPr>
            <w:r>
              <w:rPr>
                <w:rFonts w:eastAsia="TimesNewRoman"/>
              </w:rPr>
              <w:t xml:space="preserve">ГСН (первичная), </w:t>
            </w:r>
            <w:r>
              <w:rPr>
                <w:rFonts w:eastAsia="TimesNewRoman"/>
                <w:lang w:val="en-US"/>
              </w:rPr>
              <w:t>n</w:t>
            </w:r>
            <w:r w:rsidRPr="00644506">
              <w:rPr>
                <w:rFonts w:eastAsia="TimesNewRoman"/>
              </w:rPr>
              <w:t xml:space="preserve"> (%)</w:t>
            </w:r>
          </w:p>
        </w:tc>
        <w:tc>
          <w:tcPr>
            <w:tcW w:w="1843" w:type="dxa"/>
            <w:vAlign w:val="center"/>
          </w:tcPr>
          <w:p w14:paraId="4169778C"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352 (11,8)</w:t>
            </w:r>
          </w:p>
        </w:tc>
        <w:tc>
          <w:tcPr>
            <w:tcW w:w="2687" w:type="dxa"/>
            <w:vAlign w:val="center"/>
          </w:tcPr>
          <w:p w14:paraId="061C1C97"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259 (8,6)</w:t>
            </w:r>
          </w:p>
        </w:tc>
      </w:tr>
      <w:tr w:rsidR="00345876" w:rsidRPr="00920C4B" w14:paraId="52834F84" w14:textId="77777777" w:rsidTr="007756D8">
        <w:tc>
          <w:tcPr>
            <w:tcW w:w="4815" w:type="dxa"/>
            <w:vAlign w:val="center"/>
          </w:tcPr>
          <w:p w14:paraId="26502C9D" w14:textId="77777777" w:rsidR="00345876" w:rsidRPr="00920C4B" w:rsidRDefault="00345876" w:rsidP="004B66CD">
            <w:pPr>
              <w:autoSpaceDE w:val="0"/>
              <w:autoSpaceDN w:val="0"/>
              <w:adjustRightInd w:val="0"/>
              <w:spacing w:after="0" w:line="240" w:lineRule="auto"/>
              <w:ind w:left="175"/>
              <w:contextualSpacing/>
              <w:rPr>
                <w:rFonts w:eastAsia="TimesNewRoman"/>
              </w:rPr>
            </w:pPr>
            <w:r>
              <w:rPr>
                <w:rFonts w:eastAsia="TimesNewRoman"/>
              </w:rPr>
              <w:t>ОР в сравнении с плацебо (95% ДИ)</w:t>
            </w:r>
          </w:p>
        </w:tc>
        <w:tc>
          <w:tcPr>
            <w:tcW w:w="1843" w:type="dxa"/>
            <w:vAlign w:val="center"/>
          </w:tcPr>
          <w:p w14:paraId="6CCC450B"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7381B82B"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0,71 (0,60; 0,88)</w:t>
            </w:r>
          </w:p>
        </w:tc>
      </w:tr>
      <w:tr w:rsidR="00345876" w:rsidRPr="00920C4B" w14:paraId="3723B948" w14:textId="77777777" w:rsidTr="007756D8">
        <w:tc>
          <w:tcPr>
            <w:tcW w:w="4815" w:type="dxa"/>
            <w:vAlign w:val="center"/>
          </w:tcPr>
          <w:p w14:paraId="128E6B93" w14:textId="77777777" w:rsidR="00345876" w:rsidRPr="00920C4B" w:rsidRDefault="00345876" w:rsidP="004B66CD">
            <w:pPr>
              <w:autoSpaceDE w:val="0"/>
              <w:autoSpaceDN w:val="0"/>
              <w:adjustRightInd w:val="0"/>
              <w:spacing w:after="0" w:line="240" w:lineRule="auto"/>
              <w:ind w:firstLine="22"/>
              <w:contextualSpacing/>
              <w:rPr>
                <w:rFonts w:eastAsia="TimesNewRoman"/>
              </w:rPr>
            </w:pPr>
            <w:r>
              <w:rPr>
                <w:rFonts w:eastAsia="TimesNewRoman"/>
              </w:rPr>
              <w:t xml:space="preserve">ГСН (повторная), </w:t>
            </w:r>
            <w:r>
              <w:rPr>
                <w:rFonts w:eastAsia="TimesNewRoman"/>
                <w:lang w:val="en-US"/>
              </w:rPr>
              <w:t>n</w:t>
            </w:r>
            <w:r w:rsidRPr="00644506">
              <w:rPr>
                <w:rFonts w:eastAsia="TimesNewRoman"/>
              </w:rPr>
              <w:t xml:space="preserve"> (%)</w:t>
            </w:r>
          </w:p>
        </w:tc>
        <w:tc>
          <w:tcPr>
            <w:tcW w:w="1843" w:type="dxa"/>
            <w:vAlign w:val="center"/>
          </w:tcPr>
          <w:p w14:paraId="7CC19A19"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541</w:t>
            </w:r>
          </w:p>
        </w:tc>
        <w:tc>
          <w:tcPr>
            <w:tcW w:w="2687" w:type="dxa"/>
            <w:vAlign w:val="center"/>
          </w:tcPr>
          <w:p w14:paraId="2A41BE06"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407</w:t>
            </w:r>
          </w:p>
        </w:tc>
      </w:tr>
      <w:tr w:rsidR="00345876" w:rsidRPr="00920C4B" w14:paraId="5D88D6EB" w14:textId="77777777" w:rsidTr="007756D8">
        <w:tc>
          <w:tcPr>
            <w:tcW w:w="4815" w:type="dxa"/>
            <w:vAlign w:val="center"/>
          </w:tcPr>
          <w:p w14:paraId="7087D579" w14:textId="77777777" w:rsidR="00345876" w:rsidRPr="002D5D76"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ОР в сравнении с плацебо (95% ДИ)</w:t>
            </w:r>
            <w:r w:rsidRPr="002D5D76">
              <w:rPr>
                <w:rFonts w:eastAsia="TimesNewRoman"/>
              </w:rPr>
              <w:t>8</w:t>
            </w:r>
          </w:p>
        </w:tc>
        <w:tc>
          <w:tcPr>
            <w:tcW w:w="1843" w:type="dxa"/>
            <w:vAlign w:val="center"/>
          </w:tcPr>
          <w:p w14:paraId="26156664"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1E05BF4E"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0,73 (0,61; 0,88)</w:t>
            </w:r>
          </w:p>
        </w:tc>
      </w:tr>
      <w:tr w:rsidR="00345876" w:rsidRPr="00920C4B" w14:paraId="58112ED8" w14:textId="77777777" w:rsidTr="007756D8">
        <w:tc>
          <w:tcPr>
            <w:tcW w:w="4815" w:type="dxa"/>
            <w:vAlign w:val="center"/>
          </w:tcPr>
          <w:p w14:paraId="65A9EF6D"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Значение р</w:t>
            </w:r>
          </w:p>
        </w:tc>
        <w:tc>
          <w:tcPr>
            <w:tcW w:w="1843" w:type="dxa"/>
            <w:vAlign w:val="center"/>
          </w:tcPr>
          <w:p w14:paraId="435324AE"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67B2F941"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0,0009</w:t>
            </w:r>
          </w:p>
        </w:tc>
      </w:tr>
      <w:tr w:rsidR="00345876" w:rsidRPr="00920C4B" w14:paraId="6D244BC4" w14:textId="77777777" w:rsidTr="007756D8">
        <w:tc>
          <w:tcPr>
            <w:tcW w:w="4815" w:type="dxa"/>
            <w:vAlign w:val="center"/>
          </w:tcPr>
          <w:p w14:paraId="263EF474" w14:textId="77777777" w:rsidR="00345876" w:rsidRPr="00920C4B" w:rsidRDefault="00345876" w:rsidP="004B66CD">
            <w:pPr>
              <w:autoSpaceDE w:val="0"/>
              <w:autoSpaceDN w:val="0"/>
              <w:adjustRightInd w:val="0"/>
              <w:spacing w:after="0" w:line="240" w:lineRule="auto"/>
              <w:ind w:firstLine="22"/>
              <w:contextualSpacing/>
              <w:rPr>
                <w:rFonts w:eastAsia="TimesNewRoman"/>
              </w:rPr>
            </w:pPr>
            <w:r w:rsidRPr="00644506">
              <w:rPr>
                <w:rFonts w:eastAsia="TimesNewRoman"/>
              </w:rPr>
              <w:t>рСКФ</w:t>
            </w:r>
            <w:r>
              <w:rPr>
                <w:rFonts w:eastAsia="TimesNewRoman"/>
              </w:rPr>
              <w:t xml:space="preserve"> (</w:t>
            </w:r>
            <w:r w:rsidRPr="00644506">
              <w:rPr>
                <w:rFonts w:eastAsia="TimesNewRoman"/>
              </w:rPr>
              <w:t>CKD EPI</w:t>
            </w:r>
            <w:r>
              <w:rPr>
                <w:rFonts w:eastAsia="TimesNewRoman"/>
              </w:rPr>
              <w:t>)**, частота снижения (мл/мин/1,73м</w:t>
            </w:r>
            <w:r w:rsidRPr="00644506">
              <w:rPr>
                <w:rFonts w:eastAsia="TimesNewRoman"/>
                <w:vertAlign w:val="superscript"/>
              </w:rPr>
              <w:t>2</w:t>
            </w:r>
            <w:r>
              <w:rPr>
                <w:rFonts w:eastAsia="TimesNewRoman"/>
              </w:rPr>
              <w:t>/лет)</w:t>
            </w:r>
          </w:p>
        </w:tc>
        <w:tc>
          <w:tcPr>
            <w:tcW w:w="1843" w:type="dxa"/>
            <w:vAlign w:val="center"/>
          </w:tcPr>
          <w:p w14:paraId="5834D3C4"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-2,62</w:t>
            </w:r>
          </w:p>
        </w:tc>
        <w:tc>
          <w:tcPr>
            <w:tcW w:w="2687" w:type="dxa"/>
            <w:vAlign w:val="center"/>
          </w:tcPr>
          <w:p w14:paraId="7DACE6EF"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-1,25</w:t>
            </w:r>
          </w:p>
        </w:tc>
      </w:tr>
      <w:tr w:rsidR="00345876" w:rsidRPr="00920C4B" w14:paraId="370888E1" w14:textId="77777777" w:rsidTr="007756D8">
        <w:tc>
          <w:tcPr>
            <w:tcW w:w="4815" w:type="dxa"/>
            <w:vAlign w:val="center"/>
          </w:tcPr>
          <w:p w14:paraId="247BA29A"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Разница с плацебо (95% ДИ)</w:t>
            </w:r>
          </w:p>
        </w:tc>
        <w:tc>
          <w:tcPr>
            <w:tcW w:w="1843" w:type="dxa"/>
            <w:vAlign w:val="center"/>
          </w:tcPr>
          <w:p w14:paraId="3619C649"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15D8BE48"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rPr>
              <w:t>1,36 (1,06; 1,66)</w:t>
            </w:r>
          </w:p>
        </w:tc>
      </w:tr>
      <w:tr w:rsidR="00345876" w:rsidRPr="00920C4B" w14:paraId="4078D7C9" w14:textId="77777777" w:rsidTr="007756D8">
        <w:tc>
          <w:tcPr>
            <w:tcW w:w="4815" w:type="dxa"/>
            <w:vAlign w:val="center"/>
          </w:tcPr>
          <w:p w14:paraId="5D77E678" w14:textId="77777777" w:rsidR="00345876" w:rsidRPr="00920C4B" w:rsidRDefault="00345876" w:rsidP="004B66CD">
            <w:pPr>
              <w:autoSpaceDE w:val="0"/>
              <w:autoSpaceDN w:val="0"/>
              <w:adjustRightInd w:val="0"/>
              <w:spacing w:after="0" w:line="240" w:lineRule="auto"/>
              <w:ind w:left="175" w:firstLine="22"/>
              <w:contextualSpacing/>
              <w:rPr>
                <w:rFonts w:eastAsia="TimesNewRoman"/>
              </w:rPr>
            </w:pPr>
            <w:r>
              <w:rPr>
                <w:rFonts w:eastAsia="TimesNewRoman"/>
              </w:rPr>
              <w:t>Значение р</w:t>
            </w:r>
          </w:p>
        </w:tc>
        <w:tc>
          <w:tcPr>
            <w:tcW w:w="1843" w:type="dxa"/>
            <w:vAlign w:val="center"/>
          </w:tcPr>
          <w:p w14:paraId="5BD1756A" w14:textId="77777777" w:rsidR="00345876" w:rsidRPr="00920C4B" w:rsidRDefault="00345876" w:rsidP="004B66CD">
            <w:pPr>
              <w:autoSpaceDE w:val="0"/>
              <w:autoSpaceDN w:val="0"/>
              <w:adjustRightInd w:val="0"/>
              <w:spacing w:after="0" w:line="240" w:lineRule="auto"/>
              <w:ind w:firstLine="22"/>
              <w:contextualSpacing/>
              <w:jc w:val="center"/>
              <w:rPr>
                <w:rFonts w:eastAsia="TimesNewRoman"/>
              </w:rPr>
            </w:pPr>
          </w:p>
        </w:tc>
        <w:tc>
          <w:tcPr>
            <w:tcW w:w="2687" w:type="dxa"/>
            <w:vAlign w:val="center"/>
          </w:tcPr>
          <w:p w14:paraId="0D924BF6" w14:textId="77777777" w:rsidR="00345876" w:rsidRPr="002D5D76" w:rsidRDefault="00345876" w:rsidP="004B66CD">
            <w:pPr>
              <w:autoSpaceDE w:val="0"/>
              <w:autoSpaceDN w:val="0"/>
              <w:adjustRightInd w:val="0"/>
              <w:spacing w:after="0" w:line="240" w:lineRule="auto"/>
              <w:ind w:firstLine="22"/>
              <w:contextualSpacing/>
              <w:jc w:val="center"/>
              <w:rPr>
                <w:rFonts w:eastAsia="TimesNewRoman"/>
              </w:rPr>
            </w:pPr>
            <w:r>
              <w:rPr>
                <w:rFonts w:eastAsia="TimesNewRoman"/>
                <w:lang w:val="en-US"/>
              </w:rPr>
              <w:t>&lt;</w:t>
            </w:r>
            <w:r>
              <w:rPr>
                <w:rFonts w:eastAsia="TimesNewRoman"/>
              </w:rPr>
              <w:t>0,0001</w:t>
            </w:r>
          </w:p>
        </w:tc>
      </w:tr>
      <w:tr w:rsidR="00345876" w:rsidRPr="00B97285" w14:paraId="4B451DF2" w14:textId="77777777" w:rsidTr="007756D8">
        <w:tc>
          <w:tcPr>
            <w:tcW w:w="9345" w:type="dxa"/>
            <w:gridSpan w:val="3"/>
          </w:tcPr>
          <w:p w14:paraId="76FB156E" w14:textId="77777777" w:rsidR="00345876" w:rsidRPr="00B97285" w:rsidRDefault="00345876" w:rsidP="004B66CD">
            <w:pPr>
              <w:autoSpaceDE w:val="0"/>
              <w:autoSpaceDN w:val="0"/>
              <w:adjustRightInd w:val="0"/>
              <w:spacing w:after="0" w:line="240" w:lineRule="auto"/>
              <w:contextualSpacing/>
              <w:rPr>
                <w:rFonts w:eastAsia="TimesNewRoman"/>
                <w:b/>
                <w:bCs/>
                <w:sz w:val="20"/>
                <w:szCs w:val="20"/>
              </w:rPr>
            </w:pPr>
            <w:r w:rsidRPr="00B97285">
              <w:rPr>
                <w:rFonts w:eastAsia="TimesNewRoman"/>
                <w:b/>
                <w:bCs/>
                <w:sz w:val="20"/>
                <w:szCs w:val="20"/>
              </w:rPr>
              <w:t>Примечание:</w:t>
            </w:r>
          </w:p>
          <w:p w14:paraId="19720DE1" w14:textId="77777777" w:rsidR="00345876" w:rsidRPr="00B97285" w:rsidRDefault="00345876" w:rsidP="004B66CD">
            <w:pPr>
              <w:autoSpaceDE w:val="0"/>
              <w:autoSpaceDN w:val="0"/>
              <w:adjustRightInd w:val="0"/>
              <w:spacing w:after="0" w:line="240" w:lineRule="auto"/>
              <w:contextualSpacing/>
              <w:rPr>
                <w:rFonts w:eastAsia="TimesNewRoman"/>
                <w:sz w:val="20"/>
                <w:szCs w:val="20"/>
              </w:rPr>
            </w:pPr>
            <w:r w:rsidRPr="00B97285">
              <w:rPr>
                <w:rFonts w:eastAsia="TimesNewRoman"/>
                <w:sz w:val="20"/>
                <w:szCs w:val="20"/>
                <w:lang w:val="en-US"/>
              </w:rPr>
              <w:t>C</w:t>
            </w:r>
            <w:r w:rsidRPr="00B97285">
              <w:rPr>
                <w:rFonts w:eastAsia="TimesNewRoman"/>
                <w:sz w:val="20"/>
                <w:szCs w:val="20"/>
              </w:rPr>
              <w:t xml:space="preserve">С = сердечно-сосудистый, ГСН = госпитализация по причине сердечной недостаточности, рСКФ = расчетная скорость клубочковой фильтрации, </w:t>
            </w:r>
            <w:r w:rsidRPr="00B97285">
              <w:rPr>
                <w:rFonts w:eastAsia="TimesNewRoman"/>
                <w:sz w:val="20"/>
                <w:szCs w:val="20"/>
                <w:lang w:val="en-US"/>
              </w:rPr>
              <w:t>CKD</w:t>
            </w:r>
            <w:r w:rsidRPr="00B97285">
              <w:rPr>
                <w:rFonts w:eastAsia="TimesNewRoman"/>
                <w:sz w:val="20"/>
                <w:szCs w:val="20"/>
              </w:rPr>
              <w:t xml:space="preserve"> </w:t>
            </w:r>
            <w:r w:rsidRPr="00B97285">
              <w:rPr>
                <w:rFonts w:eastAsia="TimesNewRoman"/>
                <w:sz w:val="20"/>
                <w:szCs w:val="20"/>
                <w:lang w:val="en-US"/>
              </w:rPr>
              <w:t>EPI</w:t>
            </w:r>
            <w:r w:rsidRPr="00B97285">
              <w:rPr>
                <w:rFonts w:eastAsia="TimesNewRoman"/>
                <w:sz w:val="20"/>
                <w:szCs w:val="20"/>
              </w:rPr>
              <w:t xml:space="preserve"> = расчет рСКФ по уравнению сотрудничества в эпидемиологии хронической болезни почек</w:t>
            </w:r>
            <w:r>
              <w:rPr>
                <w:rFonts w:eastAsia="TimesNewRoman"/>
                <w:sz w:val="20"/>
                <w:szCs w:val="20"/>
              </w:rPr>
              <w:t>;</w:t>
            </w:r>
          </w:p>
          <w:p w14:paraId="478B4063" w14:textId="77777777" w:rsidR="00345876" w:rsidRPr="00B97285" w:rsidRDefault="00345876" w:rsidP="004B66CD">
            <w:pPr>
              <w:autoSpaceDE w:val="0"/>
              <w:autoSpaceDN w:val="0"/>
              <w:adjustRightInd w:val="0"/>
              <w:spacing w:after="0" w:line="240" w:lineRule="auto"/>
              <w:contextualSpacing/>
              <w:rPr>
                <w:rFonts w:eastAsia="TimesNewRoman"/>
                <w:sz w:val="20"/>
                <w:szCs w:val="20"/>
              </w:rPr>
            </w:pPr>
            <w:r w:rsidRPr="00B97285">
              <w:rPr>
                <w:rFonts w:eastAsia="TimesNewRoman"/>
                <w:sz w:val="20"/>
                <w:szCs w:val="20"/>
              </w:rPr>
              <w:t xml:space="preserve">* </w:t>
            </w:r>
            <w:r>
              <w:rPr>
                <w:rFonts w:eastAsia="TimesNewRoman"/>
                <w:sz w:val="20"/>
                <w:szCs w:val="20"/>
              </w:rPr>
              <w:t xml:space="preserve">- </w:t>
            </w:r>
            <w:r w:rsidRPr="00B97285">
              <w:rPr>
                <w:rFonts w:eastAsia="TimesNewRoman"/>
                <w:sz w:val="20"/>
                <w:szCs w:val="20"/>
              </w:rPr>
              <w:t>ССС (сердечно-сосудистая смерть) и ГСН - события оценивались независимым комитетом по клиническим событиям и анализировались на основе рандомизированной выборки</w:t>
            </w:r>
            <w:r>
              <w:rPr>
                <w:rFonts w:eastAsia="TimesNewRoman"/>
                <w:sz w:val="20"/>
                <w:szCs w:val="20"/>
              </w:rPr>
              <w:t>;</w:t>
            </w:r>
          </w:p>
          <w:p w14:paraId="4431F307" w14:textId="77777777" w:rsidR="00345876" w:rsidRPr="00B97285" w:rsidRDefault="00345876" w:rsidP="004B66CD">
            <w:pPr>
              <w:autoSpaceDE w:val="0"/>
              <w:autoSpaceDN w:val="0"/>
              <w:adjustRightInd w:val="0"/>
              <w:spacing w:after="0" w:line="240" w:lineRule="auto"/>
              <w:contextualSpacing/>
              <w:rPr>
                <w:rFonts w:eastAsia="TimesNewRoman"/>
              </w:rPr>
            </w:pPr>
            <w:r w:rsidRPr="00B97285">
              <w:rPr>
                <w:rFonts w:eastAsia="TimesNewRoman"/>
                <w:sz w:val="20"/>
                <w:szCs w:val="20"/>
              </w:rPr>
              <w:lastRenderedPageBreak/>
              <w:t>**</w:t>
            </w:r>
            <w:r w:rsidRPr="00B97285">
              <w:rPr>
                <w:sz w:val="20"/>
                <w:szCs w:val="20"/>
              </w:rPr>
              <w:t xml:space="preserve"> </w:t>
            </w:r>
            <w:r>
              <w:rPr>
                <w:sz w:val="20"/>
                <w:szCs w:val="20"/>
              </w:rPr>
              <w:t xml:space="preserve">- </w:t>
            </w:r>
            <w:r w:rsidRPr="00B97285">
              <w:rPr>
                <w:sz w:val="20"/>
                <w:szCs w:val="20"/>
              </w:rPr>
              <w:t>И</w:t>
            </w:r>
            <w:r w:rsidRPr="00B97285">
              <w:rPr>
                <w:rFonts w:eastAsia="TimesNewRoman"/>
                <w:sz w:val="20"/>
                <w:szCs w:val="20"/>
              </w:rPr>
              <w:t>зменение рСКФ анализировали на основе обработанной выборки. Пересечение составляет -0,18 мл/мин/1,73 м</w:t>
            </w:r>
            <w:r w:rsidRPr="00B97285">
              <w:rPr>
                <w:rFonts w:eastAsia="TimesNewRoman"/>
                <w:sz w:val="20"/>
                <w:szCs w:val="20"/>
                <w:vertAlign w:val="superscript"/>
              </w:rPr>
              <w:t>2</w:t>
            </w:r>
            <w:r w:rsidRPr="00B97285">
              <w:rPr>
                <w:rFonts w:eastAsia="TimesNewRoman"/>
                <w:sz w:val="20"/>
                <w:szCs w:val="20"/>
              </w:rPr>
              <w:t xml:space="preserve"> для плацебо и -3,02 мл/мин/1,73 м</w:t>
            </w:r>
            <w:r w:rsidRPr="00B97285">
              <w:rPr>
                <w:rFonts w:eastAsia="TimesNewRoman"/>
                <w:sz w:val="20"/>
                <w:szCs w:val="20"/>
                <w:vertAlign w:val="superscript"/>
              </w:rPr>
              <w:t>2</w:t>
            </w:r>
            <w:r w:rsidRPr="00B97285">
              <w:rPr>
                <w:rFonts w:eastAsia="TimesNewRoman"/>
                <w:sz w:val="20"/>
                <w:szCs w:val="20"/>
              </w:rPr>
              <w:t xml:space="preserve"> для эмпаглифлозина. Пересечение представляет собой острое влияние на рСКФ, а наклон представляет долгосрочный эффект.</w:t>
            </w:r>
          </w:p>
        </w:tc>
      </w:tr>
    </w:tbl>
    <w:p w14:paraId="359AB4EA" w14:textId="77777777" w:rsidR="00345876" w:rsidRPr="000A2765" w:rsidRDefault="00345876" w:rsidP="00345876">
      <w:pPr>
        <w:autoSpaceDE w:val="0"/>
        <w:autoSpaceDN w:val="0"/>
        <w:adjustRightInd w:val="0"/>
        <w:spacing w:after="0" w:line="240" w:lineRule="auto"/>
        <w:ind w:firstLine="709"/>
        <w:contextualSpacing/>
        <w:rPr>
          <w:rFonts w:eastAsia="TimesNewRoman"/>
        </w:rPr>
      </w:pPr>
    </w:p>
    <w:p w14:paraId="0B1B5359" w14:textId="72C629B6" w:rsidR="00345876" w:rsidRPr="00B97285" w:rsidRDefault="00345876" w:rsidP="00345876">
      <w:pPr>
        <w:autoSpaceDE w:val="0"/>
        <w:autoSpaceDN w:val="0"/>
        <w:adjustRightInd w:val="0"/>
        <w:spacing w:after="0" w:line="240" w:lineRule="auto"/>
        <w:contextualSpacing/>
        <w:rPr>
          <w:rFonts w:eastAsia="TimesNewRoman"/>
        </w:rPr>
      </w:pPr>
      <w:r w:rsidRPr="002604EF">
        <w:rPr>
          <w:rFonts w:eastAsia="TimesNewRoman"/>
          <w:b/>
          <w:bCs/>
        </w:rPr>
        <w:t xml:space="preserve">Рисунок </w:t>
      </w:r>
      <w:r w:rsidR="002604EF" w:rsidRPr="000C7F59">
        <w:rPr>
          <w:rFonts w:eastAsia="TimesNewRoman"/>
          <w:b/>
          <w:bCs/>
        </w:rPr>
        <w:t>4-</w:t>
      </w:r>
      <w:r w:rsidRPr="002604EF">
        <w:rPr>
          <w:rFonts w:eastAsia="TimesNewRoman"/>
          <w:b/>
          <w:bCs/>
        </w:rPr>
        <w:t>4</w:t>
      </w:r>
      <w:r w:rsidRPr="002604EF">
        <w:rPr>
          <w:rFonts w:eastAsia="TimesNewRoman"/>
        </w:rPr>
        <w:t>. Время</w:t>
      </w:r>
      <w:r w:rsidRPr="00B97285">
        <w:rPr>
          <w:rFonts w:eastAsia="TimesNewRoman"/>
        </w:rPr>
        <w:t xml:space="preserve"> до первого случая констатированной сердечно-сосудистой смерти или </w:t>
      </w:r>
      <w:r>
        <w:rPr>
          <w:rFonts w:eastAsia="TimesNewRoman"/>
        </w:rPr>
        <w:t>госпитализации по причине СН.</w:t>
      </w:r>
    </w:p>
    <w:p w14:paraId="325924BF" w14:textId="77777777" w:rsidR="00345876" w:rsidRPr="002E070C" w:rsidRDefault="00345876" w:rsidP="008B4F9C">
      <w:pPr>
        <w:autoSpaceDE w:val="0"/>
        <w:autoSpaceDN w:val="0"/>
        <w:adjustRightInd w:val="0"/>
        <w:spacing w:after="0" w:line="240" w:lineRule="auto"/>
        <w:contextualSpacing/>
        <w:rPr>
          <w:rFonts w:eastAsia="TimesNewRoman"/>
          <w:lang w:val="en-US"/>
        </w:rPr>
      </w:pPr>
      <w:r w:rsidRPr="002E070C">
        <w:rPr>
          <w:rFonts w:eastAsia="TimesNewRoman"/>
          <w:noProof/>
          <w:lang w:eastAsia="ru-RU"/>
        </w:rPr>
        <w:drawing>
          <wp:inline distT="0" distB="0" distL="0" distR="0" wp14:anchorId="31D415DC" wp14:editId="30575D2F">
            <wp:extent cx="5543550" cy="403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5">
                      <a:extLst>
                        <a:ext uri="{28A0092B-C50C-407E-A947-70E740481C1C}">
                          <a14:useLocalDpi xmlns:a14="http://schemas.microsoft.com/office/drawing/2010/main" val="0"/>
                        </a:ext>
                      </a:extLst>
                    </a:blip>
                    <a:stretch>
                      <a:fillRect/>
                    </a:stretch>
                  </pic:blipFill>
                  <pic:spPr>
                    <a:xfrm>
                      <a:off x="0" y="0"/>
                      <a:ext cx="5543550" cy="4038600"/>
                    </a:xfrm>
                    <a:prstGeom prst="rect">
                      <a:avLst/>
                    </a:prstGeom>
                  </pic:spPr>
                </pic:pic>
              </a:graphicData>
            </a:graphic>
          </wp:inline>
        </w:drawing>
      </w:r>
    </w:p>
    <w:p w14:paraId="20E37BB2" w14:textId="77777777" w:rsidR="00345876" w:rsidRPr="000A2765" w:rsidRDefault="00345876" w:rsidP="00345876">
      <w:pPr>
        <w:autoSpaceDE w:val="0"/>
        <w:autoSpaceDN w:val="0"/>
        <w:adjustRightInd w:val="0"/>
        <w:spacing w:after="0" w:line="240" w:lineRule="auto"/>
        <w:contextualSpacing/>
        <w:rPr>
          <w:rFonts w:eastAsia="TimesNewRoman"/>
          <w:b/>
          <w:bCs/>
          <w:sz w:val="20"/>
          <w:szCs w:val="20"/>
          <w:lang w:val="en-US"/>
        </w:rPr>
      </w:pPr>
      <w:r w:rsidRPr="00B97285">
        <w:rPr>
          <w:rFonts w:eastAsia="TimesNewRoman"/>
          <w:b/>
          <w:bCs/>
          <w:sz w:val="20"/>
          <w:szCs w:val="20"/>
        </w:rPr>
        <w:t>Примечание</w:t>
      </w:r>
      <w:r w:rsidRPr="000A2765">
        <w:rPr>
          <w:rFonts w:eastAsia="TimesNewRoman"/>
          <w:b/>
          <w:bCs/>
          <w:sz w:val="20"/>
          <w:szCs w:val="20"/>
          <w:lang w:val="en-US"/>
        </w:rPr>
        <w:t>:</w:t>
      </w:r>
    </w:p>
    <w:p w14:paraId="520D1A01" w14:textId="77777777" w:rsidR="00345876" w:rsidRPr="000A2765" w:rsidRDefault="00345876" w:rsidP="00345876">
      <w:pPr>
        <w:autoSpaceDE w:val="0"/>
        <w:autoSpaceDN w:val="0"/>
        <w:adjustRightInd w:val="0"/>
        <w:spacing w:after="0" w:line="240" w:lineRule="auto"/>
        <w:contextualSpacing/>
        <w:rPr>
          <w:rFonts w:eastAsia="TimesNewRoman"/>
          <w:sz w:val="20"/>
          <w:szCs w:val="20"/>
          <w:lang w:val="en-US"/>
        </w:rPr>
      </w:pPr>
      <w:r w:rsidRPr="00C71108">
        <w:rPr>
          <w:rFonts w:eastAsia="TimesNewRoman"/>
          <w:sz w:val="20"/>
          <w:szCs w:val="20"/>
          <w:lang w:val="en-US"/>
        </w:rPr>
        <w:t>Estimated</w:t>
      </w:r>
      <w:r w:rsidRPr="000A2765">
        <w:rPr>
          <w:rFonts w:eastAsia="TimesNewRoman"/>
          <w:sz w:val="20"/>
          <w:szCs w:val="20"/>
          <w:lang w:val="en-US"/>
        </w:rPr>
        <w:t xml:space="preserve"> </w:t>
      </w:r>
      <w:r w:rsidRPr="00C71108">
        <w:rPr>
          <w:rFonts w:eastAsia="TimesNewRoman"/>
          <w:sz w:val="20"/>
          <w:szCs w:val="20"/>
          <w:lang w:val="en-US"/>
        </w:rPr>
        <w:t>cumulative</w:t>
      </w:r>
      <w:r w:rsidRPr="000A2765">
        <w:rPr>
          <w:rFonts w:eastAsia="TimesNewRoman"/>
          <w:sz w:val="20"/>
          <w:szCs w:val="20"/>
          <w:lang w:val="en-US"/>
        </w:rPr>
        <w:t xml:space="preserve"> </w:t>
      </w:r>
      <w:r w:rsidRPr="00C71108">
        <w:rPr>
          <w:rFonts w:eastAsia="TimesNewRoman"/>
          <w:sz w:val="20"/>
          <w:szCs w:val="20"/>
          <w:lang w:val="en-US"/>
        </w:rPr>
        <w:t>incidence</w:t>
      </w:r>
      <w:r w:rsidRPr="000A2765">
        <w:rPr>
          <w:rFonts w:eastAsia="TimesNewRoman"/>
          <w:sz w:val="20"/>
          <w:szCs w:val="20"/>
          <w:lang w:val="en-US"/>
        </w:rPr>
        <w:t xml:space="preserve"> </w:t>
      </w:r>
      <w:r w:rsidRPr="00C71108">
        <w:rPr>
          <w:rFonts w:eastAsia="TimesNewRoman"/>
          <w:sz w:val="20"/>
          <w:szCs w:val="20"/>
          <w:lang w:val="en-US"/>
        </w:rPr>
        <w:t>fraction</w:t>
      </w:r>
      <w:r w:rsidRPr="000A2765">
        <w:rPr>
          <w:rFonts w:eastAsia="TimesNewRoman"/>
          <w:sz w:val="20"/>
          <w:szCs w:val="20"/>
          <w:lang w:val="en-US"/>
        </w:rPr>
        <w:t xml:space="preserve"> - </w:t>
      </w:r>
      <w:r>
        <w:rPr>
          <w:rFonts w:eastAsia="TimesNewRoman"/>
          <w:sz w:val="20"/>
          <w:szCs w:val="20"/>
        </w:rPr>
        <w:t>р</w:t>
      </w:r>
      <w:r w:rsidRPr="00C71108">
        <w:rPr>
          <w:rFonts w:eastAsia="TimesNewRoman"/>
          <w:sz w:val="20"/>
          <w:szCs w:val="20"/>
        </w:rPr>
        <w:t>асчетная</w:t>
      </w:r>
      <w:r w:rsidRPr="000A2765">
        <w:rPr>
          <w:rFonts w:eastAsia="TimesNewRoman"/>
          <w:sz w:val="20"/>
          <w:szCs w:val="20"/>
          <w:lang w:val="en-US"/>
        </w:rPr>
        <w:t xml:space="preserve"> </w:t>
      </w:r>
      <w:r w:rsidRPr="00C71108">
        <w:rPr>
          <w:rFonts w:eastAsia="TimesNewRoman"/>
          <w:sz w:val="20"/>
          <w:szCs w:val="20"/>
        </w:rPr>
        <w:t>кумулятивная</w:t>
      </w:r>
      <w:r w:rsidRPr="000A2765">
        <w:rPr>
          <w:rFonts w:eastAsia="TimesNewRoman"/>
          <w:sz w:val="20"/>
          <w:szCs w:val="20"/>
          <w:lang w:val="en-US"/>
        </w:rPr>
        <w:t xml:space="preserve"> </w:t>
      </w:r>
      <w:r w:rsidRPr="00C71108">
        <w:rPr>
          <w:rFonts w:eastAsia="TimesNewRoman"/>
          <w:sz w:val="20"/>
          <w:szCs w:val="20"/>
        </w:rPr>
        <w:t>доля</w:t>
      </w:r>
      <w:r w:rsidRPr="000A2765">
        <w:rPr>
          <w:rFonts w:eastAsia="TimesNewRoman"/>
          <w:sz w:val="20"/>
          <w:szCs w:val="20"/>
          <w:lang w:val="en-US"/>
        </w:rPr>
        <w:t xml:space="preserve"> </w:t>
      </w:r>
      <w:r w:rsidRPr="00C71108">
        <w:rPr>
          <w:rFonts w:eastAsia="TimesNewRoman"/>
          <w:sz w:val="20"/>
          <w:szCs w:val="20"/>
        </w:rPr>
        <w:t>заболеваемости</w:t>
      </w:r>
      <w:r w:rsidRPr="000A2765">
        <w:rPr>
          <w:rFonts w:eastAsia="TimesNewRoman"/>
          <w:sz w:val="20"/>
          <w:szCs w:val="20"/>
          <w:lang w:val="en-US"/>
        </w:rPr>
        <w:t xml:space="preserve">; </w:t>
      </w:r>
      <w:r w:rsidRPr="00C71108">
        <w:rPr>
          <w:rFonts w:eastAsia="TimesNewRoman"/>
          <w:sz w:val="20"/>
          <w:szCs w:val="20"/>
        </w:rPr>
        <w:t>горизонтальная</w:t>
      </w:r>
      <w:r w:rsidRPr="000A2765">
        <w:rPr>
          <w:rFonts w:eastAsia="TimesNewRoman"/>
          <w:sz w:val="20"/>
          <w:szCs w:val="20"/>
          <w:lang w:val="en-US"/>
        </w:rPr>
        <w:t xml:space="preserve"> </w:t>
      </w:r>
      <w:r w:rsidRPr="00C71108">
        <w:rPr>
          <w:rFonts w:eastAsia="TimesNewRoman"/>
          <w:sz w:val="20"/>
          <w:szCs w:val="20"/>
        </w:rPr>
        <w:t>ось</w:t>
      </w:r>
      <w:r w:rsidRPr="000A2765">
        <w:rPr>
          <w:rFonts w:eastAsia="TimesNewRoman"/>
          <w:sz w:val="20"/>
          <w:szCs w:val="20"/>
          <w:lang w:val="en-US"/>
        </w:rPr>
        <w:t xml:space="preserve"> – </w:t>
      </w:r>
      <w:r w:rsidRPr="00C71108">
        <w:rPr>
          <w:rFonts w:eastAsia="TimesNewRoman"/>
          <w:sz w:val="20"/>
          <w:szCs w:val="20"/>
        </w:rPr>
        <w:t>дни</w:t>
      </w:r>
      <w:r w:rsidRPr="000A2765">
        <w:rPr>
          <w:rFonts w:eastAsia="TimesNewRoman"/>
          <w:sz w:val="20"/>
          <w:szCs w:val="20"/>
          <w:lang w:val="en-US"/>
        </w:rPr>
        <w:t xml:space="preserve"> </w:t>
      </w:r>
      <w:r w:rsidRPr="00C71108">
        <w:rPr>
          <w:rFonts w:eastAsia="TimesNewRoman"/>
          <w:sz w:val="20"/>
          <w:szCs w:val="20"/>
        </w:rPr>
        <w:t>исследования</w:t>
      </w:r>
      <w:r w:rsidRPr="000A2765">
        <w:rPr>
          <w:rFonts w:eastAsia="TimesNewRoman"/>
          <w:sz w:val="20"/>
          <w:szCs w:val="20"/>
          <w:lang w:val="en-US"/>
        </w:rPr>
        <w:t xml:space="preserve">; </w:t>
      </w:r>
      <w:r w:rsidRPr="00C71108">
        <w:rPr>
          <w:rFonts w:eastAsia="TimesNewRoman"/>
          <w:sz w:val="20"/>
          <w:szCs w:val="20"/>
        </w:rPr>
        <w:t>сплошная</w:t>
      </w:r>
      <w:r w:rsidRPr="000A2765">
        <w:rPr>
          <w:rFonts w:eastAsia="TimesNewRoman"/>
          <w:sz w:val="20"/>
          <w:szCs w:val="20"/>
          <w:lang w:val="en-US"/>
        </w:rPr>
        <w:t xml:space="preserve"> </w:t>
      </w:r>
      <w:r w:rsidRPr="00C71108">
        <w:rPr>
          <w:rFonts w:eastAsia="TimesNewRoman"/>
          <w:sz w:val="20"/>
          <w:szCs w:val="20"/>
        </w:rPr>
        <w:t>линия</w:t>
      </w:r>
      <w:r w:rsidRPr="000A2765">
        <w:rPr>
          <w:rFonts w:eastAsia="TimesNewRoman"/>
          <w:sz w:val="20"/>
          <w:szCs w:val="20"/>
          <w:lang w:val="en-US"/>
        </w:rPr>
        <w:t xml:space="preserve"> – </w:t>
      </w:r>
      <w:r>
        <w:rPr>
          <w:rFonts w:eastAsia="TimesNewRoman"/>
          <w:sz w:val="20"/>
          <w:szCs w:val="20"/>
        </w:rPr>
        <w:t>плацебо</w:t>
      </w:r>
      <w:r w:rsidRPr="000A2765">
        <w:rPr>
          <w:rFonts w:eastAsia="TimesNewRoman"/>
          <w:sz w:val="20"/>
          <w:szCs w:val="20"/>
          <w:lang w:val="en-US"/>
        </w:rPr>
        <w:t xml:space="preserve"> (2991 </w:t>
      </w:r>
      <w:r w:rsidRPr="00C71108">
        <w:rPr>
          <w:rFonts w:eastAsia="TimesNewRoman"/>
          <w:sz w:val="20"/>
          <w:szCs w:val="20"/>
        </w:rPr>
        <w:t>пациент</w:t>
      </w:r>
      <w:r w:rsidRPr="000A2765">
        <w:rPr>
          <w:rFonts w:eastAsia="TimesNewRoman"/>
          <w:sz w:val="20"/>
          <w:szCs w:val="20"/>
          <w:lang w:val="en-US"/>
        </w:rPr>
        <w:t xml:space="preserve">); </w:t>
      </w:r>
      <w:r w:rsidRPr="00C71108">
        <w:rPr>
          <w:rFonts w:eastAsia="TimesNewRoman"/>
          <w:sz w:val="20"/>
          <w:szCs w:val="20"/>
        </w:rPr>
        <w:t>прерывистая</w:t>
      </w:r>
      <w:r w:rsidRPr="000A2765">
        <w:rPr>
          <w:rFonts w:eastAsia="TimesNewRoman"/>
          <w:sz w:val="20"/>
          <w:szCs w:val="20"/>
          <w:lang w:val="en-US"/>
        </w:rPr>
        <w:t xml:space="preserve"> </w:t>
      </w:r>
      <w:r w:rsidRPr="00C71108">
        <w:rPr>
          <w:rFonts w:eastAsia="TimesNewRoman"/>
          <w:sz w:val="20"/>
          <w:szCs w:val="20"/>
        </w:rPr>
        <w:t>линия</w:t>
      </w:r>
      <w:r w:rsidRPr="000A2765">
        <w:rPr>
          <w:rFonts w:eastAsia="TimesNewRoman"/>
          <w:sz w:val="20"/>
          <w:szCs w:val="20"/>
          <w:lang w:val="en-US"/>
        </w:rPr>
        <w:t xml:space="preserve"> – </w:t>
      </w:r>
      <w:r w:rsidRPr="00C71108">
        <w:rPr>
          <w:rFonts w:eastAsia="TimesNewRoman"/>
          <w:sz w:val="20"/>
          <w:szCs w:val="20"/>
        </w:rPr>
        <w:t>эмпаглифлозин</w:t>
      </w:r>
      <w:r w:rsidRPr="000A2765">
        <w:rPr>
          <w:rFonts w:eastAsia="TimesNewRoman"/>
          <w:sz w:val="20"/>
          <w:szCs w:val="20"/>
          <w:lang w:val="en-US"/>
        </w:rPr>
        <w:t xml:space="preserve"> 10 </w:t>
      </w:r>
      <w:r w:rsidRPr="00C71108">
        <w:rPr>
          <w:rFonts w:eastAsia="TimesNewRoman"/>
          <w:sz w:val="20"/>
          <w:szCs w:val="20"/>
        </w:rPr>
        <w:t>мг</w:t>
      </w:r>
      <w:r w:rsidRPr="000A2765">
        <w:rPr>
          <w:rFonts w:eastAsia="TimesNewRoman"/>
          <w:sz w:val="20"/>
          <w:szCs w:val="20"/>
          <w:lang w:val="en-US"/>
        </w:rPr>
        <w:t xml:space="preserve"> (2997 </w:t>
      </w:r>
      <w:r w:rsidRPr="00C71108">
        <w:rPr>
          <w:rFonts w:eastAsia="TimesNewRoman"/>
          <w:sz w:val="20"/>
          <w:szCs w:val="20"/>
        </w:rPr>
        <w:t>пациентов</w:t>
      </w:r>
      <w:r w:rsidRPr="000A2765">
        <w:rPr>
          <w:rFonts w:eastAsia="TimesNewRoman"/>
          <w:sz w:val="20"/>
          <w:szCs w:val="20"/>
          <w:lang w:val="en-US"/>
        </w:rPr>
        <w:t>).</w:t>
      </w:r>
    </w:p>
    <w:p w14:paraId="5C00FE49" w14:textId="68E9CB3B" w:rsidR="00345876" w:rsidRPr="000A2765" w:rsidRDefault="00345876" w:rsidP="005321C7">
      <w:pPr>
        <w:autoSpaceDE w:val="0"/>
        <w:autoSpaceDN w:val="0"/>
        <w:adjustRightInd w:val="0"/>
        <w:spacing w:after="0" w:line="240" w:lineRule="auto"/>
        <w:contextualSpacing/>
        <w:rPr>
          <w:rFonts w:eastAsia="TimesNewRoman"/>
          <w:lang w:val="en-US"/>
        </w:rPr>
      </w:pPr>
    </w:p>
    <w:p w14:paraId="2D2814B5" w14:textId="77777777" w:rsidR="00345876" w:rsidRPr="00FB191F" w:rsidRDefault="00345876" w:rsidP="00345876">
      <w:pPr>
        <w:autoSpaceDE w:val="0"/>
        <w:autoSpaceDN w:val="0"/>
        <w:adjustRightInd w:val="0"/>
        <w:spacing w:after="0" w:line="240" w:lineRule="auto"/>
        <w:ind w:firstLine="709"/>
        <w:contextualSpacing/>
        <w:rPr>
          <w:rFonts w:eastAsia="TimesNewRoman"/>
        </w:rPr>
      </w:pPr>
      <w:bookmarkStart w:id="155" w:name="_Hlk130997268"/>
      <w:r w:rsidRPr="00FB191F">
        <w:rPr>
          <w:rFonts w:eastAsia="TimesNewRoman"/>
        </w:rPr>
        <w:t xml:space="preserve">Результаты </w:t>
      </w:r>
      <w:r>
        <w:rPr>
          <w:rFonts w:eastAsia="TimesNewRoman"/>
        </w:rPr>
        <w:t xml:space="preserve">оценки </w:t>
      </w:r>
      <w:r w:rsidRPr="00FB191F">
        <w:rPr>
          <w:rFonts w:eastAsia="TimesNewRoman"/>
        </w:rPr>
        <w:t>первичной комбинированной конечной точки были одинаковыми в каждой из предварительно определенных подгрупп, классифицированных, например, по ФВ ЛЖ, диабетическому статусу или функции почек (до СКФ 20 мл/мин/1,73 м</w:t>
      </w:r>
      <w:r w:rsidRPr="00FB191F">
        <w:rPr>
          <w:rFonts w:eastAsia="TimesNewRoman"/>
          <w:vertAlign w:val="superscript"/>
        </w:rPr>
        <w:t>2</w:t>
      </w:r>
      <w:r w:rsidRPr="00FB191F">
        <w:rPr>
          <w:rFonts w:eastAsia="TimesNewRoman"/>
        </w:rPr>
        <w:t>).</w:t>
      </w:r>
    </w:p>
    <w:p w14:paraId="75AF2397" w14:textId="2CFE651F" w:rsidR="00345876" w:rsidRDefault="00345876" w:rsidP="00345876">
      <w:pPr>
        <w:autoSpaceDE w:val="0"/>
        <w:autoSpaceDN w:val="0"/>
        <w:adjustRightInd w:val="0"/>
        <w:spacing w:after="0" w:line="240" w:lineRule="auto"/>
        <w:ind w:firstLine="709"/>
        <w:contextualSpacing/>
        <w:rPr>
          <w:rFonts w:eastAsia="TimesNewRoman"/>
        </w:rPr>
      </w:pPr>
      <w:r w:rsidRPr="00FB191F">
        <w:rPr>
          <w:rFonts w:eastAsia="TimesNewRoman"/>
        </w:rPr>
        <w:t xml:space="preserve">Во время лечения снижение </w:t>
      </w:r>
      <w:r w:rsidRPr="002604EF">
        <w:rPr>
          <w:rFonts w:eastAsia="TimesNewRoman"/>
        </w:rPr>
        <w:t xml:space="preserve">рСКФ с течением времени было медленнее в группе эмпаглифлозина по сравнению с группой плацебо (рисунок </w:t>
      </w:r>
      <w:r w:rsidR="002604EF" w:rsidRPr="002604EF">
        <w:rPr>
          <w:rFonts w:eastAsia="TimesNewRoman"/>
        </w:rPr>
        <w:t>4-</w:t>
      </w:r>
      <w:r w:rsidRPr="002604EF">
        <w:rPr>
          <w:rFonts w:eastAsia="TimesNewRoman"/>
        </w:rPr>
        <w:t xml:space="preserve">5). Лечение эмпаглифлозином в дозе 10 мг значительно снижало рСКФ, и этот эффект был одинаковым во всех заранее определенных подгруппах (таблица </w:t>
      </w:r>
      <w:r w:rsidR="002604EF" w:rsidRPr="002604EF">
        <w:rPr>
          <w:rFonts w:eastAsia="TimesNewRoman"/>
        </w:rPr>
        <w:t>4-</w:t>
      </w:r>
      <w:r w:rsidRPr="002604EF">
        <w:rPr>
          <w:rFonts w:eastAsia="TimesNewRoman"/>
        </w:rPr>
        <w:t>1</w:t>
      </w:r>
      <w:r w:rsidR="002604EF" w:rsidRPr="002604EF">
        <w:rPr>
          <w:rFonts w:eastAsia="TimesNewRoman"/>
        </w:rPr>
        <w:t>1</w:t>
      </w:r>
      <w:r w:rsidRPr="002604EF">
        <w:rPr>
          <w:rFonts w:eastAsia="TimesNewRoman"/>
        </w:rPr>
        <w:t>). У пациентов, получавших эмпаглифлозин, наблюдалось начальное снижение рСКФ, которое</w:t>
      </w:r>
      <w:r w:rsidRPr="00FB191F">
        <w:rPr>
          <w:rFonts w:eastAsia="TimesNewRoman"/>
        </w:rPr>
        <w:t xml:space="preserve"> возвращалось к исходному уровню после прекращения лечения, подтверждая, что гемодинамические изменения играют роль в острых эффектах эмпаглифлозина на рСКФ</w:t>
      </w:r>
      <w:r w:rsidR="004B66CD" w:rsidRPr="004B66CD">
        <w:rPr>
          <w:rFonts w:eastAsia="TimesNewRoman"/>
        </w:rPr>
        <w:t xml:space="preserve"> [21]</w:t>
      </w:r>
      <w:r w:rsidRPr="00FB191F">
        <w:rPr>
          <w:rFonts w:eastAsia="TimesNewRoman"/>
        </w:rPr>
        <w:t>.</w:t>
      </w:r>
    </w:p>
    <w:bookmarkEnd w:id="155"/>
    <w:p w14:paraId="34471914" w14:textId="0116C408" w:rsidR="004B66CD" w:rsidRPr="00FB191F" w:rsidRDefault="004B66CD" w:rsidP="007C15A5">
      <w:pPr>
        <w:autoSpaceDE w:val="0"/>
        <w:autoSpaceDN w:val="0"/>
        <w:adjustRightInd w:val="0"/>
        <w:spacing w:after="0" w:line="240" w:lineRule="auto"/>
        <w:contextualSpacing/>
        <w:rPr>
          <w:rFonts w:eastAsia="TimesNewRoman"/>
        </w:rPr>
      </w:pPr>
    </w:p>
    <w:p w14:paraId="3B272A23" w14:textId="77777777" w:rsidR="00007FC4" w:rsidRDefault="00007FC4" w:rsidP="00345876">
      <w:pPr>
        <w:autoSpaceDE w:val="0"/>
        <w:autoSpaceDN w:val="0"/>
        <w:adjustRightInd w:val="0"/>
        <w:spacing w:after="0" w:line="240" w:lineRule="auto"/>
        <w:contextualSpacing/>
        <w:rPr>
          <w:rFonts w:eastAsia="TimesNewRoman"/>
          <w:b/>
          <w:bCs/>
        </w:rPr>
        <w:sectPr w:rsidR="00007FC4">
          <w:pgSz w:w="11906" w:h="16838"/>
          <w:pgMar w:top="1134" w:right="851" w:bottom="1134" w:left="1701" w:header="709" w:footer="709" w:gutter="0"/>
          <w:cols w:space="708"/>
          <w:docGrid w:linePitch="360"/>
        </w:sectPr>
      </w:pPr>
    </w:p>
    <w:p w14:paraId="0FDB993C" w14:textId="63C5ED22" w:rsidR="00345876" w:rsidRPr="000A2765" w:rsidRDefault="00345876" w:rsidP="00345876">
      <w:pPr>
        <w:autoSpaceDE w:val="0"/>
        <w:autoSpaceDN w:val="0"/>
        <w:adjustRightInd w:val="0"/>
        <w:spacing w:after="0" w:line="240" w:lineRule="auto"/>
        <w:contextualSpacing/>
        <w:rPr>
          <w:rFonts w:eastAsia="TimesNewRoman"/>
        </w:rPr>
      </w:pPr>
      <w:r w:rsidRPr="002604EF">
        <w:rPr>
          <w:rFonts w:eastAsia="TimesNewRoman"/>
          <w:b/>
          <w:bCs/>
        </w:rPr>
        <w:lastRenderedPageBreak/>
        <w:t xml:space="preserve">Рисунок </w:t>
      </w:r>
      <w:r w:rsidR="002604EF" w:rsidRPr="000C7F59">
        <w:rPr>
          <w:rFonts w:eastAsia="TimesNewRoman"/>
          <w:b/>
          <w:bCs/>
        </w:rPr>
        <w:t>4-</w:t>
      </w:r>
      <w:r w:rsidRPr="002604EF">
        <w:rPr>
          <w:rFonts w:eastAsia="TimesNewRoman"/>
          <w:b/>
          <w:bCs/>
        </w:rPr>
        <w:t>5.</w:t>
      </w:r>
      <w:r w:rsidRPr="002604EF">
        <w:rPr>
          <w:rFonts w:eastAsia="TimesNewRoman"/>
        </w:rPr>
        <w:t xml:space="preserve"> Изменения</w:t>
      </w:r>
      <w:r>
        <w:rPr>
          <w:rFonts w:eastAsia="TimesNewRoman"/>
        </w:rPr>
        <w:t xml:space="preserve"> рСКФ во времени</w:t>
      </w:r>
      <w:r w:rsidRPr="000A2765">
        <w:rPr>
          <w:rFonts w:eastAsia="TimesNewRoman"/>
        </w:rPr>
        <w:t xml:space="preserve"> *</w:t>
      </w:r>
    </w:p>
    <w:p w14:paraId="76925914" w14:textId="77777777" w:rsidR="00345876" w:rsidRPr="002E070C" w:rsidRDefault="00345876" w:rsidP="008B4F9C">
      <w:pPr>
        <w:autoSpaceDE w:val="0"/>
        <w:autoSpaceDN w:val="0"/>
        <w:adjustRightInd w:val="0"/>
        <w:spacing w:after="0" w:line="240" w:lineRule="auto"/>
        <w:contextualSpacing/>
        <w:jc w:val="left"/>
        <w:rPr>
          <w:rFonts w:eastAsia="TimesNewRoman"/>
          <w:lang w:val="en-US"/>
        </w:rPr>
      </w:pPr>
      <w:r w:rsidRPr="002E070C">
        <w:rPr>
          <w:rFonts w:eastAsia="TimesNewRoman"/>
          <w:noProof/>
          <w:lang w:eastAsia="ru-RU"/>
        </w:rPr>
        <w:drawing>
          <wp:inline distT="0" distB="0" distL="0" distR="0" wp14:anchorId="229E99C2" wp14:editId="397D7E78">
            <wp:extent cx="5940425" cy="45472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6">
                      <a:extLst>
                        <a:ext uri="{28A0092B-C50C-407E-A947-70E740481C1C}">
                          <a14:useLocalDpi xmlns:a14="http://schemas.microsoft.com/office/drawing/2010/main" val="0"/>
                        </a:ext>
                      </a:extLst>
                    </a:blip>
                    <a:stretch>
                      <a:fillRect/>
                    </a:stretch>
                  </pic:blipFill>
                  <pic:spPr>
                    <a:xfrm>
                      <a:off x="0" y="0"/>
                      <a:ext cx="5940425" cy="4547235"/>
                    </a:xfrm>
                    <a:prstGeom prst="rect">
                      <a:avLst/>
                    </a:prstGeom>
                  </pic:spPr>
                </pic:pic>
              </a:graphicData>
            </a:graphic>
          </wp:inline>
        </w:drawing>
      </w:r>
    </w:p>
    <w:p w14:paraId="67703CA3" w14:textId="77777777" w:rsidR="00345876" w:rsidRPr="00FB191F" w:rsidRDefault="00345876" w:rsidP="00345876">
      <w:pPr>
        <w:autoSpaceDE w:val="0"/>
        <w:autoSpaceDN w:val="0"/>
        <w:adjustRightInd w:val="0"/>
        <w:spacing w:after="0" w:line="240" w:lineRule="auto"/>
        <w:contextualSpacing/>
        <w:rPr>
          <w:rFonts w:eastAsia="TimesNewRoman"/>
          <w:b/>
          <w:bCs/>
          <w:sz w:val="20"/>
          <w:szCs w:val="20"/>
        </w:rPr>
      </w:pPr>
      <w:r w:rsidRPr="00920C4B">
        <w:rPr>
          <w:rFonts w:eastAsia="TimesNewRoman"/>
          <w:b/>
          <w:bCs/>
          <w:sz w:val="20"/>
          <w:szCs w:val="20"/>
        </w:rPr>
        <w:t>Примечание</w:t>
      </w:r>
      <w:r w:rsidRPr="00FB191F">
        <w:rPr>
          <w:rFonts w:eastAsia="TimesNewRoman"/>
          <w:b/>
          <w:bCs/>
          <w:sz w:val="20"/>
          <w:szCs w:val="20"/>
        </w:rPr>
        <w:t>:</w:t>
      </w:r>
    </w:p>
    <w:p w14:paraId="5D76CDBB" w14:textId="7A841126" w:rsidR="00345876" w:rsidRPr="004B66CD" w:rsidRDefault="00345876" w:rsidP="004B66CD">
      <w:pPr>
        <w:autoSpaceDE w:val="0"/>
        <w:autoSpaceDN w:val="0"/>
        <w:adjustRightInd w:val="0"/>
        <w:spacing w:after="0" w:line="240" w:lineRule="auto"/>
        <w:contextualSpacing/>
        <w:rPr>
          <w:rFonts w:eastAsia="TimesNewRoman"/>
          <w:sz w:val="20"/>
          <w:szCs w:val="20"/>
        </w:rPr>
      </w:pPr>
      <w:r w:rsidRPr="00920C4B">
        <w:rPr>
          <w:rFonts w:eastAsia="TimesNewRoman"/>
          <w:sz w:val="20"/>
          <w:szCs w:val="20"/>
        </w:rPr>
        <w:t xml:space="preserve">* - </w:t>
      </w:r>
      <w:r w:rsidRPr="00920C4B">
        <w:rPr>
          <w:rFonts w:eastAsia="TimesNewRoman"/>
          <w:color w:val="000000" w:themeColor="text1"/>
          <w:sz w:val="20"/>
          <w:szCs w:val="20"/>
        </w:rPr>
        <w:t xml:space="preserve">Модель </w:t>
      </w:r>
      <w:r w:rsidRPr="00920C4B">
        <w:rPr>
          <w:rFonts w:eastAsia="TimesNewRoman"/>
          <w:color w:val="000000" w:themeColor="text1"/>
          <w:sz w:val="20"/>
          <w:szCs w:val="20"/>
          <w:lang w:val="en-US"/>
        </w:rPr>
        <w:t>MMRM</w:t>
      </w:r>
      <w:r w:rsidRPr="00920C4B">
        <w:rPr>
          <w:rFonts w:eastAsia="TimesNewRoman"/>
          <w:color w:val="000000" w:themeColor="text1"/>
          <w:sz w:val="20"/>
          <w:szCs w:val="20"/>
        </w:rPr>
        <w:t xml:space="preserve"> (</w:t>
      </w:r>
      <w:r w:rsidR="004276B7">
        <w:fldChar w:fldCharType="begin"/>
      </w:r>
      <w:r w:rsidR="004276B7">
        <w:instrText xml:space="preserve"> HYPERLINK "https://www.multitran.com/m.exe?s=%D1%81%D0%BC%D0%B5%D1%88%D0%B0%D0%BD%D0%BD%D0%B0%D1%8F+%D0%BC%D0%BE%D0%B4%D0%B5%D0%BB%D1%8C+%D0%BF%D0%BE%D0%B2%D1%82%D0%BE%D1%80%D0%BD%D1%8B%D1%85+%D0%B8%D0%B7%D0%BC%D0%B5%D1%80%D0%B5%D0%BD%D0%B8%D0%B9&amp;l1=2&amp;l2=</w:instrText>
      </w:r>
      <w:r w:rsidR="004276B7">
        <w:instrText xml:space="preserve">1" </w:instrText>
      </w:r>
      <w:r w:rsidR="004276B7">
        <w:fldChar w:fldCharType="separate"/>
      </w:r>
      <w:r w:rsidRPr="00920C4B">
        <w:rPr>
          <w:rStyle w:val="Hyperlink"/>
          <w:color w:val="000000" w:themeColor="text1"/>
          <w:sz w:val="20"/>
          <w:szCs w:val="20"/>
        </w:rPr>
        <w:t>смешанная модель повторных измерений</w:t>
      </w:r>
      <w:r w:rsidR="004276B7">
        <w:rPr>
          <w:rStyle w:val="Hyperlink"/>
          <w:color w:val="000000" w:themeColor="text1"/>
          <w:sz w:val="20"/>
          <w:szCs w:val="20"/>
        </w:rPr>
        <w:fldChar w:fldCharType="end"/>
      </w:r>
      <w:r w:rsidRPr="00920C4B">
        <w:rPr>
          <w:rFonts w:eastAsia="TimesNewRoman"/>
          <w:color w:val="000000" w:themeColor="text1"/>
          <w:sz w:val="20"/>
          <w:szCs w:val="20"/>
        </w:rPr>
        <w:t xml:space="preserve">) рСКФ </w:t>
      </w:r>
      <w:r w:rsidRPr="00920C4B">
        <w:rPr>
          <w:rFonts w:eastAsia="TimesNewRoman"/>
          <w:sz w:val="20"/>
          <w:szCs w:val="20"/>
        </w:rPr>
        <w:t xml:space="preserve">(по формуле </w:t>
      </w:r>
      <w:r w:rsidRPr="00920C4B">
        <w:rPr>
          <w:rFonts w:eastAsia="TimesNewRoman"/>
          <w:sz w:val="20"/>
          <w:szCs w:val="20"/>
          <w:lang w:val="en-US"/>
        </w:rPr>
        <w:t>CKD</w:t>
      </w:r>
      <w:r w:rsidRPr="00920C4B">
        <w:rPr>
          <w:rFonts w:eastAsia="TimesNewRoman"/>
          <w:sz w:val="20"/>
          <w:szCs w:val="20"/>
        </w:rPr>
        <w:t>-</w:t>
      </w:r>
      <w:r w:rsidRPr="00920C4B">
        <w:rPr>
          <w:rFonts w:eastAsia="TimesNewRoman"/>
          <w:sz w:val="20"/>
          <w:szCs w:val="20"/>
          <w:lang w:val="en-US"/>
        </w:rPr>
        <w:t>EPI</w:t>
      </w:r>
      <w:r w:rsidRPr="00920C4B">
        <w:rPr>
          <w:rFonts w:eastAsia="TimesNewRoman"/>
          <w:sz w:val="20"/>
          <w:szCs w:val="20"/>
        </w:rPr>
        <w:t xml:space="preserve"> в мл/мин/1.73м</w:t>
      </w:r>
      <w:r w:rsidRPr="00920C4B">
        <w:rPr>
          <w:rFonts w:eastAsia="TimesNewRoman"/>
          <w:sz w:val="20"/>
          <w:szCs w:val="20"/>
          <w:vertAlign w:val="superscript"/>
        </w:rPr>
        <w:t>2</w:t>
      </w:r>
      <w:r w:rsidRPr="00920C4B">
        <w:rPr>
          <w:rFonts w:eastAsia="TimesNewRoman"/>
          <w:sz w:val="20"/>
          <w:szCs w:val="20"/>
        </w:rPr>
        <w:t xml:space="preserve">с течением времени - рандомизированная выборка; </w:t>
      </w:r>
      <w:r w:rsidRPr="00920C4B">
        <w:rPr>
          <w:rFonts w:eastAsia="TimesNewRoman"/>
          <w:sz w:val="20"/>
          <w:szCs w:val="20"/>
          <w:lang w:val="en-US"/>
        </w:rPr>
        <w:t>adjusted</w:t>
      </w:r>
      <w:r w:rsidRPr="00920C4B">
        <w:rPr>
          <w:rFonts w:eastAsia="TimesNewRoman"/>
          <w:sz w:val="20"/>
          <w:szCs w:val="20"/>
        </w:rPr>
        <w:t xml:space="preserve"> </w:t>
      </w:r>
      <w:r w:rsidRPr="00920C4B">
        <w:rPr>
          <w:rFonts w:eastAsia="TimesNewRoman"/>
          <w:sz w:val="20"/>
          <w:szCs w:val="20"/>
          <w:lang w:val="en-US"/>
        </w:rPr>
        <w:t>mean</w:t>
      </w:r>
      <w:r w:rsidRPr="00920C4B">
        <w:rPr>
          <w:rFonts w:eastAsia="TimesNewRoman"/>
          <w:sz w:val="20"/>
          <w:szCs w:val="20"/>
        </w:rPr>
        <w:t xml:space="preserve"> (</w:t>
      </w:r>
      <w:r w:rsidRPr="00920C4B">
        <w:rPr>
          <w:rFonts w:eastAsia="TimesNewRoman"/>
          <w:sz w:val="20"/>
          <w:szCs w:val="20"/>
          <w:lang w:val="en-US"/>
        </w:rPr>
        <w:t>SE</w:t>
      </w:r>
      <w:r w:rsidRPr="00920C4B">
        <w:rPr>
          <w:rFonts w:eastAsia="TimesNewRoman"/>
          <w:sz w:val="20"/>
          <w:szCs w:val="20"/>
        </w:rPr>
        <w:t xml:space="preserve">) – скорректированное среднее; </w:t>
      </w:r>
      <w:r w:rsidRPr="00920C4B">
        <w:rPr>
          <w:rFonts w:eastAsia="TimesNewRoman"/>
          <w:sz w:val="20"/>
          <w:szCs w:val="20"/>
          <w:lang w:val="en-US"/>
        </w:rPr>
        <w:t>planned</w:t>
      </w:r>
      <w:r w:rsidRPr="00920C4B">
        <w:rPr>
          <w:rFonts w:eastAsia="TimesNewRoman"/>
          <w:sz w:val="20"/>
          <w:szCs w:val="20"/>
        </w:rPr>
        <w:t xml:space="preserve"> </w:t>
      </w:r>
      <w:r w:rsidRPr="00920C4B">
        <w:rPr>
          <w:rFonts w:eastAsia="TimesNewRoman"/>
          <w:sz w:val="20"/>
          <w:szCs w:val="20"/>
          <w:lang w:val="en-US"/>
        </w:rPr>
        <w:t>study</w:t>
      </w:r>
      <w:r w:rsidRPr="00920C4B">
        <w:rPr>
          <w:rFonts w:eastAsia="TimesNewRoman"/>
          <w:sz w:val="20"/>
          <w:szCs w:val="20"/>
        </w:rPr>
        <w:t xml:space="preserve"> </w:t>
      </w:r>
      <w:r w:rsidRPr="00920C4B">
        <w:rPr>
          <w:rFonts w:eastAsia="TimesNewRoman"/>
          <w:sz w:val="20"/>
          <w:szCs w:val="20"/>
          <w:lang w:val="en-US"/>
        </w:rPr>
        <w:t>week</w:t>
      </w:r>
      <w:r w:rsidRPr="00920C4B">
        <w:rPr>
          <w:rFonts w:eastAsia="TimesNewRoman"/>
          <w:sz w:val="20"/>
          <w:szCs w:val="20"/>
        </w:rPr>
        <w:t xml:space="preserve"> – неделя исследования.</w:t>
      </w:r>
    </w:p>
    <w:p w14:paraId="54F3D080" w14:textId="77777777" w:rsidR="00C035FA" w:rsidRDefault="00C035FA">
      <w:pPr>
        <w:pStyle w:val="NormalWeb"/>
        <w:shd w:val="clear" w:color="auto" w:fill="FFFFFF"/>
        <w:spacing w:before="0" w:beforeAutospacing="0" w:after="0" w:afterAutospacing="0"/>
        <w:ind w:firstLine="708"/>
        <w:jc w:val="both"/>
        <w:rPr>
          <w:highlight w:val="yellow"/>
          <w:lang w:eastAsia="en-US"/>
        </w:rPr>
      </w:pPr>
    </w:p>
    <w:p w14:paraId="2892A767" w14:textId="77777777" w:rsidR="00C035FA" w:rsidRPr="004621EF" w:rsidRDefault="008D5756" w:rsidP="004621EF">
      <w:pPr>
        <w:spacing w:after="0" w:line="240" w:lineRule="auto"/>
        <w:contextualSpacing/>
        <w:outlineLvl w:val="2"/>
        <w:rPr>
          <w:rFonts w:eastAsia="Times New Roman"/>
          <w:b/>
          <w:bCs/>
          <w:iCs/>
          <w:lang w:eastAsia="en-US"/>
        </w:rPr>
      </w:pPr>
      <w:bookmarkStart w:id="156" w:name="_Toc52190594"/>
      <w:bookmarkStart w:id="157" w:name="_Toc139366893"/>
      <w:bookmarkStart w:id="158" w:name="_Hlk521885199"/>
      <w:r>
        <w:rPr>
          <w:rFonts w:eastAsia="Times New Roman"/>
          <w:b/>
          <w:bCs/>
          <w:iCs/>
          <w:lang w:eastAsia="en-US"/>
        </w:rPr>
        <w:t>4.3.</w:t>
      </w:r>
      <w:r w:rsidRPr="004621EF">
        <w:rPr>
          <w:rFonts w:eastAsia="Times New Roman"/>
          <w:b/>
          <w:bCs/>
          <w:iCs/>
          <w:lang w:eastAsia="en-US"/>
        </w:rPr>
        <w:t>2.</w:t>
      </w:r>
      <w:bookmarkEnd w:id="156"/>
      <w:r w:rsidRPr="004621EF">
        <w:rPr>
          <w:rFonts w:eastAsia="Times New Roman"/>
          <w:b/>
          <w:bCs/>
          <w:iCs/>
          <w:lang w:eastAsia="en-US"/>
        </w:rPr>
        <w:t xml:space="preserve"> Клиническая безопасность</w:t>
      </w:r>
      <w:bookmarkEnd w:id="157"/>
    </w:p>
    <w:p w14:paraId="5C988834" w14:textId="77777777" w:rsidR="00C035FA" w:rsidRPr="004621EF" w:rsidRDefault="00C035FA" w:rsidP="004621EF">
      <w:pPr>
        <w:pStyle w:val="OT"/>
        <w:ind w:firstLine="709"/>
        <w:contextualSpacing/>
        <w:rPr>
          <w:sz w:val="24"/>
          <w:szCs w:val="24"/>
        </w:rPr>
      </w:pPr>
    </w:p>
    <w:p w14:paraId="62AE260E" w14:textId="2699EF75" w:rsidR="00C035FA" w:rsidRPr="004621EF" w:rsidRDefault="008D5756" w:rsidP="004621EF">
      <w:pPr>
        <w:pStyle w:val="OT"/>
        <w:ind w:firstLine="709"/>
        <w:contextualSpacing/>
        <w:rPr>
          <w:sz w:val="24"/>
          <w:szCs w:val="24"/>
        </w:rPr>
      </w:pPr>
      <w:bookmarkStart w:id="159" w:name="_Hlk130997620"/>
      <w:bookmarkStart w:id="160" w:name="_Hlk130997940"/>
      <w:r w:rsidRPr="004621EF">
        <w:rPr>
          <w:sz w:val="24"/>
          <w:szCs w:val="24"/>
        </w:rPr>
        <w:t xml:space="preserve">В общей сложности 15582 пациента с сахарным диабетом 2 типа были включены в клинические исследования для оценки безопасности эмпаглифлозина, из которых 10004 получали эмпаглифлозин либо отдельно, либо в комбинации с метформином, сульфонилмочевиной, пиоглитазоном, </w:t>
      </w:r>
      <w:bookmarkStart w:id="161" w:name="_Hlk131000208"/>
      <w:r w:rsidRPr="004621EF">
        <w:rPr>
          <w:sz w:val="24"/>
          <w:szCs w:val="24"/>
        </w:rPr>
        <w:t xml:space="preserve">ингибиторами DPP-4 </w:t>
      </w:r>
      <w:bookmarkEnd w:id="161"/>
      <w:r w:rsidRPr="004621EF">
        <w:rPr>
          <w:sz w:val="24"/>
          <w:szCs w:val="24"/>
        </w:rPr>
        <w:t>или инсулином.</w:t>
      </w:r>
    </w:p>
    <w:bookmarkEnd w:id="159"/>
    <w:p w14:paraId="4DF6C7E5" w14:textId="3DE664D6" w:rsidR="00C035FA" w:rsidRPr="004621EF" w:rsidRDefault="008D5756" w:rsidP="004621EF">
      <w:pPr>
        <w:pStyle w:val="OT"/>
        <w:ind w:firstLine="709"/>
        <w:contextualSpacing/>
        <w:rPr>
          <w:sz w:val="24"/>
          <w:szCs w:val="24"/>
        </w:rPr>
      </w:pPr>
      <w:r w:rsidRPr="004621EF">
        <w:rPr>
          <w:sz w:val="24"/>
          <w:szCs w:val="24"/>
        </w:rPr>
        <w:t>В 6 плацебо-контролируемых исследованиях продолжительностью от 18 до 24 недель было включено 3534 пациента, из которых 1183 получали плацебо и 2351 - эмпаглифлозин. Общая частота нежелательных явлений у группы пациентов, получавших эмпаглифлозин была на одном уровне с таковой у группы, получавшей плацебо. Наиболее часто регистрируемой побочной реакцией была гипогликемия при применении с сульфонилмочевиной или инсулином.</w:t>
      </w:r>
    </w:p>
    <w:p w14:paraId="61E62C45" w14:textId="26A66D45" w:rsidR="004621EF" w:rsidRPr="004621EF" w:rsidRDefault="008D5756" w:rsidP="004621EF">
      <w:pPr>
        <w:pStyle w:val="OT"/>
        <w:ind w:firstLine="709"/>
        <w:contextualSpacing/>
        <w:rPr>
          <w:sz w:val="24"/>
          <w:szCs w:val="24"/>
        </w:rPr>
      </w:pPr>
      <w:r w:rsidRPr="004621EF">
        <w:rPr>
          <w:sz w:val="24"/>
          <w:szCs w:val="24"/>
        </w:rPr>
        <w:t xml:space="preserve">В клинические исследования побочного действия эмпаглифлозина на сердечно-сосудистую систему были включены пациенты с сердечной недостаточностью и либо со сниженной фракцией выброса (N=3 726) или с сохраненной фракцией выброса (N=5 985), получавших эмпаглифлозин в дозе 10 мг или плацебо. Примерно у половины пациентов </w:t>
      </w:r>
      <w:r w:rsidRPr="004621EF">
        <w:rPr>
          <w:sz w:val="24"/>
          <w:szCs w:val="24"/>
        </w:rPr>
        <w:lastRenderedPageBreak/>
        <w:t>был сахарный диабет 2 типа. Наиболее частой побочной реакцией являлось снижение сердечного выброса (эмпаглифлозин в дозе 10 мг: 11,4%. плацебо: 9,7%). Общий профиль безопасности эмпаглифлозина в целом был одинаковым для всех изученных показаний.</w:t>
      </w:r>
    </w:p>
    <w:p w14:paraId="560DE4E7" w14:textId="77777777" w:rsidR="004621EF" w:rsidRPr="004621EF" w:rsidRDefault="008D5756" w:rsidP="004621EF">
      <w:pPr>
        <w:pStyle w:val="OT"/>
        <w:ind w:firstLine="709"/>
        <w:contextualSpacing/>
        <w:rPr>
          <w:sz w:val="24"/>
          <w:szCs w:val="24"/>
        </w:rPr>
      </w:pPr>
      <w:r w:rsidRPr="004621EF">
        <w:rPr>
          <w:sz w:val="24"/>
          <w:szCs w:val="24"/>
        </w:rPr>
        <w:t>Наиболее важными осложнениями терапии иНГЛТ-2 являются урогенитальные инфекции, которые могут иметь место у 30% женщин и в меньшей степени у мужчин [</w:t>
      </w:r>
      <w:r w:rsidR="004B66CD" w:rsidRPr="004621EF">
        <w:rPr>
          <w:sz w:val="24"/>
          <w:szCs w:val="24"/>
        </w:rPr>
        <w:t>28</w:t>
      </w:r>
      <w:r w:rsidRPr="004621EF">
        <w:rPr>
          <w:sz w:val="24"/>
          <w:szCs w:val="24"/>
        </w:rPr>
        <w:t>]. Глобальный анализ безопасности всех иНГЛТ-2 показал повышенный риск генитальных инфекций (ОР 2,88, 95% ДИ 2,48–3,34) [</w:t>
      </w:r>
      <w:r w:rsidR="004B66CD" w:rsidRPr="004621EF">
        <w:rPr>
          <w:sz w:val="24"/>
          <w:szCs w:val="24"/>
        </w:rPr>
        <w:t>29</w:t>
      </w:r>
      <w:r w:rsidRPr="004621EF">
        <w:rPr>
          <w:sz w:val="24"/>
          <w:szCs w:val="24"/>
        </w:rPr>
        <w:t>]. иНГЛТ-2 увеличивают выделение глюкозы с мочой путем блокирования ее реабсорбции в проксимальных канальцах почек, таким образом, ожидаемо, что они увеличивают риск мочеполовых инфекций [</w:t>
      </w:r>
      <w:r w:rsidR="004B66CD" w:rsidRPr="004621EF">
        <w:rPr>
          <w:sz w:val="24"/>
          <w:szCs w:val="24"/>
        </w:rPr>
        <w:t>30</w:t>
      </w:r>
      <w:r w:rsidRPr="004621EF">
        <w:rPr>
          <w:sz w:val="24"/>
          <w:szCs w:val="24"/>
        </w:rPr>
        <w:t>]. Действительно, все препараты данного класса (канаглифлозин, эмпаглифлозин, дапаглифлозин) продемонстрировали увеличение риска развития инфекций мочеполового тракта [</w:t>
      </w:r>
      <w:r w:rsidR="004B66CD" w:rsidRPr="004621EF">
        <w:rPr>
          <w:sz w:val="24"/>
          <w:szCs w:val="24"/>
        </w:rPr>
        <w:t>31</w:t>
      </w:r>
      <w:r w:rsidRPr="004621EF">
        <w:rPr>
          <w:sz w:val="24"/>
          <w:szCs w:val="24"/>
        </w:rPr>
        <w:t>].</w:t>
      </w:r>
    </w:p>
    <w:p w14:paraId="5942D299" w14:textId="77777777" w:rsidR="004621EF" w:rsidRPr="004621EF" w:rsidRDefault="008D5756" w:rsidP="004621EF">
      <w:pPr>
        <w:pStyle w:val="OT"/>
        <w:ind w:firstLine="709"/>
        <w:contextualSpacing/>
        <w:rPr>
          <w:sz w:val="24"/>
          <w:szCs w:val="24"/>
        </w:rPr>
      </w:pPr>
      <w:r w:rsidRPr="004621EF">
        <w:rPr>
          <w:sz w:val="24"/>
          <w:szCs w:val="24"/>
        </w:rPr>
        <w:t>По данным метаанализа, ИМП и инфекции половых органов были более распространены среди пациентов, получающих иНГЛТ-2, по сравнению с пациентами, получающими плацебо [отношение шансов (ОШ) для ИМП: 1,34 (95% ДИ: 1,03–1,74) и для половых инфекций: 3,50 (95% ДИ: 2,46–4,99)] [</w:t>
      </w:r>
      <w:r w:rsidR="004B66CD" w:rsidRPr="004621EF">
        <w:rPr>
          <w:sz w:val="24"/>
          <w:szCs w:val="24"/>
        </w:rPr>
        <w:t>32</w:t>
      </w:r>
      <w:r w:rsidRPr="004621EF">
        <w:rPr>
          <w:sz w:val="24"/>
          <w:szCs w:val="24"/>
        </w:rPr>
        <w:t>]. Заболеваемость половыми инфекциями была выше у женщин (вульвовагинит), чем у мужчин (баланит) [</w:t>
      </w:r>
      <w:r w:rsidR="004B66CD" w:rsidRPr="004621EF">
        <w:rPr>
          <w:sz w:val="24"/>
          <w:szCs w:val="24"/>
        </w:rPr>
        <w:t>31</w:t>
      </w:r>
      <w:r w:rsidRPr="004621EF">
        <w:rPr>
          <w:sz w:val="24"/>
          <w:szCs w:val="24"/>
        </w:rPr>
        <w:t xml:space="preserve">, </w:t>
      </w:r>
      <w:r w:rsidR="004B66CD" w:rsidRPr="004621EF">
        <w:rPr>
          <w:sz w:val="24"/>
          <w:szCs w:val="24"/>
        </w:rPr>
        <w:t>33</w:t>
      </w:r>
      <w:r w:rsidRPr="004621EF">
        <w:rPr>
          <w:sz w:val="24"/>
          <w:szCs w:val="24"/>
        </w:rPr>
        <w:t>].</w:t>
      </w:r>
    </w:p>
    <w:p w14:paraId="5F1C3C94" w14:textId="77777777" w:rsidR="004621EF" w:rsidRPr="004621EF" w:rsidRDefault="008D5756" w:rsidP="004621EF">
      <w:pPr>
        <w:pStyle w:val="OT"/>
        <w:ind w:firstLine="709"/>
        <w:contextualSpacing/>
        <w:rPr>
          <w:sz w:val="24"/>
          <w:szCs w:val="24"/>
        </w:rPr>
      </w:pPr>
      <w:r w:rsidRPr="004621EF">
        <w:rPr>
          <w:sz w:val="24"/>
          <w:szCs w:val="24"/>
        </w:rPr>
        <w:t>Реже встречается симптоматическая гипотензия, обусловленная натриурезом и соответствующим умеренным снижением объема циркулирующей плазмы. В одной из работ выявлен более высокий риск развития гипотонии на фоне терапии иНГЛТ-2 в сравнении с другими сахароснижающими препаратами (ОР 2,68, 95% ДИ от 1,14 до 6,29) [</w:t>
      </w:r>
      <w:r w:rsidR="004B66CD" w:rsidRPr="004621EF">
        <w:rPr>
          <w:sz w:val="24"/>
          <w:szCs w:val="24"/>
        </w:rPr>
        <w:t>3</w:t>
      </w:r>
      <w:r w:rsidRPr="004621EF">
        <w:rPr>
          <w:sz w:val="24"/>
          <w:szCs w:val="24"/>
        </w:rPr>
        <w:t>4]. При подагре и ГУ данный эффект может иметь положительное значение ввиду уменьшения внутриклубочковой гипертензии, почечного повреждения и снижения уровня МК, тем более что подагра и ГУ часто ассоциируются с повышением АД.</w:t>
      </w:r>
    </w:p>
    <w:p w14:paraId="3DF4BFF1" w14:textId="77777777" w:rsidR="004621EF" w:rsidRPr="004621EF" w:rsidRDefault="008D5756" w:rsidP="004621EF">
      <w:pPr>
        <w:pStyle w:val="OT"/>
        <w:ind w:firstLine="709"/>
        <w:contextualSpacing/>
        <w:rPr>
          <w:sz w:val="24"/>
          <w:szCs w:val="24"/>
        </w:rPr>
      </w:pPr>
      <w:r w:rsidRPr="004621EF">
        <w:rPr>
          <w:sz w:val="24"/>
          <w:szCs w:val="24"/>
        </w:rPr>
        <w:t>Кроме того, известно, что иНГЛТ-2 снижают количество глюкозы, доступной для утилизации энергии. Следовательно, в случае повышения потребности в ней углеводный обмен при ингибировании НГЛТ-2 может не обеспечить достаточного резерва, что приведет к активации кетогенного метаболического пути. Следует отметить, что большинство зарегистрированных случаев эугликемического кетоацидоза, связанных с приемом иНГЛТ-2, имели место у пациентов с СД 1 типа и редко наблюдались у пациентов с СД2 [</w:t>
      </w:r>
      <w:r w:rsidR="004B66CD" w:rsidRPr="004621EF">
        <w:rPr>
          <w:sz w:val="24"/>
          <w:szCs w:val="24"/>
        </w:rPr>
        <w:t>35</w:t>
      </w:r>
      <w:r w:rsidRPr="004621EF">
        <w:rPr>
          <w:sz w:val="24"/>
          <w:szCs w:val="24"/>
        </w:rPr>
        <w:t>].</w:t>
      </w:r>
    </w:p>
    <w:p w14:paraId="2DEBC949" w14:textId="77777777" w:rsidR="004621EF" w:rsidRPr="004621EF" w:rsidRDefault="008D5756" w:rsidP="004621EF">
      <w:pPr>
        <w:pStyle w:val="OT"/>
        <w:ind w:firstLine="709"/>
        <w:contextualSpacing/>
        <w:rPr>
          <w:sz w:val="24"/>
          <w:szCs w:val="24"/>
        </w:rPr>
      </w:pPr>
      <w:r w:rsidRPr="004621EF">
        <w:rPr>
          <w:sz w:val="24"/>
          <w:szCs w:val="24"/>
        </w:rPr>
        <w:t>По результатам постмаркетингового применения иНГЛТ-2 сообщалось о серьезных случаях диабетического кетоацидоза, которые требовали посещения отделения неотложной помощи и/или госпитализации [</w:t>
      </w:r>
      <w:r w:rsidR="004B66CD" w:rsidRPr="004621EF">
        <w:rPr>
          <w:sz w:val="24"/>
          <w:szCs w:val="24"/>
        </w:rPr>
        <w:t>36</w:t>
      </w:r>
      <w:r w:rsidRPr="004621EF">
        <w:rPr>
          <w:sz w:val="24"/>
          <w:szCs w:val="24"/>
        </w:rPr>
        <w:t>].</w:t>
      </w:r>
    </w:p>
    <w:p w14:paraId="79801175" w14:textId="77777777" w:rsidR="004621EF" w:rsidRPr="004621EF" w:rsidRDefault="008D5756" w:rsidP="004621EF">
      <w:pPr>
        <w:pStyle w:val="OT"/>
        <w:ind w:firstLine="709"/>
        <w:contextualSpacing/>
        <w:rPr>
          <w:sz w:val="24"/>
          <w:szCs w:val="24"/>
        </w:rPr>
      </w:pPr>
      <w:r w:rsidRPr="004621EF">
        <w:rPr>
          <w:sz w:val="24"/>
          <w:szCs w:val="24"/>
        </w:rPr>
        <w:t>Возникновение эугликемического кетоацидоза связано в первую очередь с таким клиническим состоянием, как послеоперационный период при полостных операциях, которое сопровождается уменьшением потребления калорий/углеводов и повышенной концентрацией контринсулярных гормонов [</w:t>
      </w:r>
      <w:r w:rsidR="004B66CD" w:rsidRPr="004621EF">
        <w:rPr>
          <w:sz w:val="24"/>
          <w:szCs w:val="24"/>
        </w:rPr>
        <w:t>35</w:t>
      </w:r>
      <w:r w:rsidRPr="004621EF">
        <w:rPr>
          <w:sz w:val="24"/>
          <w:szCs w:val="24"/>
        </w:rPr>
        <w:t>]. Таким образом, эугликемический диабетический кетоацидоз при использовании иНГЛТ-2 может рассматриваться как прогнозируемая и предотвратимая проблема [</w:t>
      </w:r>
      <w:r w:rsidR="004B66CD" w:rsidRPr="004621EF">
        <w:rPr>
          <w:sz w:val="24"/>
          <w:szCs w:val="24"/>
        </w:rPr>
        <w:t>37</w:t>
      </w:r>
      <w:r w:rsidRPr="004621EF">
        <w:rPr>
          <w:sz w:val="24"/>
          <w:szCs w:val="24"/>
        </w:rPr>
        <w:t>].</w:t>
      </w:r>
    </w:p>
    <w:p w14:paraId="3F2B1A9C" w14:textId="77777777" w:rsidR="004621EF" w:rsidRPr="004621EF" w:rsidRDefault="008D5756" w:rsidP="004621EF">
      <w:pPr>
        <w:pStyle w:val="OT"/>
        <w:ind w:firstLine="709"/>
        <w:contextualSpacing/>
        <w:rPr>
          <w:sz w:val="24"/>
          <w:szCs w:val="24"/>
        </w:rPr>
      </w:pPr>
      <w:r w:rsidRPr="004621EF">
        <w:rPr>
          <w:sz w:val="24"/>
          <w:szCs w:val="24"/>
        </w:rPr>
        <w:t>Off-label-использование иНГЛТ-2 у пациентов с 1 типом сахарного диабета постепенно растет, поскольку иНГЛТ-2 эффективны у этих пациентов, улучшая средние значения гликемии, постпрандиальную гипергликемию, снижают вариабельность гликемии и позволяют снизить дозы инсулина [</w:t>
      </w:r>
      <w:r w:rsidR="004B66CD" w:rsidRPr="004621EF">
        <w:rPr>
          <w:sz w:val="24"/>
          <w:szCs w:val="24"/>
        </w:rPr>
        <w:t>38</w:t>
      </w:r>
      <w:r w:rsidRPr="004621EF">
        <w:rPr>
          <w:sz w:val="24"/>
          <w:szCs w:val="24"/>
        </w:rPr>
        <w:t>].</w:t>
      </w:r>
    </w:p>
    <w:p w14:paraId="0599C271" w14:textId="4AB74354" w:rsidR="004621EF" w:rsidRPr="004621EF" w:rsidRDefault="008D5756" w:rsidP="004621EF">
      <w:pPr>
        <w:pStyle w:val="OT"/>
        <w:ind w:firstLine="709"/>
        <w:contextualSpacing/>
        <w:rPr>
          <w:sz w:val="24"/>
          <w:szCs w:val="24"/>
        </w:rPr>
      </w:pPr>
      <w:r w:rsidRPr="004621EF">
        <w:rPr>
          <w:sz w:val="24"/>
          <w:szCs w:val="24"/>
        </w:rPr>
        <w:t>Метаанализ 18 рандомизированных контролируемых исследований, включающих более 15000 пациентов, сообщает об увеличении уровня магния в сыворотке крови на 0,1–0,2 мг-экв/л у пациентов без хронической болезни почек, получающих иНГЛТ-2 (канаглифлозин, эмпаглифлозин, дапаглифлозин и ипраглифлозин) [</w:t>
      </w:r>
      <w:r w:rsidR="004B66CD" w:rsidRPr="004621EF">
        <w:rPr>
          <w:sz w:val="24"/>
          <w:szCs w:val="24"/>
        </w:rPr>
        <w:t>39</w:t>
      </w:r>
      <w:r w:rsidRPr="004621EF">
        <w:rPr>
          <w:sz w:val="24"/>
          <w:szCs w:val="24"/>
        </w:rPr>
        <w:t>].</w:t>
      </w:r>
    </w:p>
    <w:p w14:paraId="4F66137D" w14:textId="77777777" w:rsidR="004621EF" w:rsidRPr="004621EF" w:rsidRDefault="008D5756" w:rsidP="004621EF">
      <w:pPr>
        <w:pStyle w:val="OT"/>
        <w:ind w:firstLine="709"/>
        <w:contextualSpacing/>
        <w:rPr>
          <w:sz w:val="24"/>
          <w:szCs w:val="24"/>
        </w:rPr>
      </w:pPr>
      <w:r w:rsidRPr="004621EF">
        <w:rPr>
          <w:sz w:val="24"/>
          <w:szCs w:val="24"/>
        </w:rPr>
        <w:lastRenderedPageBreak/>
        <w:t>Также отмечено, что иНГЛТ-2 могут изменять гомеостаз кальция и фосфата с развитием вторичного гиперпаратиреоза, вызванного повышенной реабсорбцией фосфата, тем самым потенциально влияя на костную массу и риск переломов [</w:t>
      </w:r>
      <w:r w:rsidR="004B66CD" w:rsidRPr="004621EF">
        <w:rPr>
          <w:sz w:val="24"/>
          <w:szCs w:val="24"/>
        </w:rPr>
        <w:t>40</w:t>
      </w:r>
      <w:r w:rsidRPr="004621EF">
        <w:rPr>
          <w:sz w:val="24"/>
          <w:szCs w:val="24"/>
        </w:rPr>
        <w:t xml:space="preserve">, </w:t>
      </w:r>
      <w:r w:rsidR="004B66CD" w:rsidRPr="004621EF">
        <w:rPr>
          <w:sz w:val="24"/>
          <w:szCs w:val="24"/>
        </w:rPr>
        <w:t>33</w:t>
      </w:r>
      <w:r w:rsidRPr="004621EF">
        <w:rPr>
          <w:sz w:val="24"/>
          <w:szCs w:val="24"/>
        </w:rPr>
        <w:t>].</w:t>
      </w:r>
    </w:p>
    <w:p w14:paraId="40BB41F1" w14:textId="77777777" w:rsidR="004621EF" w:rsidRPr="004621EF" w:rsidRDefault="008D5756" w:rsidP="004621EF">
      <w:pPr>
        <w:pStyle w:val="OT"/>
        <w:ind w:firstLine="709"/>
        <w:contextualSpacing/>
        <w:rPr>
          <w:sz w:val="24"/>
          <w:szCs w:val="24"/>
        </w:rPr>
      </w:pPr>
      <w:r w:rsidRPr="004621EF">
        <w:rPr>
          <w:sz w:val="24"/>
          <w:szCs w:val="24"/>
        </w:rPr>
        <w:t>В исследовании EMPA-REG OUTCOME частота переломов костей в течение 3 лет наблюдения схожа с плацебо (переломы у 3,9% пациентов) при применении как эмпаглифлозина 10 мг/сутки (переломы у 3,9% пациентов), так и эмпаглифлозина 25 мг/сутки (переломы у 3,7% пациентов) [2</w:t>
      </w:r>
      <w:r w:rsidR="004B66CD" w:rsidRPr="004621EF">
        <w:rPr>
          <w:sz w:val="24"/>
          <w:szCs w:val="24"/>
        </w:rPr>
        <w:t>3</w:t>
      </w:r>
      <w:r w:rsidRPr="004621EF">
        <w:rPr>
          <w:sz w:val="24"/>
          <w:szCs w:val="24"/>
        </w:rPr>
        <w:t>]. Схожие результаты получены у пациентов со сниженной СКФ (ниже 60 мл/мин/1,73 м</w:t>
      </w:r>
      <w:r w:rsidRPr="004621EF">
        <w:rPr>
          <w:sz w:val="24"/>
          <w:szCs w:val="24"/>
          <w:vertAlign w:val="superscript"/>
        </w:rPr>
        <w:t>2</w:t>
      </w:r>
      <w:r w:rsidRPr="004621EF">
        <w:rPr>
          <w:sz w:val="24"/>
          <w:szCs w:val="24"/>
        </w:rPr>
        <w:t xml:space="preserve"> [5,3% с плацебо и 4,7% с объединенными дозами эмпаглифлозина]) [</w:t>
      </w:r>
      <w:r w:rsidR="004B66CD" w:rsidRPr="004621EF">
        <w:rPr>
          <w:sz w:val="24"/>
          <w:szCs w:val="24"/>
        </w:rPr>
        <w:t>41</w:t>
      </w:r>
      <w:r w:rsidRPr="004621EF">
        <w:rPr>
          <w:sz w:val="24"/>
          <w:szCs w:val="24"/>
        </w:rPr>
        <w:t>]. Увеличение частоты переломов также может быть обусловлено падениями вследствие снижения АД [</w:t>
      </w:r>
      <w:r w:rsidR="004B66CD" w:rsidRPr="004621EF">
        <w:rPr>
          <w:sz w:val="24"/>
          <w:szCs w:val="24"/>
        </w:rPr>
        <w:t>42</w:t>
      </w:r>
      <w:r w:rsidRPr="004621EF">
        <w:rPr>
          <w:sz w:val="24"/>
          <w:szCs w:val="24"/>
        </w:rPr>
        <w:t>].</w:t>
      </w:r>
    </w:p>
    <w:p w14:paraId="10EFB3CA" w14:textId="77777777" w:rsidR="004621EF" w:rsidRPr="004621EF" w:rsidRDefault="008D5756" w:rsidP="004621EF">
      <w:pPr>
        <w:pStyle w:val="OT"/>
        <w:ind w:firstLine="709"/>
        <w:contextualSpacing/>
        <w:rPr>
          <w:sz w:val="24"/>
          <w:szCs w:val="24"/>
        </w:rPr>
      </w:pPr>
      <w:r w:rsidRPr="004621EF">
        <w:rPr>
          <w:sz w:val="24"/>
          <w:szCs w:val="24"/>
        </w:rPr>
        <w:t>Ампутации встречались чаще у пациентов с предшествующим анамнезом облитерирующих заболеваний периферических сосудов или у пациентов с ампутациями в анамнезе [</w:t>
      </w:r>
      <w:r w:rsidR="004B66CD" w:rsidRPr="004621EF">
        <w:rPr>
          <w:sz w:val="24"/>
          <w:szCs w:val="24"/>
        </w:rPr>
        <w:t>43</w:t>
      </w:r>
      <w:r w:rsidRPr="004621EF">
        <w:rPr>
          <w:sz w:val="24"/>
          <w:szCs w:val="24"/>
        </w:rPr>
        <w:t>]. С другой стороны, в исследовании EMPA-REG OUTCOME доля участников с ампутациями нижних конечностей была одинаковой в группе плацебо (1,8%) и группе, получавшей эмпаглифлозин (1,9%). Ампутации пальцев наблюдались у 0,9% участников группы плацебо и 1,3% в группе эмпаглифлозина [</w:t>
      </w:r>
      <w:r w:rsidR="004B66CD" w:rsidRPr="004621EF">
        <w:rPr>
          <w:sz w:val="24"/>
          <w:szCs w:val="24"/>
        </w:rPr>
        <w:t>23</w:t>
      </w:r>
      <w:r w:rsidRPr="004621EF">
        <w:rPr>
          <w:sz w:val="24"/>
          <w:szCs w:val="24"/>
        </w:rPr>
        <w:t>]. Кроме того, в объединенном анализе клинических испытаний фаз 1–3 частота ампутации нижних конечностей была одинаковой во всех группах лечения (1,1% в группе плацебо, 1,1% в группе эмпаглифлозина 10 мг и 1,1% в группе эмпаглифлозина 25 мг) [2</w:t>
      </w:r>
      <w:r w:rsidR="004B66CD" w:rsidRPr="004621EF">
        <w:rPr>
          <w:sz w:val="24"/>
          <w:szCs w:val="24"/>
        </w:rPr>
        <w:t>3</w:t>
      </w:r>
      <w:r w:rsidRPr="004621EF">
        <w:rPr>
          <w:sz w:val="24"/>
          <w:szCs w:val="24"/>
        </w:rPr>
        <w:t>]. Таким образом, повышенный риск ампутаций ограничивается только одним исследованием канаглифлозина и текущие данные не свидетельствуют о класс-эффекте.</w:t>
      </w:r>
    </w:p>
    <w:p w14:paraId="3C67D90B" w14:textId="77777777" w:rsidR="004621EF" w:rsidRPr="004621EF" w:rsidRDefault="008D5756" w:rsidP="004621EF">
      <w:pPr>
        <w:pStyle w:val="OT"/>
        <w:ind w:firstLine="709"/>
        <w:contextualSpacing/>
        <w:rPr>
          <w:sz w:val="24"/>
          <w:szCs w:val="24"/>
        </w:rPr>
      </w:pPr>
      <w:r w:rsidRPr="004621EF">
        <w:rPr>
          <w:sz w:val="24"/>
          <w:szCs w:val="24"/>
        </w:rPr>
        <w:t>Повышенный риск развития рака мочевого пузыря или молочной железы не отмечен ни для канаглифлозина, ни для эмпаглифлозина [</w:t>
      </w:r>
      <w:r w:rsidR="004B66CD" w:rsidRPr="004621EF">
        <w:rPr>
          <w:sz w:val="24"/>
          <w:szCs w:val="24"/>
        </w:rPr>
        <w:t>44</w:t>
      </w:r>
      <w:r w:rsidRPr="004621EF">
        <w:rPr>
          <w:sz w:val="24"/>
          <w:szCs w:val="24"/>
        </w:rPr>
        <w:t>]. Таким образом, в целом имеющиеся данные обнадеживают в отношении риска злокачественных новообразований при использовании иНГЛТ-2 [</w:t>
      </w:r>
      <w:r w:rsidR="004B66CD" w:rsidRPr="004621EF">
        <w:rPr>
          <w:sz w:val="24"/>
          <w:szCs w:val="24"/>
        </w:rPr>
        <w:t>29</w:t>
      </w:r>
      <w:r w:rsidRPr="004621EF">
        <w:rPr>
          <w:sz w:val="24"/>
          <w:szCs w:val="24"/>
        </w:rPr>
        <w:t>].</w:t>
      </w:r>
    </w:p>
    <w:p w14:paraId="4EE8A01A" w14:textId="77777777" w:rsidR="004621EF" w:rsidRPr="004621EF" w:rsidRDefault="008D5756" w:rsidP="004621EF">
      <w:pPr>
        <w:pStyle w:val="OT"/>
        <w:ind w:firstLine="709"/>
        <w:contextualSpacing/>
        <w:rPr>
          <w:sz w:val="24"/>
          <w:szCs w:val="24"/>
        </w:rPr>
      </w:pPr>
      <w:r w:rsidRPr="004621EF">
        <w:rPr>
          <w:sz w:val="24"/>
          <w:szCs w:val="24"/>
        </w:rPr>
        <w:t>В последнее время появились опасения относительно повышенного риска острого почечного повреждения (ОПП), определяемого как увеличение креатинина сыворотки на 0,3 мг/дл или более в течение 48 часов, или 1,5-кратное увеличение креатинина в сыворотке по сравнению с исходным уровнем, или диурез менее 0,5 мл/кг/ч в течение шести часов [</w:t>
      </w:r>
      <w:r w:rsidR="004B66CD" w:rsidRPr="004621EF">
        <w:rPr>
          <w:sz w:val="24"/>
          <w:szCs w:val="24"/>
        </w:rPr>
        <w:t>33</w:t>
      </w:r>
      <w:r w:rsidRPr="004621EF">
        <w:rPr>
          <w:sz w:val="24"/>
          <w:szCs w:val="24"/>
        </w:rPr>
        <w:t>]. Данные опасения обусловлены влиянием иНГЛТ-2 на гломерулярную гемодинамику: сужение афферентных артериол и устранение гиперфильтрации – и возможным развитием дегидратации на фоне терапии иНГЛТ-2 вследствие их диуретического эффекта [</w:t>
      </w:r>
      <w:r w:rsidR="004B66CD" w:rsidRPr="004621EF">
        <w:rPr>
          <w:sz w:val="24"/>
          <w:szCs w:val="24"/>
        </w:rPr>
        <w:t>45</w:t>
      </w:r>
      <w:r w:rsidRPr="004621EF">
        <w:rPr>
          <w:sz w:val="24"/>
          <w:szCs w:val="24"/>
        </w:rPr>
        <w:t>].</w:t>
      </w:r>
    </w:p>
    <w:p w14:paraId="34D98220" w14:textId="77777777" w:rsidR="004621EF" w:rsidRPr="004621EF" w:rsidRDefault="008D5756" w:rsidP="004621EF">
      <w:pPr>
        <w:pStyle w:val="OT"/>
        <w:ind w:firstLine="709"/>
        <w:contextualSpacing/>
        <w:rPr>
          <w:sz w:val="24"/>
          <w:szCs w:val="24"/>
        </w:rPr>
      </w:pPr>
      <w:r w:rsidRPr="004621EF">
        <w:rPr>
          <w:sz w:val="24"/>
          <w:szCs w:val="24"/>
        </w:rPr>
        <w:t>В исследовании EMPA-REG OUTCOME терапия эмпаглифлозином не увеличивала риск ОПП (1% для объединенной группы эмпаглифлозина против 1,6% для группы плацебо) или почечных нежелательных явлений по сравнению с плацебо (5,2% для объединенной группы эмпаглифлозина против 6,6% для группы плацебо) [2</w:t>
      </w:r>
      <w:r w:rsidR="004B66CD" w:rsidRPr="004621EF">
        <w:rPr>
          <w:sz w:val="24"/>
          <w:szCs w:val="24"/>
        </w:rPr>
        <w:t>3</w:t>
      </w:r>
      <w:r w:rsidRPr="004621EF">
        <w:rPr>
          <w:sz w:val="24"/>
          <w:szCs w:val="24"/>
        </w:rPr>
        <w:t>].</w:t>
      </w:r>
    </w:p>
    <w:p w14:paraId="64F89F27" w14:textId="77777777" w:rsidR="004621EF" w:rsidRPr="004621EF" w:rsidRDefault="008D5756" w:rsidP="004621EF">
      <w:pPr>
        <w:pStyle w:val="OT"/>
        <w:ind w:firstLine="709"/>
        <w:contextualSpacing/>
        <w:rPr>
          <w:sz w:val="24"/>
          <w:szCs w:val="24"/>
        </w:rPr>
      </w:pPr>
      <w:r w:rsidRPr="004621EF">
        <w:rPr>
          <w:sz w:val="24"/>
          <w:szCs w:val="24"/>
        </w:rPr>
        <w:t>Диуретический эффект иНГЛТ-2 приводит к увеличению гематокрита из-за гемоконцентрации, хотя описываются и другие механизмы, такие как повышение эритропоэза вследствие увеличения уровней эритропоэтина [</w:t>
      </w:r>
      <w:r w:rsidR="004B66CD" w:rsidRPr="004621EF">
        <w:rPr>
          <w:sz w:val="24"/>
          <w:szCs w:val="24"/>
        </w:rPr>
        <w:t>33</w:t>
      </w:r>
      <w:r w:rsidRPr="004621EF">
        <w:rPr>
          <w:sz w:val="24"/>
          <w:szCs w:val="24"/>
        </w:rPr>
        <w:t>]. Ассоциированное с иНГЛТ-2 увеличение гематокрита связано с возможным увеличением рисков инсульта [</w:t>
      </w:r>
      <w:r w:rsidR="004B66CD" w:rsidRPr="004621EF">
        <w:rPr>
          <w:sz w:val="24"/>
          <w:szCs w:val="24"/>
        </w:rPr>
        <w:t>46</w:t>
      </w:r>
      <w:r w:rsidRPr="004621EF">
        <w:rPr>
          <w:sz w:val="24"/>
          <w:szCs w:val="24"/>
        </w:rPr>
        <w:t>]. В исследовании EMPA-REG OUTCOME различия между группой эмпаглифлозина и группой плацебо не достигли статистической значимости (для группы эмпаглифлозина: ОР 1,18, 95% ДИ 0,89–1,56, p = 0,26 для фатального инсульта; 1,24, 95% ДИ 0,92–1,67, p = 0,16 для нефатального инсульта) [2</w:t>
      </w:r>
      <w:r w:rsidR="004B66CD" w:rsidRPr="004621EF">
        <w:rPr>
          <w:sz w:val="24"/>
          <w:szCs w:val="24"/>
        </w:rPr>
        <w:t>3</w:t>
      </w:r>
      <w:r w:rsidRPr="004621EF">
        <w:rPr>
          <w:sz w:val="24"/>
          <w:szCs w:val="24"/>
        </w:rPr>
        <w:t xml:space="preserve">]. Числовые различия между эмпаглифлозином и плацебо были в основном связаны с пациентами, у которых развитие инсульта произошло более чем через 90 дней после последнего приема исследуемого препарата. Также не было различий в риске повторных, фатальных инсультов или транзиторных ишемических атак в группе эмпаглифлозина по сравнению с плацебо. Пациенты с наибольшим увеличением </w:t>
      </w:r>
      <w:r w:rsidRPr="004621EF">
        <w:rPr>
          <w:sz w:val="24"/>
          <w:szCs w:val="24"/>
        </w:rPr>
        <w:lastRenderedPageBreak/>
        <w:t>гематокрита или наибольшим снижением систолического артериального давления не имели повышенного риска развития инсульта [</w:t>
      </w:r>
      <w:r w:rsidR="004B66CD" w:rsidRPr="004621EF">
        <w:rPr>
          <w:sz w:val="24"/>
          <w:szCs w:val="24"/>
        </w:rPr>
        <w:t>47</w:t>
      </w:r>
      <w:r w:rsidRPr="004621EF">
        <w:rPr>
          <w:sz w:val="24"/>
          <w:szCs w:val="24"/>
        </w:rPr>
        <w:t>].</w:t>
      </w:r>
    </w:p>
    <w:p w14:paraId="119CEA06" w14:textId="77777777" w:rsidR="004621EF" w:rsidRPr="004621EF" w:rsidRDefault="008D5756" w:rsidP="004621EF">
      <w:pPr>
        <w:pStyle w:val="OT"/>
        <w:ind w:firstLine="709"/>
        <w:contextualSpacing/>
        <w:rPr>
          <w:sz w:val="24"/>
          <w:szCs w:val="24"/>
        </w:rPr>
      </w:pPr>
      <w:r w:rsidRPr="004621EF">
        <w:rPr>
          <w:sz w:val="24"/>
          <w:szCs w:val="24"/>
        </w:rPr>
        <w:t>Одним из наиболее значимых критериев, необходимых для регистрации новых сахароснижающих препаратов, является их сердечно-сосудистая безопасность, подтвержденная в долгосрочных проспективных плацебо-контролируемых исследованиях. Эмпаглифлозин, ингибитор натрийзависимого переносчика глюкозы 2-го типа (SGLT2), стал первым сахароснижающим средством, имевшим преимущество перед плацебо по безопасности для сердечно-сосудистой системы (исследование EMPA-REG OUTCOME). Кардиопротективный эффект эмпаглифлозина объясняют не только диуретическим и гипотензивным эффектами, но и положительным влиянием на функцию левого желудочка и энергетический метаболизм миокарда [</w:t>
      </w:r>
      <w:r w:rsidR="004B66CD" w:rsidRPr="004621EF">
        <w:rPr>
          <w:sz w:val="24"/>
          <w:szCs w:val="24"/>
        </w:rPr>
        <w:t>48</w:t>
      </w:r>
      <w:r w:rsidRPr="004621EF">
        <w:rPr>
          <w:sz w:val="24"/>
          <w:szCs w:val="24"/>
        </w:rPr>
        <w:t>].</w:t>
      </w:r>
    </w:p>
    <w:p w14:paraId="41A46D8B" w14:textId="77777777" w:rsidR="004621EF" w:rsidRPr="004621EF" w:rsidRDefault="008D5756" w:rsidP="004621EF">
      <w:pPr>
        <w:pStyle w:val="OT"/>
        <w:ind w:firstLine="709"/>
        <w:contextualSpacing/>
        <w:rPr>
          <w:sz w:val="24"/>
          <w:szCs w:val="24"/>
        </w:rPr>
      </w:pPr>
      <w:r w:rsidRPr="004621EF">
        <w:rPr>
          <w:sz w:val="24"/>
          <w:szCs w:val="24"/>
        </w:rPr>
        <w:t>В проведенном исследовании EMPA-REG OUTCOME эмпаглифлозин показал хорошую переносимость. Частота развития побочных эффектов, серьезных побочных эффектов и побочных эффектов, потребовавших отмены препарата, в группах наблюдения не отличалась. Прием препарата приводил к ожидаемому увеличению риска развития генитальных инфекций [4</w:t>
      </w:r>
      <w:r w:rsidR="004B66CD" w:rsidRPr="004621EF">
        <w:rPr>
          <w:sz w:val="24"/>
          <w:szCs w:val="24"/>
        </w:rPr>
        <w:t>9</w:t>
      </w:r>
      <w:r w:rsidRPr="004621EF">
        <w:rPr>
          <w:sz w:val="24"/>
          <w:szCs w:val="24"/>
        </w:rPr>
        <w:t>].</w:t>
      </w:r>
    </w:p>
    <w:p w14:paraId="3210E12E" w14:textId="77777777" w:rsidR="004621EF" w:rsidRPr="004621EF" w:rsidRDefault="008D5756" w:rsidP="004621EF">
      <w:pPr>
        <w:pStyle w:val="OT"/>
        <w:ind w:firstLine="709"/>
        <w:contextualSpacing/>
        <w:rPr>
          <w:sz w:val="24"/>
          <w:szCs w:val="24"/>
        </w:rPr>
      </w:pPr>
      <w:r w:rsidRPr="004621EF">
        <w:rPr>
          <w:sz w:val="24"/>
          <w:szCs w:val="24"/>
        </w:rPr>
        <w:t>По результатам исследования любые серьезные НЯ и НЯ со смертельным исходом в объединенной группе эмпаглифлозина встречались реже, чем в группе плацебо (соответственно 38,2% против 42,3%, р&lt;0,001; 3,8% против 5,1%, р&lt;0,01). При этом подтвержденные гипогликемические НЯ [глюкоза в крови менее 70 мг/дл (3,9 ммоль/л) или эпизод, потребовавший посторонней помощи] развивались в одинаковой степени во всех группах: на эмпаглифлозине 10 мг – 28% и на 25 мг – 27,6%, на плацебо – 27,9% [5</w:t>
      </w:r>
      <w:r w:rsidR="004B66CD" w:rsidRPr="004621EF">
        <w:rPr>
          <w:sz w:val="24"/>
          <w:szCs w:val="24"/>
        </w:rPr>
        <w:t>0</w:t>
      </w:r>
      <w:r w:rsidRPr="004621EF">
        <w:rPr>
          <w:sz w:val="24"/>
          <w:szCs w:val="24"/>
        </w:rPr>
        <w:t>].</w:t>
      </w:r>
    </w:p>
    <w:p w14:paraId="3F70AD6F" w14:textId="77777777" w:rsidR="004621EF" w:rsidRPr="004621EF" w:rsidRDefault="008D5756" w:rsidP="004621EF">
      <w:pPr>
        <w:pStyle w:val="OT"/>
        <w:ind w:firstLine="709"/>
        <w:contextualSpacing/>
        <w:rPr>
          <w:sz w:val="24"/>
          <w:szCs w:val="24"/>
        </w:rPr>
      </w:pPr>
      <w:r w:rsidRPr="004621EF">
        <w:rPr>
          <w:sz w:val="24"/>
          <w:szCs w:val="24"/>
        </w:rPr>
        <w:t>Стоит сказать, что по результатам EMPEROR-Reduced эмпаглифлозин показал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значимые различия с группой плацебо по частоте нежелательных явлений, включая гиповолемию, гипотонию, нарушение функции почек, гиперкалиемию [</w:t>
      </w:r>
      <w:r w:rsidR="004B66CD" w:rsidRPr="004621EF">
        <w:rPr>
          <w:sz w:val="24"/>
          <w:szCs w:val="24"/>
        </w:rPr>
        <w:t>51</w:t>
      </w:r>
      <w:r w:rsidRPr="004621EF">
        <w:rPr>
          <w:sz w:val="24"/>
          <w:szCs w:val="24"/>
        </w:rPr>
        <w:t>].</w:t>
      </w:r>
    </w:p>
    <w:p w14:paraId="40657567" w14:textId="30E66E29" w:rsidR="004621EF" w:rsidRPr="004621EF" w:rsidRDefault="008D5756" w:rsidP="004621EF">
      <w:pPr>
        <w:pStyle w:val="OT"/>
        <w:ind w:firstLine="709"/>
        <w:contextualSpacing/>
        <w:rPr>
          <w:sz w:val="24"/>
          <w:szCs w:val="24"/>
          <w:lang w:eastAsia="zh-CN"/>
        </w:rPr>
      </w:pPr>
      <w:r w:rsidRPr="004621EF">
        <w:rPr>
          <w:sz w:val="24"/>
          <w:szCs w:val="24"/>
          <w:lang w:eastAsia="zh-CN"/>
        </w:rPr>
        <w:t xml:space="preserve">Согласно </w:t>
      </w:r>
      <w:r w:rsidR="000B18B4">
        <w:rPr>
          <w:sz w:val="24"/>
          <w:szCs w:val="24"/>
          <w:lang w:eastAsia="zh-CN"/>
        </w:rPr>
        <w:t xml:space="preserve">результатам </w:t>
      </w:r>
      <w:r w:rsidRPr="004621EF">
        <w:rPr>
          <w:sz w:val="24"/>
          <w:szCs w:val="24"/>
          <w:lang w:eastAsia="zh-CN"/>
        </w:rPr>
        <w:t>исследовани</w:t>
      </w:r>
      <w:r w:rsidR="000B18B4">
        <w:rPr>
          <w:sz w:val="24"/>
          <w:szCs w:val="24"/>
          <w:lang w:eastAsia="zh-CN"/>
        </w:rPr>
        <w:t>я</w:t>
      </w:r>
      <w:r w:rsidRPr="004621EF">
        <w:rPr>
          <w:sz w:val="24"/>
          <w:szCs w:val="24"/>
          <w:lang w:eastAsia="zh-CN"/>
        </w:rPr>
        <w:t xml:space="preserve"> EMPA-RESPONSE-AHF</w:t>
      </w:r>
      <w:r w:rsidR="000B18B4">
        <w:rPr>
          <w:sz w:val="24"/>
          <w:szCs w:val="24"/>
          <w:lang w:eastAsia="zh-CN"/>
        </w:rPr>
        <w:t>,</w:t>
      </w:r>
      <w:r w:rsidRPr="004621EF">
        <w:rPr>
          <w:sz w:val="24"/>
          <w:szCs w:val="24"/>
          <w:lang w:eastAsia="zh-CN"/>
        </w:rPr>
        <w:t xml:space="preserve"> частота побочных эффектов между группами значимо не различалась, но частота сердечно-сосудистых неблагоприятных событий значимо меньше среди пациентов, принимавших эмпаглифлозин (23% vs 44%; р=0,046) [5</w:t>
      </w:r>
      <w:r w:rsidR="004621EF" w:rsidRPr="004621EF">
        <w:rPr>
          <w:sz w:val="24"/>
          <w:szCs w:val="24"/>
          <w:lang w:eastAsia="zh-CN"/>
        </w:rPr>
        <w:t>2</w:t>
      </w:r>
      <w:r w:rsidRPr="004621EF">
        <w:rPr>
          <w:sz w:val="24"/>
          <w:szCs w:val="24"/>
          <w:lang w:eastAsia="zh-CN"/>
        </w:rPr>
        <w:t>].</w:t>
      </w:r>
    </w:p>
    <w:p w14:paraId="11AA8603" w14:textId="6900024F" w:rsidR="00C035FA" w:rsidRPr="004621EF" w:rsidRDefault="008D5756" w:rsidP="00007FC4">
      <w:pPr>
        <w:pStyle w:val="OT"/>
        <w:spacing w:after="0"/>
        <w:ind w:firstLine="709"/>
        <w:rPr>
          <w:sz w:val="24"/>
          <w:szCs w:val="24"/>
        </w:rPr>
      </w:pPr>
      <w:r w:rsidRPr="004621EF">
        <w:rPr>
          <w:sz w:val="24"/>
          <w:szCs w:val="24"/>
        </w:rPr>
        <w:t>В клинических исследованиях основной причиной для прекращения терапии является развитие нежелательных эффектов. Так, в крупном метаанализе рандомизированных клинических исследований иНГЛТ-2 (канаглифлозин, дапаглифлозин, эмпаглифлозин), включающем 23 000 пациентов, у 15,4% развились побочные эффекты, которые потребовали прекращения дальнейшей терапии иНГЛТ-2 [</w:t>
      </w:r>
      <w:r w:rsidR="004621EF" w:rsidRPr="004621EF">
        <w:rPr>
          <w:sz w:val="24"/>
          <w:szCs w:val="24"/>
        </w:rPr>
        <w:t>53</w:t>
      </w:r>
      <w:r w:rsidRPr="004621EF">
        <w:rPr>
          <w:sz w:val="24"/>
          <w:szCs w:val="24"/>
        </w:rPr>
        <w:t>]. Важным аспектом в увеличении приверженности к лечению является идентификация факторов риска развития тех или иных побочных эффектов, что позволяет их минимизировать [</w:t>
      </w:r>
      <w:r w:rsidR="004621EF" w:rsidRPr="004621EF">
        <w:rPr>
          <w:sz w:val="24"/>
          <w:szCs w:val="24"/>
        </w:rPr>
        <w:t>33</w:t>
      </w:r>
      <w:r w:rsidRPr="004621EF">
        <w:rPr>
          <w:sz w:val="24"/>
          <w:szCs w:val="24"/>
        </w:rPr>
        <w:t>].</w:t>
      </w:r>
    </w:p>
    <w:bookmarkEnd w:id="160"/>
    <w:p w14:paraId="3C75E6A3" w14:textId="77777777" w:rsidR="00007FC4" w:rsidRDefault="00007FC4" w:rsidP="00007FC4">
      <w:pPr>
        <w:spacing w:after="0" w:line="240" w:lineRule="auto"/>
        <w:rPr>
          <w:b/>
          <w:iCs/>
          <w:szCs w:val="28"/>
        </w:rPr>
      </w:pPr>
    </w:p>
    <w:p w14:paraId="1EAF63C0" w14:textId="358EA5A8" w:rsidR="00C035FA" w:rsidRPr="00007FC4" w:rsidRDefault="008D5756" w:rsidP="00007FC4">
      <w:pPr>
        <w:spacing w:after="0" w:line="240" w:lineRule="auto"/>
        <w:rPr>
          <w:b/>
          <w:szCs w:val="28"/>
        </w:rPr>
      </w:pPr>
      <w:r w:rsidRPr="00007FC4">
        <w:rPr>
          <w:b/>
          <w:iCs/>
          <w:szCs w:val="28"/>
        </w:rPr>
        <w:t>Общий профиль безопасности</w:t>
      </w:r>
    </w:p>
    <w:p w14:paraId="707365A9" w14:textId="77777777" w:rsidR="00007FC4" w:rsidRDefault="00007FC4" w:rsidP="00007FC4">
      <w:pPr>
        <w:spacing w:after="0" w:line="240" w:lineRule="auto"/>
        <w:ind w:firstLine="709"/>
        <w:rPr>
          <w:i/>
          <w:iCs/>
          <w:szCs w:val="28"/>
        </w:rPr>
      </w:pPr>
    </w:p>
    <w:p w14:paraId="4992741F" w14:textId="3C505255" w:rsidR="00C035FA" w:rsidRDefault="008D5756" w:rsidP="00007FC4">
      <w:pPr>
        <w:spacing w:after="0" w:line="240" w:lineRule="auto"/>
        <w:ind w:firstLine="709"/>
        <w:rPr>
          <w:szCs w:val="28"/>
        </w:rPr>
      </w:pPr>
      <w:r>
        <w:rPr>
          <w:i/>
          <w:iCs/>
          <w:szCs w:val="28"/>
        </w:rPr>
        <w:t>Пациенты с сахарным диабетом 2 типа</w:t>
      </w:r>
    </w:p>
    <w:p w14:paraId="127DAC05" w14:textId="78D98E9A" w:rsidR="00C035FA" w:rsidRDefault="008D5756" w:rsidP="00007FC4">
      <w:pPr>
        <w:spacing w:after="0" w:line="240" w:lineRule="auto"/>
        <w:ind w:firstLine="709"/>
        <w:rPr>
          <w:szCs w:val="28"/>
        </w:rPr>
      </w:pPr>
      <w:r>
        <w:rPr>
          <w:szCs w:val="28"/>
        </w:rPr>
        <w:t>Общая частота нежелательных реакций у пациентов, получавших эмпаглифлозин или плацебо в клинических исследованиях, была сходной. Наиболее частой нежелательной реакцией была гипогликемия, отмечавшаяся при применении эмпаглифлозина в комбинации с производным сульфонилмочевины или инсулина [</w:t>
      </w:r>
      <w:r w:rsidR="004621EF" w:rsidRPr="004621EF">
        <w:rPr>
          <w:szCs w:val="28"/>
        </w:rPr>
        <w:t>1</w:t>
      </w:r>
      <w:r>
        <w:rPr>
          <w:szCs w:val="28"/>
        </w:rPr>
        <w:t>].</w:t>
      </w:r>
    </w:p>
    <w:p w14:paraId="7A3CFEB9" w14:textId="77777777" w:rsidR="00C035FA" w:rsidRDefault="00C035FA">
      <w:pPr>
        <w:spacing w:after="0" w:line="240" w:lineRule="auto"/>
        <w:ind w:firstLine="709"/>
        <w:rPr>
          <w:i/>
          <w:iCs/>
          <w:szCs w:val="28"/>
        </w:rPr>
      </w:pPr>
    </w:p>
    <w:p w14:paraId="11050748" w14:textId="77777777" w:rsidR="00C035FA" w:rsidRDefault="008D5756">
      <w:pPr>
        <w:spacing w:after="0" w:line="240" w:lineRule="auto"/>
        <w:ind w:firstLine="709"/>
        <w:rPr>
          <w:szCs w:val="28"/>
        </w:rPr>
      </w:pPr>
      <w:r>
        <w:rPr>
          <w:i/>
          <w:iCs/>
          <w:szCs w:val="28"/>
        </w:rPr>
        <w:lastRenderedPageBreak/>
        <w:t>Пациенты с сердечной недостаточностью</w:t>
      </w:r>
    </w:p>
    <w:p w14:paraId="08F5033E" w14:textId="77777777" w:rsidR="00C035FA" w:rsidRDefault="008D5756">
      <w:pPr>
        <w:spacing w:after="0" w:line="240" w:lineRule="auto"/>
        <w:ind w:firstLine="709"/>
        <w:rPr>
          <w:szCs w:val="28"/>
        </w:rPr>
      </w:pPr>
      <w:r>
        <w:rPr>
          <w:szCs w:val="28"/>
        </w:rPr>
        <w:t>Наиболее частой нежелательной реакцией была гиповолемия (в группе пациентов, применявших эмпаглифлозин в дозе 10 мг: 10,6%, в группе плацебо: 9,9%). Тяжелая гипогликемия отмечалась только у пациентов с сахарным диабетом.</w:t>
      </w:r>
    </w:p>
    <w:p w14:paraId="3A8A09D6" w14:textId="77777777" w:rsidR="00C035FA" w:rsidRDefault="008D5756">
      <w:pPr>
        <w:spacing w:after="0" w:line="240" w:lineRule="auto"/>
        <w:ind w:firstLine="709"/>
        <w:rPr>
          <w:szCs w:val="28"/>
        </w:rPr>
      </w:pPr>
      <w:r>
        <w:rPr>
          <w:szCs w:val="28"/>
        </w:rPr>
        <w:t>Общий профиль безопасности применения эмпаглифлозина у пациентов с сердечной недостаточностью был схож с таковым у пациентов с сахарным диабетом. Новые нежелательные реакции зарегистрированы не были.</w:t>
      </w:r>
    </w:p>
    <w:p w14:paraId="5CA825F1" w14:textId="5FA4AE1A" w:rsidR="00C035FA" w:rsidRDefault="008D5756">
      <w:pPr>
        <w:spacing w:after="0" w:line="240" w:lineRule="auto"/>
        <w:ind w:firstLine="709"/>
        <w:rPr>
          <w:szCs w:val="28"/>
        </w:rPr>
      </w:pPr>
      <w:r>
        <w:rPr>
          <w:szCs w:val="28"/>
        </w:rPr>
        <w:t xml:space="preserve">Нежелательные реакции (HP), наблюдавшиеся у пациентов, получавших эмпаглифлозин в плацебо-контролируемых исследованиях, представлены ниже в таблице </w:t>
      </w:r>
      <w:r w:rsidR="00E65994">
        <w:rPr>
          <w:szCs w:val="28"/>
        </w:rPr>
        <w:t>4-13</w:t>
      </w:r>
      <w:r>
        <w:rPr>
          <w:szCs w:val="28"/>
        </w:rPr>
        <w:t xml:space="preserve">. HP распределены по системно-органным классам с указанием частоты их возникновения согласно рекомендациям ВОЗ: очень часто </w:t>
      </w:r>
      <w:r w:rsidR="008A3C33" w:rsidRPr="0092765E">
        <w:t>(≥1/10); часто (≥1/100 - &lt;1/10); нечасто (≥1/1000 - &lt;1/100); редко (≥1/10000- &lt;1/1000); очень редко (&lt;1/10000)</w:t>
      </w:r>
      <w:r>
        <w:rPr>
          <w:szCs w:val="28"/>
        </w:rPr>
        <w:t>; выделяются также HP, частота которых неизвестна (не может быть оценена на основании имеющихся данных) [</w:t>
      </w:r>
      <w:r w:rsidR="004621EF" w:rsidRPr="004621EF">
        <w:rPr>
          <w:szCs w:val="28"/>
        </w:rPr>
        <w:t>1</w:t>
      </w:r>
      <w:r>
        <w:rPr>
          <w:szCs w:val="28"/>
        </w:rPr>
        <w:t>].</w:t>
      </w:r>
    </w:p>
    <w:p w14:paraId="39C4682A" w14:textId="77777777" w:rsidR="00C035FA" w:rsidRDefault="00C035FA">
      <w:pPr>
        <w:spacing w:after="0"/>
        <w:ind w:firstLine="708"/>
        <w:rPr>
          <w:szCs w:val="28"/>
        </w:rPr>
      </w:pPr>
    </w:p>
    <w:p w14:paraId="3EDCF663" w14:textId="5C855567" w:rsidR="00C035FA" w:rsidRDefault="008D5756" w:rsidP="000B18B4">
      <w:pPr>
        <w:pStyle w:val="aa"/>
        <w:spacing w:line="240" w:lineRule="auto"/>
        <w:ind w:firstLine="0"/>
        <w:rPr>
          <w:sz w:val="24"/>
          <w:szCs w:val="28"/>
        </w:rPr>
      </w:pPr>
      <w:bookmarkStart w:id="162" w:name="_Hlk100650799"/>
      <w:r>
        <w:rPr>
          <w:sz w:val="24"/>
          <w:szCs w:val="28"/>
        </w:rPr>
        <w:t>Таблица 4-1</w:t>
      </w:r>
      <w:r w:rsidR="006836D0">
        <w:rPr>
          <w:sz w:val="24"/>
          <w:szCs w:val="28"/>
        </w:rPr>
        <w:t>3</w:t>
      </w:r>
      <w:r>
        <w:rPr>
          <w:sz w:val="24"/>
          <w:szCs w:val="28"/>
        </w:rPr>
        <w:t xml:space="preserve">. </w:t>
      </w:r>
      <w:r>
        <w:rPr>
          <w:b w:val="0"/>
          <w:bCs w:val="0"/>
          <w:sz w:val="24"/>
          <w:szCs w:val="28"/>
        </w:rPr>
        <w:t>HP, зарегистрированные в клинических исследованиях и пострегистрационном периоде наблюдения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091"/>
        <w:gridCol w:w="3132"/>
      </w:tblGrid>
      <w:tr w:rsidR="00C035FA" w14:paraId="139F40DE" w14:textId="77777777" w:rsidTr="00007FC4">
        <w:trPr>
          <w:trHeight w:val="720"/>
          <w:tblHeader/>
        </w:trPr>
        <w:tc>
          <w:tcPr>
            <w:tcW w:w="3121" w:type="dxa"/>
            <w:shd w:val="clear" w:color="auto" w:fill="D9D9D9" w:themeFill="background1" w:themeFillShade="D9"/>
            <w:vAlign w:val="center"/>
          </w:tcPr>
          <w:bookmarkEnd w:id="162"/>
          <w:p w14:paraId="3DE519B8" w14:textId="50CA08C7" w:rsidR="00C035FA" w:rsidRPr="004621EF" w:rsidRDefault="000B18B4" w:rsidP="004621EF">
            <w:pPr>
              <w:spacing w:after="0" w:line="240" w:lineRule="auto"/>
              <w:contextualSpacing/>
              <w:jc w:val="center"/>
            </w:pPr>
            <w:r>
              <w:rPr>
                <w:b/>
                <w:bCs/>
              </w:rPr>
              <w:t>Системно-органный класс</w:t>
            </w:r>
          </w:p>
        </w:tc>
        <w:tc>
          <w:tcPr>
            <w:tcW w:w="3091" w:type="dxa"/>
            <w:shd w:val="clear" w:color="auto" w:fill="D9D9D9" w:themeFill="background1" w:themeFillShade="D9"/>
            <w:vAlign w:val="center"/>
          </w:tcPr>
          <w:p w14:paraId="191874F3" w14:textId="77777777" w:rsidR="00C035FA" w:rsidRPr="000B18B4" w:rsidRDefault="008D5756" w:rsidP="000B18B4">
            <w:pPr>
              <w:spacing w:after="0" w:line="240" w:lineRule="auto"/>
              <w:contextualSpacing/>
              <w:jc w:val="center"/>
              <w:rPr>
                <w:b/>
                <w:bCs/>
              </w:rPr>
            </w:pPr>
            <w:r w:rsidRPr="000B18B4">
              <w:rPr>
                <w:b/>
                <w:bCs/>
              </w:rPr>
              <w:t>Частота встречаемости</w:t>
            </w:r>
          </w:p>
        </w:tc>
        <w:tc>
          <w:tcPr>
            <w:tcW w:w="3132" w:type="dxa"/>
            <w:shd w:val="clear" w:color="auto" w:fill="D9D9D9" w:themeFill="background1" w:themeFillShade="D9"/>
            <w:vAlign w:val="center"/>
          </w:tcPr>
          <w:p w14:paraId="5A4B3E3B" w14:textId="77777777" w:rsidR="00C035FA" w:rsidRPr="000B18B4" w:rsidRDefault="008D5756" w:rsidP="000B18B4">
            <w:pPr>
              <w:spacing w:after="0" w:line="240" w:lineRule="auto"/>
              <w:contextualSpacing/>
              <w:jc w:val="center"/>
              <w:rPr>
                <w:b/>
                <w:bCs/>
              </w:rPr>
            </w:pPr>
            <w:r w:rsidRPr="000B18B4">
              <w:rPr>
                <w:b/>
                <w:bCs/>
              </w:rPr>
              <w:t>HP</w:t>
            </w:r>
          </w:p>
        </w:tc>
      </w:tr>
      <w:tr w:rsidR="00C035FA" w14:paraId="7F0EFCD5" w14:textId="77777777">
        <w:tc>
          <w:tcPr>
            <w:tcW w:w="3121" w:type="dxa"/>
            <w:vMerge w:val="restart"/>
            <w:shd w:val="clear" w:color="auto" w:fill="auto"/>
          </w:tcPr>
          <w:p w14:paraId="5F88398C" w14:textId="77777777" w:rsidR="00C035FA" w:rsidRDefault="008D5756" w:rsidP="004621EF">
            <w:pPr>
              <w:spacing w:after="0" w:line="240" w:lineRule="auto"/>
              <w:contextualSpacing/>
              <w:rPr>
                <w:i/>
              </w:rPr>
            </w:pPr>
            <w:r>
              <w:rPr>
                <w:i/>
              </w:rPr>
              <w:t>Инфекционные и паразитарные заболевания</w:t>
            </w:r>
          </w:p>
        </w:tc>
        <w:tc>
          <w:tcPr>
            <w:tcW w:w="3091" w:type="dxa"/>
            <w:shd w:val="clear" w:color="auto" w:fill="auto"/>
          </w:tcPr>
          <w:p w14:paraId="081492D8" w14:textId="77777777" w:rsidR="00C035FA" w:rsidRDefault="008D5756" w:rsidP="004621EF">
            <w:pPr>
              <w:spacing w:after="0" w:line="240" w:lineRule="auto"/>
              <w:contextualSpacing/>
            </w:pPr>
            <w:r>
              <w:t>Часто</w:t>
            </w:r>
          </w:p>
        </w:tc>
        <w:tc>
          <w:tcPr>
            <w:tcW w:w="3132" w:type="dxa"/>
            <w:shd w:val="clear" w:color="auto" w:fill="auto"/>
          </w:tcPr>
          <w:p w14:paraId="185219ED" w14:textId="77777777" w:rsidR="00C035FA" w:rsidRDefault="008D5756" w:rsidP="004621EF">
            <w:pPr>
              <w:spacing w:after="0" w:line="240" w:lineRule="auto"/>
              <w:contextualSpacing/>
            </w:pPr>
            <w:r>
              <w:t>Кандидозный вульвовагинит, вульвовагинит, баланит и другие генитальные инфекции</w:t>
            </w:r>
            <w:r>
              <w:rPr>
                <w:vertAlign w:val="superscript"/>
              </w:rPr>
              <w:t>1</w:t>
            </w:r>
            <w:r>
              <w:t xml:space="preserve"> </w:t>
            </w:r>
          </w:p>
          <w:p w14:paraId="20B94814" w14:textId="77777777" w:rsidR="00C035FA" w:rsidRDefault="008D5756" w:rsidP="004621EF">
            <w:pPr>
              <w:spacing w:after="0" w:line="240" w:lineRule="auto"/>
              <w:contextualSpacing/>
            </w:pPr>
            <w:r>
              <w:t>Инфекции мочевыводящих путей</w:t>
            </w:r>
            <w:r>
              <w:rPr>
                <w:vertAlign w:val="superscript"/>
              </w:rPr>
              <w:t>1</w:t>
            </w:r>
            <w:r>
              <w:t xml:space="preserve"> (в том числе пиелонефрит и уросепсис)</w:t>
            </w:r>
            <w:r>
              <w:rPr>
                <w:vertAlign w:val="superscript"/>
              </w:rPr>
              <w:t>2</w:t>
            </w:r>
          </w:p>
        </w:tc>
      </w:tr>
      <w:tr w:rsidR="00C035FA" w14:paraId="125F688C" w14:textId="77777777">
        <w:tc>
          <w:tcPr>
            <w:tcW w:w="3121" w:type="dxa"/>
            <w:vMerge/>
            <w:shd w:val="clear" w:color="auto" w:fill="auto"/>
          </w:tcPr>
          <w:p w14:paraId="7D0661D9" w14:textId="77777777" w:rsidR="00C035FA" w:rsidRDefault="00C035FA" w:rsidP="004621EF">
            <w:pPr>
              <w:spacing w:after="0" w:line="240" w:lineRule="auto"/>
              <w:contextualSpacing/>
            </w:pPr>
          </w:p>
        </w:tc>
        <w:tc>
          <w:tcPr>
            <w:tcW w:w="3091" w:type="dxa"/>
            <w:shd w:val="clear" w:color="auto" w:fill="auto"/>
          </w:tcPr>
          <w:p w14:paraId="78E4C661" w14:textId="77777777" w:rsidR="00C035FA" w:rsidRDefault="008D5756" w:rsidP="004621EF">
            <w:pPr>
              <w:spacing w:after="0" w:line="240" w:lineRule="auto"/>
              <w:contextualSpacing/>
            </w:pPr>
            <w:r>
              <w:t>Частота неизвестна</w:t>
            </w:r>
          </w:p>
        </w:tc>
        <w:tc>
          <w:tcPr>
            <w:tcW w:w="3132" w:type="dxa"/>
            <w:shd w:val="clear" w:color="auto" w:fill="auto"/>
          </w:tcPr>
          <w:p w14:paraId="7B9B5D83" w14:textId="49F197A8" w:rsidR="00C035FA" w:rsidRDefault="008D5756" w:rsidP="004621EF">
            <w:pPr>
              <w:spacing w:after="0" w:line="240" w:lineRule="auto"/>
              <w:contextualSpacing/>
            </w:pPr>
            <w:r>
              <w:t>Некротизирующий фасциит промежности (гангрена Фурнье)</w:t>
            </w:r>
            <w:r>
              <w:rPr>
                <w:vertAlign w:val="superscript"/>
              </w:rPr>
              <w:t>2</w:t>
            </w:r>
            <w:r w:rsidR="002524CB">
              <w:rPr>
                <w:vertAlign w:val="superscript"/>
              </w:rPr>
              <w:t>,3</w:t>
            </w:r>
          </w:p>
        </w:tc>
      </w:tr>
      <w:tr w:rsidR="00C035FA" w14:paraId="07853EA4" w14:textId="77777777">
        <w:tc>
          <w:tcPr>
            <w:tcW w:w="3121" w:type="dxa"/>
            <w:vMerge w:val="restart"/>
            <w:shd w:val="clear" w:color="auto" w:fill="auto"/>
          </w:tcPr>
          <w:p w14:paraId="713A835F" w14:textId="77777777" w:rsidR="00C035FA" w:rsidRDefault="008D5756" w:rsidP="004621EF">
            <w:pPr>
              <w:spacing w:after="0" w:line="240" w:lineRule="auto"/>
              <w:contextualSpacing/>
            </w:pPr>
            <w:r>
              <w:rPr>
                <w:i/>
                <w:iCs/>
              </w:rPr>
              <w:t>Нарушения со стороны обмена веществ и питания</w:t>
            </w:r>
          </w:p>
        </w:tc>
        <w:tc>
          <w:tcPr>
            <w:tcW w:w="3091" w:type="dxa"/>
            <w:shd w:val="clear" w:color="auto" w:fill="auto"/>
          </w:tcPr>
          <w:p w14:paraId="6CCEBC69" w14:textId="77777777" w:rsidR="00C035FA" w:rsidRDefault="008D5756" w:rsidP="004621EF">
            <w:pPr>
              <w:spacing w:after="0" w:line="240" w:lineRule="auto"/>
              <w:contextualSpacing/>
            </w:pPr>
            <w:r>
              <w:t>Очень часто</w:t>
            </w:r>
          </w:p>
        </w:tc>
        <w:tc>
          <w:tcPr>
            <w:tcW w:w="3132" w:type="dxa"/>
            <w:shd w:val="clear" w:color="auto" w:fill="auto"/>
          </w:tcPr>
          <w:p w14:paraId="521EED5F" w14:textId="77777777" w:rsidR="00C035FA" w:rsidRDefault="008D5756" w:rsidP="004621EF">
            <w:pPr>
              <w:spacing w:after="0" w:line="240" w:lineRule="auto"/>
              <w:contextualSpacing/>
            </w:pPr>
            <w:r>
              <w:t>Гипогликемия (при совместном применении с производным сульфонилмочевины или инсулином)</w:t>
            </w:r>
            <w:r>
              <w:rPr>
                <w:vertAlign w:val="superscript"/>
              </w:rPr>
              <w:t>1</w:t>
            </w:r>
          </w:p>
        </w:tc>
      </w:tr>
      <w:tr w:rsidR="00C035FA" w14:paraId="2A88CC73" w14:textId="77777777">
        <w:tc>
          <w:tcPr>
            <w:tcW w:w="3121" w:type="dxa"/>
            <w:vMerge/>
            <w:shd w:val="clear" w:color="auto" w:fill="auto"/>
          </w:tcPr>
          <w:p w14:paraId="1DC0C6FD" w14:textId="77777777" w:rsidR="00C035FA" w:rsidRDefault="00C035FA" w:rsidP="004621EF">
            <w:pPr>
              <w:spacing w:after="0" w:line="240" w:lineRule="auto"/>
              <w:contextualSpacing/>
            </w:pPr>
          </w:p>
        </w:tc>
        <w:tc>
          <w:tcPr>
            <w:tcW w:w="3091" w:type="dxa"/>
            <w:shd w:val="clear" w:color="auto" w:fill="auto"/>
          </w:tcPr>
          <w:p w14:paraId="079E8E3D" w14:textId="77777777" w:rsidR="00C035FA" w:rsidRDefault="008D5756" w:rsidP="004621EF">
            <w:pPr>
              <w:spacing w:after="0" w:line="240" w:lineRule="auto"/>
              <w:contextualSpacing/>
            </w:pPr>
            <w:r>
              <w:t>Часто</w:t>
            </w:r>
          </w:p>
        </w:tc>
        <w:tc>
          <w:tcPr>
            <w:tcW w:w="3132" w:type="dxa"/>
            <w:shd w:val="clear" w:color="auto" w:fill="auto"/>
          </w:tcPr>
          <w:p w14:paraId="68C361B8" w14:textId="77777777" w:rsidR="00C035FA" w:rsidRDefault="008D5756" w:rsidP="004621EF">
            <w:pPr>
              <w:spacing w:after="0" w:line="240" w:lineRule="auto"/>
              <w:contextualSpacing/>
            </w:pPr>
            <w:r>
              <w:t>Жажда</w:t>
            </w:r>
          </w:p>
        </w:tc>
      </w:tr>
      <w:tr w:rsidR="00C035FA" w14:paraId="4F129AC8" w14:textId="77777777">
        <w:tc>
          <w:tcPr>
            <w:tcW w:w="3121" w:type="dxa"/>
            <w:vMerge/>
            <w:shd w:val="clear" w:color="auto" w:fill="auto"/>
          </w:tcPr>
          <w:p w14:paraId="5D18343D" w14:textId="77777777" w:rsidR="00C035FA" w:rsidRDefault="00C035FA" w:rsidP="004621EF">
            <w:pPr>
              <w:spacing w:after="0" w:line="240" w:lineRule="auto"/>
              <w:contextualSpacing/>
            </w:pPr>
          </w:p>
        </w:tc>
        <w:tc>
          <w:tcPr>
            <w:tcW w:w="3091" w:type="dxa"/>
            <w:shd w:val="clear" w:color="auto" w:fill="auto"/>
          </w:tcPr>
          <w:p w14:paraId="0498E78C" w14:textId="77777777" w:rsidR="00C035FA" w:rsidRDefault="008D5756" w:rsidP="004621EF">
            <w:pPr>
              <w:pStyle w:val="ae"/>
              <w:spacing w:line="240" w:lineRule="auto"/>
              <w:contextualSpacing/>
              <w:rPr>
                <w:sz w:val="24"/>
                <w:szCs w:val="24"/>
              </w:rPr>
            </w:pPr>
            <w:r>
              <w:rPr>
                <w:sz w:val="24"/>
                <w:szCs w:val="24"/>
              </w:rPr>
              <w:t>Редко</w:t>
            </w:r>
          </w:p>
        </w:tc>
        <w:tc>
          <w:tcPr>
            <w:tcW w:w="3132" w:type="dxa"/>
            <w:shd w:val="clear" w:color="auto" w:fill="auto"/>
          </w:tcPr>
          <w:p w14:paraId="78F7A219" w14:textId="3FB1A4E6" w:rsidR="00C035FA" w:rsidRDefault="008D5756" w:rsidP="004621EF">
            <w:pPr>
              <w:spacing w:after="0" w:line="240" w:lineRule="auto"/>
              <w:contextualSpacing/>
            </w:pPr>
            <w:r>
              <w:t>Диабетический кетоацидоз</w:t>
            </w:r>
            <w:r>
              <w:rPr>
                <w:vertAlign w:val="superscript"/>
              </w:rPr>
              <w:t>2</w:t>
            </w:r>
            <w:r w:rsidR="004A418A">
              <w:rPr>
                <w:vertAlign w:val="superscript"/>
              </w:rPr>
              <w:t>,3</w:t>
            </w:r>
          </w:p>
        </w:tc>
      </w:tr>
      <w:tr w:rsidR="001D1C55" w14:paraId="3573D49C" w14:textId="77777777">
        <w:tc>
          <w:tcPr>
            <w:tcW w:w="3121" w:type="dxa"/>
            <w:shd w:val="clear" w:color="auto" w:fill="auto"/>
          </w:tcPr>
          <w:p w14:paraId="6AF7A912" w14:textId="499EDBA2" w:rsidR="001D1C55" w:rsidRPr="001D1C55" w:rsidRDefault="001D1C55" w:rsidP="004621EF">
            <w:pPr>
              <w:spacing w:after="0" w:line="240" w:lineRule="auto"/>
              <w:contextualSpacing/>
              <w:rPr>
                <w:i/>
              </w:rPr>
            </w:pPr>
            <w:r>
              <w:rPr>
                <w:i/>
              </w:rPr>
              <w:t>Нарушения со стороны желудочно-кишечного тракта</w:t>
            </w:r>
          </w:p>
        </w:tc>
        <w:tc>
          <w:tcPr>
            <w:tcW w:w="3091" w:type="dxa"/>
            <w:shd w:val="clear" w:color="auto" w:fill="auto"/>
          </w:tcPr>
          <w:p w14:paraId="3A1E13D9" w14:textId="54C3DC1E" w:rsidR="001D1C55" w:rsidRDefault="001D1C55" w:rsidP="004621EF">
            <w:pPr>
              <w:pStyle w:val="ae"/>
              <w:spacing w:line="240" w:lineRule="auto"/>
              <w:contextualSpacing/>
              <w:rPr>
                <w:sz w:val="24"/>
                <w:szCs w:val="24"/>
              </w:rPr>
            </w:pPr>
            <w:r>
              <w:rPr>
                <w:sz w:val="24"/>
                <w:szCs w:val="24"/>
              </w:rPr>
              <w:t>Часто</w:t>
            </w:r>
          </w:p>
        </w:tc>
        <w:tc>
          <w:tcPr>
            <w:tcW w:w="3132" w:type="dxa"/>
            <w:shd w:val="clear" w:color="auto" w:fill="auto"/>
          </w:tcPr>
          <w:p w14:paraId="2EEC2C7F" w14:textId="155AAFF1" w:rsidR="001D1C55" w:rsidRDefault="001D1C55" w:rsidP="004621EF">
            <w:pPr>
              <w:spacing w:after="0" w:line="240" w:lineRule="auto"/>
              <w:contextualSpacing/>
            </w:pPr>
            <w:r>
              <w:t>Запор</w:t>
            </w:r>
          </w:p>
        </w:tc>
      </w:tr>
      <w:tr w:rsidR="00C035FA" w14:paraId="21618B16" w14:textId="77777777">
        <w:tc>
          <w:tcPr>
            <w:tcW w:w="3121" w:type="dxa"/>
            <w:vMerge w:val="restart"/>
            <w:shd w:val="clear" w:color="auto" w:fill="auto"/>
          </w:tcPr>
          <w:p w14:paraId="17C8D4AF" w14:textId="77777777" w:rsidR="00C035FA" w:rsidRDefault="008D5756" w:rsidP="004621EF">
            <w:pPr>
              <w:spacing w:after="0" w:line="240" w:lineRule="auto"/>
              <w:contextualSpacing/>
            </w:pPr>
            <w:r>
              <w:rPr>
                <w:i/>
                <w:iCs/>
              </w:rPr>
              <w:t>Нарушения со стороны кожи и подкожных тканей</w:t>
            </w:r>
          </w:p>
        </w:tc>
        <w:tc>
          <w:tcPr>
            <w:tcW w:w="3091" w:type="dxa"/>
            <w:shd w:val="clear" w:color="auto" w:fill="auto"/>
          </w:tcPr>
          <w:p w14:paraId="0E93F1E1" w14:textId="77777777" w:rsidR="00C035FA" w:rsidRDefault="008D5756" w:rsidP="004621EF">
            <w:pPr>
              <w:pStyle w:val="ae"/>
              <w:spacing w:line="240" w:lineRule="auto"/>
              <w:contextualSpacing/>
              <w:rPr>
                <w:sz w:val="24"/>
                <w:szCs w:val="24"/>
              </w:rPr>
            </w:pPr>
            <w:r>
              <w:rPr>
                <w:sz w:val="24"/>
                <w:szCs w:val="24"/>
              </w:rPr>
              <w:t>Часто</w:t>
            </w:r>
          </w:p>
        </w:tc>
        <w:tc>
          <w:tcPr>
            <w:tcW w:w="3132" w:type="dxa"/>
            <w:shd w:val="clear" w:color="auto" w:fill="auto"/>
          </w:tcPr>
          <w:p w14:paraId="5CB2EFF8" w14:textId="77777777" w:rsidR="00C035FA" w:rsidRDefault="008D5756" w:rsidP="004621EF">
            <w:pPr>
              <w:pStyle w:val="ae"/>
              <w:spacing w:line="240" w:lineRule="auto"/>
              <w:contextualSpacing/>
              <w:rPr>
                <w:sz w:val="24"/>
                <w:szCs w:val="24"/>
              </w:rPr>
            </w:pPr>
            <w:r>
              <w:rPr>
                <w:sz w:val="24"/>
                <w:szCs w:val="24"/>
              </w:rPr>
              <w:t>Зуд (генерализованный)</w:t>
            </w:r>
          </w:p>
          <w:p w14:paraId="57ACF5E1" w14:textId="4F98E228" w:rsidR="00C035FA" w:rsidRDefault="009E0E75" w:rsidP="004621EF">
            <w:pPr>
              <w:spacing w:after="0" w:line="240" w:lineRule="auto"/>
              <w:contextualSpacing/>
            </w:pPr>
            <w:r>
              <w:t>Кожная сыпь</w:t>
            </w:r>
          </w:p>
        </w:tc>
      </w:tr>
      <w:tr w:rsidR="001D1C55" w14:paraId="08A264A1" w14:textId="77777777" w:rsidTr="00CB72DD">
        <w:trPr>
          <w:trHeight w:val="562"/>
        </w:trPr>
        <w:tc>
          <w:tcPr>
            <w:tcW w:w="3121" w:type="dxa"/>
            <w:vMerge/>
            <w:shd w:val="clear" w:color="auto" w:fill="auto"/>
          </w:tcPr>
          <w:p w14:paraId="3621965F" w14:textId="77777777" w:rsidR="001D1C55" w:rsidRDefault="001D1C55" w:rsidP="004621EF">
            <w:pPr>
              <w:spacing w:after="0" w:line="240" w:lineRule="auto"/>
              <w:contextualSpacing/>
              <w:rPr>
                <w:i/>
                <w:iCs/>
              </w:rPr>
            </w:pPr>
          </w:p>
        </w:tc>
        <w:tc>
          <w:tcPr>
            <w:tcW w:w="3091" w:type="dxa"/>
            <w:shd w:val="clear" w:color="auto" w:fill="auto"/>
          </w:tcPr>
          <w:p w14:paraId="41928A03" w14:textId="77777777" w:rsidR="001D1C55" w:rsidRDefault="001D1C55" w:rsidP="004621EF">
            <w:pPr>
              <w:pStyle w:val="ae"/>
              <w:spacing w:line="240" w:lineRule="auto"/>
              <w:contextualSpacing/>
              <w:rPr>
                <w:sz w:val="24"/>
                <w:szCs w:val="24"/>
              </w:rPr>
            </w:pPr>
            <w:r>
              <w:rPr>
                <w:sz w:val="24"/>
                <w:szCs w:val="24"/>
              </w:rPr>
              <w:t>Нечасто</w:t>
            </w:r>
          </w:p>
        </w:tc>
        <w:tc>
          <w:tcPr>
            <w:tcW w:w="3132" w:type="dxa"/>
            <w:shd w:val="clear" w:color="auto" w:fill="auto"/>
          </w:tcPr>
          <w:p w14:paraId="67BA0A67" w14:textId="77777777" w:rsidR="001D1C55" w:rsidRPr="009E0E75" w:rsidRDefault="001D1C55" w:rsidP="004621EF">
            <w:pPr>
              <w:pStyle w:val="ae"/>
              <w:spacing w:line="240" w:lineRule="auto"/>
              <w:contextualSpacing/>
              <w:rPr>
                <w:sz w:val="24"/>
                <w:szCs w:val="24"/>
                <w:vertAlign w:val="superscript"/>
              </w:rPr>
            </w:pPr>
            <w:r>
              <w:rPr>
                <w:sz w:val="24"/>
                <w:szCs w:val="24"/>
              </w:rPr>
              <w:t>Крапивница</w:t>
            </w:r>
            <w:r>
              <w:rPr>
                <w:sz w:val="24"/>
                <w:szCs w:val="24"/>
                <w:vertAlign w:val="superscript"/>
              </w:rPr>
              <w:t>2</w:t>
            </w:r>
          </w:p>
          <w:p w14:paraId="2DC56437" w14:textId="672E0ACD" w:rsidR="001D1C55" w:rsidRPr="009E0E75" w:rsidRDefault="001D1C55" w:rsidP="004621EF">
            <w:pPr>
              <w:pStyle w:val="ae"/>
              <w:spacing w:line="240" w:lineRule="auto"/>
              <w:contextualSpacing/>
              <w:rPr>
                <w:sz w:val="24"/>
                <w:szCs w:val="24"/>
                <w:vertAlign w:val="superscript"/>
              </w:rPr>
            </w:pPr>
            <w:r>
              <w:rPr>
                <w:sz w:val="24"/>
                <w:szCs w:val="24"/>
              </w:rPr>
              <w:t>Ангионевротический отек</w:t>
            </w:r>
            <w:r>
              <w:rPr>
                <w:sz w:val="24"/>
                <w:szCs w:val="24"/>
                <w:vertAlign w:val="superscript"/>
              </w:rPr>
              <w:t>2</w:t>
            </w:r>
          </w:p>
        </w:tc>
      </w:tr>
      <w:tr w:rsidR="00C035FA" w14:paraId="2E5596E8" w14:textId="77777777">
        <w:tc>
          <w:tcPr>
            <w:tcW w:w="3121" w:type="dxa"/>
            <w:shd w:val="clear" w:color="auto" w:fill="auto"/>
          </w:tcPr>
          <w:p w14:paraId="174AE767" w14:textId="77777777" w:rsidR="00C035FA" w:rsidRDefault="008D5756" w:rsidP="004621EF">
            <w:pPr>
              <w:pStyle w:val="ae"/>
              <w:spacing w:line="240" w:lineRule="auto"/>
              <w:contextualSpacing/>
              <w:rPr>
                <w:sz w:val="24"/>
                <w:szCs w:val="24"/>
              </w:rPr>
            </w:pPr>
            <w:r>
              <w:rPr>
                <w:i/>
                <w:iCs/>
                <w:sz w:val="24"/>
                <w:szCs w:val="24"/>
              </w:rPr>
              <w:t xml:space="preserve">Нарушения со стороны </w:t>
            </w:r>
            <w:r>
              <w:rPr>
                <w:i/>
                <w:iCs/>
                <w:sz w:val="24"/>
                <w:szCs w:val="24"/>
              </w:rPr>
              <w:lastRenderedPageBreak/>
              <w:t>сосудов</w:t>
            </w:r>
          </w:p>
        </w:tc>
        <w:tc>
          <w:tcPr>
            <w:tcW w:w="3091" w:type="dxa"/>
            <w:shd w:val="clear" w:color="auto" w:fill="auto"/>
          </w:tcPr>
          <w:p w14:paraId="2F9C20ED" w14:textId="77777777" w:rsidR="00C035FA" w:rsidRDefault="008D5756" w:rsidP="004621EF">
            <w:pPr>
              <w:pStyle w:val="ae"/>
              <w:spacing w:line="240" w:lineRule="auto"/>
              <w:contextualSpacing/>
              <w:rPr>
                <w:sz w:val="24"/>
                <w:szCs w:val="24"/>
              </w:rPr>
            </w:pPr>
            <w:r>
              <w:rPr>
                <w:sz w:val="24"/>
                <w:szCs w:val="24"/>
              </w:rPr>
              <w:lastRenderedPageBreak/>
              <w:t>Нечасто</w:t>
            </w:r>
          </w:p>
        </w:tc>
        <w:tc>
          <w:tcPr>
            <w:tcW w:w="3132" w:type="dxa"/>
            <w:shd w:val="clear" w:color="auto" w:fill="auto"/>
          </w:tcPr>
          <w:p w14:paraId="13A7FB04" w14:textId="77777777" w:rsidR="00C035FA" w:rsidRDefault="008D5756" w:rsidP="004621EF">
            <w:pPr>
              <w:pStyle w:val="ae"/>
              <w:spacing w:line="240" w:lineRule="auto"/>
              <w:contextualSpacing/>
              <w:rPr>
                <w:sz w:val="24"/>
                <w:szCs w:val="24"/>
              </w:rPr>
            </w:pPr>
            <w:r>
              <w:rPr>
                <w:sz w:val="24"/>
                <w:szCs w:val="24"/>
              </w:rPr>
              <w:t>Гиповолемия</w:t>
            </w:r>
            <w:r>
              <w:rPr>
                <w:sz w:val="24"/>
                <w:szCs w:val="24"/>
                <w:vertAlign w:val="superscript"/>
              </w:rPr>
              <w:t>1</w:t>
            </w:r>
          </w:p>
        </w:tc>
      </w:tr>
      <w:tr w:rsidR="00340F92" w14:paraId="6FEA1AD7" w14:textId="77777777">
        <w:tc>
          <w:tcPr>
            <w:tcW w:w="3121" w:type="dxa"/>
            <w:vMerge w:val="restart"/>
            <w:shd w:val="clear" w:color="auto" w:fill="auto"/>
          </w:tcPr>
          <w:p w14:paraId="248AFC94" w14:textId="77777777" w:rsidR="00340F92" w:rsidRDefault="00340F92" w:rsidP="004621EF">
            <w:pPr>
              <w:spacing w:after="0" w:line="240" w:lineRule="auto"/>
              <w:contextualSpacing/>
              <w:rPr>
                <w:i/>
                <w:iCs/>
              </w:rPr>
            </w:pPr>
            <w:r>
              <w:rPr>
                <w:i/>
                <w:iCs/>
              </w:rPr>
              <w:t>Нарушения со стороны почек и мочевыводящих путей</w:t>
            </w:r>
          </w:p>
        </w:tc>
        <w:tc>
          <w:tcPr>
            <w:tcW w:w="3091" w:type="dxa"/>
            <w:shd w:val="clear" w:color="auto" w:fill="auto"/>
          </w:tcPr>
          <w:p w14:paraId="03087962" w14:textId="77777777" w:rsidR="00340F92" w:rsidRDefault="00340F92" w:rsidP="004621EF">
            <w:pPr>
              <w:pStyle w:val="ae"/>
              <w:spacing w:line="240" w:lineRule="auto"/>
              <w:contextualSpacing/>
              <w:rPr>
                <w:sz w:val="24"/>
                <w:szCs w:val="24"/>
              </w:rPr>
            </w:pPr>
            <w:r>
              <w:rPr>
                <w:sz w:val="24"/>
                <w:szCs w:val="24"/>
              </w:rPr>
              <w:t>Часто</w:t>
            </w:r>
          </w:p>
        </w:tc>
        <w:tc>
          <w:tcPr>
            <w:tcW w:w="3132" w:type="dxa"/>
            <w:shd w:val="clear" w:color="auto" w:fill="auto"/>
          </w:tcPr>
          <w:p w14:paraId="7725603E" w14:textId="77777777" w:rsidR="00340F92" w:rsidRDefault="00340F92" w:rsidP="004621EF">
            <w:pPr>
              <w:pStyle w:val="ae"/>
              <w:spacing w:line="240" w:lineRule="auto"/>
              <w:contextualSpacing/>
              <w:rPr>
                <w:sz w:val="24"/>
                <w:szCs w:val="24"/>
              </w:rPr>
            </w:pPr>
            <w:r>
              <w:rPr>
                <w:sz w:val="24"/>
                <w:szCs w:val="24"/>
              </w:rPr>
              <w:t>Увеличение мочевыделения</w:t>
            </w:r>
            <w:r>
              <w:rPr>
                <w:sz w:val="24"/>
                <w:szCs w:val="24"/>
                <w:vertAlign w:val="superscript"/>
              </w:rPr>
              <w:t>1</w:t>
            </w:r>
          </w:p>
        </w:tc>
      </w:tr>
      <w:tr w:rsidR="00340F92" w14:paraId="3F8A5B77" w14:textId="77777777">
        <w:tc>
          <w:tcPr>
            <w:tcW w:w="3121" w:type="dxa"/>
            <w:vMerge/>
            <w:shd w:val="clear" w:color="auto" w:fill="auto"/>
          </w:tcPr>
          <w:p w14:paraId="0314A5AB" w14:textId="77777777" w:rsidR="00340F92" w:rsidRDefault="00340F92" w:rsidP="004621EF">
            <w:pPr>
              <w:spacing w:after="0" w:line="240" w:lineRule="auto"/>
              <w:contextualSpacing/>
              <w:rPr>
                <w:i/>
                <w:iCs/>
              </w:rPr>
            </w:pPr>
          </w:p>
        </w:tc>
        <w:tc>
          <w:tcPr>
            <w:tcW w:w="3091" w:type="dxa"/>
            <w:shd w:val="clear" w:color="auto" w:fill="auto"/>
          </w:tcPr>
          <w:p w14:paraId="4A243277" w14:textId="77777777" w:rsidR="00340F92" w:rsidRDefault="00340F92" w:rsidP="004621EF">
            <w:pPr>
              <w:pStyle w:val="ae"/>
              <w:spacing w:line="240" w:lineRule="auto"/>
              <w:contextualSpacing/>
              <w:rPr>
                <w:sz w:val="24"/>
                <w:szCs w:val="24"/>
              </w:rPr>
            </w:pPr>
            <w:r>
              <w:rPr>
                <w:sz w:val="24"/>
                <w:szCs w:val="24"/>
              </w:rPr>
              <w:t>Нечасто</w:t>
            </w:r>
          </w:p>
        </w:tc>
        <w:tc>
          <w:tcPr>
            <w:tcW w:w="3132" w:type="dxa"/>
            <w:shd w:val="clear" w:color="auto" w:fill="auto"/>
          </w:tcPr>
          <w:p w14:paraId="69B0D28D" w14:textId="77777777" w:rsidR="00340F92" w:rsidRDefault="00340F92" w:rsidP="004621EF">
            <w:pPr>
              <w:pStyle w:val="ae"/>
              <w:spacing w:line="240" w:lineRule="auto"/>
              <w:contextualSpacing/>
              <w:jc w:val="both"/>
              <w:rPr>
                <w:sz w:val="24"/>
                <w:szCs w:val="24"/>
              </w:rPr>
            </w:pPr>
            <w:r>
              <w:rPr>
                <w:sz w:val="24"/>
                <w:szCs w:val="24"/>
              </w:rPr>
              <w:t>Дизурия</w:t>
            </w:r>
          </w:p>
        </w:tc>
      </w:tr>
      <w:tr w:rsidR="00340F92" w14:paraId="063E85CD" w14:textId="77777777">
        <w:tc>
          <w:tcPr>
            <w:tcW w:w="3121" w:type="dxa"/>
            <w:vMerge/>
            <w:shd w:val="clear" w:color="auto" w:fill="auto"/>
          </w:tcPr>
          <w:p w14:paraId="2D9E469D" w14:textId="77777777" w:rsidR="00340F92" w:rsidRDefault="00340F92" w:rsidP="004621EF">
            <w:pPr>
              <w:spacing w:after="0" w:line="240" w:lineRule="auto"/>
              <w:contextualSpacing/>
              <w:rPr>
                <w:i/>
                <w:iCs/>
              </w:rPr>
            </w:pPr>
          </w:p>
        </w:tc>
        <w:tc>
          <w:tcPr>
            <w:tcW w:w="3091" w:type="dxa"/>
            <w:shd w:val="clear" w:color="auto" w:fill="auto"/>
          </w:tcPr>
          <w:p w14:paraId="2C07D0E6" w14:textId="7F721A2C" w:rsidR="00340F92" w:rsidRDefault="00340F92" w:rsidP="004621EF">
            <w:pPr>
              <w:pStyle w:val="ae"/>
              <w:spacing w:line="240" w:lineRule="auto"/>
              <w:contextualSpacing/>
              <w:rPr>
                <w:sz w:val="24"/>
                <w:szCs w:val="24"/>
              </w:rPr>
            </w:pPr>
            <w:r>
              <w:rPr>
                <w:sz w:val="24"/>
                <w:szCs w:val="24"/>
              </w:rPr>
              <w:t>Очень редко</w:t>
            </w:r>
          </w:p>
        </w:tc>
        <w:tc>
          <w:tcPr>
            <w:tcW w:w="3132" w:type="dxa"/>
            <w:shd w:val="clear" w:color="auto" w:fill="auto"/>
          </w:tcPr>
          <w:p w14:paraId="42E5D58E" w14:textId="63D21FEA" w:rsidR="00340F92" w:rsidRDefault="00340F92" w:rsidP="004621EF">
            <w:pPr>
              <w:pStyle w:val="ae"/>
              <w:spacing w:line="240" w:lineRule="auto"/>
              <w:contextualSpacing/>
              <w:jc w:val="both"/>
              <w:rPr>
                <w:sz w:val="24"/>
                <w:szCs w:val="24"/>
              </w:rPr>
            </w:pPr>
            <w:r>
              <w:rPr>
                <w:sz w:val="24"/>
                <w:szCs w:val="24"/>
              </w:rPr>
              <w:t>Тубуло-интерстициальный нефрит</w:t>
            </w:r>
          </w:p>
        </w:tc>
      </w:tr>
      <w:tr w:rsidR="00C035FA" w14:paraId="09DBAC2B" w14:textId="77777777">
        <w:tc>
          <w:tcPr>
            <w:tcW w:w="3121" w:type="dxa"/>
            <w:vMerge w:val="restart"/>
            <w:shd w:val="clear" w:color="auto" w:fill="auto"/>
          </w:tcPr>
          <w:p w14:paraId="39E3C1D1" w14:textId="77777777" w:rsidR="00C035FA" w:rsidRDefault="008D5756" w:rsidP="004621EF">
            <w:pPr>
              <w:spacing w:after="0" w:line="240" w:lineRule="auto"/>
              <w:contextualSpacing/>
              <w:rPr>
                <w:i/>
                <w:iCs/>
              </w:rPr>
            </w:pPr>
            <w:r>
              <w:rPr>
                <w:i/>
                <w:iCs/>
              </w:rPr>
              <w:t>Лабораторные и инструментальные данные</w:t>
            </w:r>
          </w:p>
        </w:tc>
        <w:tc>
          <w:tcPr>
            <w:tcW w:w="3091" w:type="dxa"/>
            <w:shd w:val="clear" w:color="auto" w:fill="auto"/>
          </w:tcPr>
          <w:p w14:paraId="718F43BE" w14:textId="77777777" w:rsidR="00C035FA" w:rsidRDefault="008D5756" w:rsidP="004621EF">
            <w:pPr>
              <w:pStyle w:val="ae"/>
              <w:spacing w:line="240" w:lineRule="auto"/>
              <w:contextualSpacing/>
              <w:rPr>
                <w:sz w:val="24"/>
                <w:szCs w:val="24"/>
              </w:rPr>
            </w:pPr>
            <w:r>
              <w:rPr>
                <w:sz w:val="24"/>
                <w:szCs w:val="24"/>
              </w:rPr>
              <w:t>Часто</w:t>
            </w:r>
          </w:p>
        </w:tc>
        <w:tc>
          <w:tcPr>
            <w:tcW w:w="3132" w:type="dxa"/>
            <w:shd w:val="clear" w:color="auto" w:fill="auto"/>
            <w:vAlign w:val="bottom"/>
          </w:tcPr>
          <w:p w14:paraId="2026C18B" w14:textId="77777777" w:rsidR="00C035FA" w:rsidRDefault="008D5756" w:rsidP="004621EF">
            <w:pPr>
              <w:pStyle w:val="ae"/>
              <w:spacing w:line="240" w:lineRule="auto"/>
              <w:contextualSpacing/>
              <w:rPr>
                <w:sz w:val="24"/>
                <w:szCs w:val="24"/>
              </w:rPr>
            </w:pPr>
            <w:r>
              <w:rPr>
                <w:sz w:val="24"/>
                <w:szCs w:val="24"/>
              </w:rPr>
              <w:t>Повышение концентрации липидов в плазме крови</w:t>
            </w:r>
          </w:p>
        </w:tc>
      </w:tr>
      <w:tr w:rsidR="00C035FA" w14:paraId="61759A77" w14:textId="77777777">
        <w:tc>
          <w:tcPr>
            <w:tcW w:w="3121" w:type="dxa"/>
            <w:vMerge/>
            <w:shd w:val="clear" w:color="auto" w:fill="auto"/>
          </w:tcPr>
          <w:p w14:paraId="4B68A9B7" w14:textId="77777777" w:rsidR="00C035FA" w:rsidRDefault="00C035FA" w:rsidP="004621EF">
            <w:pPr>
              <w:spacing w:after="0" w:line="240" w:lineRule="auto"/>
              <w:contextualSpacing/>
              <w:rPr>
                <w:i/>
                <w:iCs/>
              </w:rPr>
            </w:pPr>
          </w:p>
        </w:tc>
        <w:tc>
          <w:tcPr>
            <w:tcW w:w="3091" w:type="dxa"/>
            <w:shd w:val="clear" w:color="auto" w:fill="auto"/>
          </w:tcPr>
          <w:p w14:paraId="09439EE3" w14:textId="77777777" w:rsidR="00C035FA" w:rsidRDefault="008D5756" w:rsidP="004621EF">
            <w:pPr>
              <w:pStyle w:val="ae"/>
              <w:spacing w:line="240" w:lineRule="auto"/>
              <w:contextualSpacing/>
              <w:rPr>
                <w:sz w:val="24"/>
                <w:szCs w:val="24"/>
              </w:rPr>
            </w:pPr>
            <w:r>
              <w:rPr>
                <w:sz w:val="24"/>
                <w:szCs w:val="24"/>
              </w:rPr>
              <w:t>Нечасто</w:t>
            </w:r>
          </w:p>
        </w:tc>
        <w:tc>
          <w:tcPr>
            <w:tcW w:w="3132" w:type="dxa"/>
            <w:shd w:val="clear" w:color="auto" w:fill="auto"/>
          </w:tcPr>
          <w:p w14:paraId="02330FEF" w14:textId="77777777" w:rsidR="00C035FA" w:rsidRDefault="008D5756" w:rsidP="004621EF">
            <w:pPr>
              <w:pStyle w:val="ae"/>
              <w:spacing w:line="240" w:lineRule="auto"/>
              <w:contextualSpacing/>
              <w:rPr>
                <w:sz w:val="24"/>
                <w:szCs w:val="24"/>
              </w:rPr>
            </w:pPr>
            <w:r>
              <w:rPr>
                <w:sz w:val="24"/>
                <w:szCs w:val="24"/>
              </w:rPr>
              <w:t>Снижение скорости клубочковой фильтрации</w:t>
            </w:r>
            <w:r>
              <w:rPr>
                <w:sz w:val="24"/>
                <w:szCs w:val="24"/>
                <w:vertAlign w:val="superscript"/>
              </w:rPr>
              <w:t>1</w:t>
            </w:r>
          </w:p>
          <w:p w14:paraId="7BF6F067" w14:textId="77777777" w:rsidR="00C035FA" w:rsidRDefault="008D5756" w:rsidP="004621EF">
            <w:pPr>
              <w:pStyle w:val="ae"/>
              <w:spacing w:line="240" w:lineRule="auto"/>
              <w:contextualSpacing/>
              <w:rPr>
                <w:sz w:val="24"/>
                <w:szCs w:val="24"/>
              </w:rPr>
            </w:pPr>
            <w:r>
              <w:rPr>
                <w:sz w:val="24"/>
                <w:szCs w:val="24"/>
              </w:rPr>
              <w:t>Повышение концентрации креатинина в плазме крови</w:t>
            </w:r>
            <w:r>
              <w:rPr>
                <w:sz w:val="24"/>
                <w:szCs w:val="24"/>
                <w:vertAlign w:val="superscript"/>
              </w:rPr>
              <w:t>1</w:t>
            </w:r>
          </w:p>
          <w:p w14:paraId="4B71A28B" w14:textId="77777777" w:rsidR="00C035FA" w:rsidRDefault="008D5756" w:rsidP="004621EF">
            <w:pPr>
              <w:pStyle w:val="ae"/>
              <w:spacing w:line="240" w:lineRule="auto"/>
              <w:contextualSpacing/>
              <w:rPr>
                <w:sz w:val="24"/>
                <w:szCs w:val="24"/>
              </w:rPr>
            </w:pPr>
            <w:r>
              <w:rPr>
                <w:sz w:val="24"/>
                <w:szCs w:val="24"/>
              </w:rPr>
              <w:t>Повышение содержания гематокрита</w:t>
            </w:r>
          </w:p>
        </w:tc>
      </w:tr>
      <w:tr w:rsidR="00C035FA" w14:paraId="1501E66D" w14:textId="77777777">
        <w:tc>
          <w:tcPr>
            <w:tcW w:w="9344" w:type="dxa"/>
            <w:gridSpan w:val="3"/>
            <w:shd w:val="clear" w:color="auto" w:fill="auto"/>
          </w:tcPr>
          <w:p w14:paraId="77B3BD9D" w14:textId="77777777" w:rsidR="00C035FA" w:rsidRDefault="008D5756" w:rsidP="004621EF">
            <w:pPr>
              <w:spacing w:after="0" w:line="240" w:lineRule="auto"/>
              <w:contextualSpacing/>
              <w:rPr>
                <w:sz w:val="20"/>
                <w:szCs w:val="20"/>
              </w:rPr>
            </w:pPr>
            <w:r>
              <w:rPr>
                <w:b/>
                <w:bCs/>
                <w:sz w:val="20"/>
                <w:szCs w:val="20"/>
              </w:rPr>
              <w:t>Примечание:</w:t>
            </w:r>
            <w:r>
              <w:rPr>
                <w:sz w:val="20"/>
                <w:szCs w:val="20"/>
              </w:rPr>
              <w:br/>
            </w:r>
            <w:r>
              <w:rPr>
                <w:sz w:val="20"/>
                <w:szCs w:val="20"/>
                <w:vertAlign w:val="superscript"/>
              </w:rPr>
              <w:t xml:space="preserve">1 </w:t>
            </w:r>
            <w:r>
              <w:rPr>
                <w:sz w:val="20"/>
                <w:szCs w:val="20"/>
              </w:rPr>
              <w:t>Дополнительная информация для пациентов с сахарным диабетом приведена в подразделах ниже</w:t>
            </w:r>
          </w:p>
          <w:p w14:paraId="197BEA35" w14:textId="77777777" w:rsidR="00C035FA" w:rsidRDefault="008D5756" w:rsidP="004621EF">
            <w:pPr>
              <w:spacing w:after="0" w:line="240" w:lineRule="auto"/>
              <w:contextualSpacing/>
              <w:rPr>
                <w:sz w:val="20"/>
                <w:szCs w:val="20"/>
              </w:rPr>
            </w:pPr>
            <w:r>
              <w:rPr>
                <w:sz w:val="20"/>
                <w:szCs w:val="20"/>
                <w:vertAlign w:val="superscript"/>
              </w:rPr>
              <w:t>2</w:t>
            </w:r>
            <w:r>
              <w:rPr>
                <w:sz w:val="20"/>
                <w:szCs w:val="20"/>
              </w:rPr>
              <w:t xml:space="preserve"> На основании данных пострегистрационного применения</w:t>
            </w:r>
          </w:p>
          <w:p w14:paraId="457E2FF0" w14:textId="17D99AD9" w:rsidR="00092D11" w:rsidRPr="00092D11" w:rsidRDefault="00092D11" w:rsidP="004621EF">
            <w:pPr>
              <w:spacing w:after="0" w:line="240" w:lineRule="auto"/>
              <w:contextualSpacing/>
              <w:rPr>
                <w:szCs w:val="28"/>
              </w:rPr>
            </w:pPr>
            <w:r>
              <w:rPr>
                <w:sz w:val="20"/>
                <w:szCs w:val="20"/>
                <w:vertAlign w:val="superscript"/>
              </w:rPr>
              <w:t xml:space="preserve">3 </w:t>
            </w:r>
            <w:r>
              <w:rPr>
                <w:sz w:val="20"/>
                <w:szCs w:val="20"/>
              </w:rPr>
              <w:t>Наблюдается у пациентов в СД2.</w:t>
            </w:r>
          </w:p>
        </w:tc>
      </w:tr>
    </w:tbl>
    <w:p w14:paraId="04F1AE15" w14:textId="77777777" w:rsidR="00C035FA" w:rsidRDefault="00C035FA">
      <w:pPr>
        <w:spacing w:after="0" w:line="240" w:lineRule="auto"/>
        <w:rPr>
          <w:b/>
          <w:bCs/>
          <w:i/>
          <w:iCs/>
          <w:szCs w:val="28"/>
        </w:rPr>
      </w:pPr>
    </w:p>
    <w:p w14:paraId="46AFFDDF" w14:textId="77777777" w:rsidR="00C035FA" w:rsidRPr="00007FC4" w:rsidRDefault="008D5756">
      <w:pPr>
        <w:spacing w:after="0" w:line="240" w:lineRule="auto"/>
        <w:rPr>
          <w:b/>
          <w:szCs w:val="28"/>
        </w:rPr>
      </w:pPr>
      <w:r w:rsidRPr="00007FC4">
        <w:rPr>
          <w:b/>
          <w:bCs/>
          <w:iCs/>
          <w:szCs w:val="28"/>
        </w:rPr>
        <w:t>Описание отдельных нежелательных реакций</w:t>
      </w:r>
    </w:p>
    <w:p w14:paraId="0986CEB9" w14:textId="77777777" w:rsidR="00007FC4" w:rsidRDefault="00007FC4">
      <w:pPr>
        <w:spacing w:after="0" w:line="240" w:lineRule="auto"/>
        <w:rPr>
          <w:i/>
          <w:iCs/>
          <w:szCs w:val="28"/>
        </w:rPr>
      </w:pPr>
    </w:p>
    <w:p w14:paraId="68AB2E39" w14:textId="0E7715AA" w:rsidR="00C035FA" w:rsidRPr="00007FC4" w:rsidRDefault="008D5756">
      <w:pPr>
        <w:spacing w:after="0" w:line="240" w:lineRule="auto"/>
        <w:rPr>
          <w:b/>
          <w:szCs w:val="28"/>
        </w:rPr>
      </w:pPr>
      <w:r w:rsidRPr="00007FC4">
        <w:rPr>
          <w:b/>
          <w:i/>
          <w:iCs/>
          <w:szCs w:val="28"/>
        </w:rPr>
        <w:t>Гипогликемия</w:t>
      </w:r>
    </w:p>
    <w:p w14:paraId="0A193539" w14:textId="71F83423" w:rsidR="00C035FA" w:rsidRDefault="008D5756">
      <w:pPr>
        <w:spacing w:after="0" w:line="240" w:lineRule="auto"/>
        <w:ind w:firstLine="708"/>
        <w:rPr>
          <w:szCs w:val="28"/>
        </w:rPr>
      </w:pPr>
      <w:r>
        <w:rPr>
          <w:szCs w:val="28"/>
        </w:rPr>
        <w:t>Частота гипогликемии зависела от применявшейся сопутствующей гипогликемической терапии и была сходной у пациентов, принимавших эмпаглифлозин или плацебо в виде монотерапии, а также в случае добавления эмпаглифлозина к метформину, в случае добавления эмпаглифлозина к пиоглитазону (± метформин) и в случае добавления эмпаглифлозина к линаглиптину + метформин.</w:t>
      </w:r>
    </w:p>
    <w:p w14:paraId="041B907F" w14:textId="6E9C705F" w:rsidR="00C035FA" w:rsidRDefault="008D5756">
      <w:pPr>
        <w:spacing w:after="0" w:line="240" w:lineRule="auto"/>
        <w:ind w:firstLine="708"/>
        <w:rPr>
          <w:szCs w:val="28"/>
        </w:rPr>
      </w:pPr>
      <w:r>
        <w:rPr>
          <w:szCs w:val="28"/>
        </w:rPr>
        <w:t>В случае применения эмпаглифлозина в комбинации с метформином и производным сульфонилмочевины и в случае применения эмпаглифлозина в комбинации с инсулином (± метформин и ± производное сульфонилмочевины) частота развития гипогликемии была выше, чем при применении плацебо в той же комбинации [</w:t>
      </w:r>
      <w:r w:rsidR="004621EF" w:rsidRPr="004621EF">
        <w:rPr>
          <w:szCs w:val="28"/>
        </w:rPr>
        <w:t>31</w:t>
      </w:r>
      <w:r>
        <w:rPr>
          <w:szCs w:val="28"/>
        </w:rPr>
        <w:t xml:space="preserve">, </w:t>
      </w:r>
      <w:r w:rsidR="004621EF" w:rsidRPr="004621EF">
        <w:rPr>
          <w:szCs w:val="28"/>
        </w:rPr>
        <w:t>1</w:t>
      </w:r>
      <w:r>
        <w:rPr>
          <w:szCs w:val="28"/>
        </w:rPr>
        <w:t xml:space="preserve">, </w:t>
      </w:r>
      <w:r w:rsidR="004621EF" w:rsidRPr="004621EF">
        <w:rPr>
          <w:szCs w:val="28"/>
        </w:rPr>
        <w:t>9</w:t>
      </w:r>
      <w:r>
        <w:rPr>
          <w:szCs w:val="28"/>
        </w:rPr>
        <w:t>].</w:t>
      </w:r>
    </w:p>
    <w:p w14:paraId="308301E0" w14:textId="77777777" w:rsidR="00C035FA" w:rsidRDefault="00C035FA">
      <w:pPr>
        <w:spacing w:after="0" w:line="240" w:lineRule="auto"/>
        <w:rPr>
          <w:i/>
          <w:iCs/>
          <w:szCs w:val="28"/>
        </w:rPr>
      </w:pPr>
    </w:p>
    <w:p w14:paraId="2CEBA885" w14:textId="77777777" w:rsidR="00C035FA" w:rsidRPr="00007FC4" w:rsidRDefault="008D5756">
      <w:pPr>
        <w:spacing w:after="0" w:line="240" w:lineRule="auto"/>
        <w:rPr>
          <w:b/>
          <w:szCs w:val="28"/>
        </w:rPr>
      </w:pPr>
      <w:r w:rsidRPr="00007FC4">
        <w:rPr>
          <w:b/>
          <w:i/>
          <w:iCs/>
          <w:szCs w:val="28"/>
        </w:rPr>
        <w:t>Тяжелая гипогликемия (состояние, требующее медицинского вмешательства)</w:t>
      </w:r>
    </w:p>
    <w:p w14:paraId="67ACCE5B" w14:textId="037C4536" w:rsidR="00C035FA" w:rsidRDefault="008D5756">
      <w:pPr>
        <w:spacing w:after="0" w:line="240" w:lineRule="auto"/>
        <w:ind w:firstLine="708"/>
        <w:rPr>
          <w:szCs w:val="28"/>
        </w:rPr>
      </w:pPr>
      <w:r>
        <w:rPr>
          <w:szCs w:val="28"/>
        </w:rPr>
        <w:t>Частота развития случаев тяжелой гипогликемии была низкой (&lt; 1 %) и сходной у пациентов, принимавших эмпаглифлозин и плацебо в виде монотерапии, а также в случае добавления эмпаглифлозина к метформину (± производные сульфонилмочевины), в случае добавления эмпаглифлозина к пиоглитазону (± метформин) и в случае добавления эмпаглифлозина к линаглиптину + метформин. В случае применения эмпаглифлозина в комбинации с базальным инсулином (± метформин и ± производное сульфонилмочевины) частота развития гипогликемии была выше, чем при применении плацебо в той же комбинации [</w:t>
      </w:r>
      <w:r w:rsidR="004621EF" w:rsidRPr="004621EF">
        <w:rPr>
          <w:szCs w:val="28"/>
        </w:rPr>
        <w:t>1</w:t>
      </w:r>
      <w:r>
        <w:rPr>
          <w:szCs w:val="28"/>
        </w:rPr>
        <w:t>].</w:t>
      </w:r>
    </w:p>
    <w:p w14:paraId="6B75634E" w14:textId="77777777" w:rsidR="00C035FA" w:rsidRPr="00007FC4" w:rsidRDefault="00C035FA">
      <w:pPr>
        <w:spacing w:after="0" w:line="240" w:lineRule="auto"/>
        <w:rPr>
          <w:b/>
          <w:i/>
          <w:iCs/>
          <w:szCs w:val="28"/>
        </w:rPr>
      </w:pPr>
    </w:p>
    <w:p w14:paraId="116F96E8" w14:textId="77777777" w:rsidR="00C035FA" w:rsidRPr="00007FC4" w:rsidRDefault="008D5756">
      <w:pPr>
        <w:spacing w:after="0" w:line="240" w:lineRule="auto"/>
        <w:rPr>
          <w:b/>
          <w:szCs w:val="28"/>
        </w:rPr>
      </w:pPr>
      <w:r w:rsidRPr="00007FC4">
        <w:rPr>
          <w:b/>
          <w:i/>
          <w:iCs/>
          <w:szCs w:val="28"/>
        </w:rPr>
        <w:t>Увеличение мочевыделения</w:t>
      </w:r>
    </w:p>
    <w:p w14:paraId="00FD0798" w14:textId="6C8F6403" w:rsidR="00C035FA" w:rsidRDefault="008D5756">
      <w:pPr>
        <w:spacing w:after="0" w:line="240" w:lineRule="auto"/>
        <w:ind w:firstLine="708"/>
        <w:rPr>
          <w:szCs w:val="28"/>
        </w:rPr>
      </w:pPr>
      <w:r>
        <w:rPr>
          <w:szCs w:val="28"/>
        </w:rPr>
        <w:t xml:space="preserve">Наблюдалось увеличение мочевыделения (оценивались такие симптомы, как поллакиурия, полиурия, никтурия) в случае применения эмпаглифлозина (в дозе 10 мг: </w:t>
      </w:r>
      <w:r>
        <w:rPr>
          <w:szCs w:val="28"/>
        </w:rPr>
        <w:lastRenderedPageBreak/>
        <w:t>3,5%, в дозе 25 мг: 3,3 %), в сравнении с плацебо (1,4 %). Частота развития никтурии была сопоставима в группе пациентов, принимавших эмпаглифлозин и в группе пациентов, принимавших плацебо (менее 1 %). Увеличение мочевыделения было в основном легкой или средней интенсивности [</w:t>
      </w:r>
      <w:r w:rsidR="004621EF" w:rsidRPr="000C7F59">
        <w:rPr>
          <w:szCs w:val="28"/>
        </w:rPr>
        <w:t>1</w:t>
      </w:r>
      <w:r>
        <w:rPr>
          <w:szCs w:val="28"/>
        </w:rPr>
        <w:t>].</w:t>
      </w:r>
    </w:p>
    <w:p w14:paraId="0619065F" w14:textId="77777777" w:rsidR="00C035FA" w:rsidRDefault="00C035FA">
      <w:pPr>
        <w:spacing w:after="0" w:line="240" w:lineRule="auto"/>
        <w:rPr>
          <w:i/>
          <w:iCs/>
          <w:szCs w:val="28"/>
        </w:rPr>
      </w:pPr>
    </w:p>
    <w:p w14:paraId="09162E2D" w14:textId="77777777" w:rsidR="00C035FA" w:rsidRPr="00007FC4" w:rsidRDefault="008D5756">
      <w:pPr>
        <w:spacing w:after="0" w:line="240" w:lineRule="auto"/>
        <w:rPr>
          <w:b/>
          <w:szCs w:val="28"/>
        </w:rPr>
      </w:pPr>
      <w:r w:rsidRPr="00007FC4">
        <w:rPr>
          <w:b/>
          <w:i/>
          <w:iCs/>
          <w:szCs w:val="28"/>
        </w:rPr>
        <w:t>Инфекции мочевыводящих путей</w:t>
      </w:r>
    </w:p>
    <w:p w14:paraId="32F63425" w14:textId="4BB7F343" w:rsidR="00C035FA" w:rsidRDefault="008D5756">
      <w:pPr>
        <w:spacing w:after="0" w:line="240" w:lineRule="auto"/>
        <w:ind w:firstLine="708"/>
        <w:rPr>
          <w:szCs w:val="28"/>
        </w:rPr>
      </w:pPr>
      <w:r>
        <w:rPr>
          <w:szCs w:val="28"/>
        </w:rPr>
        <w:t>Частота развития инфекций мочевыводящих путей была сходной в случае применения эмпаглифлозина 25 мг и плацебо (7,0 % и 7,2 %, соответственно), но выше в случае применения эмпаглифлозина 10 мг (8</w:t>
      </w:r>
      <w:r w:rsidR="00CA1D25">
        <w:rPr>
          <w:szCs w:val="28"/>
        </w:rPr>
        <w:t>,</w:t>
      </w:r>
      <w:r>
        <w:rPr>
          <w:szCs w:val="28"/>
        </w:rPr>
        <w:t>8%). Также, как и в случае применения плацебо, инфекции мочевыводящих путей на фоне приема эмпаглифлозина чаще отмечались у пациентов с хроническими и рецидивирующими инфекциями мочевыводящих путей в анамнезе. Интенсивность инфекций мочевыводящих путей была сходной у пациентов, принимающих эмпаглифлозин и плацебо. Инфекции мочевыводящих путей чаще отмечались у женщин [</w:t>
      </w:r>
      <w:r w:rsidR="004621EF" w:rsidRPr="000C7F59">
        <w:rPr>
          <w:szCs w:val="28"/>
        </w:rPr>
        <w:t>1</w:t>
      </w:r>
      <w:r>
        <w:rPr>
          <w:szCs w:val="28"/>
        </w:rPr>
        <w:t>].</w:t>
      </w:r>
    </w:p>
    <w:p w14:paraId="2A3B4811" w14:textId="77777777" w:rsidR="00C035FA" w:rsidRDefault="00C035FA">
      <w:pPr>
        <w:spacing w:after="0" w:line="240" w:lineRule="auto"/>
        <w:rPr>
          <w:i/>
          <w:iCs/>
          <w:szCs w:val="28"/>
        </w:rPr>
      </w:pPr>
    </w:p>
    <w:p w14:paraId="3F486AF3" w14:textId="77777777" w:rsidR="00C035FA" w:rsidRPr="00007FC4" w:rsidRDefault="008D5756">
      <w:pPr>
        <w:spacing w:after="0" w:line="240" w:lineRule="auto"/>
        <w:rPr>
          <w:b/>
          <w:szCs w:val="28"/>
        </w:rPr>
      </w:pPr>
      <w:r w:rsidRPr="00007FC4">
        <w:rPr>
          <w:b/>
          <w:i/>
          <w:iCs/>
          <w:szCs w:val="28"/>
        </w:rPr>
        <w:t>Генитальные инфекции</w:t>
      </w:r>
    </w:p>
    <w:p w14:paraId="583BBDA6" w14:textId="3F7A6D22" w:rsidR="00C035FA" w:rsidRDefault="008D5756">
      <w:pPr>
        <w:spacing w:after="0" w:line="240" w:lineRule="auto"/>
        <w:ind w:firstLine="708"/>
        <w:rPr>
          <w:szCs w:val="28"/>
        </w:rPr>
      </w:pPr>
      <w:r>
        <w:rPr>
          <w:szCs w:val="28"/>
        </w:rPr>
        <w:t>Частота развития таких HP как кандидозный вульвовагинит, вульвовагинит, баланит и других генитальных инфекций была выше в случае применения эмпаглифлозина (в дозе 10 мг: 4,0%, в дозе 25 мг: 3,9%), чем при применении плацебо (1,0%). Генитальные инфекции чаще отмечались у женщин. Инфекции половых путей были лёгкой и средней степени тяжести [</w:t>
      </w:r>
      <w:r w:rsidR="004621EF" w:rsidRPr="004621EF">
        <w:rPr>
          <w:szCs w:val="28"/>
        </w:rPr>
        <w:t>1</w:t>
      </w:r>
      <w:r>
        <w:rPr>
          <w:szCs w:val="28"/>
        </w:rPr>
        <w:t>].</w:t>
      </w:r>
    </w:p>
    <w:p w14:paraId="06E76D30" w14:textId="5961248D" w:rsidR="00C035FA" w:rsidRDefault="008D5756">
      <w:pPr>
        <w:spacing w:after="0" w:line="240" w:lineRule="auto"/>
        <w:ind w:firstLine="708"/>
        <w:rPr>
          <w:iCs/>
          <w:szCs w:val="28"/>
        </w:rPr>
      </w:pPr>
      <w:r>
        <w:rPr>
          <w:iCs/>
          <w:szCs w:val="28"/>
        </w:rPr>
        <w:t>Увеличение риска генитальных микотических инфекций было замечено в большинстве исследований с применением эмпаглифлозина, а мета-анализ выявил ОШ для генитальных микотических инфекций при приеме эмпаглифлозина по сравнению с плацебо, что составило 4,39 (95% ДИ: 2,10–9,19) для дозы 10 мг и 3,31 (95% ДИ: 1,55–7,09) для дозы 25 мг [</w:t>
      </w:r>
      <w:r w:rsidR="004621EF" w:rsidRPr="004621EF">
        <w:rPr>
          <w:iCs/>
          <w:szCs w:val="28"/>
        </w:rPr>
        <w:t>31</w:t>
      </w:r>
      <w:r>
        <w:rPr>
          <w:iCs/>
          <w:szCs w:val="28"/>
        </w:rPr>
        <w:t xml:space="preserve">, </w:t>
      </w:r>
      <w:r w:rsidR="004621EF" w:rsidRPr="004621EF">
        <w:rPr>
          <w:iCs/>
          <w:szCs w:val="28"/>
        </w:rPr>
        <w:t>9</w:t>
      </w:r>
      <w:r>
        <w:rPr>
          <w:iCs/>
          <w:szCs w:val="28"/>
        </w:rPr>
        <w:t>].</w:t>
      </w:r>
    </w:p>
    <w:p w14:paraId="775482C8" w14:textId="07824212" w:rsidR="00C035FA" w:rsidRDefault="008D5756">
      <w:pPr>
        <w:spacing w:after="0" w:line="240" w:lineRule="auto"/>
        <w:ind w:firstLine="708"/>
        <w:rPr>
          <w:iCs/>
          <w:szCs w:val="28"/>
        </w:rPr>
      </w:pPr>
      <w:r>
        <w:rPr>
          <w:iCs/>
          <w:szCs w:val="28"/>
        </w:rPr>
        <w:t>В другой недавней оценке безопасности эмпаглифлозина частота генитальных инфекций, зарегистрированных при применении эмпаглифлозина (4,7 и 5,0/100 пациенто-лет для эмпаглифлозина) в дозе 10 и 25 мг соответственно была выше, чем в группе плацебо (1,3/100 пациенто-лет), но не было выявлено различий в частоте генитальных инфекций, требующих длительной госпитализации [</w:t>
      </w:r>
      <w:r w:rsidR="004621EF" w:rsidRPr="004621EF">
        <w:rPr>
          <w:iCs/>
          <w:szCs w:val="28"/>
        </w:rPr>
        <w:t>54</w:t>
      </w:r>
      <w:r>
        <w:rPr>
          <w:iCs/>
          <w:szCs w:val="28"/>
        </w:rPr>
        <w:t>].</w:t>
      </w:r>
    </w:p>
    <w:p w14:paraId="002A2347" w14:textId="710F9341" w:rsidR="00C035FA" w:rsidRDefault="008D5756">
      <w:pPr>
        <w:spacing w:after="0" w:line="240" w:lineRule="auto"/>
        <w:ind w:firstLine="708"/>
        <w:rPr>
          <w:iCs/>
          <w:szCs w:val="28"/>
        </w:rPr>
      </w:pPr>
      <w:r>
        <w:rPr>
          <w:iCs/>
          <w:szCs w:val="28"/>
        </w:rPr>
        <w:t>Любое увеличение риска инфекции мочевыводящих путей при применении эмпаглифлозина представляется незначительным. В метаанализе исследований эмпаглифлозина при инфекции мочевыводящих путей ОШ составило 1,20 (95% ДИ: 0,92–1,57) для дозы 10 мг и 1,03 (95% ДИ: 0,81–1,32) для дозы 25 мг эмпаглифлозин по сравнению с плацебо [</w:t>
      </w:r>
      <w:r w:rsidR="004621EF" w:rsidRPr="004621EF">
        <w:rPr>
          <w:iCs/>
          <w:szCs w:val="28"/>
        </w:rPr>
        <w:t>31</w:t>
      </w:r>
      <w:r>
        <w:rPr>
          <w:iCs/>
          <w:szCs w:val="28"/>
        </w:rPr>
        <w:t>].</w:t>
      </w:r>
    </w:p>
    <w:p w14:paraId="6B980E91" w14:textId="61403EDE" w:rsidR="00C035FA" w:rsidRDefault="008D5756">
      <w:pPr>
        <w:spacing w:after="0" w:line="240" w:lineRule="auto"/>
        <w:ind w:firstLine="708"/>
        <w:rPr>
          <w:iCs/>
          <w:szCs w:val="28"/>
        </w:rPr>
      </w:pPr>
      <w:r>
        <w:rPr>
          <w:iCs/>
          <w:szCs w:val="28"/>
        </w:rPr>
        <w:t>При объединенной оценке безопасности частота инфекций мочевыводящих путей составила 10,4, 9,4 и 11,3 на 100 пациенто-лет в группе эмпаглифлозина 10 мг, эмпаглифлозин 25 мг и группы плацебо соответственно, а острый пиелонефрит был у &lt;0,1% пациентов в каждой группе эмпаглифлозина и у 0,1% пациентов, получавших плацебо [</w:t>
      </w:r>
      <w:r w:rsidR="004621EF" w:rsidRPr="004621EF">
        <w:rPr>
          <w:iCs/>
          <w:szCs w:val="28"/>
        </w:rPr>
        <w:t>54</w:t>
      </w:r>
      <w:r>
        <w:rPr>
          <w:iCs/>
          <w:szCs w:val="28"/>
        </w:rPr>
        <w:t>].</w:t>
      </w:r>
    </w:p>
    <w:p w14:paraId="4373BE39" w14:textId="04D8F9E3" w:rsidR="00C035FA" w:rsidRDefault="008D5756">
      <w:pPr>
        <w:spacing w:after="0" w:line="240" w:lineRule="auto"/>
        <w:ind w:firstLine="708"/>
        <w:rPr>
          <w:iCs/>
          <w:szCs w:val="28"/>
        </w:rPr>
      </w:pPr>
      <w:r>
        <w:rPr>
          <w:iCs/>
          <w:szCs w:val="28"/>
        </w:rPr>
        <w:t xml:space="preserve"> В исследовании EMPA-REG OUTCOME осложненная инфекция мочевыводящих путей встречались с одинаковой частотой в группе эмпаглифлозина (1,7%) и группе плацебо (1,8%) [</w:t>
      </w:r>
      <w:r w:rsidR="004621EF" w:rsidRPr="004621EF">
        <w:rPr>
          <w:iCs/>
          <w:szCs w:val="28"/>
        </w:rPr>
        <w:t>55</w:t>
      </w:r>
      <w:r>
        <w:rPr>
          <w:iCs/>
          <w:szCs w:val="28"/>
        </w:rPr>
        <w:t>, 2</w:t>
      </w:r>
      <w:r w:rsidR="004621EF" w:rsidRPr="004621EF">
        <w:rPr>
          <w:iCs/>
          <w:szCs w:val="28"/>
        </w:rPr>
        <w:t>3</w:t>
      </w:r>
      <w:r>
        <w:rPr>
          <w:iCs/>
          <w:szCs w:val="28"/>
        </w:rPr>
        <w:t xml:space="preserve">, </w:t>
      </w:r>
      <w:r w:rsidR="004621EF" w:rsidRPr="004621EF">
        <w:rPr>
          <w:iCs/>
          <w:szCs w:val="28"/>
        </w:rPr>
        <w:t>9</w:t>
      </w:r>
      <w:r>
        <w:rPr>
          <w:iCs/>
          <w:szCs w:val="28"/>
        </w:rPr>
        <w:t>].</w:t>
      </w:r>
    </w:p>
    <w:p w14:paraId="4A556800" w14:textId="77777777" w:rsidR="00C035FA" w:rsidRDefault="00C035FA">
      <w:pPr>
        <w:spacing w:after="0" w:line="240" w:lineRule="auto"/>
        <w:rPr>
          <w:i/>
          <w:iCs/>
          <w:szCs w:val="28"/>
        </w:rPr>
      </w:pPr>
    </w:p>
    <w:p w14:paraId="498392EE" w14:textId="77777777" w:rsidR="00C035FA" w:rsidRPr="00007FC4" w:rsidRDefault="008D5756">
      <w:pPr>
        <w:spacing w:after="0" w:line="240" w:lineRule="auto"/>
        <w:rPr>
          <w:b/>
          <w:szCs w:val="28"/>
        </w:rPr>
      </w:pPr>
      <w:r w:rsidRPr="00007FC4">
        <w:rPr>
          <w:b/>
          <w:i/>
          <w:iCs/>
          <w:szCs w:val="28"/>
        </w:rPr>
        <w:t>Гиповолемия</w:t>
      </w:r>
    </w:p>
    <w:p w14:paraId="57A88083" w14:textId="6CB2A27A" w:rsidR="00C035FA" w:rsidRDefault="008D5756">
      <w:pPr>
        <w:spacing w:after="0" w:line="240" w:lineRule="auto"/>
        <w:ind w:firstLine="708"/>
        <w:rPr>
          <w:szCs w:val="28"/>
        </w:rPr>
      </w:pPr>
      <w:r>
        <w:rPr>
          <w:szCs w:val="28"/>
        </w:rPr>
        <w:t xml:space="preserve">Частота развития гиповолемии (которая выражалась снижением артериального давления, ортостатической артериальной гипотензией, дегидратацией, обмороком) была сходной в случае применения эмпаглифлозина (в дозе 10 мг: 0,6%, в дозе 25 мг: 0,4%) и </w:t>
      </w:r>
      <w:r>
        <w:rPr>
          <w:szCs w:val="28"/>
        </w:rPr>
        <w:lastRenderedPageBreak/>
        <w:t>плацебо (0,3 %). У пациентов старше 75 лет частота развития гиповолемии была сопоставима у пациентов, принимавших эмпаглифлозин в дозе 10 мг (2,3 %) и плацебо (2,1 %), но выше у пациентов, принимавших эмпаглифлозин в дозе 25 мг (4,3 %) [</w:t>
      </w:r>
      <w:r w:rsidR="004621EF" w:rsidRPr="004621EF">
        <w:rPr>
          <w:szCs w:val="28"/>
        </w:rPr>
        <w:t>1</w:t>
      </w:r>
      <w:r>
        <w:rPr>
          <w:szCs w:val="28"/>
        </w:rPr>
        <w:t>].</w:t>
      </w:r>
    </w:p>
    <w:p w14:paraId="76570970" w14:textId="77777777" w:rsidR="00C035FA" w:rsidRDefault="00C035FA">
      <w:pPr>
        <w:spacing w:after="0" w:line="240" w:lineRule="auto"/>
        <w:rPr>
          <w:i/>
          <w:iCs/>
          <w:szCs w:val="28"/>
        </w:rPr>
      </w:pPr>
    </w:p>
    <w:p w14:paraId="04120474" w14:textId="77777777" w:rsidR="00C035FA" w:rsidRPr="00007FC4" w:rsidRDefault="008D5756">
      <w:pPr>
        <w:spacing w:after="0" w:line="240" w:lineRule="auto"/>
        <w:rPr>
          <w:b/>
          <w:szCs w:val="28"/>
        </w:rPr>
      </w:pPr>
      <w:r w:rsidRPr="00007FC4">
        <w:rPr>
          <w:b/>
          <w:i/>
          <w:iCs/>
          <w:szCs w:val="28"/>
        </w:rPr>
        <w:t>Снижение скорости клубочковой фильтрации и повышение концентрации креатинина в плазме крови</w:t>
      </w:r>
    </w:p>
    <w:p w14:paraId="2F5AD143" w14:textId="0BDB6D69" w:rsidR="004621EF" w:rsidRPr="004621EF" w:rsidRDefault="008D5756" w:rsidP="004621EF">
      <w:pPr>
        <w:spacing w:after="0" w:line="240" w:lineRule="auto"/>
        <w:ind w:firstLine="567"/>
        <w:rPr>
          <w:szCs w:val="28"/>
        </w:rPr>
      </w:pPr>
      <w:r>
        <w:rPr>
          <w:szCs w:val="28"/>
        </w:rPr>
        <w:t>Общая частота снижения СКФ и повышения концентрации креатинина в плазме крови были схожи при применении эмпаглифлозина и плацебо (повышение концентрации креатинина в плазме крови: эмпаглифлозин 10 мг 0,6%, эмпаглифлозин 25 мг 0,1%, плацебо 0,5%; Снижение СКФ: эмпаглифлозин 10 мг 0,1 %, эмпаглифлозин 25 мг 0 %, плацебо 0,3 %). Наблюдалось начальное транзиторное повышение концентрации креатинина в плазме крови (среднее изменение по сравнению с исходным значением после 12 недель: эмпаглифлозин в дозе 10 мг - 0,02 мг/дл, эмпаглифлозин в дозе 25 мг - 0,01 мг/дл) и начальное транзиторное снижение расчетной СКФ (среднее изменение по сравнению с исходным значением после 12 недель: эмпаглифлозин в дозе 10 мг - 1,34 мл/мин/1,73 м</w:t>
      </w:r>
      <w:r>
        <w:rPr>
          <w:szCs w:val="28"/>
          <w:vertAlign w:val="superscript"/>
        </w:rPr>
        <w:t>2</w:t>
      </w:r>
      <w:r>
        <w:rPr>
          <w:szCs w:val="28"/>
        </w:rPr>
        <w:t>, эмпаглифлозин в дозе 25 мг - 1,37 мл/мин/1,73 м</w:t>
      </w:r>
      <w:r>
        <w:rPr>
          <w:szCs w:val="28"/>
          <w:vertAlign w:val="superscript"/>
        </w:rPr>
        <w:t>2</w:t>
      </w:r>
      <w:r>
        <w:rPr>
          <w:szCs w:val="28"/>
        </w:rPr>
        <w:t>). В долгосрочных исследованиях эти изменения обычно были обратимыми при продолжении лечения или после прекращения приема препарата [</w:t>
      </w:r>
      <w:r w:rsidR="004621EF" w:rsidRPr="004621EF">
        <w:rPr>
          <w:szCs w:val="28"/>
        </w:rPr>
        <w:t>1</w:t>
      </w:r>
      <w:r>
        <w:rPr>
          <w:szCs w:val="28"/>
        </w:rPr>
        <w:t>].</w:t>
      </w:r>
    </w:p>
    <w:p w14:paraId="77049164" w14:textId="77777777" w:rsidR="00C035FA" w:rsidRDefault="008D5756">
      <w:pPr>
        <w:spacing w:before="240" w:after="240" w:line="240" w:lineRule="auto"/>
        <w:outlineLvl w:val="2"/>
        <w:rPr>
          <w:rFonts w:eastAsia="Times New Roman"/>
          <w:b/>
          <w:bCs/>
          <w:iCs/>
          <w:lang w:eastAsia="en-US"/>
        </w:rPr>
      </w:pPr>
      <w:bookmarkStart w:id="163" w:name="_Toc139366894"/>
      <w:r>
        <w:rPr>
          <w:rFonts w:eastAsia="Times New Roman"/>
          <w:b/>
          <w:bCs/>
          <w:iCs/>
          <w:lang w:eastAsia="en-US"/>
        </w:rPr>
        <w:t>4.3.3. Пострегистрационный опыт применения</w:t>
      </w:r>
      <w:bookmarkEnd w:id="163"/>
    </w:p>
    <w:p w14:paraId="054AB18D" w14:textId="2E135300" w:rsidR="00C035FA" w:rsidRDefault="008D5756">
      <w:pPr>
        <w:spacing w:after="0" w:line="240" w:lineRule="auto"/>
        <w:ind w:firstLine="709"/>
      </w:pPr>
      <w:bookmarkStart w:id="164" w:name="bookmark45"/>
      <w:bookmarkStart w:id="165" w:name="bookmark44"/>
      <w:bookmarkEnd w:id="164"/>
      <w:bookmarkEnd w:id="165"/>
      <w:r>
        <w:t xml:space="preserve">С недавних пор в лечение СД2 широко внедрились современные сахароснижающие препараты нового класса – ингибиторы натрий-глюкозного котранспортера 2-го типа (иНГЛТ-2), а также ингибиторы дипетидилпептидазы-4 (иДПП-4). Большие надежды возлагаются на эти препараты в связи с выявленным кардио- и нефропротективным, гипотензивным и метаболическим эффектами, механизмы которых на сегодняшний день находятся на стадии изучения. Опираясь на вышеперечисленное, было проведено исследование с целью сравнения эффективности и безопасности применения сахароснижающих таблетированных препаратов из группы иДПП-4 (саксаглиптин) и иНГЛТ-2 (эмпаглифлозин) у больных с СД2 и ЦП </w:t>
      </w:r>
      <w:r w:rsidR="004621EF" w:rsidRPr="004621EF">
        <w:t>[56</w:t>
      </w:r>
      <w:r>
        <w:t>].</w:t>
      </w:r>
    </w:p>
    <w:p w14:paraId="1D8A2A64" w14:textId="3663FF1E" w:rsidR="00C035FA" w:rsidRDefault="008D5756">
      <w:pPr>
        <w:spacing w:after="0" w:line="240" w:lineRule="auto"/>
        <w:ind w:firstLine="709"/>
      </w:pPr>
      <w:r>
        <w:t>В исследовании приняли участие 30 пациентов с ЦП, печеночно-клеточной недостаточностью и СД2, разделенных на 2 группы. Средний возраст пациентов 1-й группы (n=15) составил 61,7±3,4 года, 2-й группы (n=15) – 59,8±3,7 года, средняя длительность СД2 в 1-й группе составила 8,1±2,3 года, во 2-й – 7,8±1,8 года. Функциональное состояние печени оценивали по шкале Чайлда–Пью. В 1-й группе сумма баллов составила 9±2, во 2-й – 10±3. У всех пациентов отмечался асцит (от легкого до напряженного). Степень энцефалопатии в обеих группах расценивалась как легкая. В 1-й группе средний уровень билирубина составил 56±7,3 мкмоль/л, протромбиновый индекс (ПТИ) – 49±3,1%, уровень альбумина – 31,75±6,2 г/л, уровень аланинтрансферазы (АЛТ) – 143,57±74,25 ед/л, ЩФ – 168±18,1 ед/л, соотношение альбумин/билирубин по шкале ALBI составляло –1,565 (II степень). Во 2-й группе средний уровень билирубина – 51±5,9 мкмоль/л, ПТИ – 54,0±2,8%, уровень альбумина – 33,9±7,5 г/л, уровень АЛТ – 159,84±64,9 ед/л, ЩФ – 189,4±24,3 ед/л, соотношение альбумин/билирубин по шкале ALBI составило –1,73 (II степень), Уровень гликированного гемоглобина (НbА1с) в 1-й группе составил 8,6±1,3%, во 2-й – 8,9±2,7%. Пациентам 1-й группы был назначен саксаглиптин в дозе 5 мг 1 раз в сутки, пациентам 2-й группы – эмпаглифлозин в дозе 10 мг 1 раз в сутки. Все пациенты получали необходимую диету, сорбенты и гепатопротекторы.</w:t>
      </w:r>
    </w:p>
    <w:p w14:paraId="588912B2" w14:textId="353EECC1" w:rsidR="00C035FA" w:rsidRDefault="008D5756">
      <w:pPr>
        <w:spacing w:after="0" w:line="240" w:lineRule="auto"/>
        <w:ind w:firstLine="709"/>
      </w:pPr>
      <w:r>
        <w:lastRenderedPageBreak/>
        <w:t>Через 6 месяцев после начала лечения функциональное состояние печени по шкале Чайлда–Пью изменилось в положительную сторону во 2-й группе: снизился уровень маркеров фиброза печени, а также показатели гликемии.</w:t>
      </w:r>
    </w:p>
    <w:p w14:paraId="1D9F24BC" w14:textId="6664DD24" w:rsidR="00C035FA" w:rsidRDefault="008D5756">
      <w:pPr>
        <w:spacing w:after="0" w:line="240" w:lineRule="auto"/>
        <w:ind w:firstLine="709"/>
      </w:pPr>
      <w:r>
        <w:t>Уровень НbА1с в 1-й группе снизился до 8,1±1,9%, во 2-й – до 7,7±1,3%. После лечения уровень билирубина в 1-й группе составил 55,3±6,2 мкмоль/л, уровень альбумина – 30,53±5,2 г/л, уровень АЛТ – 151,17±22,4 ед/л, уровень ЩФ – 163±24,2 ед/л, уровень ПТИ – 53,0±3,5%. Во 2-й группе уровень билирубина составил 45±5,6 мкмоль/л, альбумина – 39,82±3,9 г/л, АЛТ – 129±35 ед/л, ЩФ – 141±25,6 ед/л, ПТИ – 67,0±4,1%. Изменилось соотношение альбумин/билирубин по шкале ALBI: в 1-й группе стало -1,275 (II степень), во 2-й -2,265 (I степень).</w:t>
      </w:r>
    </w:p>
    <w:p w14:paraId="7D51139D" w14:textId="50809D33" w:rsidR="00C035FA" w:rsidRDefault="008D5756">
      <w:pPr>
        <w:spacing w:after="0" w:line="240" w:lineRule="auto"/>
        <w:ind w:firstLine="709"/>
      </w:pPr>
      <w:r>
        <w:t>Таким образом, в результате проведенного исследования установлено, что у пациентов с ЦП, печеночно-клеточной недостаточностью и СД2 в качестве препарата выбора при использовании пероральной сахароснижающей терапии предпочтительно использование эмпаглифлозина, который показал более выраженное позитивное влияние на компенсацию углеводного обмена и функцию печени [</w:t>
      </w:r>
      <w:r w:rsidR="004621EF" w:rsidRPr="004621EF">
        <w:t>56</w:t>
      </w:r>
      <w:r>
        <w:t>].</w:t>
      </w:r>
    </w:p>
    <w:p w14:paraId="2A6A6DA4" w14:textId="5BDA795F" w:rsidR="00C035FA" w:rsidRDefault="008D5756">
      <w:pPr>
        <w:spacing w:after="0" w:line="240" w:lineRule="auto"/>
        <w:ind w:firstLine="709"/>
      </w:pPr>
      <w:r>
        <w:t>Целью другого исследования было оценить возможности ингибитора натрий-глюкозного котранспортера 2 типа эмпаглифлозина в достижении ангиопротекции у пациентов с СД2, ранее получавших монотерапию метформином [</w:t>
      </w:r>
      <w:r w:rsidR="004621EF" w:rsidRPr="004621EF">
        <w:t>57</w:t>
      </w:r>
      <w:r>
        <w:t>].</w:t>
      </w:r>
    </w:p>
    <w:p w14:paraId="4FFCECF1" w14:textId="77777777" w:rsidR="00C035FA" w:rsidRDefault="008D5756">
      <w:pPr>
        <w:spacing w:after="0" w:line="240" w:lineRule="auto"/>
        <w:ind w:firstLine="709"/>
      </w:pPr>
      <w:r>
        <w:t>В 24-недельное исследование вошли 50 пациентов (22 мужчины и 28 женщин, средний возраст — 56,4 ± 10,2 года) с метаболическим синдромом (МС) (International Diabetes Federation, 2005) и СД2, находившиеся на монотерапии метформином не менее 6 месяцев, но не достигшие целевого уровня HbA1c (на момент включения &gt; 7,5%, но &lt; 9%). Сосудистый возраст, рассчитанный по алгоритму SCORE, у всех участников был более чем на 3 года больше паспортного. Включенным в исследование пациентам на 24 недели был назначен эмпаглифлозин в дозе 25 мг 1 раз в сутки. Данная дозировка оставалась стандартной для всех больных вплоть до конца исследования. Пациенты продолжали получать назначенную ранее гипотензивную, гиполипидемическую терапию на протяжении всего исследования без ее коррекции.</w:t>
      </w:r>
    </w:p>
    <w:p w14:paraId="351AB484" w14:textId="676F0D86" w:rsidR="00C035FA" w:rsidRDefault="008D5756">
      <w:pPr>
        <w:spacing w:after="0" w:line="240" w:lineRule="auto"/>
        <w:ind w:firstLine="709"/>
      </w:pPr>
      <w:r>
        <w:t>У них оценивали влияние эмпаглифлозина на показатели сосудистой жесткости и центральной гемодинамики, лабораторные показатели, сосудистый возраст по алгоритму SCORE.</w:t>
      </w:r>
    </w:p>
    <w:p w14:paraId="5C8BF30F" w14:textId="2A66A99E" w:rsidR="00C035FA" w:rsidRDefault="008D5756">
      <w:pPr>
        <w:spacing w:after="0" w:line="240" w:lineRule="auto"/>
        <w:ind w:firstLine="709"/>
      </w:pPr>
      <w:r>
        <w:t>Согласно результатам данного исследования после интенсификации терапии эмпаглифлозином целевого уровня HbA1c достигли 88% пациентов.</w:t>
      </w:r>
    </w:p>
    <w:p w14:paraId="7FF86EBF" w14:textId="507260CB" w:rsidR="00C035FA" w:rsidRDefault="008D5756">
      <w:pPr>
        <w:spacing w:after="0" w:line="240" w:lineRule="auto"/>
        <w:ind w:firstLine="709"/>
      </w:pPr>
      <w:r>
        <w:t xml:space="preserve">Уменьшились антропометрические показатели (масса тела </w:t>
      </w:r>
      <w:r w:rsidR="0094603C">
        <w:rPr>
          <w:rFonts w:eastAsia="TimesNewRoman"/>
        </w:rPr>
        <w:t>–</w:t>
      </w:r>
      <w:r>
        <w:t xml:space="preserve"> на 3,65%, окружность талии </w:t>
      </w:r>
      <w:r w:rsidR="0094603C">
        <w:rPr>
          <w:rFonts w:eastAsia="TimesNewRoman"/>
        </w:rPr>
        <w:t>–</w:t>
      </w:r>
      <w:r>
        <w:t xml:space="preserve"> на 1,93%, индекс массы тела </w:t>
      </w:r>
      <w:r w:rsidR="000F0228">
        <w:rPr>
          <w:rFonts w:eastAsia="TimesNewRoman"/>
        </w:rPr>
        <w:t>–</w:t>
      </w:r>
      <w:r>
        <w:t xml:space="preserve"> на 3,8%; p &lt; 0,05 для всех показателей), уровни лабораторных маркеров сосудистого старения (HbA1c </w:t>
      </w:r>
      <w:r w:rsidR="000F0228">
        <w:rPr>
          <w:rFonts w:eastAsia="TimesNewRoman"/>
        </w:rPr>
        <w:t>–</w:t>
      </w:r>
      <w:r>
        <w:t xml:space="preserve"> на 10,13%, общего холестерина — на 8%, липопротеинов низкой плотности </w:t>
      </w:r>
      <w:r w:rsidR="000F0228">
        <w:rPr>
          <w:rFonts w:eastAsia="TimesNewRoman"/>
        </w:rPr>
        <w:t>–</w:t>
      </w:r>
      <w:r>
        <w:t xml:space="preserve"> на 7,6%, лептина — на 17,8%, Homeostatic Model Assessment for Insulin Resistance </w:t>
      </w:r>
      <w:r w:rsidR="0094603C">
        <w:rPr>
          <w:rFonts w:eastAsia="TimesNewRoman"/>
        </w:rPr>
        <w:t>–</w:t>
      </w:r>
      <w:r>
        <w:t xml:space="preserve"> на 24,13%, высокочувствительного С-реактивного белка </w:t>
      </w:r>
      <w:r w:rsidR="0094603C">
        <w:rPr>
          <w:rFonts w:eastAsia="TimesNewRoman"/>
        </w:rPr>
        <w:t>–</w:t>
      </w:r>
      <w:r>
        <w:t xml:space="preserve"> на 34,77%, p &lt; 0,05 для всех показателей).</w:t>
      </w:r>
    </w:p>
    <w:p w14:paraId="78BD8F97" w14:textId="210E99EF" w:rsidR="00C035FA" w:rsidRDefault="008D5756">
      <w:pPr>
        <w:spacing w:after="0" w:line="240" w:lineRule="auto"/>
        <w:ind w:firstLine="709"/>
      </w:pPr>
      <w:r>
        <w:t xml:space="preserve">Значимо снизились параметры сосудистой жесткости (скорость распространения пульсовой волны на каротидно-феморальном участке </w:t>
      </w:r>
      <w:r w:rsidR="0094603C">
        <w:rPr>
          <w:rFonts w:eastAsia="TimesNewRoman"/>
        </w:rPr>
        <w:t>–</w:t>
      </w:r>
      <w:r>
        <w:t xml:space="preserve"> на 8,88%) и центральной гемодинамики (индекс аугментации </w:t>
      </w:r>
      <w:r w:rsidR="0094603C">
        <w:rPr>
          <w:rFonts w:eastAsia="TimesNewRoman"/>
        </w:rPr>
        <w:t xml:space="preserve">– </w:t>
      </w:r>
      <w:r>
        <w:t>на 6,55%, центральное пульсовое давление — на 7,8%). Однако прием эмпаглифлозина статистически значимо не влияет на сосудистый возраст по алгоритму SCORE, так как показатели метаболизма глюкозы и наличия/отсутствия СД2 не учитываются в данном алгоритме, что является одним из серьезных ограничений его использования.</w:t>
      </w:r>
    </w:p>
    <w:p w14:paraId="1B3A9DF3" w14:textId="325378B6" w:rsidR="00C035FA" w:rsidRDefault="008D5756">
      <w:pPr>
        <w:spacing w:after="0" w:line="240" w:lineRule="auto"/>
        <w:ind w:firstLine="709"/>
      </w:pPr>
      <w:r>
        <w:t xml:space="preserve">Таким образом, добавление эмпаглифлозина к терапии СД2 у пациентов с нецелевым уровнем HbA1c помогает его снизить, обеспечивает эффективную </w:t>
      </w:r>
      <w:r>
        <w:lastRenderedPageBreak/>
        <w:t>ангиопротекцию, а именно улучшение показателей эластичности сосудов как основного критерия раннего сосудистого старения. Добавление эмпаглифлозина к терапии СД2 также способствует коррекции основных факторов сердечно-сосудистого риска, а именно выраженности ожирения, атерогенной дислипидемии, инсулинорезистентности и неинфекционного малоинтенсивного воспаления [</w:t>
      </w:r>
      <w:r w:rsidR="004621EF" w:rsidRPr="004621EF">
        <w:t>57</w:t>
      </w:r>
      <w:r>
        <w:t>].</w:t>
      </w:r>
    </w:p>
    <w:p w14:paraId="32CA4420" w14:textId="14E54D31" w:rsidR="00C035FA" w:rsidRDefault="008D5756">
      <w:pPr>
        <w:spacing w:after="0" w:line="240" w:lineRule="auto"/>
        <w:ind w:firstLine="709"/>
      </w:pPr>
      <w:r>
        <w:t>В другом исследовании проводилась оценка влияния ингибитора натрийзависимого переносчика глюкозы 2 типа эмпаглифлозина на переносимость нагрузки и диастолическую функцию левого желудочка у больных с ХСНсФВ и СД2 [5</w:t>
      </w:r>
      <w:r w:rsidR="004621EF" w:rsidRPr="004621EF">
        <w:t>8</w:t>
      </w:r>
      <w:r>
        <w:t>].</w:t>
      </w:r>
    </w:p>
    <w:p w14:paraId="14A45918" w14:textId="68A17188" w:rsidR="00C035FA" w:rsidRDefault="008D5756">
      <w:pPr>
        <w:spacing w:after="0" w:line="240" w:lineRule="auto"/>
        <w:ind w:firstLine="709"/>
      </w:pPr>
      <w:r>
        <w:t xml:space="preserve">В настоящее проспективное одноцентровое открытое исследование было включено 60 пациентов с ХСНсФВ и СД2, которые были распределены в соотношении 1:1 в группу приёма эмпаглифлозина 10 мг/сутки (n=30) или группу ранее принимаемых гипогликемических препаратов (контрольную группу, n=30) сроком на 24 недели.  Средний возраст пациентов составил 66±7 лет, 65% из них были женщины. Все пациенты принимали блокаторы ренин-ангиотензиновой системы </w:t>
      </w:r>
      <w:r w:rsidR="00092D11">
        <w:t>и статины</w:t>
      </w:r>
      <w:r>
        <w:t xml:space="preserve">, </w:t>
      </w:r>
      <w:r w:rsidR="00635707">
        <w:t>большинство</w:t>
      </w:r>
      <w:r w:rsidR="0094603C">
        <w:t xml:space="preserve"> </w:t>
      </w:r>
      <w:r w:rsidR="0094603C">
        <w:rPr>
          <w:rFonts w:eastAsia="TimesNewRoman"/>
        </w:rPr>
        <w:t>–</w:t>
      </w:r>
      <w:r>
        <w:t xml:space="preserve"> бета-адреноблокаторы, более половины </w:t>
      </w:r>
      <w:r w:rsidR="0029665F">
        <w:rPr>
          <w:rFonts w:eastAsia="TimesNewRoman"/>
        </w:rPr>
        <w:t>–</w:t>
      </w:r>
      <w:r>
        <w:t xml:space="preserve"> петлевые диуретики.</w:t>
      </w:r>
    </w:p>
    <w:p w14:paraId="7FFA9C8C" w14:textId="10693E0F" w:rsidR="00C035FA" w:rsidRDefault="008D5756">
      <w:pPr>
        <w:spacing w:after="0" w:line="240" w:lineRule="auto"/>
        <w:ind w:firstLine="709"/>
      </w:pPr>
      <w:r>
        <w:t xml:space="preserve">Всем пациентам исходно </w:t>
      </w:r>
      <w:r w:rsidR="00092D11">
        <w:t>и через</w:t>
      </w:r>
      <w:r>
        <w:t xml:space="preserve"> 24 нед. проводилось клинико-инструментальное обследование, включавшее </w:t>
      </w:r>
      <w:r w:rsidR="00635707">
        <w:t>в себя</w:t>
      </w:r>
      <w:r>
        <w:t xml:space="preserve"> оценку клинического состояния (определение функционального класса СН, проведение теста 6-минутной ходьбы (6-МТХ)), оценку качества жизни по Миннесотскому опроснику, эхокардиографию в покое и при нагрузке, анализ крови на определение уровня NT-proBNP.</w:t>
      </w:r>
    </w:p>
    <w:p w14:paraId="4C5494DB" w14:textId="5350BA12" w:rsidR="00C035FA" w:rsidRDefault="008D5756">
      <w:pPr>
        <w:spacing w:after="0" w:line="240" w:lineRule="auto"/>
        <w:ind w:firstLine="709"/>
      </w:pPr>
      <w:r>
        <w:t>Приём эмпаглифлозина сопровождался снижением ИМТ (с  33,7 (при межквартильном разбросе от 27,4 до 37,1) до 33,1 (26,6-35,8) кг/м</w:t>
      </w:r>
      <w:r w:rsidRPr="006A159D">
        <w:rPr>
          <w:vertAlign w:val="superscript"/>
        </w:rPr>
        <w:t>2</w:t>
      </w:r>
      <w:r>
        <w:t xml:space="preserve">; </w:t>
      </w:r>
      <w:r w:rsidR="006A159D">
        <w:rPr>
          <w:lang w:val="en-US"/>
        </w:rPr>
        <w:t>p</w:t>
      </w:r>
      <w:r>
        <w:t xml:space="preserve">=0,0004) и  улучшением качества жизни (уменьшением количества баллов Миннесотского опросника с  46 (17- 56) до 40 (19-52); </w:t>
      </w:r>
      <w:r w:rsidR="006A159D">
        <w:rPr>
          <w:lang w:val="en-US"/>
        </w:rPr>
        <w:t>p</w:t>
      </w:r>
      <w:r>
        <w:t>=0,027); в  контрольной группе эти показатели существенно не изменились (ИМТ незначительно уменьшился с  33,5 (25,3-36,1) до 33,4 (25,2-35,8) кг/м</w:t>
      </w:r>
      <w:r w:rsidRPr="006A159D">
        <w:rPr>
          <w:vertAlign w:val="superscript"/>
        </w:rPr>
        <w:t>2</w:t>
      </w:r>
      <w:r>
        <w:t xml:space="preserve">; </w:t>
      </w:r>
      <w:r w:rsidR="006A159D">
        <w:rPr>
          <w:lang w:val="en-US"/>
        </w:rPr>
        <w:t>p</w:t>
      </w:r>
      <w:r>
        <w:t xml:space="preserve">=0,34; количество баллов Миннесотского опросника незначительно уменьшилось с 45 (40-62) до 43 (37-57); </w:t>
      </w:r>
      <w:r w:rsidR="006A159D">
        <w:rPr>
          <w:lang w:val="en-US"/>
        </w:rPr>
        <w:t>p</w:t>
      </w:r>
      <w:r>
        <w:t>=0,11).</w:t>
      </w:r>
    </w:p>
    <w:p w14:paraId="63DF61E9" w14:textId="0D6C6FCB" w:rsidR="00C035FA" w:rsidRDefault="008D5756">
      <w:pPr>
        <w:spacing w:after="0" w:line="240" w:lineRule="auto"/>
        <w:ind w:firstLine="709"/>
      </w:pPr>
      <w:r>
        <w:t xml:space="preserve">Через 24 недели терапии </w:t>
      </w:r>
      <w:r w:rsidR="00092D11">
        <w:t>в группе</w:t>
      </w:r>
      <w:r>
        <w:t xml:space="preserve"> эмпаглифлозина отмечалось увеличение дистанции 6-МТХ </w:t>
      </w:r>
      <w:r w:rsidR="0029665F">
        <w:rPr>
          <w:rFonts w:eastAsia="TimesNewRoman"/>
        </w:rPr>
        <w:t>–</w:t>
      </w:r>
      <w:r>
        <w:t xml:space="preserve"> первичной конечной точки </w:t>
      </w:r>
      <w:r w:rsidR="00635707">
        <w:t xml:space="preserve">исследования, </w:t>
      </w:r>
      <w:r w:rsidR="0029665F">
        <w:rPr>
          <w:rFonts w:eastAsia="TimesNewRoman"/>
        </w:rPr>
        <w:t>–</w:t>
      </w:r>
      <w:r>
        <w:t xml:space="preserve"> на 20 (95% ДИ от 7 до 33; </w:t>
      </w:r>
      <w:r w:rsidR="006A159D">
        <w:rPr>
          <w:lang w:val="en-US"/>
        </w:rPr>
        <w:t>p</w:t>
      </w:r>
      <w:r>
        <w:t xml:space="preserve">=0,004) м, в  то время как в  контрольной группе дистанция 6-МТХ незначительно уменьшилась на 5 (95% ДИ от -12 до 2; </w:t>
      </w:r>
      <w:r w:rsidR="006A159D">
        <w:rPr>
          <w:lang w:val="en-US"/>
        </w:rPr>
        <w:t>p</w:t>
      </w:r>
      <w:r>
        <w:t>=0,16) м, в результате чего различия между группами достигли порога достоверности (</w:t>
      </w:r>
      <w:r w:rsidR="006A159D">
        <w:rPr>
          <w:lang w:val="en-US"/>
        </w:rPr>
        <w:t>p</w:t>
      </w:r>
      <w:r>
        <w:t>=0,0003).</w:t>
      </w:r>
    </w:p>
    <w:p w14:paraId="0BBC0502" w14:textId="73564FD6" w:rsidR="00C035FA" w:rsidRDefault="008D5756">
      <w:pPr>
        <w:spacing w:after="0" w:line="240" w:lineRule="auto"/>
        <w:ind w:firstLine="709"/>
      </w:pPr>
      <w:r>
        <w:t xml:space="preserve">В обеих группах отмечалось достоверное </w:t>
      </w:r>
      <w:r w:rsidR="00092D11">
        <w:t>и сопоставимое</w:t>
      </w:r>
      <w:r>
        <w:t xml:space="preserve"> снижение систолического и диастолического АД; в обеих группах не было зарегистрировано ни одного случая артериальной гипотонии.</w:t>
      </w:r>
    </w:p>
    <w:p w14:paraId="4718DDA4" w14:textId="6D807688" w:rsidR="00C035FA" w:rsidRDefault="008D5756">
      <w:pPr>
        <w:spacing w:after="0" w:line="240" w:lineRule="auto"/>
        <w:ind w:firstLine="709"/>
      </w:pPr>
      <w:r>
        <w:t xml:space="preserve">Добавление </w:t>
      </w:r>
      <w:r w:rsidR="00092D11">
        <w:t>к терапии</w:t>
      </w:r>
      <w:r>
        <w:t xml:space="preserve"> эмпаглифлозина сопровождалось достоверным снижением уровня глюкозы крови (</w:t>
      </w:r>
      <w:r w:rsidR="00635707">
        <w:t>с 7</w:t>
      </w:r>
      <w:r>
        <w:t xml:space="preserve">,2 (6,2-8,1) до 6,1 (5,9-7,5) ммоль/л; </w:t>
      </w:r>
      <w:r w:rsidR="006A159D">
        <w:rPr>
          <w:lang w:val="en-US"/>
        </w:rPr>
        <w:t>p</w:t>
      </w:r>
      <w:r>
        <w:t xml:space="preserve">=0,03), мочевой кислоты (с  331 (280-414) до 281 (247-318) мкмоль/л; </w:t>
      </w:r>
      <w:r w:rsidR="006A159D">
        <w:rPr>
          <w:lang w:val="en-US"/>
        </w:rPr>
        <w:t>p</w:t>
      </w:r>
      <w:r>
        <w:t xml:space="preserve">=0,002) и тенденцией к снижению гликированного гемоглобина (с  6,3 (5,9-7,1) до 6,1 (5,8-6,6) ммоль/л; </w:t>
      </w:r>
      <w:r w:rsidR="006A159D">
        <w:rPr>
          <w:lang w:val="en-US"/>
        </w:rPr>
        <w:t>p</w:t>
      </w:r>
      <w:r>
        <w:t>=0,15). За время исследования биохимические показатели функции печени и почек в обеих группах существенно не изменились.</w:t>
      </w:r>
    </w:p>
    <w:p w14:paraId="1FFBB419" w14:textId="5B202F93" w:rsidR="00C035FA" w:rsidRDefault="008D5756">
      <w:pPr>
        <w:spacing w:after="0" w:line="240" w:lineRule="auto"/>
        <w:ind w:firstLine="709"/>
      </w:pPr>
      <w:r>
        <w:t xml:space="preserve">Через 24 недели </w:t>
      </w:r>
      <w:r w:rsidR="00092D11">
        <w:t>в группе</w:t>
      </w:r>
      <w:r>
        <w:t xml:space="preserve"> эмпаглифлозина содержание NT-proBNP существенно не изменилось (незначительное снижение на 13 (95% ДИ от -45 до 21) пг/ мл; </w:t>
      </w:r>
      <w:r w:rsidR="006A159D">
        <w:rPr>
          <w:lang w:val="en-US"/>
        </w:rPr>
        <w:t>p</w:t>
      </w:r>
      <w:r>
        <w:t xml:space="preserve">=0,44), </w:t>
      </w:r>
      <w:r w:rsidR="00635707">
        <w:t>в то</w:t>
      </w:r>
      <w:r>
        <w:t xml:space="preserve"> время как в  контрольной группе содержание пептида значительно увеличилось (на 56 (95% ДИ от 26 до 123) пг/мл; </w:t>
      </w:r>
      <w:r w:rsidR="006A159D">
        <w:rPr>
          <w:lang w:val="en-US"/>
        </w:rPr>
        <w:t>p</w:t>
      </w:r>
      <w:r>
        <w:t>&lt;0,001).</w:t>
      </w:r>
    </w:p>
    <w:p w14:paraId="1638DC8E" w14:textId="615701F6" w:rsidR="00C035FA" w:rsidRDefault="008D5756">
      <w:pPr>
        <w:spacing w:after="0" w:line="240" w:lineRule="auto"/>
        <w:ind w:firstLine="709"/>
      </w:pPr>
      <w:r>
        <w:t>Через 24 недели в группе эмпаглифлозина отмечалось уменьшение митрального соотношения E/e’ на 1,8 (95% ДИ от -2,4 до -1,2) и максимального объёма левого предсердия на 2,6 (95% ДИ от -4,4 до -0,8) мл/м</w:t>
      </w:r>
      <w:r w:rsidRPr="006A159D">
        <w:rPr>
          <w:vertAlign w:val="superscript"/>
        </w:rPr>
        <w:t>2</w:t>
      </w:r>
      <w:r>
        <w:t xml:space="preserve"> и увеличение диастолического резерва </w:t>
      </w:r>
      <w:r>
        <w:lastRenderedPageBreak/>
        <w:t xml:space="preserve">(степени прироста митральной скорости e’ при нагрузке с 2,2 (95% ДИ от 1,7 до 2,7) до 3,4 (95% ДИ от 2,4 до 4,2) см/с; во всех случаях </w:t>
      </w:r>
      <w:r w:rsidR="00092D11">
        <w:rPr>
          <w:lang w:val="en-US"/>
        </w:rPr>
        <w:t>p</w:t>
      </w:r>
      <w:r>
        <w:t>&lt;0,01). В контрольной группе значимые изменения отсутствовали.</w:t>
      </w:r>
    </w:p>
    <w:p w14:paraId="1E71F347" w14:textId="42546ADF" w:rsidR="00C035FA" w:rsidRDefault="008D5756">
      <w:pPr>
        <w:spacing w:after="0" w:line="240" w:lineRule="auto"/>
        <w:ind w:firstLine="709"/>
      </w:pPr>
      <w:r>
        <w:t>Приём эмпаглифлозина также сопровождался улучшением характера наполнения ЛЖ, о чём свидетельствовало достоверное снижение митрального соотношения Е/А и увеличение времени замедления раннего диастолического кровотока (показателя DT), причём в последнем случае различия между группами сравнения были достоверными (</w:t>
      </w:r>
      <w:r w:rsidR="006A159D">
        <w:rPr>
          <w:lang w:val="en-US"/>
        </w:rPr>
        <w:t>p</w:t>
      </w:r>
      <w:r>
        <w:t>=0,0001).</w:t>
      </w:r>
    </w:p>
    <w:p w14:paraId="148EAD68" w14:textId="277EEF81" w:rsidR="00C035FA" w:rsidRDefault="008D5756">
      <w:pPr>
        <w:spacing w:after="0" w:line="240" w:lineRule="auto"/>
        <w:ind w:firstLine="709"/>
      </w:pPr>
      <w:r>
        <w:t xml:space="preserve">Через 24 нед. продолжительность нагрузки в группе эмпаглифлозина увеличилась на 84 (95% ДИ до 137; </w:t>
      </w:r>
      <w:r w:rsidR="006A159D">
        <w:rPr>
          <w:lang w:val="en-US"/>
        </w:rPr>
        <w:t>p</w:t>
      </w:r>
      <w:r>
        <w:t xml:space="preserve">=0,003) сек </w:t>
      </w:r>
      <w:r w:rsidR="00092D11">
        <w:t>и существенно</w:t>
      </w:r>
      <w:r>
        <w:t xml:space="preserve"> не изменилась </w:t>
      </w:r>
      <w:r w:rsidR="003F6CCD">
        <w:t>в группе</w:t>
      </w:r>
      <w:r>
        <w:t xml:space="preserve"> контроля (где прирост составил всего 11 (95% ДИ от -5 до 27) сек; </w:t>
      </w:r>
      <w:r w:rsidR="006A159D">
        <w:rPr>
          <w:lang w:val="en-US"/>
        </w:rPr>
        <w:t>p</w:t>
      </w:r>
      <w:r>
        <w:t>=0,17), что привело к достоверному различию между группами (</w:t>
      </w:r>
      <w:r w:rsidR="003F6CCD">
        <w:rPr>
          <w:lang w:val="en-US"/>
        </w:rPr>
        <w:t>p</w:t>
      </w:r>
      <w:r>
        <w:t>=0,0007) [5</w:t>
      </w:r>
      <w:r w:rsidR="004621EF" w:rsidRPr="004621EF">
        <w:t>8</w:t>
      </w:r>
      <w:r>
        <w:t>].</w:t>
      </w:r>
    </w:p>
    <w:p w14:paraId="409F349D" w14:textId="5949B221" w:rsidR="00C035FA" w:rsidRDefault="008D5756">
      <w:pPr>
        <w:spacing w:after="0" w:line="240" w:lineRule="auto"/>
        <w:ind w:firstLine="709"/>
      </w:pPr>
      <w:r>
        <w:t>В рандомизированном клиническом исследовании EMPA-HEART CardioLink-6 приём эмпаглифлозина в дозе 10 мг/сут. на протяжении 6 мес. у 97 пациентов с ишемической болезнью сердца и СД2, при наличии СН сопровождался значительным снижением индекса массы миокарда ЛЖ, который оценивали с помощью магнитно-резонансного исследования [</w:t>
      </w:r>
      <w:r w:rsidR="004621EF" w:rsidRPr="004621EF">
        <w:t>59</w:t>
      </w:r>
      <w:r>
        <w:t xml:space="preserve">]. Однако в этом испытании приём эмпаглифлозина не привёл к сколько-нибудь значимым изменениям показателей диастолической функции ЛЖ </w:t>
      </w:r>
      <w:r w:rsidR="004621EF" w:rsidRPr="004621EF">
        <w:t>[60</w:t>
      </w:r>
      <w:r>
        <w:t>]. Последнее может быть связано с тем, что тестируемые диастолические показатели у большинства пациентов находились в пределах нормальных значений. Так, средний индекс объёма ЛП составил всего 30,2 мл/ м</w:t>
      </w:r>
      <w:r>
        <w:rPr>
          <w:vertAlign w:val="superscript"/>
        </w:rPr>
        <w:t>2</w:t>
      </w:r>
      <w:r>
        <w:t xml:space="preserve"> (при норме ≤34 мл/м</w:t>
      </w:r>
      <w:r>
        <w:rPr>
          <w:vertAlign w:val="superscript"/>
        </w:rPr>
        <w:t>2</w:t>
      </w:r>
      <w:r>
        <w:t>), а митральное соотношение E/e’ составило всего 10,6 (при норме ≤14) [</w:t>
      </w:r>
      <w:r w:rsidR="004621EF" w:rsidRPr="004621EF">
        <w:t>61</w:t>
      </w:r>
      <w:r>
        <w:t>]. Возможно, у эмпаглифлозина не было должного морфологического субстрата для воздействия. В настоящем исследовании наблюдавшиеся пациенты имели более выраженные диастолические нарушения: средний индекс объёма ЛП составил 37,3 мл/м</w:t>
      </w:r>
      <w:r>
        <w:rPr>
          <w:vertAlign w:val="superscript"/>
        </w:rPr>
        <w:t>2</w:t>
      </w:r>
      <w:r>
        <w:t xml:space="preserve">, а митральное же соотношение E/e’ составило 12,5. </w:t>
      </w:r>
    </w:p>
    <w:p w14:paraId="36B24FF7" w14:textId="140968B5" w:rsidR="00C035FA" w:rsidRDefault="008D5756">
      <w:pPr>
        <w:spacing w:after="0" w:line="240" w:lineRule="auto"/>
        <w:ind w:firstLine="709"/>
      </w:pPr>
      <w:r>
        <w:t>При этом авторы испытания EMPA-HEART справедливо замечают, что возможной причиной отсутствия достоверных изменений диастолических показателей у их участников явилось то, что большинство из них имели незначительную ДД (I степени). В настоящем исследовании большинство пациентов также имели ДД I степени, и эмпаглифлозин не повлиял на митральную скорость e’ в покое </w:t>
      </w:r>
      <w:r w:rsidR="0029665F">
        <w:rPr>
          <w:rFonts w:eastAsia="TimesNewRoman"/>
        </w:rPr>
        <w:t>–</w:t>
      </w:r>
      <w:r>
        <w:t xml:space="preserve"> показатель, точно отражающий скорость расслабления ЛЖ [</w:t>
      </w:r>
      <w:r w:rsidR="004621EF" w:rsidRPr="004621EF">
        <w:t>62</w:t>
      </w:r>
      <w:r>
        <w:t>].</w:t>
      </w:r>
    </w:p>
    <w:p w14:paraId="71B283E7" w14:textId="4802B6CE" w:rsidR="00C035FA" w:rsidRDefault="008D5756">
      <w:pPr>
        <w:spacing w:after="0" w:line="240" w:lineRule="auto"/>
        <w:ind w:firstLine="709"/>
      </w:pPr>
      <w:r>
        <w:t xml:space="preserve">Таким образом, в настоящем рандомизированном проспективном исследовании 6-месячный приём эмпаглифлозина </w:t>
      </w:r>
      <w:r w:rsidR="003F6CCD">
        <w:t>в дозе</w:t>
      </w:r>
      <w:r>
        <w:t xml:space="preserve"> </w:t>
      </w:r>
      <w:r w:rsidR="003F6CCD">
        <w:t>10 мг</w:t>
      </w:r>
      <w:r>
        <w:t xml:space="preserve">/сут. привёл </w:t>
      </w:r>
      <w:r w:rsidR="00635707">
        <w:t>к значительному</w:t>
      </w:r>
      <w:r>
        <w:t xml:space="preserve"> улучшению переносимости физической нагрузки и качества жизни у пациентов с ХСНсФВ и СД2, что ассоциировалось с улучшением диастолической функции ЛЖ, восстановлением диастолического и  х</w:t>
      </w:r>
      <w:r w:rsidR="00CB72DD">
        <w:t>ронотропного резервов сердца и </w:t>
      </w:r>
      <w:r>
        <w:t>снижению ДН ЛЖ (как в покое, так и во время нагрузки) [5</w:t>
      </w:r>
      <w:r w:rsidR="004621EF" w:rsidRPr="004621EF">
        <w:t>8</w:t>
      </w:r>
      <w:r>
        <w:t>].</w:t>
      </w:r>
    </w:p>
    <w:p w14:paraId="687B3891" w14:textId="49B834F6" w:rsidR="00C035FA" w:rsidRDefault="008D5756">
      <w:pPr>
        <w:spacing w:after="0" w:line="240" w:lineRule="auto"/>
        <w:ind w:firstLine="709"/>
      </w:pPr>
      <w:r>
        <w:t>Однако, в силу ряда ограничений настоящего исследования его результаты требуют подтверждения в более крупных плацебо-контролируемых рандомизированных испытаниях. Сейчас в мире проводится несколько крупных испытаний по оценке прогностического влияния глифлозинов при ХСНсФВ, причём вне зависимости от наличия или отсутствия СД2 (испытания EMPEROR-Preserved и PESERVED-HF). В недавно завершившихся схожих испытаниях при СН с низкой ФВ </w:t>
      </w:r>
      <w:r w:rsidR="0048619F">
        <w:rPr>
          <w:rFonts w:eastAsia="TimesNewRoman"/>
        </w:rPr>
        <w:t>–</w:t>
      </w:r>
      <w:r>
        <w:t xml:space="preserve"> EMPEROR-Reduced и DAPA-HF, </w:t>
      </w:r>
      <w:r w:rsidR="0048619F">
        <w:rPr>
          <w:rFonts w:eastAsia="TimesNewRoman"/>
        </w:rPr>
        <w:t>–</w:t>
      </w:r>
      <w:r>
        <w:t xml:space="preserve"> была показана высокая прогностическая эффективность этого класса препаратов у пациентов со сниженной ФВ [</w:t>
      </w:r>
      <w:r w:rsidR="004621EF" w:rsidRPr="004621EF">
        <w:t>63</w:t>
      </w:r>
      <w:r>
        <w:t>].</w:t>
      </w:r>
    </w:p>
    <w:p w14:paraId="5A35F20F" w14:textId="0354D366" w:rsidR="00C035FA" w:rsidRDefault="008D5756">
      <w:pPr>
        <w:spacing w:after="0" w:line="240" w:lineRule="auto"/>
        <w:ind w:firstLine="709"/>
      </w:pPr>
      <w:r>
        <w:t>Другое исследование посвященно особенностям терапии сахарного диабета 2 типа в сочетании с синдромом обструктивного апноэ сна (СОАС) [</w:t>
      </w:r>
      <w:r w:rsidR="004621EF" w:rsidRPr="004621EF">
        <w:t>64</w:t>
      </w:r>
      <w:r>
        <w:t xml:space="preserve">]. Были обследованы пациенты мужского пола (21 человек) с сахарным диабетом 2 типа и синдромом </w:t>
      </w:r>
      <w:r>
        <w:lastRenderedPageBreak/>
        <w:t>обструктивного апноэ сна средней степени тяжести в возрасте от 46 до 53 лет., отказывающиеся от СРАР терапии. В зависимости от назначаемой терапии были сформированы 2 группы пациентов. В группу 1 вошли пациенты, которым к терапии метформином был добавлен вилдаглиптин (n=11), в группу 2 – пациенты, которым к терапии метформином был добавлен эмпаглифлозин (n=10). Участники исследования наблюдались в течение 6 месяцев, им дважды проводилось полисомнографическое исследование с оценкой значения гликированного гемоглобина.</w:t>
      </w:r>
    </w:p>
    <w:p w14:paraId="62940C0E" w14:textId="63D18390" w:rsidR="00C035FA" w:rsidRDefault="008D5756">
      <w:pPr>
        <w:spacing w:after="0" w:line="240" w:lineRule="auto"/>
        <w:ind w:firstLine="709"/>
      </w:pPr>
      <w:r>
        <w:t>Согласно проведенному исследованию в исследованных группах пациентов при использовании комбинированной терапии удалось достичь целевых значений гликемии. Достоверное снижение ИМТ получено в группе 2. На фоне приема комбинации метформина и эмпаглифлозина отмечается улучшение компенсации углеводного обмена, снижение индекса массы тела пациентов, снижение степени тяжести синдрома обструктивного апноэ сна, повышение степени насыщения крови кислородом. При этом также наблюдается удлинение общего времени сна, улучшение показателя эффективности сна, нормализация структуры сна, отмечается улучшение основных полисомнографических показателей [</w:t>
      </w:r>
      <w:r w:rsidR="004621EF" w:rsidRPr="004621EF">
        <w:t>64</w:t>
      </w:r>
      <w:r>
        <w:t>].</w:t>
      </w:r>
    </w:p>
    <w:p w14:paraId="649F506C" w14:textId="77B107C5" w:rsidR="00C035FA" w:rsidRDefault="008D5756">
      <w:pPr>
        <w:spacing w:after="0" w:line="240" w:lineRule="auto"/>
        <w:ind w:firstLine="709"/>
        <w:rPr>
          <w:lang w:val="zh-CN" w:eastAsia="zh-CN"/>
        </w:rPr>
      </w:pPr>
      <w:r>
        <w:t>Использование метформина (2500 мг/сутки) в сочетании с вилдаглиптином (100 мг/сутки) в течение 6 месяцев не сопровождалось снижением степени тяжести СОАС и досто верным улучшением изучаемых параметров сна, диктуя необходимость коррекции СОАС с помощью СРАР-терапии или с помощью хирургических методов лечения.</w:t>
      </w:r>
    </w:p>
    <w:p w14:paraId="4EDD292F" w14:textId="47901058" w:rsidR="00C035FA" w:rsidRDefault="008D5756">
      <w:pPr>
        <w:spacing w:after="0" w:line="240" w:lineRule="auto"/>
      </w:pPr>
      <w:r>
        <w:t>В данном исследовании продемонстрирована важность правильно выбранной комбинации антигипергликемической терапии (метформин в сочетании с эмпаглифлозином) у пациентов с СД 2 типа и СОАС, учитывающей все эффекты препаратов. Потребность в снижении веса у изучаемой категории лиц, как и нормализация гликемии являются основными задачами лечения, с учетом нежелания либо отказа пациентов от ежедневного использования СРАР-терапии [</w:t>
      </w:r>
      <w:r w:rsidR="004621EF" w:rsidRPr="004621EF">
        <w:t>64</w:t>
      </w:r>
      <w:r>
        <w:t>].</w:t>
      </w:r>
    </w:p>
    <w:p w14:paraId="1581C3C6" w14:textId="14D44D6F" w:rsidR="00C035FA" w:rsidRDefault="008D5756">
      <w:pPr>
        <w:spacing w:after="0" w:line="240" w:lineRule="auto"/>
        <w:ind w:firstLine="709"/>
      </w:pPr>
      <w:r>
        <w:t>Хотя позитивные сердечно-сосудистые эффекты эмпаглифлозина доказаны, его влияние на формирование СН после инфаркта миокарда у пациентов с СД2 остается неизученным. С этой целью проведено исследование изучения влияния эмпаглифлозина на формирование хронической СН у лиц, перенесших ИМ и имеющих сопутствующий СД2, при 12-месячном наблюдении [</w:t>
      </w:r>
      <w:r w:rsidR="004621EF" w:rsidRPr="004621EF">
        <w:t>65</w:t>
      </w:r>
      <w:r>
        <w:t>].</w:t>
      </w:r>
    </w:p>
    <w:p w14:paraId="2E403249" w14:textId="0DA04DFE" w:rsidR="00C035FA" w:rsidRDefault="008D5756">
      <w:pPr>
        <w:spacing w:after="0" w:line="240" w:lineRule="auto"/>
        <w:ind w:firstLine="709"/>
      </w:pPr>
      <w:r>
        <w:t xml:space="preserve">В исследование включили 47 больных с ИМ и СД2, из которых 21 получал стандартную терапию ИМ и диабета (группа 1), а 26 больным в дополнение назначали эмпаглифлозин (группа 2). Пациентов обследовали через 3 и 12 месяцев для оценки динамики гликемии, показателей теста с 6-минутной ходьбой, ЭХОКГ. Тактика ведения больных в остром периоде ИМ также была сходной в обеих группах. ЧКВ было проведено 17 больным в 1-й (80,9%) и 20 – во 2-й группе (76,9%, р=0,98). Среди больных с Q-ИМ первичное ЧКВ применялось </w:t>
      </w:r>
      <w:r w:rsidR="00CB72DD">
        <w:t>у </w:t>
      </w:r>
      <w:r w:rsidR="00635707">
        <w:t>6 (</w:t>
      </w:r>
      <w:r>
        <w:t>28,6%) и 4 (15,4%) пациентов соответственно; ранняя фармакоинвазивная стратегия – у 7 и 6 человек (33,3% и 23,1%); госпитализация в поздние сроки с последующей консервативной терапией имела место у 1 (4,7 %) и 2 (7,6%) больных (р&gt;0,05 по всем показателям).</w:t>
      </w:r>
    </w:p>
    <w:p w14:paraId="6FD5EC90" w14:textId="4B4F76F0" w:rsidR="00C035FA" w:rsidRDefault="008D5756">
      <w:pPr>
        <w:spacing w:after="0" w:line="240" w:lineRule="auto"/>
        <w:ind w:firstLine="709"/>
      </w:pPr>
      <w:r>
        <w:t xml:space="preserve">Согласно </w:t>
      </w:r>
      <w:r w:rsidR="00CB72DD">
        <w:t>результатам проведенного исследования,</w:t>
      </w:r>
      <w:r>
        <w:t xml:space="preserve"> в группе пациентов с ИМ и сопутствующим СД2, получавших эмпаглифлозин, отмечалась меньшая, по сравнению с контролем, тяжесть формирующейся в постинфарктном периоде ХСН, что подтверждалось клиническими данными (большие показатели теста 6-минутной ходьбы через 3 и 12 месяцев после ИМ) и динамикой ЭХОКГ (лучшие показатели систолической, диастолической функции миокарда и легочной гемодинамики) [</w:t>
      </w:r>
      <w:r w:rsidR="004621EF" w:rsidRPr="004621EF">
        <w:t>65</w:t>
      </w:r>
      <w:r>
        <w:t>].</w:t>
      </w:r>
    </w:p>
    <w:p w14:paraId="7CE14C8A" w14:textId="0B3B0FAB" w:rsidR="00C035FA" w:rsidRDefault="008D5756">
      <w:pPr>
        <w:spacing w:after="0" w:line="240" w:lineRule="auto"/>
        <w:ind w:firstLine="709"/>
      </w:pPr>
      <w:r>
        <w:lastRenderedPageBreak/>
        <w:t xml:space="preserve">Полученные данные свидетельствуют о корригирующем воздействии эмпаглифлозина на выраженность клинических проявлений ХСН у больных, перенесших ИМ </w:t>
      </w:r>
      <w:r w:rsidR="00CB72DD">
        <w:t>и страдающих</w:t>
      </w:r>
      <w:r>
        <w:t xml:space="preserve"> СД2. Судя по динамике показателей теста 6-минутной ходьбы, положительное влияние эмпаглифлозина на тяжесть формирующейся в постинфарктном периоде ХСН сохраняется как минимум на протяжении года после ИМ, при том, что начальные благоприятные сдвиги, на уровне тенденций, могут возникать в значительно более ранние сроки. Динамика показателей морфофункционального состояния миокарда по </w:t>
      </w:r>
      <w:bookmarkStart w:id="166" w:name="_Hlk100651763"/>
      <w:r>
        <w:t>ЭХОКГ</w:t>
      </w:r>
      <w:bookmarkEnd w:id="166"/>
      <w:r>
        <w:t xml:space="preserve"> подтверждает кардиопротективные свойства эмпаглифлозина: препарат благоприятно влияет на течение постинфарктного ремоделирования миокарда у больных с сопутствующим СД2, препятствует ухудшению систолической функции сердца, улучшает релаксацию ЛЖ, гемодинамику малого круга, ограничивает легочную гипертензию. Лучшее, по сравнению с контролем, структурно-функциональное состояние миокарда во многом объясняет корригирующее действие эмпаглифлозина в отношении клинических проявлений ХСН в постинфарктном периоде.</w:t>
      </w:r>
    </w:p>
    <w:p w14:paraId="6A4250A0" w14:textId="47F23C77" w:rsidR="00C035FA" w:rsidRDefault="008D5756">
      <w:pPr>
        <w:spacing w:after="0" w:line="240" w:lineRule="auto"/>
        <w:ind w:firstLine="709"/>
      </w:pPr>
      <w:r>
        <w:t>В постинфарктном периоде показатели теста с 6-минутной ходьбой увеличились у всех больных, но в 1-й группе – в меньшей степени (р=0,18), чем во 2-й (на 49,5%, р=0,0004). Фракция выброса левого желудочка возросла в большей степени в группе 2 (р=0,002). Исходно доли больных СН со сниженной и промежуточной фракцией выброса в 1-й и 2-й группах составляли 85,7% и 82,4% (р=0,56), но к 12-му месяцу постинфарктного периода уменьшились до 71,4% и 29,4% соответственно (р=0,012). Прием эмпаглифлозина в комбинации с другими препаратами в течение года обеспечил улучшение диастолической функции более чем у трети больных (р=0,041). В динамике, через 12 месяцев наблюдения, систолическое давление в легочной артерии в контрольной группе возросло на 10,4% (р=0,041), а в группе 2 – снизилось на 24,0% (р=0,019). Показатели гликемии в динамике были лучше в основной группе.</w:t>
      </w:r>
    </w:p>
    <w:p w14:paraId="0D1C0C21" w14:textId="7C7137D1" w:rsidR="00C035FA" w:rsidRDefault="008D5756">
      <w:pPr>
        <w:spacing w:after="0" w:line="240" w:lineRule="auto"/>
        <w:ind w:firstLine="709"/>
        <w:rPr>
          <w:lang w:val="zh-CN" w:eastAsia="zh-CN"/>
        </w:rPr>
      </w:pPr>
      <w:r>
        <w:t>Таким образом, по данным 12-месячного наблюдения, эмпаглифлозин оказывает корригирующее воздействие на формирование хронической СН и тяжесть ее клинических проявлений у больных, перенесших ИМ и страдающих СД2. В его основе лежит способность препарата улучшать состояние сердца, включая улучшение гемодинамики малого круга, систолической и диастолической функции, снижение риска хронической СН со сниженной и промежуточной фракцией выброса [</w:t>
      </w:r>
      <w:r w:rsidR="004621EF" w:rsidRPr="004621EF">
        <w:t>65</w:t>
      </w:r>
      <w:r>
        <w:t>].</w:t>
      </w:r>
    </w:p>
    <w:p w14:paraId="080A0716" w14:textId="6C3173ED" w:rsidR="00C035FA" w:rsidRDefault="008D5756">
      <w:pPr>
        <w:spacing w:after="0" w:line="240" w:lineRule="auto"/>
        <w:ind w:firstLine="709"/>
      </w:pPr>
      <w:r>
        <w:t>Целью другого исследования была оценка эффективности управления СД2 на фоне комплексной сахароснижающей терапии с добавлением препарата эмпаглифлозин из группы ингибиторов SGLT 2 [</w:t>
      </w:r>
      <w:r w:rsidR="004621EF" w:rsidRPr="004621EF">
        <w:t>66</w:t>
      </w:r>
      <w:r>
        <w:t>].</w:t>
      </w:r>
    </w:p>
    <w:p w14:paraId="03BE9A35" w14:textId="40393618" w:rsidR="00C035FA" w:rsidRDefault="008D5756">
      <w:pPr>
        <w:spacing w:after="0" w:line="240" w:lineRule="auto"/>
        <w:ind w:firstLine="709"/>
      </w:pPr>
      <w:r>
        <w:t xml:space="preserve">Пациентам с СД2 и ожирением [индекс массы тела (ИМТ) </w:t>
      </w:r>
      <w:r>
        <w:sym w:font="Symbol" w:char="F0B3"/>
      </w:r>
      <w:r>
        <w:t>30 кг/м</w:t>
      </w:r>
      <w:r>
        <w:rPr>
          <w:vertAlign w:val="superscript"/>
        </w:rPr>
        <w:t>2</w:t>
      </w:r>
      <w:r>
        <w:t>], продолжительностью заболевания более 5 лет, уровнем гликированного гемоглобина (HbA1с) 7,0–9,5% проведен общеклинический осмотр, оценены показатели углеводного обмена, уровень С-пептида. Также проведено сочетанное мониторирование глюкозы крови и показателей функции сердечно-сосудистой системы посредством суточного мониторирования АД и холтер-ЭКГ.</w:t>
      </w:r>
    </w:p>
    <w:p w14:paraId="422E941B" w14:textId="77777777" w:rsidR="00C035FA" w:rsidRDefault="008D5756">
      <w:pPr>
        <w:spacing w:after="0" w:line="240" w:lineRule="auto"/>
        <w:ind w:firstLine="709"/>
      </w:pPr>
      <w:r>
        <w:t>Обследованы 20 пациентов с СД2 (11 мужчин и 9 женщин) в возрасте от 42 до 69 лет (средний возраст – 59,4±5 лет) со средней длительностью СД2 12,9±4 года, средним индексом массы тела 34,39±3,49 кг/м</w:t>
      </w:r>
      <w:r>
        <w:rPr>
          <w:vertAlign w:val="superscript"/>
        </w:rPr>
        <w:t>2</w:t>
      </w:r>
      <w:r>
        <w:t>. Пациенты были распределены на 2 группы. Основная группа включала 10 пациентов, находящихся на комбинированной терапии метформином и эмпаглифлозином, группа сравнения – 10 пациентов, находящихся на комбинированной терапии метформином и глимепиридом.</w:t>
      </w:r>
    </w:p>
    <w:p w14:paraId="0FF4BA23" w14:textId="77777777" w:rsidR="00C035FA" w:rsidRDefault="008D5756">
      <w:pPr>
        <w:spacing w:after="0" w:line="240" w:lineRule="auto"/>
        <w:ind w:firstLine="709"/>
      </w:pPr>
      <w:r>
        <w:t xml:space="preserve">Через 3 месяца оценивали динамику показателей в основной группе пациентов и по сравнению с контрольной группой. В основной группе наблюдалось снижение уровня </w:t>
      </w:r>
      <w:r>
        <w:lastRenderedPageBreak/>
        <w:t>гликированного гемоглобина на 0,3%, гликемии натощак – на 1,41 ммоль/л, постпрандиальной гликемии – на 1,59 ммоль/л, С-пептида – на 0,88 нг/мл. Также отмечено снижение вариабельности гликемии, отсутствие значительного влияния на АД, ЧСС. По сравнению с контрольной группой в группе эмпаглифлозина не зарегистрировано эпизодов гипогликемии.</w:t>
      </w:r>
    </w:p>
    <w:p w14:paraId="3A957A87" w14:textId="25AC1498" w:rsidR="00C035FA" w:rsidRDefault="008D5756" w:rsidP="004621EF">
      <w:pPr>
        <w:shd w:val="clear" w:color="auto" w:fill="FFFFFF"/>
        <w:spacing w:after="0" w:line="240" w:lineRule="auto"/>
        <w:ind w:firstLine="709"/>
        <w:rPr>
          <w:rFonts w:eastAsia="Times New Roman"/>
          <w:color w:val="000000"/>
          <w:highlight w:val="yellow"/>
          <w:lang w:eastAsia="ru-RU"/>
        </w:rPr>
      </w:pPr>
      <w:r>
        <w:t>Таким образом, согласно проведеному исследованию, назначение препарата эмпаглифлозин у пациентов с СД2 обеспечивает эффективный и безопасный гликемический контроль с низким риском развития гипогликемии. Добавление препарата эмпаглифлозин показало снижение вариабельности гликемии. Представленные данные свидетельствуют о постепенной компенсации углеводного обмена, что приводит к снижению глюкозотоксичности и, следовательно, к снижению риска развития сердечно-сосудистых осложнений [</w:t>
      </w:r>
      <w:r w:rsidR="004621EF" w:rsidRPr="004621EF">
        <w:t>66</w:t>
      </w:r>
      <w:r>
        <w:t>].</w:t>
      </w:r>
    </w:p>
    <w:p w14:paraId="138A4E29" w14:textId="21C057FD" w:rsidR="00C035FA" w:rsidRDefault="008D5756">
      <w:pPr>
        <w:pStyle w:val="Heading2"/>
        <w:spacing w:line="240" w:lineRule="auto"/>
        <w:rPr>
          <w:color w:val="000000" w:themeColor="text1"/>
          <w:szCs w:val="24"/>
        </w:rPr>
      </w:pPr>
      <w:bookmarkStart w:id="167" w:name="_Toc139366895"/>
      <w:r>
        <w:rPr>
          <w:color w:val="000000" w:themeColor="text1"/>
          <w:szCs w:val="24"/>
        </w:rPr>
        <w:t>Список литературы</w:t>
      </w:r>
      <w:bookmarkEnd w:id="167"/>
      <w:r w:rsidR="00171669">
        <w:rPr>
          <w:color w:val="000000" w:themeColor="text1"/>
          <w:szCs w:val="24"/>
        </w:rPr>
        <w:t xml:space="preserve"> </w:t>
      </w:r>
    </w:p>
    <w:bookmarkEnd w:id="158"/>
    <w:p w14:paraId="65F89E32" w14:textId="18A20158" w:rsidR="008D6369" w:rsidRPr="00CB72DD" w:rsidRDefault="008D6369" w:rsidP="00425959">
      <w:pPr>
        <w:numPr>
          <w:ilvl w:val="0"/>
          <w:numId w:val="14"/>
        </w:numPr>
        <w:shd w:val="clear" w:color="auto" w:fill="FFFFFF"/>
        <w:spacing w:after="0" w:line="240" w:lineRule="auto"/>
        <w:ind w:left="426" w:hanging="426"/>
      </w:pPr>
      <w:r>
        <w:t>Инструкция по медицинскому применению лекарственного препарата Джардинс. Регистрационное удостоверение ЛП-002735 от 2015.</w:t>
      </w:r>
      <w:r>
        <w:rPr>
          <w:lang w:eastAsia="en-US"/>
        </w:rPr>
        <w:t xml:space="preserve"> </w:t>
      </w:r>
      <w:r w:rsidRPr="00CB72DD">
        <w:rPr>
          <w:lang w:val="en-US"/>
        </w:rPr>
        <w:t>https</w:t>
      </w:r>
      <w:r w:rsidRPr="00CB72DD">
        <w:t>://</w:t>
      </w:r>
      <w:proofErr w:type="spellStart"/>
      <w:r w:rsidRPr="00CB72DD">
        <w:rPr>
          <w:lang w:val="en-US"/>
        </w:rPr>
        <w:t>grls</w:t>
      </w:r>
      <w:proofErr w:type="spellEnd"/>
      <w:r w:rsidRPr="00CB72DD">
        <w:t>.</w:t>
      </w:r>
      <w:proofErr w:type="spellStart"/>
      <w:r w:rsidRPr="00CB72DD">
        <w:rPr>
          <w:lang w:val="en-US"/>
        </w:rPr>
        <w:t>rosminzdrav</w:t>
      </w:r>
      <w:proofErr w:type="spellEnd"/>
      <w:r w:rsidRPr="00CB72DD">
        <w:t>.</w:t>
      </w:r>
      <w:proofErr w:type="spellStart"/>
      <w:r w:rsidRPr="00CB72DD">
        <w:rPr>
          <w:lang w:val="en-US"/>
        </w:rPr>
        <w:t>ru</w:t>
      </w:r>
      <w:proofErr w:type="spellEnd"/>
      <w:r w:rsidRPr="00CB72DD">
        <w:t>/</w:t>
      </w:r>
      <w:proofErr w:type="spellStart"/>
      <w:r w:rsidRPr="00CB72DD">
        <w:rPr>
          <w:lang w:val="en-US"/>
        </w:rPr>
        <w:t>Grls</w:t>
      </w:r>
      <w:proofErr w:type="spellEnd"/>
      <w:r w:rsidRPr="00CB72DD">
        <w:t>_</w:t>
      </w:r>
      <w:r w:rsidRPr="00CB72DD">
        <w:rPr>
          <w:lang w:val="en-US"/>
        </w:rPr>
        <w:t>View</w:t>
      </w:r>
      <w:r w:rsidRPr="00CB72DD">
        <w:t>_</w:t>
      </w:r>
      <w:r w:rsidRPr="00CB72DD">
        <w:rPr>
          <w:lang w:val="en-US"/>
        </w:rPr>
        <w:t>v</w:t>
      </w:r>
      <w:r w:rsidRPr="00CB72DD">
        <w:t>2.</w:t>
      </w:r>
      <w:proofErr w:type="spellStart"/>
      <w:r w:rsidRPr="00CB72DD">
        <w:rPr>
          <w:lang w:val="en-US"/>
        </w:rPr>
        <w:t>aspx</w:t>
      </w:r>
      <w:proofErr w:type="spellEnd"/>
      <w:r w:rsidRPr="00CB72DD">
        <w:t>?</w:t>
      </w:r>
      <w:proofErr w:type="spellStart"/>
      <w:r w:rsidRPr="00CB72DD">
        <w:rPr>
          <w:lang w:val="en-US"/>
        </w:rPr>
        <w:t>routingGuid</w:t>
      </w:r>
      <w:proofErr w:type="spellEnd"/>
      <w:r w:rsidRPr="00CB72DD">
        <w:t>=</w:t>
      </w:r>
      <w:r w:rsidRPr="00CB72DD">
        <w:rPr>
          <w:lang w:val="en-US"/>
        </w:rPr>
        <w:t>e</w:t>
      </w:r>
      <w:r w:rsidRPr="00CB72DD">
        <w:t>04724</w:t>
      </w:r>
      <w:r w:rsidRPr="00CB72DD">
        <w:rPr>
          <w:lang w:val="en-US"/>
        </w:rPr>
        <w:t>de</w:t>
      </w:r>
      <w:r w:rsidRPr="00CB72DD">
        <w:t>-</w:t>
      </w:r>
      <w:r w:rsidRPr="00CB72DD">
        <w:rPr>
          <w:lang w:val="en-US"/>
        </w:rPr>
        <w:t>a</w:t>
      </w:r>
      <w:r w:rsidRPr="00CB72DD">
        <w:t>545-415</w:t>
      </w:r>
      <w:r w:rsidRPr="00CB72DD">
        <w:rPr>
          <w:lang w:val="en-US"/>
        </w:rPr>
        <w:t>b</w:t>
      </w:r>
      <w:r w:rsidRPr="00CB72DD">
        <w:t>-</w:t>
      </w:r>
      <w:proofErr w:type="spellStart"/>
      <w:r w:rsidRPr="00CB72DD">
        <w:rPr>
          <w:lang w:val="en-US"/>
        </w:rPr>
        <w:t>adbd</w:t>
      </w:r>
      <w:proofErr w:type="spellEnd"/>
      <w:r w:rsidRPr="00CB72DD">
        <w:t>-8</w:t>
      </w:r>
      <w:r w:rsidRPr="00CB72DD">
        <w:rPr>
          <w:lang w:val="en-US"/>
        </w:rPr>
        <w:t>f</w:t>
      </w:r>
      <w:r w:rsidRPr="00CB72DD">
        <w:t>142</w:t>
      </w:r>
      <w:r w:rsidRPr="00CB72DD">
        <w:rPr>
          <w:lang w:val="en-US"/>
        </w:rPr>
        <w:t>c</w:t>
      </w:r>
      <w:r w:rsidRPr="00CB72DD">
        <w:t>2203</w:t>
      </w:r>
      <w:r w:rsidRPr="00CB72DD">
        <w:rPr>
          <w:lang w:val="en-US"/>
        </w:rPr>
        <w:t>bd</w:t>
      </w:r>
      <w:r w:rsidRPr="00CB72DD">
        <w:t>&amp;</w:t>
      </w:r>
      <w:r w:rsidRPr="00CB72DD">
        <w:rPr>
          <w:lang w:val="en-US"/>
        </w:rPr>
        <w:t>t</w:t>
      </w:r>
      <w:r w:rsidRPr="00CB72DD">
        <w:t>=</w:t>
      </w:r>
    </w:p>
    <w:p w14:paraId="0DD9C9B2"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Seman</w:t>
      </w:r>
      <w:proofErr w:type="spellEnd"/>
      <w:r>
        <w:rPr>
          <w:lang w:val="en-US"/>
        </w:rPr>
        <w:t xml:space="preserve"> L, Macha S, </w:t>
      </w:r>
      <w:proofErr w:type="spellStart"/>
      <w:r>
        <w:rPr>
          <w:lang w:val="en-US"/>
        </w:rPr>
        <w:t>Nehmiz</w:t>
      </w:r>
      <w:proofErr w:type="spellEnd"/>
      <w:r>
        <w:rPr>
          <w:lang w:val="en-US"/>
        </w:rPr>
        <w:t xml:space="preserve"> G, et al. Empagliflozin (BI 10773), a Potent and Selective SGLT2 Inhibitor, Induces Dose-Dependent Glucosuria in Healthy Subjects. Clin </w:t>
      </w:r>
      <w:proofErr w:type="spellStart"/>
      <w:r>
        <w:rPr>
          <w:lang w:val="en-US"/>
        </w:rPr>
        <w:t>Pharmacol</w:t>
      </w:r>
      <w:proofErr w:type="spellEnd"/>
      <w:r>
        <w:rPr>
          <w:lang w:val="en-US"/>
        </w:rPr>
        <w:t xml:space="preserve"> Drug Dev. 2013;2(2):152-161. </w:t>
      </w:r>
      <w:proofErr w:type="spellStart"/>
      <w:r>
        <w:rPr>
          <w:lang w:val="en-US"/>
        </w:rPr>
        <w:t>doi</w:t>
      </w:r>
      <w:proofErr w:type="spellEnd"/>
      <w:r>
        <w:rPr>
          <w:lang w:val="en-US"/>
        </w:rPr>
        <w:t>: 10.1002/cpdd.16.</w:t>
      </w:r>
    </w:p>
    <w:p w14:paraId="771B69DB"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Heise</w:t>
      </w:r>
      <w:proofErr w:type="spellEnd"/>
      <w:r>
        <w:rPr>
          <w:lang w:val="en-US"/>
        </w:rPr>
        <w:t xml:space="preserve">, T., </w:t>
      </w:r>
      <w:proofErr w:type="spellStart"/>
      <w:r>
        <w:rPr>
          <w:lang w:val="en-US"/>
        </w:rPr>
        <w:t>Seewaldt</w:t>
      </w:r>
      <w:proofErr w:type="spellEnd"/>
      <w:r>
        <w:rPr>
          <w:lang w:val="en-US"/>
        </w:rPr>
        <w:t xml:space="preserve">-Becker, E., Macha, S., </w:t>
      </w:r>
      <w:proofErr w:type="spellStart"/>
      <w:r>
        <w:rPr>
          <w:lang w:val="en-US"/>
        </w:rPr>
        <w:t>Hantel</w:t>
      </w:r>
      <w:proofErr w:type="spellEnd"/>
      <w:r>
        <w:rPr>
          <w:lang w:val="en-US"/>
        </w:rPr>
        <w:t xml:space="preserve">, S., </w:t>
      </w:r>
      <w:proofErr w:type="spellStart"/>
      <w:r>
        <w:rPr>
          <w:lang w:val="en-US"/>
        </w:rPr>
        <w:t>Pinnetti</w:t>
      </w:r>
      <w:proofErr w:type="spellEnd"/>
      <w:r>
        <w:rPr>
          <w:lang w:val="en-US"/>
        </w:rPr>
        <w:t xml:space="preserve">, S., </w:t>
      </w:r>
      <w:proofErr w:type="spellStart"/>
      <w:r>
        <w:rPr>
          <w:lang w:val="en-US"/>
        </w:rPr>
        <w:t>Seman</w:t>
      </w:r>
      <w:proofErr w:type="spellEnd"/>
      <w:r>
        <w:rPr>
          <w:lang w:val="en-US"/>
        </w:rPr>
        <w:t xml:space="preserve">, L., &amp; </w:t>
      </w:r>
      <w:proofErr w:type="spellStart"/>
      <w:r>
        <w:rPr>
          <w:lang w:val="en-US"/>
        </w:rPr>
        <w:t>Woerle</w:t>
      </w:r>
      <w:proofErr w:type="spellEnd"/>
      <w:r>
        <w:rPr>
          <w:lang w:val="en-US"/>
        </w:rPr>
        <w:t>, H. J. (2013). Safety, tolerability, pharmacokinetics and pharmacodynamics following 4 weeks’ treatment with empagliflozin once daily in patients with type 2 diabetes. Diabetes, Obesity and Metabolism, 15(7), 613–621. doi:10.1111/dom.12073</w:t>
      </w:r>
      <w:r>
        <w:t>.</w:t>
      </w:r>
    </w:p>
    <w:p w14:paraId="71B8FF9A"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Heise</w:t>
      </w:r>
      <w:proofErr w:type="spellEnd"/>
      <w:r>
        <w:rPr>
          <w:lang w:val="en-US"/>
        </w:rPr>
        <w:t xml:space="preserve">, T., </w:t>
      </w:r>
      <w:proofErr w:type="spellStart"/>
      <w:r>
        <w:rPr>
          <w:lang w:val="en-US"/>
        </w:rPr>
        <w:t>Seman</w:t>
      </w:r>
      <w:proofErr w:type="spellEnd"/>
      <w:r>
        <w:rPr>
          <w:lang w:val="en-US"/>
        </w:rPr>
        <w:t xml:space="preserve">, L., Macha, S., Jones, P., Marquart, A., </w:t>
      </w:r>
      <w:proofErr w:type="spellStart"/>
      <w:r>
        <w:rPr>
          <w:lang w:val="en-US"/>
        </w:rPr>
        <w:t>Pinnetti</w:t>
      </w:r>
      <w:proofErr w:type="spellEnd"/>
      <w:r>
        <w:rPr>
          <w:lang w:val="en-US"/>
        </w:rPr>
        <w:t>, S., … Dugi, K. (2013). Safety, Tolerability, Pharmacokinetics, and Pharmacodynamics of Multiple Rising Doses of Empagliflozin in Patients with Type 2 Diabetes Mellitus. Diabetes Therapy, 4(2), 331–345. doi:10.1007/s13300-013-0030-2</w:t>
      </w:r>
      <w:r>
        <w:t>.</w:t>
      </w:r>
    </w:p>
    <w:p w14:paraId="61329953"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Chen, L.-L., Zhang, J., Zou, J.-Z., Zhao, C.-J., &amp; Wang, G.-S. (2014). A framework on wavelet-based nonlinear features and extreme learning machine for epileptic seizure detection. Biomedical Signal Processing and Control, 10, 1–10. </w:t>
      </w:r>
      <w:proofErr w:type="gramStart"/>
      <w:r>
        <w:rPr>
          <w:lang w:val="en-US"/>
        </w:rPr>
        <w:t>doi:10.1016/j.bspc</w:t>
      </w:r>
      <w:proofErr w:type="gramEnd"/>
      <w:r>
        <w:rPr>
          <w:lang w:val="en-US"/>
        </w:rPr>
        <w:t>.2013.11.010</w:t>
      </w:r>
      <w:r>
        <w:t>.</w:t>
      </w:r>
    </w:p>
    <w:p w14:paraId="6D30F205"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Macha, S., </w:t>
      </w:r>
      <w:proofErr w:type="spellStart"/>
      <w:r>
        <w:rPr>
          <w:lang w:val="en-US"/>
        </w:rPr>
        <w:t>Sennewald</w:t>
      </w:r>
      <w:proofErr w:type="spellEnd"/>
      <w:r>
        <w:rPr>
          <w:lang w:val="en-US"/>
        </w:rPr>
        <w:t xml:space="preserve">, R., Rose, P., Schoene, K., </w:t>
      </w:r>
      <w:proofErr w:type="spellStart"/>
      <w:r>
        <w:rPr>
          <w:lang w:val="en-US"/>
        </w:rPr>
        <w:t>Pinnetti</w:t>
      </w:r>
      <w:proofErr w:type="spellEnd"/>
      <w:r>
        <w:rPr>
          <w:lang w:val="en-US"/>
        </w:rPr>
        <w:t xml:space="preserve">, S., </w:t>
      </w:r>
      <w:proofErr w:type="spellStart"/>
      <w:r>
        <w:rPr>
          <w:lang w:val="en-US"/>
        </w:rPr>
        <w:t>Woerle</w:t>
      </w:r>
      <w:proofErr w:type="spellEnd"/>
      <w:r>
        <w:rPr>
          <w:lang w:val="en-US"/>
        </w:rPr>
        <w:t xml:space="preserve">, H. J., &amp; </w:t>
      </w:r>
      <w:proofErr w:type="spellStart"/>
      <w:r>
        <w:rPr>
          <w:lang w:val="en-US"/>
        </w:rPr>
        <w:t>Broedl</w:t>
      </w:r>
      <w:proofErr w:type="spellEnd"/>
      <w:r>
        <w:rPr>
          <w:lang w:val="en-US"/>
        </w:rPr>
        <w:t xml:space="preserve">, U. C. (2013). Lack of Clinically Relevant Drug–Drug Interaction Between Empagliflozin, a Sodium Glucose Cotransporter 2 Inhibitor, and Verapamil, Ramipril, or Digoxin in Healthy Volunteers. Clinical Therapeutics, 35(3), 226–235. </w:t>
      </w:r>
      <w:proofErr w:type="gramStart"/>
      <w:r>
        <w:rPr>
          <w:lang w:val="en-US"/>
        </w:rPr>
        <w:t>doi:10.1016/j.clinthera</w:t>
      </w:r>
      <w:proofErr w:type="gramEnd"/>
      <w:r>
        <w:rPr>
          <w:lang w:val="en-US"/>
        </w:rPr>
        <w:t>.2013.02.0</w:t>
      </w:r>
      <w:r>
        <w:t>15.</w:t>
      </w:r>
    </w:p>
    <w:p w14:paraId="09C1A71A" w14:textId="77777777" w:rsidR="008D6369" w:rsidRDefault="008D6369" w:rsidP="00425959">
      <w:pPr>
        <w:numPr>
          <w:ilvl w:val="0"/>
          <w:numId w:val="14"/>
        </w:numPr>
        <w:shd w:val="clear" w:color="auto" w:fill="FFFFFF"/>
        <w:spacing w:after="0" w:line="240" w:lineRule="auto"/>
        <w:ind w:left="426" w:hanging="426"/>
        <w:rPr>
          <w:lang w:val="en-US"/>
        </w:rPr>
      </w:pPr>
      <w:r>
        <w:rPr>
          <w:shd w:val="clear" w:color="auto" w:fill="FFFFFF"/>
          <w:lang w:val="en-US" w:eastAsia="en-US"/>
        </w:rPr>
        <w:t xml:space="preserve">Macha, S., </w:t>
      </w:r>
      <w:proofErr w:type="spellStart"/>
      <w:r>
        <w:rPr>
          <w:shd w:val="clear" w:color="auto" w:fill="FFFFFF"/>
          <w:lang w:val="en-US" w:eastAsia="en-US"/>
        </w:rPr>
        <w:t>Mattheus</w:t>
      </w:r>
      <w:proofErr w:type="spellEnd"/>
      <w:r>
        <w:rPr>
          <w:shd w:val="clear" w:color="auto" w:fill="FFFFFF"/>
          <w:lang w:val="en-US" w:eastAsia="en-US"/>
        </w:rPr>
        <w:t xml:space="preserve">, M., </w:t>
      </w:r>
      <w:proofErr w:type="spellStart"/>
      <w:r>
        <w:rPr>
          <w:shd w:val="clear" w:color="auto" w:fill="FFFFFF"/>
          <w:lang w:val="en-US" w:eastAsia="en-US"/>
        </w:rPr>
        <w:t>Pinnetti</w:t>
      </w:r>
      <w:proofErr w:type="spellEnd"/>
      <w:r>
        <w:rPr>
          <w:shd w:val="clear" w:color="auto" w:fill="FFFFFF"/>
          <w:lang w:val="en-US" w:eastAsia="en-US"/>
        </w:rPr>
        <w:t xml:space="preserve">, S., </w:t>
      </w:r>
      <w:proofErr w:type="spellStart"/>
      <w:r>
        <w:rPr>
          <w:shd w:val="clear" w:color="auto" w:fill="FFFFFF"/>
          <w:lang w:val="en-US" w:eastAsia="en-US"/>
        </w:rPr>
        <w:t>Broedl</w:t>
      </w:r>
      <w:proofErr w:type="spellEnd"/>
      <w:r>
        <w:rPr>
          <w:shd w:val="clear" w:color="auto" w:fill="FFFFFF"/>
          <w:lang w:val="en-US" w:eastAsia="en-US"/>
        </w:rPr>
        <w:t xml:space="preserve">, U. C., &amp; </w:t>
      </w:r>
      <w:proofErr w:type="spellStart"/>
      <w:r>
        <w:rPr>
          <w:shd w:val="clear" w:color="auto" w:fill="FFFFFF"/>
          <w:lang w:val="en-US" w:eastAsia="en-US"/>
        </w:rPr>
        <w:t>Woerle</w:t>
      </w:r>
      <w:proofErr w:type="spellEnd"/>
      <w:r>
        <w:rPr>
          <w:shd w:val="clear" w:color="auto" w:fill="FFFFFF"/>
          <w:lang w:val="en-US" w:eastAsia="en-US"/>
        </w:rPr>
        <w:t>, H. J. (2015). </w:t>
      </w:r>
      <w:r>
        <w:rPr>
          <w:iCs/>
          <w:shd w:val="clear" w:color="auto" w:fill="FFFFFF"/>
          <w:lang w:val="en-US" w:eastAsia="en-US"/>
        </w:rPr>
        <w:t xml:space="preserve">Pharmacokinetics of Empagliflozin and Pioglitazone After Coadministration in Healthy Volunteers. </w:t>
      </w:r>
      <w:r>
        <w:rPr>
          <w:iCs/>
          <w:shd w:val="clear" w:color="auto" w:fill="FFFFFF"/>
          <w:lang w:eastAsia="en-US"/>
        </w:rPr>
        <w:t>Clinical Therapeutics, 37(7), 1503–1516.</w:t>
      </w:r>
      <w:r>
        <w:rPr>
          <w:shd w:val="clear" w:color="auto" w:fill="FFFFFF"/>
          <w:lang w:eastAsia="en-US"/>
        </w:rPr>
        <w:t> doi:10.1016/j.clinthera.2015.05.002.</w:t>
      </w:r>
    </w:p>
    <w:p w14:paraId="65343888" w14:textId="43BAF561" w:rsidR="008D6369" w:rsidRPr="00D84AD6" w:rsidRDefault="008D6369" w:rsidP="00425959">
      <w:pPr>
        <w:numPr>
          <w:ilvl w:val="0"/>
          <w:numId w:val="14"/>
        </w:numPr>
        <w:shd w:val="clear" w:color="auto" w:fill="FFFFFF"/>
        <w:spacing w:after="0" w:line="240" w:lineRule="auto"/>
        <w:ind w:left="426" w:hanging="426"/>
        <w:rPr>
          <w:lang w:val="en-US"/>
        </w:rPr>
      </w:pPr>
      <w:r w:rsidRPr="00D84AD6">
        <w:rPr>
          <w:lang w:val="en-US"/>
        </w:rPr>
        <w:t xml:space="preserve">European Medicines Agency. Assessment report. Jardiance. International nonproprietary name: empagliflozin. 2014. </w:t>
      </w:r>
      <w:r w:rsidRPr="00CB72DD">
        <w:rPr>
          <w:lang w:val="en-US"/>
        </w:rPr>
        <w:t>http://www.ema.europa.eu/docs/en_GB/document_library/EPAR_-_Public_assessment_report/human/002677/WC500168594.pdf</w:t>
      </w:r>
    </w:p>
    <w:p w14:paraId="1F699A11"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Tomlinson, B., Hu, M., Zhang, Y., Chan, P., &amp; Liu, Z.-M. (2016). Evaluation of the pharmacokinetics, pharmacodynamics and clinical efficacy of empagliflozin for the treatment </w:t>
      </w:r>
      <w:r>
        <w:rPr>
          <w:lang w:val="en-US"/>
        </w:rPr>
        <w:lastRenderedPageBreak/>
        <w:t>of type 2 diabetes. Expert Opinion on Drug Metabolism &amp; Toxicology, 13(2), 211–223. doi:10.1080/17425255.2017.1258401</w:t>
      </w:r>
      <w:r>
        <w:t>.</w:t>
      </w:r>
    </w:p>
    <w:p w14:paraId="31483DCB" w14:textId="607DB7CE" w:rsidR="008D6369" w:rsidRPr="00FF161F" w:rsidRDefault="008D6369" w:rsidP="00425959">
      <w:pPr>
        <w:numPr>
          <w:ilvl w:val="0"/>
          <w:numId w:val="14"/>
        </w:numPr>
        <w:shd w:val="clear" w:color="auto" w:fill="FFFFFF"/>
        <w:spacing w:after="0" w:line="240" w:lineRule="auto"/>
        <w:ind w:left="426" w:hanging="426"/>
        <w:rPr>
          <w:lang w:val="en-US"/>
        </w:rPr>
      </w:pPr>
      <w:r>
        <w:rPr>
          <w:lang w:val="en-US"/>
        </w:rPr>
        <w:t xml:space="preserve">ANNEX I SUMMARY OF PRODUCT CHARACTERISTICS. </w:t>
      </w:r>
      <w:r w:rsidRPr="00FF161F">
        <w:rPr>
          <w:lang w:val="en-US"/>
        </w:rPr>
        <w:t>https://www.ema.europa.eu/en/documents/product-information/glyxambi-epar-product-information_en.pdf</w:t>
      </w:r>
    </w:p>
    <w:p w14:paraId="3B775064" w14:textId="6A882AAF"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Macha S, </w:t>
      </w:r>
      <w:proofErr w:type="spellStart"/>
      <w:r>
        <w:rPr>
          <w:lang w:val="en-US" w:eastAsia="en-US"/>
        </w:rPr>
        <w:t>Jungnik</w:t>
      </w:r>
      <w:proofErr w:type="spellEnd"/>
      <w:r>
        <w:rPr>
          <w:lang w:val="en-US" w:eastAsia="en-US"/>
        </w:rPr>
        <w:t xml:space="preserve"> A, </w:t>
      </w:r>
      <w:proofErr w:type="spellStart"/>
      <w:r>
        <w:rPr>
          <w:lang w:val="en-US" w:eastAsia="en-US"/>
        </w:rPr>
        <w:t>Hohl</w:t>
      </w:r>
      <w:proofErr w:type="spellEnd"/>
      <w:r>
        <w:rPr>
          <w:lang w:val="en-US" w:eastAsia="en-US"/>
        </w:rPr>
        <w:t xml:space="preserve"> K, et al. Effect of food on the pharmacokinetics of empagliflozin, a sodium glucose cotransporter 2 (SGLT2) inhibitor, and assessment of dose proportionality in healthy volunteers. Int J Clin </w:t>
      </w:r>
      <w:proofErr w:type="spellStart"/>
      <w:r>
        <w:rPr>
          <w:lang w:val="en-US" w:eastAsia="en-US"/>
        </w:rPr>
        <w:t>Pharmacol</w:t>
      </w:r>
      <w:proofErr w:type="spellEnd"/>
      <w:r>
        <w:rPr>
          <w:lang w:val="en-US" w:eastAsia="en-US"/>
        </w:rPr>
        <w:t xml:space="preserve"> </w:t>
      </w:r>
      <w:proofErr w:type="spellStart"/>
      <w:r>
        <w:rPr>
          <w:lang w:val="en-US" w:eastAsia="en-US"/>
        </w:rPr>
        <w:t>Ther</w:t>
      </w:r>
      <w:proofErr w:type="spellEnd"/>
      <w:r>
        <w:rPr>
          <w:lang w:val="en-US" w:eastAsia="en-US"/>
        </w:rPr>
        <w:t>. 2013;</w:t>
      </w:r>
      <w:r w:rsidR="00424C11" w:rsidRPr="00421FA2">
        <w:rPr>
          <w:lang w:val="en-US" w:eastAsia="en-US"/>
        </w:rPr>
        <w:t xml:space="preserve"> </w:t>
      </w:r>
      <w:r>
        <w:rPr>
          <w:lang w:val="en-US" w:eastAsia="en-US"/>
        </w:rPr>
        <w:t xml:space="preserve">51:873-879. </w:t>
      </w:r>
      <w:r w:rsidRPr="00CB72DD">
        <w:rPr>
          <w:lang w:val="en-US" w:eastAsia="en-US"/>
        </w:rPr>
        <w:t>https://pubmed.ncbi.nlm.nih.gov/24152604/</w:t>
      </w:r>
    </w:p>
    <w:p w14:paraId="6B53D648" w14:textId="44EBEE35"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Sarashina</w:t>
      </w:r>
      <w:proofErr w:type="spellEnd"/>
      <w:r>
        <w:rPr>
          <w:lang w:val="en-US"/>
        </w:rPr>
        <w:t xml:space="preserve"> A, </w:t>
      </w:r>
      <w:proofErr w:type="spellStart"/>
      <w:r>
        <w:rPr>
          <w:lang w:val="en-US"/>
        </w:rPr>
        <w:t>Koiwai</w:t>
      </w:r>
      <w:proofErr w:type="spellEnd"/>
      <w:r>
        <w:rPr>
          <w:lang w:val="en-US"/>
        </w:rPr>
        <w:t xml:space="preserve"> K, </w:t>
      </w:r>
      <w:proofErr w:type="spellStart"/>
      <w:r>
        <w:rPr>
          <w:lang w:val="en-US"/>
        </w:rPr>
        <w:t>Seman</w:t>
      </w:r>
      <w:proofErr w:type="spellEnd"/>
      <w:r>
        <w:rPr>
          <w:lang w:val="en-US"/>
        </w:rPr>
        <w:t xml:space="preserve"> LJ, et al. Safety, tolerability, pharmacokinetics and pharmacodynamics of single doses of empagliflozin, a sodium glucose cotransporter 2 (SGLT2) inhibitor, in healthy Japanese subjects. Drug </w:t>
      </w:r>
      <w:proofErr w:type="spellStart"/>
      <w:r>
        <w:rPr>
          <w:lang w:val="en-US"/>
        </w:rPr>
        <w:t>Metab</w:t>
      </w:r>
      <w:proofErr w:type="spellEnd"/>
      <w:r>
        <w:rPr>
          <w:lang w:val="en-US"/>
        </w:rPr>
        <w:t xml:space="preserve"> </w:t>
      </w:r>
      <w:proofErr w:type="spellStart"/>
      <w:r>
        <w:rPr>
          <w:lang w:val="en-US"/>
        </w:rPr>
        <w:t>Pharmacokinet</w:t>
      </w:r>
      <w:proofErr w:type="spellEnd"/>
      <w:r>
        <w:rPr>
          <w:lang w:val="en-US"/>
        </w:rPr>
        <w:t>. 2013;</w:t>
      </w:r>
      <w:r w:rsidR="00424C11" w:rsidRPr="00421FA2">
        <w:rPr>
          <w:lang w:val="en-US"/>
        </w:rPr>
        <w:t xml:space="preserve"> </w:t>
      </w:r>
      <w:r>
        <w:rPr>
          <w:lang w:val="en-US"/>
        </w:rPr>
        <w:t>28:213-219.</w:t>
      </w:r>
      <w:r>
        <w:rPr>
          <w:lang w:val="en-US" w:eastAsia="en-US"/>
        </w:rPr>
        <w:t xml:space="preserve"> </w:t>
      </w:r>
      <w:r>
        <w:rPr>
          <w:lang w:val="en-US"/>
        </w:rPr>
        <w:t>DOI: 10.2133/dmpk.dmpk-12-rg-082</w:t>
      </w:r>
      <w:r w:rsidRPr="00E14858">
        <w:rPr>
          <w:lang w:val="en-US"/>
        </w:rPr>
        <w:t>.</w:t>
      </w:r>
    </w:p>
    <w:p w14:paraId="0A506CB7" w14:textId="3F9757A4"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Macha S, Brand T, </w:t>
      </w:r>
      <w:proofErr w:type="spellStart"/>
      <w:r>
        <w:rPr>
          <w:lang w:val="en-US" w:eastAsia="en-US"/>
        </w:rPr>
        <w:t>Meinicke</w:t>
      </w:r>
      <w:proofErr w:type="spellEnd"/>
      <w:r>
        <w:rPr>
          <w:lang w:val="en-US" w:eastAsia="en-US"/>
        </w:rPr>
        <w:t xml:space="preserve"> T, et al. Pharmacokinetics and Pharmacodynamics of Twice Daily and Once Daily Regimens of Empagliflozin in Healthy Subjects. Clin </w:t>
      </w:r>
      <w:proofErr w:type="spellStart"/>
      <w:r>
        <w:rPr>
          <w:lang w:val="en-US" w:eastAsia="en-US"/>
        </w:rPr>
        <w:t>Ther</w:t>
      </w:r>
      <w:proofErr w:type="spellEnd"/>
      <w:r>
        <w:rPr>
          <w:lang w:val="en-US" w:eastAsia="en-US"/>
        </w:rPr>
        <w:t>. 2015;</w:t>
      </w:r>
      <w:r w:rsidR="00424C11" w:rsidRPr="00421FA2">
        <w:rPr>
          <w:lang w:val="en-US" w:eastAsia="en-US"/>
        </w:rPr>
        <w:t xml:space="preserve"> </w:t>
      </w:r>
      <w:r>
        <w:rPr>
          <w:lang w:val="en-US" w:eastAsia="en-US"/>
        </w:rPr>
        <w:t>37:1789-1796.</w:t>
      </w:r>
    </w:p>
    <w:p w14:paraId="4A6752F7" w14:textId="3DAE3945" w:rsidR="008D6369" w:rsidRDefault="008D6369" w:rsidP="00425959">
      <w:pPr>
        <w:numPr>
          <w:ilvl w:val="0"/>
          <w:numId w:val="14"/>
        </w:numPr>
        <w:shd w:val="clear" w:color="auto" w:fill="FFFFFF"/>
        <w:spacing w:after="0" w:line="240" w:lineRule="auto"/>
        <w:ind w:left="426" w:hanging="426"/>
        <w:rPr>
          <w:lang w:val="en-US"/>
        </w:rPr>
      </w:pPr>
      <w:r>
        <w:rPr>
          <w:lang w:val="en-US"/>
        </w:rPr>
        <w:t xml:space="preserve">Macha S, </w:t>
      </w:r>
      <w:proofErr w:type="spellStart"/>
      <w:r>
        <w:rPr>
          <w:lang w:val="en-US"/>
        </w:rPr>
        <w:t>Mattheus</w:t>
      </w:r>
      <w:proofErr w:type="spellEnd"/>
      <w:r>
        <w:rPr>
          <w:lang w:val="en-US"/>
        </w:rPr>
        <w:t xml:space="preserve"> M, </w:t>
      </w:r>
      <w:proofErr w:type="spellStart"/>
      <w:r>
        <w:rPr>
          <w:lang w:val="en-US"/>
        </w:rPr>
        <w:t>Halabi</w:t>
      </w:r>
      <w:proofErr w:type="spellEnd"/>
      <w:r>
        <w:rPr>
          <w:lang w:val="en-US"/>
        </w:rPr>
        <w:t xml:space="preserve"> A, et al. Pharmacokinetics, pharmacodynamics and safety of empagliflozin, a sodium glucose cotransporter 2 (SGLT2) inhibitor, in subjects with renal impairment. Diabetes </w:t>
      </w:r>
      <w:proofErr w:type="spellStart"/>
      <w:r>
        <w:rPr>
          <w:lang w:val="en-US"/>
        </w:rPr>
        <w:t>Obes</w:t>
      </w:r>
      <w:proofErr w:type="spellEnd"/>
      <w:r>
        <w:rPr>
          <w:lang w:val="en-US"/>
        </w:rPr>
        <w:t xml:space="preserve"> </w:t>
      </w:r>
      <w:proofErr w:type="spellStart"/>
      <w:r>
        <w:rPr>
          <w:lang w:val="en-US"/>
        </w:rPr>
        <w:t>Metab</w:t>
      </w:r>
      <w:proofErr w:type="spellEnd"/>
      <w:r>
        <w:rPr>
          <w:lang w:val="en-US"/>
        </w:rPr>
        <w:t>. 2014;</w:t>
      </w:r>
      <w:r w:rsidR="00424C11" w:rsidRPr="00421FA2">
        <w:rPr>
          <w:lang w:val="en-US"/>
        </w:rPr>
        <w:t xml:space="preserve"> </w:t>
      </w:r>
      <w:r>
        <w:rPr>
          <w:lang w:val="en-US"/>
        </w:rPr>
        <w:t xml:space="preserve">16(3):215-222. </w:t>
      </w:r>
      <w:proofErr w:type="spellStart"/>
      <w:r>
        <w:rPr>
          <w:lang w:val="en-US"/>
        </w:rPr>
        <w:t>doi</w:t>
      </w:r>
      <w:proofErr w:type="spellEnd"/>
      <w:r>
        <w:rPr>
          <w:lang w:val="en-US"/>
        </w:rPr>
        <w:t>: 10.1111/dom.12182.</w:t>
      </w:r>
    </w:p>
    <w:p w14:paraId="78E6A731" w14:textId="2031DFF1"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Macha S, Rose P, </w:t>
      </w:r>
      <w:proofErr w:type="spellStart"/>
      <w:r>
        <w:rPr>
          <w:lang w:val="en-US" w:eastAsia="en-US"/>
        </w:rPr>
        <w:t>Mattheus</w:t>
      </w:r>
      <w:proofErr w:type="spellEnd"/>
      <w:r>
        <w:rPr>
          <w:lang w:val="en-US" w:eastAsia="en-US"/>
        </w:rPr>
        <w:t xml:space="preserve"> M, et al. Pharmacokinetics, safety and tolerability of empagliflozin, a sodium glucose cotransporter 2 inhibitor, in patients with hepatic impairment. Diabetes </w:t>
      </w:r>
      <w:proofErr w:type="spellStart"/>
      <w:r>
        <w:rPr>
          <w:lang w:val="en-US" w:eastAsia="en-US"/>
        </w:rPr>
        <w:t>Obes</w:t>
      </w:r>
      <w:proofErr w:type="spellEnd"/>
      <w:r>
        <w:rPr>
          <w:lang w:val="en-US" w:eastAsia="en-US"/>
        </w:rPr>
        <w:t xml:space="preserve"> </w:t>
      </w:r>
      <w:proofErr w:type="spellStart"/>
      <w:r>
        <w:rPr>
          <w:lang w:val="en-US" w:eastAsia="en-US"/>
        </w:rPr>
        <w:t>Metab</w:t>
      </w:r>
      <w:proofErr w:type="spellEnd"/>
      <w:r>
        <w:rPr>
          <w:lang w:val="en-US" w:eastAsia="en-US"/>
        </w:rPr>
        <w:t>. 2014;</w:t>
      </w:r>
      <w:r w:rsidR="00424C11" w:rsidRPr="00421FA2">
        <w:rPr>
          <w:lang w:val="en-US" w:eastAsia="en-US"/>
        </w:rPr>
        <w:t xml:space="preserve"> </w:t>
      </w:r>
      <w:r>
        <w:rPr>
          <w:lang w:val="en-US" w:eastAsia="en-US"/>
        </w:rPr>
        <w:t>16:118-123.</w:t>
      </w:r>
    </w:p>
    <w:p w14:paraId="43A8FE5C" w14:textId="6D1BE000"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Riggs MM, </w:t>
      </w:r>
      <w:proofErr w:type="spellStart"/>
      <w:r>
        <w:rPr>
          <w:lang w:val="en-US" w:eastAsia="en-US"/>
        </w:rPr>
        <w:t>Staab</w:t>
      </w:r>
      <w:proofErr w:type="spellEnd"/>
      <w:r>
        <w:rPr>
          <w:lang w:val="en-US" w:eastAsia="en-US"/>
        </w:rPr>
        <w:t xml:space="preserve"> A, </w:t>
      </w:r>
      <w:proofErr w:type="spellStart"/>
      <w:r>
        <w:rPr>
          <w:lang w:val="en-US" w:eastAsia="en-US"/>
        </w:rPr>
        <w:t>Seman</w:t>
      </w:r>
      <w:proofErr w:type="spellEnd"/>
      <w:r>
        <w:rPr>
          <w:lang w:val="en-US" w:eastAsia="en-US"/>
        </w:rPr>
        <w:t xml:space="preserve"> L, et al. Population pharmacokinetics of empagliflozin, a sodium glucose cotransporter 2 inhibitor, in patients with type 2 diabetes. J Clin </w:t>
      </w:r>
      <w:proofErr w:type="spellStart"/>
      <w:r>
        <w:rPr>
          <w:lang w:val="en-US" w:eastAsia="en-US"/>
        </w:rPr>
        <w:t>Pharmacol</w:t>
      </w:r>
      <w:proofErr w:type="spellEnd"/>
      <w:r>
        <w:rPr>
          <w:lang w:val="en-US" w:eastAsia="en-US"/>
        </w:rPr>
        <w:t>. 2013;</w:t>
      </w:r>
      <w:r w:rsidR="00424C11" w:rsidRPr="00421FA2">
        <w:rPr>
          <w:lang w:val="en-US" w:eastAsia="en-US"/>
        </w:rPr>
        <w:t xml:space="preserve"> </w:t>
      </w:r>
      <w:r>
        <w:rPr>
          <w:lang w:val="en-US" w:eastAsia="en-US"/>
        </w:rPr>
        <w:t xml:space="preserve">53:1028-1038. </w:t>
      </w:r>
      <w:r w:rsidRPr="00E14858">
        <w:rPr>
          <w:lang w:val="en-US" w:eastAsia="en-US"/>
        </w:rPr>
        <w:t>DOI: 10.1002/jcph.147.</w:t>
      </w:r>
    </w:p>
    <w:p w14:paraId="4532D721" w14:textId="4952CD85"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Brand T, Macha S, </w:t>
      </w:r>
      <w:proofErr w:type="spellStart"/>
      <w:r>
        <w:rPr>
          <w:lang w:val="en-US" w:eastAsia="en-US"/>
        </w:rPr>
        <w:t>Mattheus</w:t>
      </w:r>
      <w:proofErr w:type="spellEnd"/>
      <w:r>
        <w:rPr>
          <w:lang w:val="en-US" w:eastAsia="en-US"/>
        </w:rPr>
        <w:t xml:space="preserve"> M, et al. Pharmacokinetics of empagliflozin, a sodium glucose cotransporter-2 (SGLT-2) inhibitor, </w:t>
      </w:r>
      <w:proofErr w:type="spellStart"/>
      <w:r>
        <w:rPr>
          <w:lang w:val="en-US" w:eastAsia="en-US"/>
        </w:rPr>
        <w:t>coadministered</w:t>
      </w:r>
      <w:proofErr w:type="spellEnd"/>
      <w:r>
        <w:rPr>
          <w:lang w:val="en-US" w:eastAsia="en-US"/>
        </w:rPr>
        <w:t xml:space="preserve"> with sitagliptin in healthy volunteers. Adv </w:t>
      </w:r>
      <w:proofErr w:type="spellStart"/>
      <w:r>
        <w:rPr>
          <w:lang w:val="en-US" w:eastAsia="en-US"/>
        </w:rPr>
        <w:t>Ther</w:t>
      </w:r>
      <w:proofErr w:type="spellEnd"/>
      <w:r>
        <w:rPr>
          <w:lang w:val="en-US" w:eastAsia="en-US"/>
        </w:rPr>
        <w:t>. 2012;</w:t>
      </w:r>
      <w:r w:rsidR="00424C11" w:rsidRPr="00421FA2">
        <w:rPr>
          <w:lang w:val="en-US" w:eastAsia="en-US"/>
        </w:rPr>
        <w:t xml:space="preserve"> </w:t>
      </w:r>
      <w:r>
        <w:rPr>
          <w:lang w:val="en-US" w:eastAsia="en-US"/>
        </w:rPr>
        <w:t xml:space="preserve">29:889-899. DOI: 10.1007/s12325-012-0055-3. </w:t>
      </w:r>
    </w:p>
    <w:p w14:paraId="4A73E04F" w14:textId="5F001F39"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Macha S, </w:t>
      </w:r>
      <w:proofErr w:type="spellStart"/>
      <w:r>
        <w:rPr>
          <w:lang w:val="en-US" w:eastAsia="en-US"/>
        </w:rPr>
        <w:t>Koenen</w:t>
      </w:r>
      <w:proofErr w:type="spellEnd"/>
      <w:r>
        <w:rPr>
          <w:lang w:val="en-US" w:eastAsia="en-US"/>
        </w:rPr>
        <w:t xml:space="preserve"> R, </w:t>
      </w:r>
      <w:proofErr w:type="spellStart"/>
      <w:r>
        <w:rPr>
          <w:lang w:val="en-US" w:eastAsia="en-US"/>
        </w:rPr>
        <w:t>Sennewald</w:t>
      </w:r>
      <w:proofErr w:type="spellEnd"/>
      <w:r>
        <w:rPr>
          <w:lang w:val="en-US" w:eastAsia="en-US"/>
        </w:rPr>
        <w:t xml:space="preserve"> R, et al. Effect of gemfibrozil, rifampicin, or probenecid on the pharmacokinetics of the SGLT2 inhibitor empagliflozin in healthy volunteers. Clin </w:t>
      </w:r>
      <w:proofErr w:type="spellStart"/>
      <w:r>
        <w:rPr>
          <w:lang w:val="en-US" w:eastAsia="en-US"/>
        </w:rPr>
        <w:t>Ther</w:t>
      </w:r>
      <w:proofErr w:type="spellEnd"/>
      <w:r>
        <w:rPr>
          <w:lang w:val="en-US" w:eastAsia="en-US"/>
        </w:rPr>
        <w:t>. 2014;</w:t>
      </w:r>
      <w:r w:rsidR="00424C11" w:rsidRPr="00421FA2">
        <w:rPr>
          <w:lang w:val="en-US" w:eastAsia="en-US"/>
        </w:rPr>
        <w:t xml:space="preserve"> </w:t>
      </w:r>
      <w:r>
        <w:rPr>
          <w:lang w:val="en-US" w:eastAsia="en-US"/>
        </w:rPr>
        <w:t xml:space="preserve">36:280-290 e281. </w:t>
      </w:r>
      <w:r w:rsidRPr="00F23A9C">
        <w:rPr>
          <w:lang w:val="en-US" w:eastAsia="en-US"/>
        </w:rPr>
        <w:t>DOI: 10.1016/j.clinthera.2014.01.003</w:t>
      </w:r>
    </w:p>
    <w:p w14:paraId="5A710FF0" w14:textId="7E2437F0"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Macha S, Rose P, </w:t>
      </w:r>
      <w:proofErr w:type="spellStart"/>
      <w:r>
        <w:rPr>
          <w:lang w:val="en-US" w:eastAsia="en-US"/>
        </w:rPr>
        <w:t>Mattheus</w:t>
      </w:r>
      <w:proofErr w:type="spellEnd"/>
      <w:r>
        <w:rPr>
          <w:lang w:val="en-US" w:eastAsia="en-US"/>
        </w:rPr>
        <w:t xml:space="preserve"> M, et al. Lack of drug-drug interaction between empagliflozin, a sodium glucose cotransporter 2 inhibitor, and warfarin in healthy volunteers. Diabetes </w:t>
      </w:r>
      <w:proofErr w:type="spellStart"/>
      <w:r>
        <w:rPr>
          <w:lang w:val="en-US" w:eastAsia="en-US"/>
        </w:rPr>
        <w:t>Obes</w:t>
      </w:r>
      <w:proofErr w:type="spellEnd"/>
      <w:r>
        <w:rPr>
          <w:lang w:val="en-US" w:eastAsia="en-US"/>
        </w:rPr>
        <w:t xml:space="preserve"> </w:t>
      </w:r>
      <w:proofErr w:type="spellStart"/>
      <w:r>
        <w:rPr>
          <w:lang w:val="en-US" w:eastAsia="en-US"/>
        </w:rPr>
        <w:t>Metab</w:t>
      </w:r>
      <w:proofErr w:type="spellEnd"/>
      <w:r>
        <w:rPr>
          <w:lang w:val="en-US" w:eastAsia="en-US"/>
        </w:rPr>
        <w:t>. 2013;</w:t>
      </w:r>
      <w:r w:rsidR="00424C11" w:rsidRPr="00421FA2">
        <w:rPr>
          <w:lang w:val="en-US" w:eastAsia="en-US"/>
        </w:rPr>
        <w:t xml:space="preserve"> </w:t>
      </w:r>
      <w:r>
        <w:rPr>
          <w:lang w:val="en-US" w:eastAsia="en-US"/>
        </w:rPr>
        <w:t>15:316-323.</w:t>
      </w:r>
    </w:p>
    <w:p w14:paraId="3E7D50D7"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Assessment report Jardiance (International non-proprietary name: empagliflozin), 20 March 2014 </w:t>
      </w:r>
      <w:hyperlink r:id="rId27" w:history="1">
        <w:r>
          <w:rPr>
            <w:lang w:val="en-US"/>
          </w:rPr>
          <w:t>https://www.ema.europa.eu/en/documents/assessment-report/jardiance-epar-public-assessment-report_en.pdf</w:t>
        </w:r>
      </w:hyperlink>
    </w:p>
    <w:p w14:paraId="68931C19" w14:textId="6037601A" w:rsidR="008D6369" w:rsidRPr="00FF161F" w:rsidRDefault="008D6369" w:rsidP="00425959">
      <w:pPr>
        <w:numPr>
          <w:ilvl w:val="0"/>
          <w:numId w:val="14"/>
        </w:numPr>
        <w:shd w:val="clear" w:color="auto" w:fill="FFFFFF"/>
        <w:spacing w:after="0" w:line="240" w:lineRule="auto"/>
        <w:ind w:left="426" w:hanging="426"/>
        <w:rPr>
          <w:lang w:val="en-US"/>
        </w:rPr>
      </w:pPr>
      <w:r w:rsidRPr="00E14858">
        <w:rPr>
          <w:color w:val="000000" w:themeColor="text1"/>
          <w:lang w:val="en-US"/>
        </w:rPr>
        <w:t xml:space="preserve">ANNEX I SUMMARY OF PRODUCT CHARACTERISTICS. Jardiance 10 mg and 25 mg film-coated tablets. </w:t>
      </w:r>
      <w:r w:rsidRPr="00FF161F">
        <w:rPr>
          <w:lang w:val="en-US"/>
        </w:rPr>
        <w:t>https://www.ema.europa.eu/en/documents/product-information/jardiance-epar-product-information_en.pdf</w:t>
      </w:r>
    </w:p>
    <w:p w14:paraId="6EA9DCAC" w14:textId="77777777" w:rsidR="008D6369" w:rsidRDefault="008D6369" w:rsidP="00425959">
      <w:pPr>
        <w:numPr>
          <w:ilvl w:val="0"/>
          <w:numId w:val="14"/>
        </w:numPr>
        <w:shd w:val="clear" w:color="auto" w:fill="FFFFFF"/>
        <w:spacing w:after="0" w:line="240" w:lineRule="auto"/>
        <w:ind w:left="426" w:hanging="426"/>
        <w:rPr>
          <w:lang w:val="en-US"/>
        </w:rPr>
      </w:pPr>
      <w:bookmarkStart w:id="168" w:name="_Hlk130998439"/>
      <w:r>
        <w:t>Кривошеева А.А., Аметов А.С. Влияние ингибиторов натрий-глюкозных котранспортеров типа 2 на эффективность управления сахарным диабетом типа 2. Клинический разбор. Эндокринология: новости, мнения, обучение. 2016. - №4. - С. 99-102.</w:t>
      </w:r>
    </w:p>
    <w:p w14:paraId="05839A6A" w14:textId="63553718" w:rsidR="008D6369" w:rsidRDefault="008D6369" w:rsidP="00425959">
      <w:pPr>
        <w:numPr>
          <w:ilvl w:val="0"/>
          <w:numId w:val="14"/>
        </w:numPr>
        <w:shd w:val="clear" w:color="auto" w:fill="FFFFFF"/>
        <w:spacing w:after="0" w:line="240" w:lineRule="auto"/>
        <w:ind w:left="426" w:hanging="426"/>
        <w:rPr>
          <w:lang w:val="en-US"/>
        </w:rPr>
      </w:pPr>
      <w:bookmarkStart w:id="169" w:name="_Hlk130998854"/>
      <w:bookmarkEnd w:id="168"/>
      <w:proofErr w:type="spellStart"/>
      <w:r>
        <w:rPr>
          <w:lang w:val="en-US"/>
        </w:rPr>
        <w:t>Zinman</w:t>
      </w:r>
      <w:proofErr w:type="spellEnd"/>
      <w:r>
        <w:rPr>
          <w:lang w:val="en-US"/>
        </w:rPr>
        <w:t xml:space="preserve"> B, </w:t>
      </w:r>
      <w:proofErr w:type="spellStart"/>
      <w:r>
        <w:rPr>
          <w:lang w:val="en-US"/>
        </w:rPr>
        <w:t>Wanner</w:t>
      </w:r>
      <w:proofErr w:type="spellEnd"/>
      <w:r>
        <w:rPr>
          <w:lang w:val="en-US"/>
        </w:rPr>
        <w:t xml:space="preserve"> C, </w:t>
      </w:r>
      <w:proofErr w:type="spellStart"/>
      <w:r>
        <w:rPr>
          <w:lang w:val="en-US"/>
        </w:rPr>
        <w:t>Lachin</w:t>
      </w:r>
      <w:proofErr w:type="spellEnd"/>
      <w:r>
        <w:rPr>
          <w:lang w:val="en-US"/>
        </w:rPr>
        <w:t xml:space="preserve"> JM, et al. Empagliflozin, Cardiovascular Outcomes, and Mortality in Type 2 Diabetes. N </w:t>
      </w:r>
      <w:proofErr w:type="spellStart"/>
      <w:r>
        <w:rPr>
          <w:lang w:val="en-US"/>
        </w:rPr>
        <w:t>Engl</w:t>
      </w:r>
      <w:proofErr w:type="spellEnd"/>
      <w:r>
        <w:rPr>
          <w:lang w:val="en-US"/>
        </w:rPr>
        <w:t xml:space="preserve"> J Med. 2015;</w:t>
      </w:r>
      <w:r w:rsidR="00424C11" w:rsidRPr="00421FA2">
        <w:rPr>
          <w:lang w:val="en-US"/>
        </w:rPr>
        <w:t xml:space="preserve"> </w:t>
      </w:r>
      <w:r>
        <w:rPr>
          <w:lang w:val="en-US"/>
        </w:rPr>
        <w:t xml:space="preserve">373(22):2117-2128. </w:t>
      </w:r>
      <w:proofErr w:type="spellStart"/>
      <w:r>
        <w:rPr>
          <w:lang w:val="en-US"/>
        </w:rPr>
        <w:t>doi</w:t>
      </w:r>
      <w:proofErr w:type="spellEnd"/>
      <w:r>
        <w:rPr>
          <w:lang w:val="en-US"/>
        </w:rPr>
        <w:t>: 10.1056/NEJMoa1504720.</w:t>
      </w:r>
    </w:p>
    <w:bookmarkEnd w:id="169"/>
    <w:p w14:paraId="24C78596" w14:textId="2D5D72AC" w:rsidR="008D6369" w:rsidRDefault="008D6369" w:rsidP="00425959">
      <w:pPr>
        <w:numPr>
          <w:ilvl w:val="0"/>
          <w:numId w:val="14"/>
        </w:numPr>
        <w:shd w:val="clear" w:color="auto" w:fill="FFFFFF"/>
        <w:spacing w:after="0" w:line="240" w:lineRule="auto"/>
        <w:ind w:left="426" w:hanging="426"/>
      </w:pPr>
      <w:r>
        <w:rPr>
          <w:lang w:val="en-US"/>
        </w:rPr>
        <w:lastRenderedPageBreak/>
        <w:t xml:space="preserve">Fitchett D, </w:t>
      </w:r>
      <w:proofErr w:type="spellStart"/>
      <w:r>
        <w:rPr>
          <w:lang w:val="en-US"/>
        </w:rPr>
        <w:t>Zinman</w:t>
      </w:r>
      <w:proofErr w:type="spellEnd"/>
      <w:r>
        <w:rPr>
          <w:lang w:val="en-US"/>
        </w:rPr>
        <w:t xml:space="preserve"> B, </w:t>
      </w:r>
      <w:proofErr w:type="spellStart"/>
      <w:r>
        <w:rPr>
          <w:lang w:val="en-US"/>
        </w:rPr>
        <w:t>Wanner</w:t>
      </w:r>
      <w:proofErr w:type="spellEnd"/>
      <w:r>
        <w:rPr>
          <w:lang w:val="en-US"/>
        </w:rPr>
        <w:t xml:space="preserve"> C, </w:t>
      </w:r>
      <w:proofErr w:type="spellStart"/>
      <w:r>
        <w:rPr>
          <w:lang w:val="en-US"/>
        </w:rPr>
        <w:t>Lachin</w:t>
      </w:r>
      <w:proofErr w:type="spellEnd"/>
      <w:r>
        <w:rPr>
          <w:lang w:val="en-US"/>
        </w:rPr>
        <w:t xml:space="preserve"> JM, </w:t>
      </w:r>
      <w:proofErr w:type="spellStart"/>
      <w:r>
        <w:rPr>
          <w:lang w:val="en-US"/>
        </w:rPr>
        <w:t>Hantel</w:t>
      </w:r>
      <w:proofErr w:type="spellEnd"/>
      <w:r>
        <w:rPr>
          <w:lang w:val="en-US"/>
        </w:rPr>
        <w:t xml:space="preserve"> S, </w:t>
      </w:r>
      <w:proofErr w:type="spellStart"/>
      <w:r>
        <w:rPr>
          <w:lang w:val="en-US"/>
        </w:rPr>
        <w:t>Salsali</w:t>
      </w:r>
      <w:proofErr w:type="spellEnd"/>
      <w:r>
        <w:rPr>
          <w:lang w:val="en-US"/>
        </w:rPr>
        <w:t xml:space="preserve"> A, Johansen OE, </w:t>
      </w:r>
      <w:proofErr w:type="spellStart"/>
      <w:r>
        <w:rPr>
          <w:lang w:val="en-US"/>
        </w:rPr>
        <w:t>Woerle</w:t>
      </w:r>
      <w:proofErr w:type="spellEnd"/>
      <w:r>
        <w:rPr>
          <w:lang w:val="en-US"/>
        </w:rPr>
        <w:t xml:space="preserve"> HJ, </w:t>
      </w:r>
      <w:proofErr w:type="spellStart"/>
      <w:r>
        <w:rPr>
          <w:lang w:val="en-US"/>
        </w:rPr>
        <w:t>Broedl</w:t>
      </w:r>
      <w:proofErr w:type="spellEnd"/>
      <w:r>
        <w:rPr>
          <w:lang w:val="en-US"/>
        </w:rPr>
        <w:t xml:space="preserve"> UC, </w:t>
      </w:r>
      <w:proofErr w:type="spellStart"/>
      <w:r>
        <w:rPr>
          <w:lang w:val="en-US"/>
        </w:rPr>
        <w:t>Inzucchi</w:t>
      </w:r>
      <w:proofErr w:type="spellEnd"/>
      <w:r>
        <w:rPr>
          <w:lang w:val="en-US"/>
        </w:rPr>
        <w:t xml:space="preserve"> SE; EMPA-REG OUTCOME® trial investigators. Heart failure outcomes with empagliflozin in patients with type 2 diabetes at high cardiovascular risk: results of the EMPA-REG OUTCOME® trial. Eur Heart J. 2016 May 14;</w:t>
      </w:r>
      <w:r w:rsidR="00424C11" w:rsidRPr="00421FA2">
        <w:rPr>
          <w:lang w:val="en-US"/>
        </w:rPr>
        <w:t xml:space="preserve"> </w:t>
      </w:r>
      <w:r>
        <w:rPr>
          <w:lang w:val="en-US"/>
        </w:rPr>
        <w:t xml:space="preserve">37(19):1526-34. </w:t>
      </w:r>
      <w:proofErr w:type="spellStart"/>
      <w:r>
        <w:rPr>
          <w:lang w:val="en-US"/>
        </w:rPr>
        <w:t>doi</w:t>
      </w:r>
      <w:proofErr w:type="spellEnd"/>
      <w:r>
        <w:rPr>
          <w:lang w:val="en-US"/>
        </w:rPr>
        <w:t>: 10.1093/</w:t>
      </w:r>
      <w:proofErr w:type="spellStart"/>
      <w:r>
        <w:rPr>
          <w:lang w:val="en-US"/>
        </w:rPr>
        <w:t>eurheartj</w:t>
      </w:r>
      <w:proofErr w:type="spellEnd"/>
      <w:r>
        <w:rPr>
          <w:lang w:val="en-US"/>
        </w:rPr>
        <w:t xml:space="preserve">/ehv728. </w:t>
      </w:r>
      <w:proofErr w:type="spellStart"/>
      <w:r>
        <w:rPr>
          <w:lang w:val="en-US"/>
        </w:rPr>
        <w:t>Epub</w:t>
      </w:r>
      <w:proofErr w:type="spellEnd"/>
      <w:r>
        <w:rPr>
          <w:lang w:val="en-US"/>
        </w:rPr>
        <w:t xml:space="preserve"> 2016 Jan 26. Erratum for: Eur Heart J. 2016 May 14;</w:t>
      </w:r>
      <w:r w:rsidR="00424C11" w:rsidRPr="00421FA2">
        <w:rPr>
          <w:lang w:val="en-US"/>
        </w:rPr>
        <w:t xml:space="preserve"> </w:t>
      </w:r>
      <w:r>
        <w:rPr>
          <w:lang w:val="en-US"/>
        </w:rPr>
        <w:t xml:space="preserve">37(19):1535-7. </w:t>
      </w:r>
      <w:r>
        <w:t>PMID: 26819227; PMCID: PMC4872285.</w:t>
      </w:r>
    </w:p>
    <w:p w14:paraId="155CA45C"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Barnett AH, </w:t>
      </w:r>
      <w:proofErr w:type="spellStart"/>
      <w:r>
        <w:rPr>
          <w:lang w:val="en-US"/>
        </w:rPr>
        <w:t>Mithal</w:t>
      </w:r>
      <w:proofErr w:type="spellEnd"/>
      <w:r>
        <w:rPr>
          <w:lang w:val="en-US"/>
        </w:rPr>
        <w:t xml:space="preserve"> A, </w:t>
      </w:r>
      <w:proofErr w:type="spellStart"/>
      <w:r>
        <w:rPr>
          <w:lang w:val="en-US"/>
        </w:rPr>
        <w:t>Manassie</w:t>
      </w:r>
      <w:proofErr w:type="spellEnd"/>
      <w:r>
        <w:rPr>
          <w:lang w:val="en-US"/>
        </w:rPr>
        <w:t xml:space="preserve"> J, et al. Efficacy and safety of empagliflozin added to existing </w:t>
      </w:r>
      <w:proofErr w:type="spellStart"/>
      <w:r>
        <w:rPr>
          <w:lang w:val="en-US"/>
        </w:rPr>
        <w:t>antidiabetes</w:t>
      </w:r>
      <w:proofErr w:type="spellEnd"/>
      <w:r>
        <w:rPr>
          <w:lang w:val="en-US"/>
        </w:rPr>
        <w:t xml:space="preserve"> treatment in patients with type 2 diabetes and chronic kidney disease: a </w:t>
      </w:r>
      <w:proofErr w:type="spellStart"/>
      <w:r>
        <w:rPr>
          <w:lang w:val="en-US"/>
        </w:rPr>
        <w:t>randomised</w:t>
      </w:r>
      <w:proofErr w:type="spellEnd"/>
      <w:r>
        <w:rPr>
          <w:lang w:val="en-US"/>
        </w:rPr>
        <w:t xml:space="preserve">, double-blind, placebo-controlled trial. The Lancet Diabetes &amp; Endocrinology. 2014;2(5):369-384. </w:t>
      </w:r>
      <w:proofErr w:type="spellStart"/>
      <w:r>
        <w:rPr>
          <w:lang w:val="en-US"/>
        </w:rPr>
        <w:t>doi</w:t>
      </w:r>
      <w:proofErr w:type="spellEnd"/>
      <w:r>
        <w:rPr>
          <w:lang w:val="en-US"/>
        </w:rPr>
        <w:t>: 10.1016/s2213-8587(13)70208-0.</w:t>
      </w:r>
    </w:p>
    <w:p w14:paraId="1E1A213C" w14:textId="77777777" w:rsidR="008D6369" w:rsidRDefault="008D6369" w:rsidP="00425959">
      <w:pPr>
        <w:numPr>
          <w:ilvl w:val="0"/>
          <w:numId w:val="14"/>
        </w:numPr>
        <w:shd w:val="clear" w:color="auto" w:fill="FFFFFF"/>
        <w:spacing w:after="0" w:line="240" w:lineRule="auto"/>
        <w:ind w:left="426" w:hanging="426"/>
        <w:rPr>
          <w:lang w:val="en-US"/>
        </w:rPr>
      </w:pPr>
      <w:r>
        <w:rPr>
          <w:lang w:eastAsia="en-US"/>
        </w:rPr>
        <w:t>Арутюнов</w:t>
      </w:r>
      <w:r>
        <w:rPr>
          <w:lang w:val="en-US" w:eastAsia="en-US"/>
        </w:rPr>
        <w:t xml:space="preserve"> </w:t>
      </w:r>
      <w:r>
        <w:rPr>
          <w:lang w:eastAsia="en-US"/>
        </w:rPr>
        <w:t>Г</w:t>
      </w:r>
      <w:r>
        <w:rPr>
          <w:lang w:val="en-US" w:eastAsia="en-US"/>
        </w:rPr>
        <w:t>.</w:t>
      </w:r>
      <w:r>
        <w:rPr>
          <w:lang w:eastAsia="en-US"/>
        </w:rPr>
        <w:t>П</w:t>
      </w:r>
      <w:r>
        <w:rPr>
          <w:lang w:val="en-US" w:eastAsia="en-US"/>
        </w:rPr>
        <w:t xml:space="preserve">., </w:t>
      </w:r>
      <w:r>
        <w:rPr>
          <w:lang w:eastAsia="en-US"/>
        </w:rPr>
        <w:t>Лопатин</w:t>
      </w:r>
      <w:r>
        <w:rPr>
          <w:lang w:val="en-US" w:eastAsia="en-US"/>
        </w:rPr>
        <w:t xml:space="preserve"> </w:t>
      </w:r>
      <w:r>
        <w:rPr>
          <w:lang w:eastAsia="en-US"/>
        </w:rPr>
        <w:t>Ю</w:t>
      </w:r>
      <w:r>
        <w:rPr>
          <w:lang w:val="en-US" w:eastAsia="en-US"/>
        </w:rPr>
        <w:t>.</w:t>
      </w:r>
      <w:r>
        <w:rPr>
          <w:lang w:eastAsia="en-US"/>
        </w:rPr>
        <w:t>М</w:t>
      </w:r>
      <w:r>
        <w:rPr>
          <w:lang w:val="en-US" w:eastAsia="en-US"/>
        </w:rPr>
        <w:t xml:space="preserve">., </w:t>
      </w:r>
      <w:r>
        <w:rPr>
          <w:lang w:eastAsia="en-US"/>
        </w:rPr>
        <w:t>Аметов</w:t>
      </w:r>
      <w:r>
        <w:rPr>
          <w:lang w:val="en-US" w:eastAsia="en-US"/>
        </w:rPr>
        <w:t xml:space="preserve"> </w:t>
      </w:r>
      <w:r>
        <w:rPr>
          <w:lang w:eastAsia="en-US"/>
        </w:rPr>
        <w:t>А</w:t>
      </w:r>
      <w:r>
        <w:rPr>
          <w:lang w:val="en-US" w:eastAsia="en-US"/>
        </w:rPr>
        <w:t>.</w:t>
      </w:r>
      <w:r>
        <w:rPr>
          <w:lang w:eastAsia="en-US"/>
        </w:rPr>
        <w:t>С</w:t>
      </w:r>
      <w:r>
        <w:rPr>
          <w:lang w:val="en-US" w:eastAsia="en-US"/>
        </w:rPr>
        <w:t xml:space="preserve">., </w:t>
      </w:r>
      <w:r>
        <w:rPr>
          <w:lang w:eastAsia="en-US"/>
        </w:rPr>
        <w:t>Агеев</w:t>
      </w:r>
      <w:r>
        <w:rPr>
          <w:lang w:val="en-US" w:eastAsia="en-US"/>
        </w:rPr>
        <w:t xml:space="preserve"> </w:t>
      </w:r>
      <w:r>
        <w:rPr>
          <w:lang w:eastAsia="en-US"/>
        </w:rPr>
        <w:t>Ф</w:t>
      </w:r>
      <w:r>
        <w:rPr>
          <w:lang w:val="en-US" w:eastAsia="en-US"/>
        </w:rPr>
        <w:t>.</w:t>
      </w:r>
      <w:r>
        <w:rPr>
          <w:lang w:eastAsia="en-US"/>
        </w:rPr>
        <w:t>Т</w:t>
      </w:r>
      <w:r>
        <w:rPr>
          <w:lang w:val="en-US" w:eastAsia="en-US"/>
        </w:rPr>
        <w:t xml:space="preserve">., </w:t>
      </w:r>
      <w:r>
        <w:rPr>
          <w:lang w:eastAsia="en-US"/>
        </w:rPr>
        <w:t>Анциферов</w:t>
      </w:r>
      <w:r>
        <w:rPr>
          <w:lang w:val="en-US" w:eastAsia="en-US"/>
        </w:rPr>
        <w:t xml:space="preserve"> </w:t>
      </w:r>
      <w:r>
        <w:rPr>
          <w:lang w:eastAsia="en-US"/>
        </w:rPr>
        <w:t>М</w:t>
      </w:r>
      <w:r>
        <w:rPr>
          <w:lang w:val="en-US" w:eastAsia="en-US"/>
        </w:rPr>
        <w:t>.</w:t>
      </w:r>
      <w:r>
        <w:rPr>
          <w:lang w:eastAsia="en-US"/>
        </w:rPr>
        <w:t>Б</w:t>
      </w:r>
      <w:r>
        <w:rPr>
          <w:lang w:val="en-US" w:eastAsia="en-US"/>
        </w:rPr>
        <w:t xml:space="preserve">., </w:t>
      </w:r>
      <w:r>
        <w:rPr>
          <w:lang w:eastAsia="en-US"/>
        </w:rPr>
        <w:t>Виллевальде</w:t>
      </w:r>
      <w:r>
        <w:rPr>
          <w:lang w:val="en-US" w:eastAsia="en-US"/>
        </w:rPr>
        <w:t xml:space="preserve"> </w:t>
      </w:r>
      <w:r>
        <w:rPr>
          <w:lang w:eastAsia="en-US"/>
        </w:rPr>
        <w:t>С</w:t>
      </w:r>
      <w:r>
        <w:rPr>
          <w:lang w:val="en-US" w:eastAsia="en-US"/>
        </w:rPr>
        <w:t>.</w:t>
      </w:r>
      <w:r>
        <w:rPr>
          <w:lang w:eastAsia="en-US"/>
        </w:rPr>
        <w:t>В</w:t>
      </w:r>
      <w:r>
        <w:rPr>
          <w:lang w:val="en-US" w:eastAsia="en-US"/>
        </w:rPr>
        <w:t xml:space="preserve">., </w:t>
      </w:r>
      <w:r>
        <w:rPr>
          <w:lang w:eastAsia="en-US"/>
        </w:rPr>
        <w:t>Виноградова</w:t>
      </w:r>
      <w:r>
        <w:rPr>
          <w:lang w:val="en-US" w:eastAsia="en-US"/>
        </w:rPr>
        <w:t xml:space="preserve"> </w:t>
      </w:r>
      <w:r>
        <w:rPr>
          <w:lang w:eastAsia="en-US"/>
        </w:rPr>
        <w:t>Н</w:t>
      </w:r>
      <w:r>
        <w:rPr>
          <w:lang w:val="en-US" w:eastAsia="en-US"/>
        </w:rPr>
        <w:t>.</w:t>
      </w:r>
      <w:r>
        <w:rPr>
          <w:lang w:eastAsia="en-US"/>
        </w:rPr>
        <w:t>Г</w:t>
      </w:r>
      <w:r>
        <w:rPr>
          <w:lang w:val="en-US" w:eastAsia="en-US"/>
        </w:rPr>
        <w:t xml:space="preserve">., </w:t>
      </w:r>
      <w:r>
        <w:rPr>
          <w:lang w:eastAsia="en-US"/>
        </w:rPr>
        <w:t>Галстян</w:t>
      </w:r>
      <w:r>
        <w:rPr>
          <w:lang w:val="en-US" w:eastAsia="en-US"/>
        </w:rPr>
        <w:t xml:space="preserve"> </w:t>
      </w:r>
      <w:r>
        <w:rPr>
          <w:lang w:eastAsia="en-US"/>
        </w:rPr>
        <w:t>Г</w:t>
      </w:r>
      <w:r>
        <w:rPr>
          <w:lang w:val="en-US" w:eastAsia="en-US"/>
        </w:rPr>
        <w:t>.</w:t>
      </w:r>
      <w:r>
        <w:rPr>
          <w:lang w:eastAsia="en-US"/>
        </w:rPr>
        <w:t>Р</w:t>
      </w:r>
      <w:r>
        <w:rPr>
          <w:lang w:val="en-US" w:eastAsia="en-US"/>
        </w:rPr>
        <w:t xml:space="preserve">., </w:t>
      </w:r>
      <w:r>
        <w:rPr>
          <w:lang w:eastAsia="en-US"/>
        </w:rPr>
        <w:t>Галявич</w:t>
      </w:r>
      <w:r>
        <w:rPr>
          <w:lang w:val="en-US" w:eastAsia="en-US"/>
        </w:rPr>
        <w:t xml:space="preserve"> </w:t>
      </w:r>
      <w:r>
        <w:rPr>
          <w:lang w:eastAsia="en-US"/>
        </w:rPr>
        <w:t>А</w:t>
      </w:r>
      <w:r>
        <w:rPr>
          <w:lang w:val="en-US" w:eastAsia="en-US"/>
        </w:rPr>
        <w:t>.</w:t>
      </w:r>
      <w:r>
        <w:rPr>
          <w:lang w:eastAsia="en-US"/>
        </w:rPr>
        <w:t>С</w:t>
      </w:r>
      <w:r>
        <w:rPr>
          <w:lang w:val="en-US" w:eastAsia="en-US"/>
        </w:rPr>
        <w:t xml:space="preserve">., </w:t>
      </w:r>
      <w:r>
        <w:rPr>
          <w:lang w:eastAsia="en-US"/>
        </w:rPr>
        <w:t>Гиляревский</w:t>
      </w:r>
      <w:r>
        <w:rPr>
          <w:lang w:val="en-US" w:eastAsia="en-US"/>
        </w:rPr>
        <w:t xml:space="preserve"> </w:t>
      </w:r>
      <w:r>
        <w:rPr>
          <w:lang w:eastAsia="en-US"/>
        </w:rPr>
        <w:t>С</w:t>
      </w:r>
      <w:r>
        <w:rPr>
          <w:lang w:val="en-US" w:eastAsia="en-US"/>
        </w:rPr>
        <w:t>.</w:t>
      </w:r>
      <w:r>
        <w:rPr>
          <w:lang w:eastAsia="en-US"/>
        </w:rPr>
        <w:t>Р</w:t>
      </w:r>
      <w:r>
        <w:rPr>
          <w:lang w:val="en-US" w:eastAsia="en-US"/>
        </w:rPr>
        <w:t xml:space="preserve">., </w:t>
      </w:r>
      <w:r>
        <w:rPr>
          <w:lang w:eastAsia="en-US"/>
        </w:rPr>
        <w:t>Глезер</w:t>
      </w:r>
      <w:r>
        <w:rPr>
          <w:lang w:val="en-US" w:eastAsia="en-US"/>
        </w:rPr>
        <w:t xml:space="preserve"> </w:t>
      </w:r>
      <w:r>
        <w:rPr>
          <w:lang w:eastAsia="en-US"/>
        </w:rPr>
        <w:t>М</w:t>
      </w:r>
      <w:r>
        <w:rPr>
          <w:lang w:val="en-US" w:eastAsia="en-US"/>
        </w:rPr>
        <w:t>.</w:t>
      </w:r>
      <w:r>
        <w:rPr>
          <w:lang w:eastAsia="en-US"/>
        </w:rPr>
        <w:t>Г</w:t>
      </w:r>
      <w:r>
        <w:rPr>
          <w:lang w:val="en-US" w:eastAsia="en-US"/>
        </w:rPr>
        <w:t xml:space="preserve">., </w:t>
      </w:r>
      <w:r>
        <w:rPr>
          <w:lang w:eastAsia="en-US"/>
        </w:rPr>
        <w:t>Жиров</w:t>
      </w:r>
      <w:r>
        <w:rPr>
          <w:lang w:val="en-US" w:eastAsia="en-US"/>
        </w:rPr>
        <w:t xml:space="preserve"> </w:t>
      </w:r>
      <w:r>
        <w:rPr>
          <w:lang w:eastAsia="en-US"/>
        </w:rPr>
        <w:t>И</w:t>
      </w:r>
      <w:r>
        <w:rPr>
          <w:lang w:val="en-US" w:eastAsia="en-US"/>
        </w:rPr>
        <w:t>.</w:t>
      </w:r>
      <w:r>
        <w:rPr>
          <w:lang w:eastAsia="en-US"/>
        </w:rPr>
        <w:t>В</w:t>
      </w:r>
      <w:r>
        <w:rPr>
          <w:lang w:val="en-US" w:eastAsia="en-US"/>
        </w:rPr>
        <w:t xml:space="preserve">., </w:t>
      </w:r>
      <w:r>
        <w:rPr>
          <w:lang w:eastAsia="en-US"/>
        </w:rPr>
        <w:t>Ильин</w:t>
      </w:r>
      <w:r>
        <w:rPr>
          <w:lang w:val="en-US" w:eastAsia="en-US"/>
        </w:rPr>
        <w:t xml:space="preserve"> </w:t>
      </w:r>
      <w:r>
        <w:rPr>
          <w:lang w:eastAsia="en-US"/>
        </w:rPr>
        <w:t>М</w:t>
      </w:r>
      <w:r>
        <w:rPr>
          <w:lang w:val="en-US" w:eastAsia="en-US"/>
        </w:rPr>
        <w:t>.</w:t>
      </w:r>
      <w:r>
        <w:rPr>
          <w:lang w:eastAsia="en-US"/>
        </w:rPr>
        <w:t>В</w:t>
      </w:r>
      <w:r>
        <w:rPr>
          <w:lang w:val="en-US" w:eastAsia="en-US"/>
        </w:rPr>
        <w:t xml:space="preserve">., </w:t>
      </w:r>
      <w:r>
        <w:rPr>
          <w:lang w:eastAsia="en-US"/>
        </w:rPr>
        <w:t>Лебедева</w:t>
      </w:r>
      <w:r>
        <w:rPr>
          <w:lang w:val="en-US" w:eastAsia="en-US"/>
        </w:rPr>
        <w:t xml:space="preserve"> </w:t>
      </w:r>
      <w:r>
        <w:rPr>
          <w:lang w:eastAsia="en-US"/>
        </w:rPr>
        <w:t>А</w:t>
      </w:r>
      <w:r>
        <w:rPr>
          <w:lang w:val="en-US" w:eastAsia="en-US"/>
        </w:rPr>
        <w:t>.</w:t>
      </w:r>
      <w:r>
        <w:rPr>
          <w:lang w:eastAsia="en-US"/>
        </w:rPr>
        <w:t>Ю</w:t>
      </w:r>
      <w:r>
        <w:rPr>
          <w:lang w:val="en-US" w:eastAsia="en-US"/>
        </w:rPr>
        <w:t xml:space="preserve">., </w:t>
      </w:r>
      <w:r>
        <w:rPr>
          <w:lang w:eastAsia="en-US"/>
        </w:rPr>
        <w:t>Недогода</w:t>
      </w:r>
      <w:r>
        <w:rPr>
          <w:lang w:val="en-US" w:eastAsia="en-US"/>
        </w:rPr>
        <w:t xml:space="preserve"> </w:t>
      </w:r>
      <w:r>
        <w:rPr>
          <w:lang w:eastAsia="en-US"/>
        </w:rPr>
        <w:t>С</w:t>
      </w:r>
      <w:r>
        <w:rPr>
          <w:lang w:val="en-US" w:eastAsia="en-US"/>
        </w:rPr>
        <w:t>.</w:t>
      </w:r>
      <w:r>
        <w:rPr>
          <w:lang w:eastAsia="en-US"/>
        </w:rPr>
        <w:t>М</w:t>
      </w:r>
      <w:r>
        <w:rPr>
          <w:lang w:val="en-US" w:eastAsia="en-US"/>
        </w:rPr>
        <w:t xml:space="preserve">., </w:t>
      </w:r>
      <w:r>
        <w:rPr>
          <w:lang w:eastAsia="en-US"/>
        </w:rPr>
        <w:t>Салухов</w:t>
      </w:r>
      <w:r>
        <w:rPr>
          <w:lang w:val="en-US" w:eastAsia="en-US"/>
        </w:rPr>
        <w:t xml:space="preserve"> </w:t>
      </w:r>
      <w:r>
        <w:rPr>
          <w:lang w:eastAsia="en-US"/>
        </w:rPr>
        <w:t>В</w:t>
      </w:r>
      <w:r>
        <w:rPr>
          <w:lang w:val="en-US" w:eastAsia="en-US"/>
        </w:rPr>
        <w:t>.</w:t>
      </w:r>
      <w:r>
        <w:rPr>
          <w:lang w:eastAsia="en-US"/>
        </w:rPr>
        <w:t>В</w:t>
      </w:r>
      <w:r>
        <w:rPr>
          <w:lang w:val="en-US" w:eastAsia="en-US"/>
        </w:rPr>
        <w:t xml:space="preserve">., </w:t>
      </w:r>
      <w:r>
        <w:rPr>
          <w:lang w:eastAsia="en-US"/>
        </w:rPr>
        <w:t>Тарловская</w:t>
      </w:r>
      <w:r>
        <w:rPr>
          <w:lang w:val="en-US" w:eastAsia="en-US"/>
        </w:rPr>
        <w:t xml:space="preserve"> </w:t>
      </w:r>
      <w:r>
        <w:rPr>
          <w:lang w:eastAsia="en-US"/>
        </w:rPr>
        <w:t>Е</w:t>
      </w:r>
      <w:r>
        <w:rPr>
          <w:lang w:val="en-US" w:eastAsia="en-US"/>
        </w:rPr>
        <w:t>.</w:t>
      </w:r>
      <w:r>
        <w:rPr>
          <w:lang w:eastAsia="en-US"/>
        </w:rPr>
        <w:t>И</w:t>
      </w:r>
      <w:r>
        <w:rPr>
          <w:lang w:val="en-US" w:eastAsia="en-US"/>
        </w:rPr>
        <w:t xml:space="preserve">., </w:t>
      </w:r>
      <w:r>
        <w:rPr>
          <w:lang w:eastAsia="en-US"/>
        </w:rPr>
        <w:t>Терещенко</w:t>
      </w:r>
      <w:r>
        <w:rPr>
          <w:lang w:val="en-US" w:eastAsia="en-US"/>
        </w:rPr>
        <w:t xml:space="preserve"> </w:t>
      </w:r>
      <w:r>
        <w:rPr>
          <w:lang w:eastAsia="en-US"/>
        </w:rPr>
        <w:t>С</w:t>
      </w:r>
      <w:r>
        <w:rPr>
          <w:lang w:val="en-US" w:eastAsia="en-US"/>
        </w:rPr>
        <w:t>.</w:t>
      </w:r>
      <w:r>
        <w:rPr>
          <w:lang w:eastAsia="en-US"/>
        </w:rPr>
        <w:t>Н</w:t>
      </w:r>
      <w:r>
        <w:rPr>
          <w:lang w:val="en-US" w:eastAsia="en-US"/>
        </w:rPr>
        <w:t xml:space="preserve">., </w:t>
      </w:r>
      <w:r>
        <w:rPr>
          <w:lang w:eastAsia="en-US"/>
        </w:rPr>
        <w:t>Фомин</w:t>
      </w:r>
      <w:r>
        <w:rPr>
          <w:lang w:val="en-US" w:eastAsia="en-US"/>
        </w:rPr>
        <w:t xml:space="preserve"> </w:t>
      </w:r>
      <w:r>
        <w:rPr>
          <w:lang w:eastAsia="en-US"/>
        </w:rPr>
        <w:t>И</w:t>
      </w:r>
      <w:r>
        <w:rPr>
          <w:lang w:val="en-US" w:eastAsia="en-US"/>
        </w:rPr>
        <w:t>.</w:t>
      </w:r>
      <w:r>
        <w:rPr>
          <w:lang w:eastAsia="en-US"/>
        </w:rPr>
        <w:t>В</w:t>
      </w:r>
      <w:r>
        <w:rPr>
          <w:lang w:val="en-US" w:eastAsia="en-US"/>
        </w:rPr>
        <w:t xml:space="preserve">., </w:t>
      </w:r>
      <w:r>
        <w:rPr>
          <w:lang w:eastAsia="en-US"/>
        </w:rPr>
        <w:t>Халимов</w:t>
      </w:r>
      <w:r>
        <w:rPr>
          <w:lang w:val="en-US" w:eastAsia="en-US"/>
        </w:rPr>
        <w:t xml:space="preserve"> </w:t>
      </w:r>
      <w:r>
        <w:rPr>
          <w:lang w:eastAsia="en-US"/>
        </w:rPr>
        <w:t>Ю</w:t>
      </w:r>
      <w:r>
        <w:rPr>
          <w:lang w:val="en-US" w:eastAsia="en-US"/>
        </w:rPr>
        <w:t>.</w:t>
      </w:r>
      <w:r>
        <w:rPr>
          <w:lang w:eastAsia="en-US"/>
        </w:rPr>
        <w:t>Ш</w:t>
      </w:r>
      <w:r>
        <w:rPr>
          <w:lang w:val="en-US" w:eastAsia="en-US"/>
        </w:rPr>
        <w:t xml:space="preserve">., </w:t>
      </w:r>
      <w:r>
        <w:rPr>
          <w:lang w:eastAsia="en-US"/>
        </w:rPr>
        <w:t>Хасанов</w:t>
      </w:r>
      <w:r>
        <w:rPr>
          <w:lang w:val="en-US" w:eastAsia="en-US"/>
        </w:rPr>
        <w:t xml:space="preserve"> </w:t>
      </w:r>
      <w:r>
        <w:rPr>
          <w:lang w:eastAsia="en-US"/>
        </w:rPr>
        <w:t>Н</w:t>
      </w:r>
      <w:r>
        <w:rPr>
          <w:lang w:val="en-US" w:eastAsia="en-US"/>
        </w:rPr>
        <w:t>.</w:t>
      </w:r>
      <w:r>
        <w:rPr>
          <w:lang w:eastAsia="en-US"/>
        </w:rPr>
        <w:t>Р</w:t>
      </w:r>
      <w:r>
        <w:rPr>
          <w:lang w:val="en-US" w:eastAsia="en-US"/>
        </w:rPr>
        <w:t xml:space="preserve">., </w:t>
      </w:r>
      <w:r>
        <w:rPr>
          <w:lang w:eastAsia="en-US"/>
        </w:rPr>
        <w:t>Черкашин</w:t>
      </w:r>
      <w:r>
        <w:rPr>
          <w:lang w:val="en-US" w:eastAsia="en-US"/>
        </w:rPr>
        <w:t xml:space="preserve"> </w:t>
      </w:r>
      <w:r>
        <w:rPr>
          <w:lang w:eastAsia="en-US"/>
        </w:rPr>
        <w:t>Д</w:t>
      </w:r>
      <w:r>
        <w:rPr>
          <w:lang w:val="en-US" w:eastAsia="en-US"/>
        </w:rPr>
        <w:t>.</w:t>
      </w:r>
      <w:r>
        <w:rPr>
          <w:lang w:eastAsia="en-US"/>
        </w:rPr>
        <w:t>В</w:t>
      </w:r>
      <w:r>
        <w:rPr>
          <w:lang w:val="en-US" w:eastAsia="en-US"/>
        </w:rPr>
        <w:t xml:space="preserve">., </w:t>
      </w:r>
      <w:r>
        <w:rPr>
          <w:lang w:eastAsia="en-US"/>
        </w:rPr>
        <w:t>Якушин</w:t>
      </w:r>
      <w:r>
        <w:rPr>
          <w:lang w:val="en-US" w:eastAsia="en-US"/>
        </w:rPr>
        <w:t xml:space="preserve"> </w:t>
      </w:r>
      <w:r>
        <w:rPr>
          <w:lang w:eastAsia="en-US"/>
        </w:rPr>
        <w:t>С</w:t>
      </w:r>
      <w:r>
        <w:rPr>
          <w:lang w:val="en-US" w:eastAsia="en-US"/>
        </w:rPr>
        <w:t>.</w:t>
      </w:r>
      <w:r>
        <w:rPr>
          <w:lang w:eastAsia="en-US"/>
        </w:rPr>
        <w:t>С</w:t>
      </w:r>
      <w:r>
        <w:rPr>
          <w:lang w:val="en-US" w:eastAsia="en-US"/>
        </w:rPr>
        <w:t xml:space="preserve">. </w:t>
      </w:r>
      <w:r>
        <w:rPr>
          <w:lang w:eastAsia="en-US"/>
        </w:rPr>
        <w:t>Эмпаглифлозин</w:t>
      </w:r>
      <w:r>
        <w:rPr>
          <w:lang w:val="en-US" w:eastAsia="en-US"/>
        </w:rPr>
        <w:t xml:space="preserve"> </w:t>
      </w:r>
      <w:r>
        <w:rPr>
          <w:lang w:eastAsia="en-US"/>
        </w:rPr>
        <w:t>и</w:t>
      </w:r>
      <w:r>
        <w:rPr>
          <w:lang w:val="en-US" w:eastAsia="en-US"/>
        </w:rPr>
        <w:t xml:space="preserve"> </w:t>
      </w:r>
      <w:r>
        <w:rPr>
          <w:lang w:eastAsia="en-US"/>
        </w:rPr>
        <w:t>сердечная</w:t>
      </w:r>
      <w:r>
        <w:rPr>
          <w:lang w:val="en-US" w:eastAsia="en-US"/>
        </w:rPr>
        <w:t xml:space="preserve"> </w:t>
      </w:r>
      <w:r>
        <w:rPr>
          <w:lang w:eastAsia="en-US"/>
        </w:rPr>
        <w:t>недостаточность</w:t>
      </w:r>
      <w:r>
        <w:rPr>
          <w:lang w:val="en-US" w:eastAsia="en-US"/>
        </w:rPr>
        <w:t xml:space="preserve">: </w:t>
      </w:r>
      <w:r>
        <w:rPr>
          <w:lang w:eastAsia="en-US"/>
        </w:rPr>
        <w:t>согласованное</w:t>
      </w:r>
      <w:r>
        <w:rPr>
          <w:lang w:val="en-US" w:eastAsia="en-US"/>
        </w:rPr>
        <w:t xml:space="preserve"> </w:t>
      </w:r>
      <w:r>
        <w:rPr>
          <w:lang w:eastAsia="en-US"/>
        </w:rPr>
        <w:t>мнение</w:t>
      </w:r>
      <w:r>
        <w:rPr>
          <w:lang w:val="en-US" w:eastAsia="en-US"/>
        </w:rPr>
        <w:t xml:space="preserve"> </w:t>
      </w:r>
      <w:r>
        <w:rPr>
          <w:lang w:eastAsia="en-US"/>
        </w:rPr>
        <w:t>экспертов</w:t>
      </w:r>
      <w:r>
        <w:rPr>
          <w:lang w:val="en-US" w:eastAsia="en-US"/>
        </w:rPr>
        <w:t xml:space="preserve"> </w:t>
      </w:r>
      <w:r>
        <w:rPr>
          <w:lang w:eastAsia="en-US"/>
        </w:rPr>
        <w:t>по</w:t>
      </w:r>
      <w:r>
        <w:rPr>
          <w:lang w:val="en-US" w:eastAsia="en-US"/>
        </w:rPr>
        <w:t xml:space="preserve"> </w:t>
      </w:r>
      <w:r>
        <w:rPr>
          <w:lang w:eastAsia="en-US"/>
        </w:rPr>
        <w:t>результатам</w:t>
      </w:r>
      <w:r>
        <w:rPr>
          <w:lang w:val="en-US" w:eastAsia="en-US"/>
        </w:rPr>
        <w:t xml:space="preserve"> </w:t>
      </w:r>
      <w:r>
        <w:rPr>
          <w:lang w:eastAsia="en-US"/>
        </w:rPr>
        <w:t>онлайн</w:t>
      </w:r>
      <w:r>
        <w:rPr>
          <w:lang w:val="en-US" w:eastAsia="en-US"/>
        </w:rPr>
        <w:t>-</w:t>
      </w:r>
      <w:r>
        <w:rPr>
          <w:lang w:eastAsia="en-US"/>
        </w:rPr>
        <w:t>совещания</w:t>
      </w:r>
      <w:r>
        <w:rPr>
          <w:lang w:val="en-US" w:eastAsia="en-US"/>
        </w:rPr>
        <w:t xml:space="preserve"> </w:t>
      </w:r>
      <w:r>
        <w:rPr>
          <w:lang w:eastAsia="en-US"/>
        </w:rPr>
        <w:t>и</w:t>
      </w:r>
      <w:r>
        <w:rPr>
          <w:lang w:val="en-US" w:eastAsia="en-US"/>
        </w:rPr>
        <w:t xml:space="preserve"> </w:t>
      </w:r>
      <w:r>
        <w:rPr>
          <w:lang w:eastAsia="en-US"/>
        </w:rPr>
        <w:t>обсуждения</w:t>
      </w:r>
      <w:r>
        <w:rPr>
          <w:lang w:val="en-US" w:eastAsia="en-US"/>
        </w:rPr>
        <w:t xml:space="preserve"> </w:t>
      </w:r>
      <w:r>
        <w:rPr>
          <w:lang w:eastAsia="en-US"/>
        </w:rPr>
        <w:t>исследования</w:t>
      </w:r>
      <w:r>
        <w:rPr>
          <w:lang w:val="en-US" w:eastAsia="en-US"/>
        </w:rPr>
        <w:t xml:space="preserve"> EMPEROR-Preserved. </w:t>
      </w:r>
      <w:r>
        <w:rPr>
          <w:lang w:eastAsia="en-US"/>
        </w:rPr>
        <w:t>Терапевтический архив. 2021;93(12):1491–1497. DOI: 10.26442/00403660.2021.12.201281.</w:t>
      </w:r>
    </w:p>
    <w:p w14:paraId="6B79BD08" w14:textId="0C5533FF" w:rsidR="008D6369" w:rsidRDefault="008D6369" w:rsidP="00425959">
      <w:pPr>
        <w:numPr>
          <w:ilvl w:val="0"/>
          <w:numId w:val="14"/>
        </w:numPr>
        <w:shd w:val="clear" w:color="auto" w:fill="FFFFFF"/>
        <w:spacing w:after="0" w:line="240" w:lineRule="auto"/>
        <w:ind w:left="426" w:hanging="426"/>
        <w:rPr>
          <w:lang w:val="en-US"/>
        </w:rPr>
      </w:pPr>
      <w:r>
        <w:rPr>
          <w:lang w:val="en-US"/>
        </w:rPr>
        <w:t xml:space="preserve">CENTER FOR DRUG EVALUATION AND RESEARCH APPLICATION NUMBER: 204629Orig1s000 CLINICAL PHARMACOLOGY AND BIOPHARMACEUTICS REVIEW(S). </w:t>
      </w:r>
      <w:r w:rsidRPr="00FF161F">
        <w:rPr>
          <w:lang w:val="en-US"/>
        </w:rPr>
        <w:t>https://www.accessdata.fda.gov/drugsatfda_docs/nda/2014/204629Orig1s000ClinPharmR.pdf</w:t>
      </w:r>
    </w:p>
    <w:p w14:paraId="3855CBA0" w14:textId="7EECB9FC" w:rsidR="008D6369" w:rsidRDefault="008D6369" w:rsidP="00425959">
      <w:pPr>
        <w:numPr>
          <w:ilvl w:val="0"/>
          <w:numId w:val="14"/>
        </w:numPr>
        <w:shd w:val="clear" w:color="auto" w:fill="FFFFFF"/>
        <w:spacing w:after="0" w:line="240" w:lineRule="auto"/>
        <w:ind w:left="426" w:hanging="426"/>
        <w:rPr>
          <w:lang w:val="en-US"/>
        </w:rPr>
      </w:pPr>
      <w:r>
        <w:rPr>
          <w:lang w:val="en-US"/>
        </w:rPr>
        <w:t xml:space="preserve">Chino Y, </w:t>
      </w:r>
      <w:proofErr w:type="spellStart"/>
      <w:r>
        <w:rPr>
          <w:lang w:val="en-US"/>
        </w:rPr>
        <w:t>Samukawa</w:t>
      </w:r>
      <w:proofErr w:type="spellEnd"/>
      <w:r>
        <w:rPr>
          <w:lang w:val="en-US"/>
        </w:rPr>
        <w:t xml:space="preserve"> Y, Sakai S, et al. SGLT2 inhibitor lowers serum uric acid through alteration of uric acid transport activity in renal tubule by increased glycosuria. </w:t>
      </w:r>
      <w:proofErr w:type="spellStart"/>
      <w:r>
        <w:rPr>
          <w:lang w:val="en-US"/>
        </w:rPr>
        <w:t>Biopharm</w:t>
      </w:r>
      <w:proofErr w:type="spellEnd"/>
      <w:r>
        <w:rPr>
          <w:lang w:val="en-US"/>
        </w:rPr>
        <w:t xml:space="preserve"> Drug </w:t>
      </w:r>
      <w:proofErr w:type="spellStart"/>
      <w:r>
        <w:rPr>
          <w:lang w:val="en-US"/>
        </w:rPr>
        <w:t>Disposit</w:t>
      </w:r>
      <w:proofErr w:type="spellEnd"/>
      <w:r>
        <w:rPr>
          <w:lang w:val="en-US"/>
        </w:rPr>
        <w:t>. 2014;</w:t>
      </w:r>
      <w:r w:rsidR="00424C11" w:rsidRPr="00421FA2">
        <w:rPr>
          <w:lang w:val="en-US"/>
        </w:rPr>
        <w:t xml:space="preserve"> </w:t>
      </w:r>
      <w:r>
        <w:rPr>
          <w:lang w:val="en-US"/>
        </w:rPr>
        <w:t xml:space="preserve">35(7):391-404. </w:t>
      </w:r>
      <w:proofErr w:type="spellStart"/>
      <w:r>
        <w:rPr>
          <w:lang w:val="en-US"/>
        </w:rPr>
        <w:t>doi</w:t>
      </w:r>
      <w:proofErr w:type="spellEnd"/>
      <w:r>
        <w:rPr>
          <w:lang w:val="en-US"/>
        </w:rPr>
        <w:t>: 10.1002/bdd.1909.</w:t>
      </w:r>
    </w:p>
    <w:p w14:paraId="4E718C5F" w14:textId="28EFAB05" w:rsidR="008D6369" w:rsidRDefault="008D6369" w:rsidP="00425959">
      <w:pPr>
        <w:numPr>
          <w:ilvl w:val="0"/>
          <w:numId w:val="14"/>
        </w:numPr>
        <w:shd w:val="clear" w:color="auto" w:fill="FFFFFF"/>
        <w:spacing w:after="0" w:line="240" w:lineRule="auto"/>
        <w:ind w:left="426" w:hanging="426"/>
        <w:rPr>
          <w:lang w:val="en-US"/>
        </w:rPr>
      </w:pPr>
      <w:bookmarkStart w:id="170" w:name="_Hlk130998609"/>
      <w:r>
        <w:rPr>
          <w:lang w:val="en-US"/>
        </w:rPr>
        <w:t xml:space="preserve">Wu JHY, Foote C, </w:t>
      </w:r>
      <w:proofErr w:type="spellStart"/>
      <w:r>
        <w:rPr>
          <w:lang w:val="en-US"/>
        </w:rPr>
        <w:t>Blomster</w:t>
      </w:r>
      <w:proofErr w:type="spellEnd"/>
      <w:r>
        <w:rPr>
          <w:lang w:val="en-US"/>
        </w:rPr>
        <w:t xml:space="preserve"> J, et al. Effects of sodium-glucose cotransporter-2 inhibitors on cardiovascular events, death, and major safety outcomes in adults with type 2 diabetes: a systematic review and meta-analysis. Lancet </w:t>
      </w:r>
      <w:proofErr w:type="spellStart"/>
      <w:r>
        <w:rPr>
          <w:lang w:val="en-US"/>
        </w:rPr>
        <w:t>Diabet</w:t>
      </w:r>
      <w:proofErr w:type="spellEnd"/>
      <w:r>
        <w:rPr>
          <w:lang w:val="en-US"/>
        </w:rPr>
        <w:t xml:space="preserve"> Endocrinol. 2016;</w:t>
      </w:r>
      <w:r w:rsidR="00424C11" w:rsidRPr="00421FA2">
        <w:rPr>
          <w:lang w:val="en-US"/>
        </w:rPr>
        <w:t xml:space="preserve"> </w:t>
      </w:r>
      <w:r>
        <w:rPr>
          <w:lang w:val="en-US"/>
        </w:rPr>
        <w:t xml:space="preserve">4(5):411-9. </w:t>
      </w:r>
      <w:proofErr w:type="spellStart"/>
      <w:r>
        <w:rPr>
          <w:lang w:val="en-US"/>
        </w:rPr>
        <w:t>doi</w:t>
      </w:r>
      <w:proofErr w:type="spellEnd"/>
      <w:r>
        <w:rPr>
          <w:lang w:val="en-US"/>
        </w:rPr>
        <w:t>: 10.1016/s2213-8587(16)00052-8.</w:t>
      </w:r>
    </w:p>
    <w:p w14:paraId="7522EAC8" w14:textId="77777777" w:rsidR="008D6369" w:rsidRDefault="008D6369" w:rsidP="00425959">
      <w:pPr>
        <w:numPr>
          <w:ilvl w:val="0"/>
          <w:numId w:val="14"/>
        </w:numPr>
        <w:shd w:val="clear" w:color="auto" w:fill="FFFFFF"/>
        <w:spacing w:after="0" w:line="240" w:lineRule="auto"/>
        <w:ind w:left="426" w:hanging="426"/>
        <w:rPr>
          <w:lang w:val="en-US"/>
        </w:rPr>
      </w:pPr>
      <w:bookmarkStart w:id="171" w:name="_Hlk130998691"/>
      <w:bookmarkEnd w:id="170"/>
      <w:proofErr w:type="spellStart"/>
      <w:r>
        <w:rPr>
          <w:lang w:val="en-US"/>
        </w:rPr>
        <w:t>Vallon</w:t>
      </w:r>
      <w:proofErr w:type="spellEnd"/>
      <w:r>
        <w:rPr>
          <w:lang w:val="en-US"/>
        </w:rPr>
        <w:t xml:space="preserve"> V, Platt KA, Cunard R et al. SGLT2 mediates glucose reabsorption in the early proximal tubule. J Am Soc Nephrol, 2011, 22: 104–112. doi:10.1681/asn.2010030246.</w:t>
      </w:r>
    </w:p>
    <w:p w14:paraId="5795E56E"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Liakos</w:t>
      </w:r>
      <w:proofErr w:type="spellEnd"/>
      <w:r>
        <w:rPr>
          <w:lang w:val="en-US"/>
        </w:rPr>
        <w:t xml:space="preserve"> A, </w:t>
      </w:r>
      <w:proofErr w:type="spellStart"/>
      <w:r>
        <w:rPr>
          <w:lang w:val="en-US"/>
        </w:rPr>
        <w:t>Karagiannis</w:t>
      </w:r>
      <w:proofErr w:type="spellEnd"/>
      <w:r>
        <w:rPr>
          <w:lang w:val="en-US"/>
        </w:rPr>
        <w:t xml:space="preserve"> T, </w:t>
      </w:r>
      <w:proofErr w:type="spellStart"/>
      <w:r>
        <w:rPr>
          <w:lang w:val="en-US"/>
        </w:rPr>
        <w:t>Athanasiadou</w:t>
      </w:r>
      <w:proofErr w:type="spellEnd"/>
      <w:r>
        <w:rPr>
          <w:lang w:val="en-US"/>
        </w:rPr>
        <w:t xml:space="preserve"> E, et al. Efficacy and safety of empagliflozin for type 2 diabetes: a systematic review and meta-analysis. Diabetes </w:t>
      </w:r>
      <w:proofErr w:type="spellStart"/>
      <w:r>
        <w:rPr>
          <w:lang w:val="en-US"/>
        </w:rPr>
        <w:t>Obes</w:t>
      </w:r>
      <w:proofErr w:type="spellEnd"/>
      <w:r>
        <w:rPr>
          <w:lang w:val="en-US"/>
        </w:rPr>
        <w:t xml:space="preserve"> </w:t>
      </w:r>
      <w:proofErr w:type="spellStart"/>
      <w:r>
        <w:rPr>
          <w:lang w:val="en-US"/>
        </w:rPr>
        <w:t>Metab</w:t>
      </w:r>
      <w:proofErr w:type="spellEnd"/>
      <w:r>
        <w:rPr>
          <w:lang w:val="en-US"/>
        </w:rPr>
        <w:t>, 2014, 16: 984–93.</w:t>
      </w:r>
      <w:r>
        <w:rPr>
          <w:lang w:val="en-US" w:eastAsia="en-US"/>
        </w:rPr>
        <w:t xml:space="preserve"> </w:t>
      </w:r>
      <w:r>
        <w:rPr>
          <w:lang w:val="en-US"/>
        </w:rPr>
        <w:t>DOI: 10.1111/dom.12307.</w:t>
      </w:r>
    </w:p>
    <w:p w14:paraId="2C8F80A8"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Carlson CJ, </w:t>
      </w:r>
      <w:proofErr w:type="spellStart"/>
      <w:r>
        <w:rPr>
          <w:lang w:val="en-US"/>
        </w:rPr>
        <w:t>Santamarina</w:t>
      </w:r>
      <w:proofErr w:type="spellEnd"/>
      <w:r>
        <w:rPr>
          <w:lang w:val="en-US"/>
        </w:rPr>
        <w:t xml:space="preserve"> ML. Update review of the safety of sodium-glucose cotransporter 2 inhibitors for the treatment of patients with type 2 diabetes mellitus. Expert </w:t>
      </w:r>
      <w:proofErr w:type="spellStart"/>
      <w:r>
        <w:rPr>
          <w:lang w:val="en-US"/>
        </w:rPr>
        <w:t>Opin</w:t>
      </w:r>
      <w:proofErr w:type="spellEnd"/>
      <w:r>
        <w:rPr>
          <w:lang w:val="en-US"/>
        </w:rPr>
        <w:t xml:space="preserve"> Drug </w:t>
      </w:r>
      <w:proofErr w:type="spellStart"/>
      <w:r>
        <w:rPr>
          <w:lang w:val="en-US"/>
        </w:rPr>
        <w:t>Saf</w:t>
      </w:r>
      <w:proofErr w:type="spellEnd"/>
      <w:r>
        <w:rPr>
          <w:lang w:val="en-US"/>
        </w:rPr>
        <w:t>, 2016, 15: 1401–12. DOI: 10.1080/14740338.2016.1216100.</w:t>
      </w:r>
    </w:p>
    <w:p w14:paraId="184782C1" w14:textId="77777777" w:rsidR="008D6369" w:rsidRDefault="008D6369" w:rsidP="00425959">
      <w:pPr>
        <w:numPr>
          <w:ilvl w:val="0"/>
          <w:numId w:val="14"/>
        </w:numPr>
        <w:shd w:val="clear" w:color="auto" w:fill="FFFFFF"/>
        <w:spacing w:after="0" w:line="240" w:lineRule="auto"/>
        <w:ind w:left="426" w:hanging="426"/>
      </w:pPr>
      <w:r>
        <w:t>Лебедев Д.А., Бабенко А.Ю.</w:t>
      </w:r>
      <w:r>
        <w:rPr>
          <w:lang w:eastAsia="en-US"/>
        </w:rPr>
        <w:t xml:space="preserve"> </w:t>
      </w:r>
      <w:r>
        <w:t xml:space="preserve">Применение ингибиторов натрий-глюкозного ко-транспортера 2-го типа от результатов клинических исследований до практического применения в России. Медицинский совет. – 2018. - №16. - С. 100-108. </w:t>
      </w:r>
    </w:p>
    <w:p w14:paraId="0A6FD1CD"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Berhan</w:t>
      </w:r>
      <w:proofErr w:type="spellEnd"/>
      <w:r>
        <w:rPr>
          <w:lang w:val="en-US"/>
        </w:rPr>
        <w:t xml:space="preserve"> A, Barker A. Sodium glucose co-transport 2 inhibitors in the treatment of type 2 diabetes mellitus: a meta-analysis of randomized double-blind controlled trials. BMC Endocrine Dis. 2013;13(1). doi:10.1186/1472-6823-13-58</w:t>
      </w:r>
      <w:r>
        <w:t>.</w:t>
      </w:r>
    </w:p>
    <w:p w14:paraId="7ED054F9" w14:textId="19B76574" w:rsidR="008D6369" w:rsidRDefault="008D6369" w:rsidP="00425959">
      <w:pPr>
        <w:numPr>
          <w:ilvl w:val="0"/>
          <w:numId w:val="14"/>
        </w:numPr>
        <w:shd w:val="clear" w:color="auto" w:fill="FFFFFF"/>
        <w:spacing w:after="0" w:line="240" w:lineRule="auto"/>
        <w:ind w:left="426" w:hanging="426"/>
        <w:rPr>
          <w:lang w:val="en-US"/>
        </w:rPr>
      </w:pPr>
      <w:r>
        <w:rPr>
          <w:lang w:val="en-US"/>
        </w:rPr>
        <w:t xml:space="preserve">Peters AL, </w:t>
      </w:r>
      <w:proofErr w:type="spellStart"/>
      <w:r>
        <w:rPr>
          <w:lang w:val="en-US"/>
        </w:rPr>
        <w:t>Buschur</w:t>
      </w:r>
      <w:proofErr w:type="spellEnd"/>
      <w:r>
        <w:rPr>
          <w:lang w:val="en-US"/>
        </w:rPr>
        <w:t xml:space="preserve"> EO, Buse JB, et al. Euglycemic Diabetic Ketoacidosis: A Potential Complication of Treatment </w:t>
      </w:r>
      <w:proofErr w:type="gramStart"/>
      <w:r>
        <w:rPr>
          <w:lang w:val="en-US"/>
        </w:rPr>
        <w:t>With</w:t>
      </w:r>
      <w:proofErr w:type="gramEnd"/>
      <w:r>
        <w:rPr>
          <w:lang w:val="en-US"/>
        </w:rPr>
        <w:t xml:space="preserve"> Sodium-Glucose Cotransporter 2 Inhibition. Diabetes Care. 2015;</w:t>
      </w:r>
      <w:r w:rsidR="00424C11" w:rsidRPr="00421FA2">
        <w:rPr>
          <w:lang w:val="en-US"/>
        </w:rPr>
        <w:t xml:space="preserve"> </w:t>
      </w:r>
      <w:r>
        <w:rPr>
          <w:lang w:val="en-US"/>
        </w:rPr>
        <w:t>38(9):1687-93. doi:10.2337/dc15-0843.</w:t>
      </w:r>
    </w:p>
    <w:p w14:paraId="1958DACE" w14:textId="77777777" w:rsidR="008D6369" w:rsidRDefault="008D6369" w:rsidP="00425959">
      <w:pPr>
        <w:numPr>
          <w:ilvl w:val="0"/>
          <w:numId w:val="14"/>
        </w:numPr>
        <w:shd w:val="clear" w:color="auto" w:fill="FFFFFF"/>
        <w:spacing w:after="0" w:line="240" w:lineRule="auto"/>
        <w:ind w:left="426" w:hanging="426"/>
      </w:pPr>
      <w:r>
        <w:rPr>
          <w:lang w:val="en-US"/>
        </w:rPr>
        <w:lastRenderedPageBreak/>
        <w:t xml:space="preserve">Taylor SI, </w:t>
      </w:r>
      <w:proofErr w:type="spellStart"/>
      <w:r>
        <w:rPr>
          <w:lang w:val="en-US"/>
        </w:rPr>
        <w:t>Blau</w:t>
      </w:r>
      <w:proofErr w:type="spellEnd"/>
      <w:r>
        <w:rPr>
          <w:lang w:val="en-US"/>
        </w:rPr>
        <w:t xml:space="preserve"> JE, Rother KI. SGLT2 inhibitors may predispose to ketoacidosis. J Clin </w:t>
      </w:r>
      <w:r>
        <w:t>Endocrinol Metab, 2015, 100: 2849‐2852. DOI: 10.1210/jc.2015-1884.</w:t>
      </w:r>
    </w:p>
    <w:p w14:paraId="00CEDE8A" w14:textId="11886B10" w:rsidR="008D6369" w:rsidRDefault="008D6369" w:rsidP="00425959">
      <w:pPr>
        <w:numPr>
          <w:ilvl w:val="0"/>
          <w:numId w:val="14"/>
        </w:numPr>
        <w:shd w:val="clear" w:color="auto" w:fill="FFFFFF"/>
        <w:spacing w:after="0" w:line="240" w:lineRule="auto"/>
        <w:ind w:left="426" w:hanging="426"/>
        <w:rPr>
          <w:lang w:val="en-US"/>
        </w:rPr>
      </w:pPr>
      <w:r>
        <w:rPr>
          <w:lang w:val="en-US"/>
        </w:rPr>
        <w:t xml:space="preserve">Rosenstock J, </w:t>
      </w:r>
      <w:proofErr w:type="spellStart"/>
      <w:r>
        <w:rPr>
          <w:lang w:val="en-US"/>
        </w:rPr>
        <w:t>Ferrannini</w:t>
      </w:r>
      <w:proofErr w:type="spellEnd"/>
      <w:r>
        <w:rPr>
          <w:lang w:val="en-US"/>
        </w:rPr>
        <w:t xml:space="preserve"> E. Euglycemic Diabetic Ketoacidosis: A Predictable, Detectable, and Preventable Safety Concern </w:t>
      </w:r>
      <w:r w:rsidR="00CB72DD">
        <w:rPr>
          <w:lang w:val="en-US"/>
        </w:rPr>
        <w:t>with</w:t>
      </w:r>
      <w:r>
        <w:rPr>
          <w:lang w:val="en-US"/>
        </w:rPr>
        <w:t xml:space="preserve"> SGLT2 Inhibitors. </w:t>
      </w:r>
      <w:proofErr w:type="spellStart"/>
      <w:r>
        <w:rPr>
          <w:lang w:val="en-US"/>
        </w:rPr>
        <w:t>Diabet</w:t>
      </w:r>
      <w:proofErr w:type="spellEnd"/>
      <w:r>
        <w:rPr>
          <w:lang w:val="en-US"/>
        </w:rPr>
        <w:t xml:space="preserve"> Care. 2015;38(9):1638-42. doi:10.2337/dc15-1380</w:t>
      </w:r>
      <w:r>
        <w:t>.</w:t>
      </w:r>
    </w:p>
    <w:p w14:paraId="1B3C1579" w14:textId="77777777" w:rsidR="008D6369" w:rsidRDefault="008D6369" w:rsidP="00425959">
      <w:pPr>
        <w:numPr>
          <w:ilvl w:val="0"/>
          <w:numId w:val="14"/>
        </w:numPr>
        <w:shd w:val="clear" w:color="auto" w:fill="FFFFFF"/>
        <w:spacing w:after="0" w:line="240" w:lineRule="auto"/>
        <w:ind w:left="426" w:hanging="426"/>
      </w:pPr>
      <w:r>
        <w:rPr>
          <w:lang w:val="en-US"/>
        </w:rPr>
        <w:t xml:space="preserve">Hine J, Paterson H, </w:t>
      </w:r>
      <w:proofErr w:type="spellStart"/>
      <w:r>
        <w:rPr>
          <w:lang w:val="en-US"/>
        </w:rPr>
        <w:t>Abrol</w:t>
      </w:r>
      <w:proofErr w:type="spellEnd"/>
      <w:r>
        <w:rPr>
          <w:lang w:val="en-US"/>
        </w:rPr>
        <w:t xml:space="preserve"> E, Russell-Jones D, Herring R. SGLT inhibition and </w:t>
      </w:r>
      <w:proofErr w:type="spellStart"/>
      <w:r>
        <w:rPr>
          <w:lang w:val="en-US"/>
        </w:rPr>
        <w:t>euglycaemic</w:t>
      </w:r>
      <w:proofErr w:type="spellEnd"/>
      <w:r>
        <w:rPr>
          <w:lang w:val="en-US"/>
        </w:rPr>
        <w:t xml:space="preserve"> diabetic ketoacidosis. Lancet Diabetes </w:t>
      </w:r>
      <w:r>
        <w:t>Endocrinol, 2015, 3: 503-4.</w:t>
      </w:r>
      <w:r>
        <w:rPr>
          <w:lang w:eastAsia="en-US"/>
        </w:rPr>
        <w:t xml:space="preserve"> </w:t>
      </w:r>
      <w:r>
        <w:t>DOI: 10.1016/S2213-8587(15)00204-1.</w:t>
      </w:r>
    </w:p>
    <w:p w14:paraId="6B10856B" w14:textId="77777777" w:rsidR="008D6369" w:rsidRPr="00867602" w:rsidRDefault="008D6369" w:rsidP="00425959">
      <w:pPr>
        <w:numPr>
          <w:ilvl w:val="0"/>
          <w:numId w:val="14"/>
        </w:numPr>
        <w:shd w:val="clear" w:color="auto" w:fill="FFFFFF"/>
        <w:spacing w:after="0" w:line="240" w:lineRule="auto"/>
        <w:ind w:left="426" w:hanging="426"/>
        <w:rPr>
          <w:lang w:val="en-US"/>
        </w:rPr>
      </w:pPr>
      <w:r>
        <w:rPr>
          <w:lang w:val="en-US"/>
        </w:rPr>
        <w:t xml:space="preserve">Tang H, Zhang X, Zhang J, et al. Elevated serum magnesium associated with SGLT2 inhibitor use in type 2 diabetes patients: a meta-analysis of </w:t>
      </w:r>
      <w:proofErr w:type="spellStart"/>
      <w:r>
        <w:rPr>
          <w:lang w:val="en-US"/>
        </w:rPr>
        <w:t>randomised</w:t>
      </w:r>
      <w:proofErr w:type="spellEnd"/>
      <w:r>
        <w:rPr>
          <w:lang w:val="en-US"/>
        </w:rPr>
        <w:t xml:space="preserve"> controlled trials. </w:t>
      </w:r>
      <w:proofErr w:type="spellStart"/>
      <w:r>
        <w:rPr>
          <w:lang w:val="en-US"/>
        </w:rPr>
        <w:t>Diabetologia</w:t>
      </w:r>
      <w:proofErr w:type="spellEnd"/>
      <w:r>
        <w:rPr>
          <w:lang w:val="en-US"/>
        </w:rPr>
        <w:t xml:space="preserve">, 2016, 59: 2546-51. </w:t>
      </w:r>
      <w:r w:rsidRPr="00867602">
        <w:rPr>
          <w:lang w:val="en-US"/>
        </w:rPr>
        <w:t>DOI: 10.1007/s00125-016-4101-6.</w:t>
      </w:r>
    </w:p>
    <w:p w14:paraId="73DB43A1" w14:textId="203EA496" w:rsidR="008D6369" w:rsidRDefault="008D6369" w:rsidP="00425959">
      <w:pPr>
        <w:numPr>
          <w:ilvl w:val="0"/>
          <w:numId w:val="14"/>
        </w:numPr>
        <w:shd w:val="clear" w:color="auto" w:fill="FFFFFF"/>
        <w:spacing w:after="0" w:line="240" w:lineRule="auto"/>
        <w:ind w:left="426" w:hanging="426"/>
        <w:rPr>
          <w:lang w:val="en-US"/>
        </w:rPr>
      </w:pPr>
      <w:r>
        <w:rPr>
          <w:lang w:val="en-US"/>
        </w:rPr>
        <w:t xml:space="preserve">Meier C, Schwartz AV, Egger A, </w:t>
      </w:r>
      <w:proofErr w:type="spellStart"/>
      <w:r>
        <w:rPr>
          <w:lang w:val="en-US"/>
        </w:rPr>
        <w:t>Lecka-Czernik</w:t>
      </w:r>
      <w:proofErr w:type="spellEnd"/>
      <w:r>
        <w:rPr>
          <w:lang w:val="en-US"/>
        </w:rPr>
        <w:t xml:space="preserve"> B. Effects of diabetes drugs on the skeleton. Bone. 2016;</w:t>
      </w:r>
      <w:r w:rsidR="00424C11">
        <w:t xml:space="preserve"> </w:t>
      </w:r>
      <w:r>
        <w:rPr>
          <w:lang w:val="en-US"/>
        </w:rPr>
        <w:t xml:space="preserve">82:93-100. </w:t>
      </w:r>
      <w:proofErr w:type="gramStart"/>
      <w:r>
        <w:rPr>
          <w:lang w:val="en-US"/>
        </w:rPr>
        <w:t>doi:10.1016/j.bone</w:t>
      </w:r>
      <w:proofErr w:type="gramEnd"/>
      <w:r>
        <w:rPr>
          <w:lang w:val="en-US"/>
        </w:rPr>
        <w:t>.2015.04.026.</w:t>
      </w:r>
    </w:p>
    <w:p w14:paraId="3DBE7358" w14:textId="41AFB49C" w:rsidR="008D6369" w:rsidRDefault="008D6369" w:rsidP="00425959">
      <w:pPr>
        <w:numPr>
          <w:ilvl w:val="0"/>
          <w:numId w:val="14"/>
        </w:numPr>
        <w:shd w:val="clear" w:color="auto" w:fill="FFFFFF"/>
        <w:spacing w:after="0" w:line="240" w:lineRule="auto"/>
        <w:ind w:left="426" w:hanging="426"/>
        <w:rPr>
          <w:lang w:val="en-US"/>
        </w:rPr>
      </w:pPr>
      <w:bookmarkStart w:id="172" w:name="_Hlk130998884"/>
      <w:bookmarkEnd w:id="171"/>
      <w:proofErr w:type="spellStart"/>
      <w:r>
        <w:rPr>
          <w:lang w:val="en-US"/>
        </w:rPr>
        <w:t>Wanner</w:t>
      </w:r>
      <w:proofErr w:type="spellEnd"/>
      <w:r>
        <w:rPr>
          <w:lang w:val="en-US"/>
        </w:rPr>
        <w:t xml:space="preserve"> C, </w:t>
      </w:r>
      <w:proofErr w:type="spellStart"/>
      <w:r>
        <w:rPr>
          <w:lang w:val="en-US"/>
        </w:rPr>
        <w:t>Inzucchi</w:t>
      </w:r>
      <w:proofErr w:type="spellEnd"/>
      <w:r>
        <w:rPr>
          <w:lang w:val="en-US"/>
        </w:rPr>
        <w:t xml:space="preserve"> SE, </w:t>
      </w:r>
      <w:proofErr w:type="spellStart"/>
      <w:r>
        <w:rPr>
          <w:lang w:val="en-US"/>
        </w:rPr>
        <w:t>Lachin</w:t>
      </w:r>
      <w:proofErr w:type="spellEnd"/>
      <w:r>
        <w:rPr>
          <w:lang w:val="en-US"/>
        </w:rPr>
        <w:t xml:space="preserve"> JM, et al. Empagliflozin and Progression of Kidney Disease in Type 2 Diabetes. N </w:t>
      </w:r>
      <w:proofErr w:type="spellStart"/>
      <w:r>
        <w:rPr>
          <w:lang w:val="en-US"/>
        </w:rPr>
        <w:t>Engl</w:t>
      </w:r>
      <w:proofErr w:type="spellEnd"/>
      <w:r>
        <w:rPr>
          <w:lang w:val="en-US"/>
        </w:rPr>
        <w:t xml:space="preserve"> J Med. 2016;</w:t>
      </w:r>
      <w:r w:rsidR="00424C11" w:rsidRPr="00421FA2">
        <w:rPr>
          <w:lang w:val="en-US"/>
        </w:rPr>
        <w:t xml:space="preserve"> </w:t>
      </w:r>
      <w:r>
        <w:rPr>
          <w:lang w:val="en-US"/>
        </w:rPr>
        <w:t xml:space="preserve">375(4):323-334. </w:t>
      </w:r>
      <w:proofErr w:type="spellStart"/>
      <w:r>
        <w:rPr>
          <w:lang w:val="en-US"/>
        </w:rPr>
        <w:t>doi</w:t>
      </w:r>
      <w:proofErr w:type="spellEnd"/>
      <w:r>
        <w:rPr>
          <w:lang w:val="en-US"/>
        </w:rPr>
        <w:t>: 10.1056/NEJMoa1515920.</w:t>
      </w:r>
    </w:p>
    <w:p w14:paraId="4E5BDA8C" w14:textId="77777777" w:rsidR="008D6369" w:rsidRDefault="008D6369" w:rsidP="00425959">
      <w:pPr>
        <w:numPr>
          <w:ilvl w:val="0"/>
          <w:numId w:val="14"/>
        </w:numPr>
        <w:shd w:val="clear" w:color="auto" w:fill="FFFFFF"/>
        <w:spacing w:after="0" w:line="240" w:lineRule="auto"/>
        <w:ind w:left="426" w:hanging="426"/>
        <w:rPr>
          <w:lang w:val="en-US"/>
        </w:rPr>
      </w:pPr>
      <w:r>
        <w:t xml:space="preserve">Паневин Т.С., Елисеев М.С., Шестакова М.В., Насонов Е.Л. Преимущества терапии ингибиторами натрийглюкозного котранспортера 2-го типа у пациентов с сахарным диабетом 2-го типа в сочетании с гиперурикемией и подагрой. </w:t>
      </w:r>
      <w:proofErr w:type="spellStart"/>
      <w:r>
        <w:rPr>
          <w:lang w:val="en-US"/>
        </w:rPr>
        <w:t>Терапевтический</w:t>
      </w:r>
      <w:proofErr w:type="spellEnd"/>
      <w:r>
        <w:rPr>
          <w:lang w:val="en-US"/>
        </w:rPr>
        <w:t xml:space="preserve"> </w:t>
      </w:r>
      <w:proofErr w:type="spellStart"/>
      <w:r>
        <w:rPr>
          <w:lang w:val="en-US"/>
        </w:rPr>
        <w:t>архив</w:t>
      </w:r>
      <w:proofErr w:type="spellEnd"/>
      <w:r>
        <w:rPr>
          <w:lang w:val="en-US"/>
        </w:rPr>
        <w:t>. 2020; 92 (5): 110–118. DOI: 10.26442/00403660.2020.05.000633</w:t>
      </w:r>
      <w:r>
        <w:t>.</w:t>
      </w:r>
    </w:p>
    <w:p w14:paraId="34DC160F"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Watts NB, </w:t>
      </w:r>
      <w:proofErr w:type="spellStart"/>
      <w:r>
        <w:rPr>
          <w:lang w:val="en-US"/>
        </w:rPr>
        <w:t>Bilezikian</w:t>
      </w:r>
      <w:proofErr w:type="spellEnd"/>
      <w:r>
        <w:rPr>
          <w:lang w:val="en-US"/>
        </w:rPr>
        <w:t xml:space="preserve"> JP, </w:t>
      </w:r>
      <w:proofErr w:type="spellStart"/>
      <w:r>
        <w:rPr>
          <w:lang w:val="en-US"/>
        </w:rPr>
        <w:t>Usiskin</w:t>
      </w:r>
      <w:proofErr w:type="spellEnd"/>
      <w:r>
        <w:rPr>
          <w:lang w:val="en-US"/>
        </w:rPr>
        <w:t xml:space="preserve"> K, et al. Effects of canagliflozin on fracture risk in patients with type 2 diabetes mellitus. J Clin Endocrinol </w:t>
      </w:r>
      <w:proofErr w:type="spellStart"/>
      <w:r>
        <w:rPr>
          <w:lang w:val="en-US"/>
        </w:rPr>
        <w:t>Metab</w:t>
      </w:r>
      <w:proofErr w:type="spellEnd"/>
      <w:r>
        <w:rPr>
          <w:lang w:val="en-US"/>
        </w:rPr>
        <w:t>, 2016, 101: 157-66.</w:t>
      </w:r>
      <w:r>
        <w:rPr>
          <w:lang w:val="en-US" w:eastAsia="en-US"/>
        </w:rPr>
        <w:t xml:space="preserve"> </w:t>
      </w:r>
      <w:r>
        <w:rPr>
          <w:lang w:val="en-US"/>
        </w:rPr>
        <w:t>DOI: 10.1210/jc.2015-3167.</w:t>
      </w:r>
    </w:p>
    <w:p w14:paraId="7A47182F" w14:textId="095FB579" w:rsidR="008D6369" w:rsidRDefault="008D6369" w:rsidP="00425959">
      <w:pPr>
        <w:numPr>
          <w:ilvl w:val="0"/>
          <w:numId w:val="14"/>
        </w:numPr>
        <w:shd w:val="clear" w:color="auto" w:fill="FFFFFF"/>
        <w:spacing w:after="0" w:line="240" w:lineRule="auto"/>
        <w:ind w:left="426" w:hanging="426"/>
        <w:rPr>
          <w:lang w:val="en-US"/>
        </w:rPr>
      </w:pPr>
      <w:r>
        <w:rPr>
          <w:lang w:val="en-US"/>
        </w:rPr>
        <w:t>Lin H-W, Tseng C-H. A Review on the Relationship between SGLT2 Inhibitors and Cancer. Int J Endocrinol. 2014;</w:t>
      </w:r>
      <w:r w:rsidR="00424C11">
        <w:t xml:space="preserve"> </w:t>
      </w:r>
      <w:r>
        <w:rPr>
          <w:lang w:val="en-US"/>
        </w:rPr>
        <w:t>2014:1-6. doi:10.1155/2014/719578</w:t>
      </w:r>
      <w:r>
        <w:t>.</w:t>
      </w:r>
    </w:p>
    <w:p w14:paraId="1477C201"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Heyman SN, </w:t>
      </w:r>
      <w:proofErr w:type="spellStart"/>
      <w:r>
        <w:rPr>
          <w:lang w:val="en-US"/>
        </w:rPr>
        <w:t>Khamaisi</w:t>
      </w:r>
      <w:proofErr w:type="spellEnd"/>
      <w:r>
        <w:rPr>
          <w:lang w:val="en-US"/>
        </w:rPr>
        <w:t xml:space="preserve"> M, Rosen S, et al. Potential hypoxic renal injury in diabetics on SGLT-2 inhibitors: caution regarding concomitant use of NSAIDs and iodinated contrast media. Diabetes Care, 2017, 40(4): e40–1.</w:t>
      </w:r>
      <w:r>
        <w:rPr>
          <w:lang w:val="en-US" w:eastAsia="en-US"/>
        </w:rPr>
        <w:t xml:space="preserve"> </w:t>
      </w:r>
      <w:r>
        <w:rPr>
          <w:lang w:val="en-US"/>
        </w:rPr>
        <w:t>DOI: 10.2337/dc16-2200.</w:t>
      </w:r>
    </w:p>
    <w:p w14:paraId="515A6ED0" w14:textId="77777777" w:rsidR="008D6369" w:rsidRDefault="008D6369" w:rsidP="00425959">
      <w:pPr>
        <w:numPr>
          <w:ilvl w:val="0"/>
          <w:numId w:val="14"/>
        </w:numPr>
        <w:spacing w:after="0" w:line="240" w:lineRule="auto"/>
        <w:ind w:left="426" w:hanging="426"/>
        <w:contextualSpacing/>
        <w:rPr>
          <w:lang w:val="en-US"/>
        </w:rPr>
      </w:pPr>
      <w:proofErr w:type="spellStart"/>
      <w:r>
        <w:rPr>
          <w:lang w:val="en-US"/>
        </w:rPr>
        <w:t>Storgaard</w:t>
      </w:r>
      <w:proofErr w:type="spellEnd"/>
      <w:r>
        <w:rPr>
          <w:lang w:val="en-US"/>
        </w:rPr>
        <w:t xml:space="preserve"> H, </w:t>
      </w:r>
      <w:proofErr w:type="spellStart"/>
      <w:r>
        <w:rPr>
          <w:lang w:val="en-US"/>
        </w:rPr>
        <w:t>Gluud</w:t>
      </w:r>
      <w:proofErr w:type="spellEnd"/>
      <w:r>
        <w:rPr>
          <w:lang w:val="en-US"/>
        </w:rPr>
        <w:t xml:space="preserve"> LL, Bennett C, et al. Benefits and harms of sodium-glucose cotransporter 2 inhibitors in patients with type 2 diabetes: a systematic review and meta-analysis. </w:t>
      </w:r>
      <w:proofErr w:type="spellStart"/>
      <w:r>
        <w:rPr>
          <w:lang w:val="en-US"/>
        </w:rPr>
        <w:t>PLoS</w:t>
      </w:r>
      <w:proofErr w:type="spellEnd"/>
      <w:r>
        <w:rPr>
          <w:lang w:val="en-US"/>
        </w:rPr>
        <w:t xml:space="preserve"> One, 2016, 11(11): e0166125.</w:t>
      </w:r>
      <w:r>
        <w:rPr>
          <w:lang w:val="en-US" w:eastAsia="en-US"/>
        </w:rPr>
        <w:t xml:space="preserve"> </w:t>
      </w:r>
      <w:r>
        <w:rPr>
          <w:lang w:val="en-US"/>
        </w:rPr>
        <w:t>DOI: 10.1371/journal.pone.0166125.</w:t>
      </w:r>
    </w:p>
    <w:p w14:paraId="155A0239"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Zinman</w:t>
      </w:r>
      <w:proofErr w:type="spellEnd"/>
      <w:r>
        <w:rPr>
          <w:lang w:val="en-US"/>
        </w:rPr>
        <w:t xml:space="preserve"> B, </w:t>
      </w:r>
      <w:proofErr w:type="spellStart"/>
      <w:r>
        <w:rPr>
          <w:lang w:val="en-US"/>
        </w:rPr>
        <w:t>Inzucchi</w:t>
      </w:r>
      <w:proofErr w:type="spellEnd"/>
      <w:r>
        <w:rPr>
          <w:lang w:val="en-US"/>
        </w:rPr>
        <w:t xml:space="preserve"> SE, </w:t>
      </w:r>
      <w:proofErr w:type="spellStart"/>
      <w:r>
        <w:rPr>
          <w:lang w:val="en-US"/>
        </w:rPr>
        <w:t>Lachin</w:t>
      </w:r>
      <w:proofErr w:type="spellEnd"/>
      <w:r>
        <w:rPr>
          <w:lang w:val="en-US"/>
        </w:rPr>
        <w:t xml:space="preserve"> JM et al. Empagliflozin and Cerebrovascular Events in Patients </w:t>
      </w:r>
      <w:proofErr w:type="gramStart"/>
      <w:r>
        <w:rPr>
          <w:lang w:val="en-US"/>
        </w:rPr>
        <w:t>With</w:t>
      </w:r>
      <w:proofErr w:type="gramEnd"/>
      <w:r>
        <w:rPr>
          <w:lang w:val="en-US"/>
        </w:rPr>
        <w:t xml:space="preserve"> Type 2 Diabetes Mellitus at High Cardiovascular Risk. Stroke, 2017 May, 48(5): 1218-1225. </w:t>
      </w:r>
      <w:proofErr w:type="spellStart"/>
      <w:r>
        <w:rPr>
          <w:lang w:val="en-US"/>
        </w:rPr>
        <w:t>doi</w:t>
      </w:r>
      <w:proofErr w:type="spellEnd"/>
      <w:r>
        <w:rPr>
          <w:lang w:val="en-US"/>
        </w:rPr>
        <w:t>: 10.1161/STROKEAHA.116.015756.</w:t>
      </w:r>
    </w:p>
    <w:p w14:paraId="39140452" w14:textId="77777777" w:rsidR="008D6369" w:rsidRDefault="008D6369" w:rsidP="00425959">
      <w:pPr>
        <w:numPr>
          <w:ilvl w:val="0"/>
          <w:numId w:val="14"/>
        </w:numPr>
        <w:shd w:val="clear" w:color="auto" w:fill="FFFFFF"/>
        <w:spacing w:after="0" w:line="240" w:lineRule="auto"/>
        <w:ind w:left="426" w:hanging="426"/>
      </w:pPr>
      <w:r>
        <w:t>Мосикян А.А., Чжао В., Галанкин Т.Л., Колбин</w:t>
      </w:r>
      <w:r>
        <w:rPr>
          <w:lang w:eastAsia="en-US"/>
        </w:rPr>
        <w:t xml:space="preserve"> </w:t>
      </w:r>
      <w:r>
        <w:t xml:space="preserve">А.С. Анализ исследований </w:t>
      </w:r>
      <w:r>
        <w:rPr>
          <w:lang w:val="en-US"/>
        </w:rPr>
        <w:t>EMPA</w:t>
      </w:r>
      <w:r>
        <w:t>-</w:t>
      </w:r>
      <w:r>
        <w:rPr>
          <w:lang w:val="en-US"/>
        </w:rPr>
        <w:t>REG</w:t>
      </w:r>
      <w:r>
        <w:t xml:space="preserve"> </w:t>
      </w:r>
      <w:r>
        <w:rPr>
          <w:lang w:val="en-US"/>
        </w:rPr>
        <w:t>OUTCOME</w:t>
      </w:r>
      <w:r>
        <w:t xml:space="preserve">, </w:t>
      </w:r>
      <w:r>
        <w:rPr>
          <w:lang w:val="en-US"/>
        </w:rPr>
        <w:t>LEADER</w:t>
      </w:r>
      <w:r>
        <w:t xml:space="preserve"> и </w:t>
      </w:r>
      <w:r>
        <w:rPr>
          <w:lang w:val="en-US"/>
        </w:rPr>
        <w:t>SUSTAIN</w:t>
      </w:r>
      <w:r>
        <w:t>-6: возможные механизмы снижения сердечно-сосудистого риска под действием новых сахароснижающих средств. Клиническая фармакология и терапия, 2017, 26 (2). С. 77-82.</w:t>
      </w:r>
    </w:p>
    <w:p w14:paraId="4FF69FCB" w14:textId="77777777" w:rsidR="008D6369" w:rsidRDefault="008D6369" w:rsidP="00425959">
      <w:pPr>
        <w:numPr>
          <w:ilvl w:val="0"/>
          <w:numId w:val="14"/>
        </w:numPr>
        <w:shd w:val="clear" w:color="auto" w:fill="FFFFFF"/>
        <w:spacing w:after="0" w:line="240" w:lineRule="auto"/>
        <w:ind w:left="426" w:hanging="426"/>
      </w:pPr>
      <w:r>
        <w:t xml:space="preserve">Коваленко Е.В., Ложкина М.В., Арабидзе Г. Г., Крякушкин В.Г. Эффективность ингибиторов натрий-глюкозного ко-транспортера 2 типа у больных с хронической сердечной недостаточностью. Российский кардиологический журнал. 2021;26(1):4235. </w:t>
      </w:r>
      <w:proofErr w:type="spellStart"/>
      <w:r>
        <w:rPr>
          <w:lang w:val="en-US"/>
        </w:rPr>
        <w:t>doi</w:t>
      </w:r>
      <w:proofErr w:type="spellEnd"/>
      <w:r>
        <w:t>:10.15829/1560-4071-2021-423.</w:t>
      </w:r>
    </w:p>
    <w:p w14:paraId="435D1F10" w14:textId="77777777" w:rsidR="008D6369" w:rsidRDefault="008D6369" w:rsidP="00425959">
      <w:pPr>
        <w:numPr>
          <w:ilvl w:val="0"/>
          <w:numId w:val="14"/>
        </w:numPr>
        <w:shd w:val="clear" w:color="auto" w:fill="FFFFFF"/>
        <w:spacing w:after="0" w:line="240" w:lineRule="auto"/>
        <w:ind w:left="426" w:hanging="426"/>
      </w:pPr>
      <w:r>
        <w:t>Бондаренко И.З., Бубнова М.Г. Что нового появилось в лечении пациента с сахарным диабетом и сердечно-сосудистыми заболеваниями: взгляд кардиологов. CardioСоматика. 2018; 9 (2): 24–30. DOI: 10.26442/2221-7185_2018.2.24-30.</w:t>
      </w:r>
    </w:p>
    <w:p w14:paraId="667D8D5D" w14:textId="77777777" w:rsidR="008D6369" w:rsidRDefault="008D6369" w:rsidP="00425959">
      <w:pPr>
        <w:numPr>
          <w:ilvl w:val="0"/>
          <w:numId w:val="14"/>
        </w:numPr>
        <w:shd w:val="clear" w:color="auto" w:fill="FFFFFF"/>
        <w:spacing w:after="0" w:line="240" w:lineRule="auto"/>
        <w:ind w:left="426" w:hanging="426"/>
      </w:pPr>
      <w:r>
        <w:t>Батюшин М. М. Применение ингибиторов натрий-глюкозного котранспортера 2 типа при хронической сердечной недостаточности и хронической болезни почек. Роль эмпаглифлозина. Российский кардиологический журнал. 2021;26(</w:t>
      </w:r>
      <w:r>
        <w:rPr>
          <w:lang w:val="en-US"/>
        </w:rPr>
        <w:t>S</w:t>
      </w:r>
      <w:r>
        <w:t xml:space="preserve">1):4349. </w:t>
      </w:r>
      <w:proofErr w:type="spellStart"/>
      <w:r>
        <w:rPr>
          <w:lang w:val="en-US"/>
        </w:rPr>
        <w:t>doi</w:t>
      </w:r>
      <w:proofErr w:type="spellEnd"/>
      <w:r>
        <w:t>:10.15829/1560-4071-2021-43.</w:t>
      </w:r>
    </w:p>
    <w:p w14:paraId="79A51FD8"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lastRenderedPageBreak/>
        <w:t>Damman</w:t>
      </w:r>
      <w:proofErr w:type="spellEnd"/>
      <w:r>
        <w:rPr>
          <w:lang w:val="en-US"/>
        </w:rPr>
        <w:t xml:space="preserve"> K, </w:t>
      </w:r>
      <w:proofErr w:type="spellStart"/>
      <w:r>
        <w:rPr>
          <w:lang w:val="en-US"/>
        </w:rPr>
        <w:t>Beusekamp</w:t>
      </w:r>
      <w:proofErr w:type="spellEnd"/>
      <w:r>
        <w:rPr>
          <w:lang w:val="en-US"/>
        </w:rPr>
        <w:t xml:space="preserve"> JC, </w:t>
      </w:r>
      <w:proofErr w:type="spellStart"/>
      <w:r>
        <w:rPr>
          <w:lang w:val="en-US"/>
        </w:rPr>
        <w:t>Boorsma</w:t>
      </w:r>
      <w:proofErr w:type="spellEnd"/>
      <w:r>
        <w:rPr>
          <w:lang w:val="en-US"/>
        </w:rPr>
        <w:t xml:space="preserve"> EM, et al. Randomized, double‐blind, placebo‐controlled, </w:t>
      </w:r>
      <w:proofErr w:type="spellStart"/>
      <w:r>
        <w:rPr>
          <w:lang w:val="en-US"/>
        </w:rPr>
        <w:t>multicentre</w:t>
      </w:r>
      <w:proofErr w:type="spellEnd"/>
      <w:r>
        <w:rPr>
          <w:lang w:val="en-US"/>
        </w:rPr>
        <w:t xml:space="preserve"> pilot study on the effects of empagliflozin on clinical outcomes in patients with acute decompensated heart failure (EMPA‐RESPONSE‐AHF). Eur Heart J 2020; 22 (4): 713–22. doi:10.1002/ejhf.1713.</w:t>
      </w:r>
    </w:p>
    <w:p w14:paraId="4EC3935C"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Zaccardi</w:t>
      </w:r>
      <w:proofErr w:type="spellEnd"/>
      <w:r>
        <w:rPr>
          <w:lang w:val="en-US"/>
        </w:rPr>
        <w:t xml:space="preserve"> F, Webb DR, </w:t>
      </w:r>
      <w:proofErr w:type="spellStart"/>
      <w:r>
        <w:rPr>
          <w:lang w:val="en-US"/>
        </w:rPr>
        <w:t>Htike</w:t>
      </w:r>
      <w:proofErr w:type="spellEnd"/>
      <w:r>
        <w:rPr>
          <w:lang w:val="en-US"/>
        </w:rPr>
        <w:t xml:space="preserve"> ZZ, Youssef D, </w:t>
      </w:r>
      <w:proofErr w:type="spellStart"/>
      <w:r>
        <w:rPr>
          <w:lang w:val="en-US"/>
        </w:rPr>
        <w:t>Khunti</w:t>
      </w:r>
      <w:proofErr w:type="spellEnd"/>
      <w:r>
        <w:rPr>
          <w:lang w:val="en-US"/>
        </w:rPr>
        <w:t xml:space="preserve"> K, Davies MJ. Efficacy and safety of sodium glucose cotransporter 2 inhibitors in type 2 diabetes mellitus: Systematic review and network meta-analysis. Diabetes </w:t>
      </w:r>
      <w:proofErr w:type="spellStart"/>
      <w:r>
        <w:rPr>
          <w:lang w:val="en-US"/>
        </w:rPr>
        <w:t>Obes</w:t>
      </w:r>
      <w:proofErr w:type="spellEnd"/>
      <w:r>
        <w:rPr>
          <w:lang w:val="en-US"/>
        </w:rPr>
        <w:t xml:space="preserve"> </w:t>
      </w:r>
      <w:proofErr w:type="spellStart"/>
      <w:r>
        <w:rPr>
          <w:lang w:val="en-US"/>
        </w:rPr>
        <w:t>Metab</w:t>
      </w:r>
      <w:proofErr w:type="spellEnd"/>
      <w:r>
        <w:rPr>
          <w:lang w:val="en-US"/>
        </w:rPr>
        <w:t>, 2016</w:t>
      </w:r>
      <w:r>
        <w:t>.</w:t>
      </w:r>
    </w:p>
    <w:bookmarkEnd w:id="172"/>
    <w:p w14:paraId="3FF90DDC" w14:textId="77777777" w:rsidR="008D6369" w:rsidRDefault="008D6369" w:rsidP="00425959">
      <w:pPr>
        <w:numPr>
          <w:ilvl w:val="0"/>
          <w:numId w:val="14"/>
        </w:numPr>
        <w:shd w:val="clear" w:color="auto" w:fill="FFFFFF"/>
        <w:spacing w:after="0" w:line="240" w:lineRule="auto"/>
        <w:ind w:left="426" w:hanging="426"/>
        <w:rPr>
          <w:lang w:val="en-US"/>
        </w:rPr>
      </w:pPr>
      <w:r>
        <w:rPr>
          <w:lang w:val="en-US" w:eastAsia="en-US"/>
        </w:rPr>
        <w:t xml:space="preserve">Kohler S, </w:t>
      </w:r>
      <w:proofErr w:type="spellStart"/>
      <w:r>
        <w:rPr>
          <w:lang w:val="en-US" w:eastAsia="en-US"/>
        </w:rPr>
        <w:t>Salsali</w:t>
      </w:r>
      <w:proofErr w:type="spellEnd"/>
      <w:r>
        <w:rPr>
          <w:lang w:val="en-US" w:eastAsia="en-US"/>
        </w:rPr>
        <w:t xml:space="preserve"> A, </w:t>
      </w:r>
      <w:proofErr w:type="spellStart"/>
      <w:r>
        <w:rPr>
          <w:lang w:val="en-US" w:eastAsia="en-US"/>
        </w:rPr>
        <w:t>Hantel</w:t>
      </w:r>
      <w:proofErr w:type="spellEnd"/>
      <w:r>
        <w:rPr>
          <w:lang w:val="en-US" w:eastAsia="en-US"/>
        </w:rPr>
        <w:t xml:space="preserve"> S, et al. Safety and Tolerability of Empagliflozin in Patients with Type 2 Diabetes. Clin </w:t>
      </w:r>
      <w:proofErr w:type="spellStart"/>
      <w:r>
        <w:rPr>
          <w:lang w:val="en-US" w:eastAsia="en-US"/>
        </w:rPr>
        <w:t>Ther</w:t>
      </w:r>
      <w:proofErr w:type="spellEnd"/>
      <w:r>
        <w:rPr>
          <w:lang w:val="en-US" w:eastAsia="en-US"/>
        </w:rPr>
        <w:t xml:space="preserve">. </w:t>
      </w:r>
      <w:proofErr w:type="gramStart"/>
      <w:r>
        <w:rPr>
          <w:lang w:val="en-US" w:eastAsia="en-US"/>
        </w:rPr>
        <w:t>2016;38:1299</w:t>
      </w:r>
      <w:proofErr w:type="gramEnd"/>
      <w:r>
        <w:rPr>
          <w:lang w:val="en-US" w:eastAsia="en-US"/>
        </w:rPr>
        <w:t xml:space="preserve">-1313. </w:t>
      </w:r>
      <w:r w:rsidRPr="00F23A9C">
        <w:rPr>
          <w:lang w:val="en-US" w:eastAsia="en-US"/>
        </w:rPr>
        <w:t xml:space="preserve">DOI: 10.1016/j.clinthera.2016.03.031. </w:t>
      </w:r>
    </w:p>
    <w:p w14:paraId="509577CE" w14:textId="3BD0825C" w:rsidR="008D6369" w:rsidRPr="00E14858" w:rsidRDefault="008D6369" w:rsidP="00425959">
      <w:pPr>
        <w:numPr>
          <w:ilvl w:val="0"/>
          <w:numId w:val="14"/>
        </w:numPr>
        <w:shd w:val="clear" w:color="auto" w:fill="FFFFFF"/>
        <w:spacing w:after="0" w:line="240" w:lineRule="auto"/>
        <w:ind w:left="426" w:hanging="426"/>
        <w:rPr>
          <w:lang w:val="en-US"/>
        </w:rPr>
      </w:pPr>
      <w:r>
        <w:rPr>
          <w:lang w:val="en-US" w:eastAsia="en-US"/>
        </w:rPr>
        <w:t>PRODUCT MONOGRAPH including patient medication information JARDIANCE</w:t>
      </w:r>
      <w:r>
        <w:rPr>
          <w:vertAlign w:val="superscript"/>
          <w:lang w:val="en-US" w:eastAsia="en-US"/>
        </w:rPr>
        <w:t>®</w:t>
      </w:r>
      <w:r>
        <w:rPr>
          <w:lang w:val="en-US" w:eastAsia="en-US"/>
        </w:rPr>
        <w:t xml:space="preserve"> Empagliflozin Tablets, 10 mg and 25 mg, Oral. Date of Revision: October 29, 2021. </w:t>
      </w:r>
      <w:r w:rsidRPr="00FF161F">
        <w:rPr>
          <w:lang w:val="en-US" w:eastAsia="en-US"/>
        </w:rPr>
        <w:t>https://www.boehringer-ingelheim.ca/sites/ca/files/documents/jardiancepmen.pdf</w:t>
      </w:r>
      <w:r w:rsidRPr="00E14858">
        <w:rPr>
          <w:lang w:val="en-US" w:eastAsia="en-US"/>
        </w:rPr>
        <w:t xml:space="preserve"> [</w:t>
      </w:r>
      <w:r>
        <w:rPr>
          <w:lang w:eastAsia="en-US"/>
        </w:rPr>
        <w:t>Дата</w:t>
      </w:r>
      <w:r w:rsidRPr="00E14858">
        <w:rPr>
          <w:lang w:val="en-US" w:eastAsia="en-US"/>
        </w:rPr>
        <w:t xml:space="preserve"> </w:t>
      </w:r>
      <w:r>
        <w:rPr>
          <w:lang w:eastAsia="en-US"/>
        </w:rPr>
        <w:t>обращения</w:t>
      </w:r>
      <w:r w:rsidRPr="00E14858">
        <w:rPr>
          <w:lang w:val="en-US" w:eastAsia="en-US"/>
        </w:rPr>
        <w:t xml:space="preserve"> 06.04.2022]. </w:t>
      </w:r>
    </w:p>
    <w:p w14:paraId="1121ED3C" w14:textId="77777777" w:rsidR="008D6369" w:rsidRDefault="008D6369" w:rsidP="00425959">
      <w:pPr>
        <w:numPr>
          <w:ilvl w:val="0"/>
          <w:numId w:val="14"/>
        </w:numPr>
        <w:shd w:val="clear" w:color="auto" w:fill="FFFFFF"/>
        <w:spacing w:after="0" w:line="240" w:lineRule="auto"/>
        <w:ind w:left="426" w:hanging="426"/>
      </w:pPr>
      <w:r>
        <w:t xml:space="preserve">Моргунов Л.Ю., Мамедгусейнов Х.С.Преимущества применения эмпаглифлозина у пациентов с сахарным диабетом 2 типа и циррозом печени // Эндокринология: новости, мнения, обучение. 2021. Т. 10, № 4. </w:t>
      </w:r>
      <w:r>
        <w:rPr>
          <w:lang w:val="en-US"/>
        </w:rPr>
        <w:t>C</w:t>
      </w:r>
      <w:r>
        <w:t xml:space="preserve">. 103–105. </w:t>
      </w:r>
      <w:r>
        <w:rPr>
          <w:lang w:val="en-US"/>
        </w:rPr>
        <w:t>DOI</w:t>
      </w:r>
      <w:r>
        <w:t xml:space="preserve">: </w:t>
      </w:r>
      <w:r>
        <w:rPr>
          <w:lang w:val="en-US"/>
        </w:rPr>
        <w:t>https</w:t>
      </w:r>
      <w:r>
        <w:t xml:space="preserve">:// </w:t>
      </w:r>
      <w:proofErr w:type="spellStart"/>
      <w:r>
        <w:rPr>
          <w:lang w:val="en-US"/>
        </w:rPr>
        <w:t>doi</w:t>
      </w:r>
      <w:proofErr w:type="spellEnd"/>
      <w:r>
        <w:t>.</w:t>
      </w:r>
      <w:r>
        <w:rPr>
          <w:lang w:val="en-US"/>
        </w:rPr>
        <w:t>org</w:t>
      </w:r>
      <w:r>
        <w:t>/10.33029/2304-9529-2021-10-4-103-105</w:t>
      </w:r>
    </w:p>
    <w:p w14:paraId="5D96D0A4" w14:textId="77777777" w:rsidR="008D6369" w:rsidRDefault="008D6369" w:rsidP="00425959">
      <w:pPr>
        <w:numPr>
          <w:ilvl w:val="0"/>
          <w:numId w:val="14"/>
        </w:numPr>
        <w:shd w:val="clear" w:color="auto" w:fill="FFFFFF"/>
        <w:spacing w:after="0" w:line="240" w:lineRule="auto"/>
        <w:ind w:left="426" w:hanging="426"/>
        <w:rPr>
          <w:lang w:val="en-US"/>
        </w:rPr>
      </w:pPr>
      <w:r>
        <w:t xml:space="preserve">Недогода С.В., Палашкин Р.В., Барыкина И.Н., Саласюк А.С., Чумачек Е.В., Смирнова В.О., Попова Е.А. Влияние эмпаглифлозина на сосудистый возраст и ключевые факторы сердечно-сосудистого риска у пациентов с сахарным диабетом 2 типа // Доктор.Ру. 2018.  </w:t>
      </w:r>
      <w:r>
        <w:rPr>
          <w:lang w:val="en-US"/>
        </w:rPr>
        <w:t>№ 8 (152). С. 6–11. DOI: 10.31550/1727-2378-2018-152-8-6-11</w:t>
      </w:r>
    </w:p>
    <w:p w14:paraId="7DCF061B" w14:textId="77777777" w:rsidR="008D6369" w:rsidRDefault="008D6369" w:rsidP="00425959">
      <w:pPr>
        <w:numPr>
          <w:ilvl w:val="0"/>
          <w:numId w:val="14"/>
        </w:numPr>
        <w:shd w:val="clear" w:color="auto" w:fill="FFFFFF"/>
        <w:spacing w:after="0" w:line="240" w:lineRule="auto"/>
        <w:ind w:left="426" w:hanging="426"/>
      </w:pPr>
      <w:r>
        <w:rPr>
          <w:lang w:eastAsia="en-US"/>
        </w:rPr>
        <w:t>Овчинников А. Г., Борисов А. А., Жеребчикова К. Ю., Рябцева О.Ю., Гвоздева А.Д., Масенко В.П., Агеев Ф.Т., Бойцов С.А. Влияние эмпаглифлозина на переносимость нагрузки и диастолическую функцию левого желудочка у пациентов с сердечной недостаточностью с сохранённой фракцией выброса и сахарным диабетом типа 2: проспективное одноцентровое пилотное исследование. Российский кардиологический журнал. 2021;26(1):4304. doi:10.15829/1560-4071-2021-4304.</w:t>
      </w:r>
    </w:p>
    <w:p w14:paraId="0A2A348B" w14:textId="77777777" w:rsidR="008D6369" w:rsidRDefault="008D6369" w:rsidP="00425959">
      <w:pPr>
        <w:numPr>
          <w:ilvl w:val="0"/>
          <w:numId w:val="14"/>
        </w:numPr>
        <w:shd w:val="clear" w:color="auto" w:fill="FFFFFF"/>
        <w:spacing w:after="0" w:line="240" w:lineRule="auto"/>
        <w:ind w:left="426" w:hanging="426"/>
        <w:rPr>
          <w:lang w:val="en-US"/>
        </w:rPr>
      </w:pPr>
      <w:r>
        <w:rPr>
          <w:lang w:val="en-US"/>
        </w:rPr>
        <w:t xml:space="preserve">Verma S, Mazer CD, Yan AT, et al. Effect of Empagliflozin on Left Ventricular Mass in Patients </w:t>
      </w:r>
      <w:proofErr w:type="gramStart"/>
      <w:r>
        <w:rPr>
          <w:lang w:val="en-US"/>
        </w:rPr>
        <w:t>With</w:t>
      </w:r>
      <w:proofErr w:type="gramEnd"/>
      <w:r>
        <w:rPr>
          <w:lang w:val="en-US"/>
        </w:rPr>
        <w:t xml:space="preserve"> Type 2 Diabetes Mellitus and Coronary Artery Disease: The EMPA-HEART CardioLink-6 Randomized Clinical Trial. Circulation. 2019;140(21):1693-702. doi:10.1161/ CIRCULATIONAHA.119.042375.</w:t>
      </w:r>
    </w:p>
    <w:p w14:paraId="102E805B"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Bami</w:t>
      </w:r>
      <w:proofErr w:type="spellEnd"/>
      <w:r>
        <w:rPr>
          <w:lang w:val="en-US"/>
        </w:rPr>
        <w:t xml:space="preserve"> K, Gandhi S, Leong-Poi H, et al. Effects of Empagliflozin on Left Ventricular Remodeling in Patients with Type 2 Diabetes and Coronary Artery Disease:  Echocardiographic </w:t>
      </w:r>
      <w:proofErr w:type="spellStart"/>
      <w:r>
        <w:rPr>
          <w:lang w:val="en-US"/>
        </w:rPr>
        <w:t>Substudy</w:t>
      </w:r>
      <w:proofErr w:type="spellEnd"/>
      <w:r>
        <w:rPr>
          <w:lang w:val="en-US"/>
        </w:rPr>
        <w:t xml:space="preserve"> of the EMPA-HEART CardioLink-6 Randomized Clinical Trial.  J Am Soc </w:t>
      </w:r>
      <w:proofErr w:type="spellStart"/>
      <w:r>
        <w:rPr>
          <w:lang w:val="en-US"/>
        </w:rPr>
        <w:t>Echocardiogr</w:t>
      </w:r>
      <w:proofErr w:type="spellEnd"/>
      <w:r>
        <w:rPr>
          <w:lang w:val="en-US"/>
        </w:rPr>
        <w:t xml:space="preserve">. 2020;33(5):644-6. </w:t>
      </w:r>
      <w:proofErr w:type="gramStart"/>
      <w:r>
        <w:rPr>
          <w:lang w:val="en-US"/>
        </w:rPr>
        <w:t>doi:10.1016/j.echo</w:t>
      </w:r>
      <w:proofErr w:type="gramEnd"/>
      <w:r>
        <w:rPr>
          <w:lang w:val="en-US"/>
        </w:rPr>
        <w:t>.2020.02.005.</w:t>
      </w:r>
    </w:p>
    <w:p w14:paraId="62FEDDF3"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t>Nagueh</w:t>
      </w:r>
      <w:proofErr w:type="spellEnd"/>
      <w:r>
        <w:rPr>
          <w:lang w:val="en-US"/>
        </w:rPr>
        <w:t xml:space="preserve"> SF, </w:t>
      </w:r>
      <w:proofErr w:type="spellStart"/>
      <w:r>
        <w:rPr>
          <w:lang w:val="en-US"/>
        </w:rPr>
        <w:t>Smiseth</w:t>
      </w:r>
      <w:proofErr w:type="spellEnd"/>
      <w:r>
        <w:rPr>
          <w:lang w:val="en-US"/>
        </w:rPr>
        <w:t xml:space="preserve"> OA, Appleton CP, et al. Recommendations for the Evaluation of Left Ventricular Diastolic Function by Echocardiography: An Update from the American Society of Echocardiography and the European Association of Cardiovascular Imaging. J Am Soc </w:t>
      </w:r>
      <w:proofErr w:type="spellStart"/>
      <w:r>
        <w:rPr>
          <w:lang w:val="en-US"/>
        </w:rPr>
        <w:t>Echocardiogr</w:t>
      </w:r>
      <w:proofErr w:type="spellEnd"/>
      <w:r>
        <w:rPr>
          <w:lang w:val="en-US"/>
        </w:rPr>
        <w:t xml:space="preserve">. 2016;29(4):277-314. </w:t>
      </w:r>
      <w:proofErr w:type="gramStart"/>
      <w:r>
        <w:rPr>
          <w:lang w:val="en-US"/>
        </w:rPr>
        <w:t>doi:10.1016/j.echo</w:t>
      </w:r>
      <w:proofErr w:type="gramEnd"/>
      <w:r>
        <w:rPr>
          <w:lang w:val="en-US"/>
        </w:rPr>
        <w:t>.2016.01.011.</w:t>
      </w:r>
    </w:p>
    <w:p w14:paraId="6695AAA3" w14:textId="77777777" w:rsidR="008D6369" w:rsidRPr="00F23A9C" w:rsidRDefault="008D6369" w:rsidP="00425959">
      <w:pPr>
        <w:numPr>
          <w:ilvl w:val="0"/>
          <w:numId w:val="14"/>
        </w:numPr>
        <w:shd w:val="clear" w:color="auto" w:fill="FFFFFF"/>
        <w:spacing w:after="0" w:line="240" w:lineRule="auto"/>
        <w:ind w:left="426" w:hanging="426"/>
      </w:pPr>
      <w:proofErr w:type="spellStart"/>
      <w:r>
        <w:rPr>
          <w:lang w:val="en-US"/>
        </w:rPr>
        <w:t>Ovchinnikov</w:t>
      </w:r>
      <w:proofErr w:type="spellEnd"/>
      <w:r>
        <w:rPr>
          <w:lang w:val="en-US"/>
        </w:rPr>
        <w:t xml:space="preserve"> AG, </w:t>
      </w:r>
      <w:proofErr w:type="spellStart"/>
      <w:r>
        <w:rPr>
          <w:lang w:val="en-US"/>
        </w:rPr>
        <w:t>Ageev</w:t>
      </w:r>
      <w:proofErr w:type="spellEnd"/>
      <w:r>
        <w:rPr>
          <w:lang w:val="en-US"/>
        </w:rPr>
        <w:t xml:space="preserve"> FT, </w:t>
      </w:r>
      <w:proofErr w:type="spellStart"/>
      <w:r>
        <w:rPr>
          <w:lang w:val="en-US"/>
        </w:rPr>
        <w:t>Alekhin</w:t>
      </w:r>
      <w:proofErr w:type="spellEnd"/>
      <w:r>
        <w:rPr>
          <w:lang w:val="en-US"/>
        </w:rPr>
        <w:t xml:space="preserve"> MN, et al. Diastolic transthoracic stress echocardiography with incremental workload in the evaluation of heart failure with preserved ejection fraction: indications, methodology, interpretation. Ultrasound and Functional Diagnostics. </w:t>
      </w:r>
      <w:proofErr w:type="gramStart"/>
      <w:r>
        <w:rPr>
          <w:lang w:val="en-US"/>
        </w:rPr>
        <w:t>2020;2:60</w:t>
      </w:r>
      <w:proofErr w:type="gramEnd"/>
      <w:r>
        <w:rPr>
          <w:lang w:val="en-US"/>
        </w:rPr>
        <w:t xml:space="preserve">-90. (In Russ.) </w:t>
      </w:r>
      <w:r>
        <w:t>Овчинников</w:t>
      </w:r>
      <w:r w:rsidRPr="000C7F59">
        <w:rPr>
          <w:lang w:val="en-US"/>
        </w:rPr>
        <w:t xml:space="preserve"> </w:t>
      </w:r>
      <w:r>
        <w:t>А</w:t>
      </w:r>
      <w:r w:rsidRPr="000C7F59">
        <w:rPr>
          <w:lang w:val="en-US"/>
        </w:rPr>
        <w:t>.</w:t>
      </w:r>
      <w:r>
        <w:t>Г</w:t>
      </w:r>
      <w:r w:rsidRPr="000C7F59">
        <w:rPr>
          <w:lang w:val="en-US"/>
        </w:rPr>
        <w:t xml:space="preserve">., </w:t>
      </w:r>
      <w:r>
        <w:t>Агеев</w:t>
      </w:r>
      <w:r w:rsidRPr="000C7F59">
        <w:rPr>
          <w:lang w:val="en-US"/>
        </w:rPr>
        <w:t xml:space="preserve"> </w:t>
      </w:r>
      <w:r>
        <w:t>Ф</w:t>
      </w:r>
      <w:r w:rsidRPr="000C7F59">
        <w:rPr>
          <w:lang w:val="en-US"/>
        </w:rPr>
        <w:t>.</w:t>
      </w:r>
      <w:r>
        <w:t>Т</w:t>
      </w:r>
      <w:r w:rsidRPr="000C7F59">
        <w:rPr>
          <w:lang w:val="en-US"/>
        </w:rPr>
        <w:t xml:space="preserve">., </w:t>
      </w:r>
      <w:r>
        <w:t>Алёхин</w:t>
      </w:r>
      <w:r w:rsidRPr="000C7F59">
        <w:rPr>
          <w:lang w:val="en-US"/>
        </w:rPr>
        <w:t xml:space="preserve"> </w:t>
      </w:r>
      <w:r>
        <w:t>М</w:t>
      </w:r>
      <w:r w:rsidRPr="000C7F59">
        <w:rPr>
          <w:lang w:val="en-US"/>
        </w:rPr>
        <w:t xml:space="preserve">. </w:t>
      </w:r>
      <w:r>
        <w:t>Н</w:t>
      </w:r>
      <w:r w:rsidRPr="000C7F59">
        <w:rPr>
          <w:lang w:val="en-US"/>
        </w:rPr>
        <w:t xml:space="preserve">. </w:t>
      </w:r>
      <w:r>
        <w:t>и</w:t>
      </w:r>
      <w:r w:rsidRPr="000C7F59">
        <w:rPr>
          <w:lang w:val="en-US"/>
        </w:rPr>
        <w:t xml:space="preserve"> </w:t>
      </w:r>
      <w:r>
        <w:t>др</w:t>
      </w:r>
      <w:r w:rsidRPr="000C7F59">
        <w:rPr>
          <w:lang w:val="en-US"/>
        </w:rPr>
        <w:t xml:space="preserve">. </w:t>
      </w:r>
      <w:r>
        <w:t xml:space="preserve">Диастолическая трансторакальная стресс-эхокардиография с дозированной физической нагрузкой в диагностике сердечной недостаточности с сохранённой фракцией выброса: показания, методология, интерпретация результатов. Ультразвуковая и функциональная диагностика. 2020;2:60-90. </w:t>
      </w:r>
      <w:proofErr w:type="spellStart"/>
      <w:r w:rsidRPr="00701AF0">
        <w:rPr>
          <w:lang w:val="en-US"/>
        </w:rPr>
        <w:t>doi</w:t>
      </w:r>
      <w:proofErr w:type="spellEnd"/>
      <w:r>
        <w:t>:10.24835/1607-0771-2020-2-60-90.</w:t>
      </w:r>
    </w:p>
    <w:p w14:paraId="16C0169E" w14:textId="77777777" w:rsidR="008D6369" w:rsidRDefault="008D6369" w:rsidP="00425959">
      <w:pPr>
        <w:numPr>
          <w:ilvl w:val="0"/>
          <w:numId w:val="14"/>
        </w:numPr>
        <w:shd w:val="clear" w:color="auto" w:fill="FFFFFF"/>
        <w:spacing w:after="0" w:line="240" w:lineRule="auto"/>
        <w:ind w:left="426" w:hanging="426"/>
        <w:rPr>
          <w:lang w:val="en-US"/>
        </w:rPr>
      </w:pPr>
      <w:proofErr w:type="spellStart"/>
      <w:r>
        <w:rPr>
          <w:lang w:val="en-US"/>
        </w:rPr>
        <w:lastRenderedPageBreak/>
        <w:t>Zannad</w:t>
      </w:r>
      <w:proofErr w:type="spellEnd"/>
      <w:r>
        <w:rPr>
          <w:lang w:val="en-US"/>
        </w:rPr>
        <w:t xml:space="preserve"> F, Ferreira JP, Pocock SJ, et al. SGLT2 inhibitors in patients with heart failure with reduced ejection fraction: a meta-analysis of the EMPEROR-Reduced and DAPA-HF trials. Lancet. 2020;396(10254):819-29. doi:10.1016/S0140-6736(20)31824-9.</w:t>
      </w:r>
    </w:p>
    <w:p w14:paraId="62307859" w14:textId="77777777" w:rsidR="008D6369" w:rsidRDefault="008D6369" w:rsidP="00425959">
      <w:pPr>
        <w:numPr>
          <w:ilvl w:val="0"/>
          <w:numId w:val="14"/>
        </w:numPr>
        <w:shd w:val="clear" w:color="auto" w:fill="FFFFFF"/>
        <w:spacing w:after="0" w:line="240" w:lineRule="auto"/>
        <w:ind w:left="426" w:hanging="426"/>
        <w:rPr>
          <w:lang w:val="en-US"/>
        </w:rPr>
      </w:pPr>
      <w:r>
        <w:t>Дорошкевич И. П., Мохорт Т. В., Казак И. С., Дорошкевич</w:t>
      </w:r>
      <w:r>
        <w:rPr>
          <w:lang w:eastAsia="en-US"/>
        </w:rPr>
        <w:t xml:space="preserve"> </w:t>
      </w:r>
      <w:r>
        <w:t xml:space="preserve">И. Н. Особенности антигипергликемической терапии у пациентов с сахарным диабетом 2 типа в сочетании с синдромом обструктивного апноэ сна. </w:t>
      </w:r>
      <w:proofErr w:type="spellStart"/>
      <w:r>
        <w:rPr>
          <w:lang w:val="en-US"/>
        </w:rPr>
        <w:t>Juvenis</w:t>
      </w:r>
      <w:proofErr w:type="spellEnd"/>
      <w:r>
        <w:rPr>
          <w:lang w:val="en-US"/>
        </w:rPr>
        <w:t xml:space="preserve"> </w:t>
      </w:r>
      <w:proofErr w:type="spellStart"/>
      <w:r>
        <w:rPr>
          <w:lang w:val="en-US"/>
        </w:rPr>
        <w:t>scientia</w:t>
      </w:r>
      <w:proofErr w:type="spellEnd"/>
      <w:r>
        <w:rPr>
          <w:lang w:val="en-US"/>
        </w:rPr>
        <w:t>. 2020</w:t>
      </w:r>
      <w:r>
        <w:t xml:space="preserve">. - </w:t>
      </w:r>
      <w:r>
        <w:rPr>
          <w:lang w:val="en-US"/>
        </w:rPr>
        <w:t>Vol. 6</w:t>
      </w:r>
      <w:r>
        <w:t xml:space="preserve">. - </w:t>
      </w:r>
      <w:r>
        <w:rPr>
          <w:lang w:val="en-US"/>
        </w:rPr>
        <w:t>No. 4</w:t>
      </w:r>
      <w:r>
        <w:t xml:space="preserve">. - Р. 30-37. </w:t>
      </w:r>
    </w:p>
    <w:p w14:paraId="7885DD13" w14:textId="77777777" w:rsidR="008D6369" w:rsidRDefault="008D6369" w:rsidP="00425959">
      <w:pPr>
        <w:numPr>
          <w:ilvl w:val="0"/>
          <w:numId w:val="14"/>
        </w:numPr>
        <w:shd w:val="clear" w:color="auto" w:fill="FFFFFF"/>
        <w:spacing w:after="0" w:line="240" w:lineRule="auto"/>
        <w:ind w:left="426" w:hanging="426"/>
      </w:pPr>
      <w:r>
        <w:t>Некрасов А.А., Тимощенко Е.С., Стронгин Л.Г., Некрасова Т.А. и соавт. Влияние эмпаглифлозина на развитие хронической сердечной недостаточности после инфаркта миокарда у пациентов с сахарным диабетом 2 типа по данным 12-месячного проспективного исследования. Сахарный диабет. 2019;22(4): 348-357.</w:t>
      </w:r>
    </w:p>
    <w:p w14:paraId="1E2BFF7B" w14:textId="2F577B6F" w:rsidR="00007FC4" w:rsidRPr="00007FC4" w:rsidRDefault="008D6369" w:rsidP="00007FC4">
      <w:pPr>
        <w:numPr>
          <w:ilvl w:val="0"/>
          <w:numId w:val="14"/>
        </w:numPr>
        <w:shd w:val="clear" w:color="auto" w:fill="FFFFFF"/>
        <w:spacing w:after="0" w:line="240" w:lineRule="auto"/>
        <w:ind w:left="426" w:hanging="426"/>
      </w:pPr>
      <w:r>
        <w:t>Кривошеева А.А.</w:t>
      </w:r>
      <w:r>
        <w:rPr>
          <w:lang w:eastAsia="en-US"/>
        </w:rPr>
        <w:t xml:space="preserve"> </w:t>
      </w:r>
      <w:r>
        <w:t>Влияние ингибитора натрий-глюкозных котранспортеров 2-го типа на эффективность управления сахарным диабетом типа 2. Материалы конференции молодых ученых ФГБОУ ДПО «Российская медицинская академия непрерывного профессионального образования» Минздрава России «Актуальные вопросы эндокринологии» (24 апреля 2017 г.). Эндокринология: новости, мнения, обучение №2 2017. – С. 120-122</w:t>
      </w:r>
      <w:r w:rsidR="00007FC4">
        <w:t>.</w:t>
      </w:r>
    </w:p>
    <w:p w14:paraId="5D3B2BC5" w14:textId="77777777" w:rsidR="00C035FA" w:rsidRDefault="008D5756" w:rsidP="00007FC4">
      <w:pPr>
        <w:pStyle w:val="Heading1"/>
        <w:spacing w:line="240" w:lineRule="auto"/>
        <w:rPr>
          <w:rStyle w:val="src"/>
          <w:rFonts w:cs="Times New Roman"/>
          <w:color w:val="000000" w:themeColor="text1"/>
          <w:szCs w:val="24"/>
        </w:rPr>
      </w:pPr>
      <w:bookmarkStart w:id="173" w:name="_Toc139366896"/>
      <w:r>
        <w:rPr>
          <w:rStyle w:val="src"/>
          <w:rFonts w:cs="Times New Roman"/>
          <w:color w:val="000000" w:themeColor="text1"/>
          <w:szCs w:val="24"/>
        </w:rPr>
        <w:t>5. ОБСУЖДЕНИЕ ДАННЫХ И ИНСТРУКЦИИ ДЛЯ ИССЛЕДОВАТЕЛЯ</w:t>
      </w:r>
      <w:bookmarkEnd w:id="173"/>
    </w:p>
    <w:p w14:paraId="420B1CD4" w14:textId="77777777" w:rsidR="00C035FA" w:rsidRDefault="008D5756">
      <w:pPr>
        <w:pStyle w:val="Heading2"/>
        <w:spacing w:line="240" w:lineRule="auto"/>
        <w:rPr>
          <w:color w:val="000000" w:themeColor="text1"/>
          <w:szCs w:val="24"/>
        </w:rPr>
      </w:pPr>
      <w:bookmarkStart w:id="174" w:name="_Toc139366897"/>
      <w:r>
        <w:rPr>
          <w:color w:val="000000" w:themeColor="text1"/>
          <w:szCs w:val="24"/>
        </w:rPr>
        <w:t>5.1. Обсуждение данных доклинических исследований</w:t>
      </w:r>
      <w:bookmarkEnd w:id="174"/>
    </w:p>
    <w:p w14:paraId="6A15B82C" w14:textId="300192BF" w:rsidR="005574F0" w:rsidRPr="005574F0" w:rsidRDefault="005574F0" w:rsidP="005574F0">
      <w:pPr>
        <w:spacing w:after="0" w:line="240" w:lineRule="auto"/>
        <w:ind w:firstLine="709"/>
        <w:rPr>
          <w:bCs/>
          <w:color w:val="FF0000"/>
        </w:rPr>
      </w:pPr>
      <w:bookmarkStart w:id="175" w:name="_Hlk484355353"/>
      <w:r w:rsidRPr="00FF7A78">
        <w:t xml:space="preserve">Так как препарат </w:t>
      </w:r>
      <w:r w:rsidR="00FF7A78" w:rsidRPr="00FF7A78">
        <w:rPr>
          <w:lang w:val="en-US"/>
        </w:rPr>
        <w:t>DT</w:t>
      </w:r>
      <w:r w:rsidR="00FF7A78" w:rsidRPr="00FF7A78">
        <w:t>-</w:t>
      </w:r>
      <w:r w:rsidR="00FF7A78" w:rsidRPr="00FF7A78">
        <w:rPr>
          <w:lang w:val="en-US"/>
        </w:rPr>
        <w:t>EMP</w:t>
      </w:r>
      <w:r w:rsidR="00FF7A78" w:rsidRPr="00FF7A78">
        <w:t xml:space="preserve"> </w:t>
      </w:r>
      <w:r w:rsidRPr="00FF7A78">
        <w:t xml:space="preserve">(АО «Р-Фарм», Россия) представляет собой воспроизведенный препарат </w:t>
      </w:r>
      <w:r w:rsidR="00FF7A78" w:rsidRPr="00FF7A78">
        <w:rPr>
          <w:rFonts w:eastAsia="Times New Roman"/>
          <w:color w:val="000000" w:themeColor="text1"/>
        </w:rPr>
        <w:t>эмпаглифлозина</w:t>
      </w:r>
      <w:r w:rsidRPr="00FF7A78">
        <w:t xml:space="preserve">, который полностью соответствует по качественному и количественному составу действующего и </w:t>
      </w:r>
      <w:r w:rsidR="00E25D5C" w:rsidRPr="00FF7A78">
        <w:t>вспом</w:t>
      </w:r>
      <w:r w:rsidR="00E25D5C">
        <w:t>о</w:t>
      </w:r>
      <w:r w:rsidR="00E25D5C" w:rsidRPr="00FF7A78">
        <w:t xml:space="preserve">гательных </w:t>
      </w:r>
      <w:r w:rsidRPr="00FF7A78">
        <w:t xml:space="preserve">веществ, лекарственной форме и дозировке референтному (оригинальному) препарату </w:t>
      </w:r>
      <w:r w:rsidR="00FF7A78" w:rsidRPr="00FF7A78">
        <w:t>эмпаглифлозина</w:t>
      </w:r>
      <w:r w:rsidRPr="00FF7A78">
        <w:t xml:space="preserve"> </w:t>
      </w:r>
      <w:r w:rsidR="00FF7A78" w:rsidRPr="00FF7A78">
        <w:t>Джардинс</w:t>
      </w:r>
      <w:r w:rsidRPr="00FF7A78">
        <w:rPr>
          <w:vertAlign w:val="superscript"/>
        </w:rPr>
        <w:t>®</w:t>
      </w:r>
      <w:r w:rsidRPr="00FF7A78">
        <w:t xml:space="preserve"> </w:t>
      </w:r>
      <w:r w:rsidRPr="00FF7A78">
        <w:rPr>
          <w:lang w:eastAsia="ru-RU"/>
        </w:rPr>
        <w:t>(</w:t>
      </w:r>
      <w:r w:rsidR="00FF7A78" w:rsidRPr="00FF7A78">
        <w:rPr>
          <w:lang w:eastAsia="ru-RU"/>
        </w:rPr>
        <w:t>Берингер Ингельхайм Интернешнл ГмбХ, Германия</w:t>
      </w:r>
      <w:r w:rsidRPr="00FF7A78">
        <w:rPr>
          <w:lang w:eastAsia="ru-RU"/>
        </w:rPr>
        <w:t xml:space="preserve">), </w:t>
      </w:r>
      <w:r w:rsidRPr="00FF7A78">
        <w:t xml:space="preserve">ожидается, что его свойства будут идентичны свойствам оригинального препарата. Для прогнозирования токсического действия, планируемого к регистрации и коммерческому выпуску препарата </w:t>
      </w:r>
      <w:r w:rsidR="00FF7A78" w:rsidRPr="00FF7A78">
        <w:rPr>
          <w:lang w:val="en-US"/>
        </w:rPr>
        <w:t>DT</w:t>
      </w:r>
      <w:r w:rsidR="00FF7A78" w:rsidRPr="00FF7A78">
        <w:t>-</w:t>
      </w:r>
      <w:r w:rsidR="00FF7A78" w:rsidRPr="00FF7A78">
        <w:rPr>
          <w:lang w:val="en-US"/>
        </w:rPr>
        <w:t>EMP</w:t>
      </w:r>
      <w:r w:rsidRPr="00FF7A78">
        <w:t xml:space="preserve">, были проанализированы данные исследований по изучению фармакологии и токсикологии оригинального препарата </w:t>
      </w:r>
      <w:r w:rsidR="00FF7A78" w:rsidRPr="00FF7A78">
        <w:t>эмпаглифлозина</w:t>
      </w:r>
      <w:r w:rsidRPr="00FF7A78">
        <w:t xml:space="preserve">. Поскольку лекарственный препарат </w:t>
      </w:r>
      <w:r w:rsidR="00FF7A78" w:rsidRPr="00FF7A78">
        <w:rPr>
          <w:color w:val="000000" w:themeColor="text1"/>
          <w:lang w:val="en-US"/>
        </w:rPr>
        <w:t>DT</w:t>
      </w:r>
      <w:r w:rsidR="00FF7A78" w:rsidRPr="00FF7A78">
        <w:rPr>
          <w:color w:val="000000" w:themeColor="text1"/>
        </w:rPr>
        <w:t>-</w:t>
      </w:r>
      <w:r w:rsidR="00FF7A78" w:rsidRPr="00FF7A78">
        <w:rPr>
          <w:color w:val="000000" w:themeColor="text1"/>
          <w:lang w:val="en-US"/>
        </w:rPr>
        <w:t>EMP</w:t>
      </w:r>
      <w:r w:rsidR="00FF7A78" w:rsidRPr="00FF7A78">
        <w:rPr>
          <w:color w:val="000000" w:themeColor="text1"/>
        </w:rPr>
        <w:t xml:space="preserve"> </w:t>
      </w:r>
      <w:r w:rsidRPr="00FF7A78">
        <w:t xml:space="preserve">является воспроизведенным препаратом (при этом относится к классу </w:t>
      </w:r>
      <w:r w:rsidRPr="00FF7A78">
        <w:rPr>
          <w:lang w:val="en-US"/>
        </w:rPr>
        <w:t>III</w:t>
      </w:r>
      <w:r w:rsidRPr="00FF7A78">
        <w:t xml:space="preserve"> по БКС), собственные доклинические исследования не проводились.</w:t>
      </w:r>
    </w:p>
    <w:p w14:paraId="3F5DB8F2" w14:textId="3A5BAD57" w:rsidR="00C035FA" w:rsidRDefault="008D5756">
      <w:pPr>
        <w:autoSpaceDE w:val="0"/>
        <w:autoSpaceDN w:val="0"/>
        <w:adjustRightInd w:val="0"/>
        <w:spacing w:after="0" w:line="240" w:lineRule="auto"/>
        <w:ind w:firstLine="709"/>
        <w:rPr>
          <w:szCs w:val="28"/>
        </w:rPr>
      </w:pPr>
      <w:r>
        <w:rPr>
          <w:szCs w:val="28"/>
        </w:rPr>
        <w:t>Эмпаглифлозин является обратимым, высокоактивным, селективным и конкурентным ингибитором SGLT2. Механизм действия данного препарата основан на ингибировании белка SGLT2, ответственного за реабсорбцию глюкозы в проксимальных канальцах почек, где происходит 90% реабсорбции глюкозы. При ингибировании этого белка возникает искусственная глюкозурия, что и обеспечивает гипогликемический эффект.</w:t>
      </w:r>
    </w:p>
    <w:p w14:paraId="098D0425" w14:textId="77777777" w:rsidR="00C035FA" w:rsidRDefault="008D5756">
      <w:pPr>
        <w:autoSpaceDE w:val="0"/>
        <w:autoSpaceDN w:val="0"/>
        <w:adjustRightInd w:val="0"/>
        <w:spacing w:after="0" w:line="240" w:lineRule="auto"/>
        <w:ind w:firstLine="709"/>
        <w:rPr>
          <w:szCs w:val="28"/>
        </w:rPr>
      </w:pPr>
      <w:r>
        <w:rPr>
          <w:szCs w:val="28"/>
        </w:rPr>
        <w:t xml:space="preserve">С учетом инсулиннезависимого сахароснижающего действия эмпаглифлозин не вызывает гипогликемии, а, кроме того, обладает умеренным положительным влиянием на артериальное давление, вес, демонстрирует урикозурический эффект и повышает осмотический диурез. Важно отметить, что глюкозурия, вызываемая эмпаглифлозином, первоначально приводит к компенсаторному усилению эндогенной продукции глюкозы через подавление секреции инсулина и усиление выброса глюкагона, но в последующем энергетический обмен частично переходит на окислительную утилизацию липидов, улучшение секреции инсулина, снижение инсулинорезистентности. Именно этим объясняется наблюдаемое на фоне лечения иSGLT2 снижение массы тела, причем главным образом за счет висцерального жира. Выраженность глюкозурического эффекта </w:t>
      </w:r>
      <w:r>
        <w:rPr>
          <w:szCs w:val="28"/>
        </w:rPr>
        <w:lastRenderedPageBreak/>
        <w:t>эмпаглифлозина зависит от состояния фильтрационной функции почек: при ХБП С4–5 глюкозурический эффект эмпаглифлозина минимален.</w:t>
      </w:r>
    </w:p>
    <w:p w14:paraId="01E4A5F5" w14:textId="14AAD1F9" w:rsidR="00C035FA" w:rsidRDefault="008D5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szCs w:val="28"/>
          <w:lang w:eastAsia="ru-RU"/>
        </w:rPr>
      </w:pPr>
      <w:r>
        <w:rPr>
          <w:szCs w:val="28"/>
          <w:lang w:eastAsia="ru-RU"/>
        </w:rPr>
        <w:t>Эмпаглифлозин продемонстрировал низкую токсичность. LD</w:t>
      </w:r>
      <w:r>
        <w:rPr>
          <w:szCs w:val="28"/>
          <w:vertAlign w:val="subscript"/>
          <w:lang w:eastAsia="ru-RU"/>
        </w:rPr>
        <w:t>50</w:t>
      </w:r>
      <w:r>
        <w:rPr>
          <w:szCs w:val="28"/>
          <w:lang w:eastAsia="ru-RU"/>
        </w:rPr>
        <w:t xml:space="preserve"> эмпаглифлозина у мышей и крыс превышала 2000 мг/кг. Клинические признаки при дозе 2000 мг/кг включали прострацию, которая обычно считалась неблагоприятным признаком. Отсутствие смертности и клинических признаков отмечалось при дозе 300 мг/кг.</w:t>
      </w:r>
    </w:p>
    <w:p w14:paraId="3BBF696B" w14:textId="77777777" w:rsidR="00C035FA" w:rsidRDefault="008D5756">
      <w:pPr>
        <w:spacing w:after="0" w:line="240" w:lineRule="auto"/>
        <w:ind w:firstLine="709"/>
        <w:rPr>
          <w:szCs w:val="28"/>
        </w:rPr>
      </w:pPr>
      <w:r>
        <w:rPr>
          <w:szCs w:val="28"/>
        </w:rPr>
        <w:t>В долгосрочных исследованиях токсичности у грызунов и собак признаки токсичности наблюдались при более высоких дозах, что соответствует 10-кратному увеличению клинической дозы эмпаглифлозина 25 мг для человека на основе AUC. Большая часть токсичности соответствовала вторичной фармакологии, связанной с потерей глюкозы с мочой и дисбалансом электролитов, включая снижение массы тела и жировых отложений, повышенное потребление пищи, диарея, обезвоживание, снижение уровня глюкозы в сыворотке крови и увеличение других параметров сыворотки, отражающих повышенный белковый обмен и глюконеогенез, изменения мочи, такие как полиурия и глюкозурия, и микроскопические изменения, включая минерализацию в почках. Микроскопические признаки воздействия на почки, наблюдаемые у некоторых видов, включали дилатацию канальцев и тубулярную и тазовую минерализацию, что примерно в 4 раза выше клинической экспозиции эмпаглифлозина в дозе 25 мг. Эмпаглифлозин не генотоксичен.</w:t>
      </w:r>
    </w:p>
    <w:p w14:paraId="393BF74E" w14:textId="77777777" w:rsidR="00C035FA" w:rsidRDefault="008D5756">
      <w:pPr>
        <w:spacing w:after="0" w:line="240" w:lineRule="auto"/>
        <w:ind w:firstLine="709"/>
        <w:rPr>
          <w:szCs w:val="28"/>
        </w:rPr>
      </w:pPr>
      <w:r>
        <w:rPr>
          <w:szCs w:val="28"/>
        </w:rPr>
        <w:t>В 2-летнем исследовании канцерогенности эмпаглифлозин не увеличивал частоту опухолей у самок крыс при самой высокой дозе 700 мг/кг/день, что соответствует примерно 72-кратной максимальной клинической экспозиции AUC эмпаглифлозина. У самцов крыс доброкачественные сосудистые пролиферативные поражения (гемангиомы) брыжеечных лимфатических узлов наблюдались при самой высокой дозе, но не при дозе 300 мг/кг/день, что примерно в 26 раз превышает максимальное клиническое воздействие эмпаглифлозина. Интерстициально-клеточные опухоли в семенниках наблюдались с большей частотой у крыс при дозе 300 мг/кг/день и выше, но не 100 мг/кг/день, что примерно в 18 раз превышает максимальное клиническое воздействие эмпаглифлозина. Обе опухоли часто встречались у крыс и вряд ли актуальны для человека.</w:t>
      </w:r>
    </w:p>
    <w:p w14:paraId="4C8B361D" w14:textId="77777777" w:rsidR="00C035FA" w:rsidRDefault="008D5756">
      <w:pPr>
        <w:spacing w:after="0" w:line="240" w:lineRule="auto"/>
        <w:ind w:firstLine="709"/>
        <w:rPr>
          <w:szCs w:val="28"/>
        </w:rPr>
      </w:pPr>
      <w:r>
        <w:rPr>
          <w:szCs w:val="28"/>
        </w:rPr>
        <w:t>Эмпаглифлозин не увеличивал частоту возникновения опухолей у самок мышей в дозах до 1000 мг/кг/день, что примерно в 62 раза превышает максимальное клиническое воздействие эмпаглифлозина. Эмпаглифлозин индуцировал опухоли почек у самцов мышей при дозе 1000 мг/кг/день, но не при дозе 300 мг/кг/сутки, что примерно в 11 раз превышает максимальное клиническое воздействие эмпаглифлозина.</w:t>
      </w:r>
    </w:p>
    <w:p w14:paraId="13A7DB04" w14:textId="53DB0ABA" w:rsidR="00C035FA" w:rsidRDefault="008D5756">
      <w:pPr>
        <w:spacing w:after="0" w:line="240" w:lineRule="auto"/>
        <w:ind w:firstLine="709"/>
        <w:rPr>
          <w:iCs/>
          <w:szCs w:val="28"/>
        </w:rPr>
      </w:pPr>
      <w:r>
        <w:rPr>
          <w:iCs/>
          <w:szCs w:val="28"/>
        </w:rPr>
        <w:t xml:space="preserve">В исследовании фертильности и раннего эмбрионального развития у крыс эмпаглифлозин не оказывал влияния на спаривание и фертильность у самцов или самок </w:t>
      </w:r>
      <w:r w:rsidR="004103F6">
        <w:rPr>
          <w:iCs/>
          <w:szCs w:val="28"/>
        </w:rPr>
        <w:t>крыс,</w:t>
      </w:r>
      <w:r>
        <w:rPr>
          <w:iCs/>
          <w:szCs w:val="28"/>
        </w:rPr>
        <w:t xml:space="preserve"> или на раннее эмбриональное развитие при максимальной дозе 700 мг/кг/день (примерно в 50 раз выше клинической дозы 25 мг на основе сравнения AUC).</w:t>
      </w:r>
    </w:p>
    <w:p w14:paraId="2989F22F" w14:textId="14BE5F63" w:rsidR="00C035FA" w:rsidRDefault="008D5756">
      <w:pPr>
        <w:spacing w:after="0" w:line="240" w:lineRule="auto"/>
        <w:ind w:firstLine="709"/>
        <w:rPr>
          <w:iCs/>
          <w:szCs w:val="28"/>
        </w:rPr>
      </w:pPr>
      <w:r>
        <w:rPr>
          <w:szCs w:val="28"/>
        </w:rPr>
        <w:t xml:space="preserve">В исследованиях эмбриофетального развития у крыс и кроликов эмпаглифлозин вводили с интервалами, совпадающими с первым триместром периода органогенеза у человека. </w:t>
      </w:r>
      <w:r>
        <w:rPr>
          <w:iCs/>
          <w:szCs w:val="28"/>
        </w:rPr>
        <w:t xml:space="preserve">Эмпаглифлозин, вводимый в период органогенеза, не тератогенен в дозах до 300 мг/кг/день у крыс или кроликов, что превышает примерно в 48 раз </w:t>
      </w:r>
      <w:r>
        <w:rPr>
          <w:szCs w:val="28"/>
        </w:rPr>
        <w:t xml:space="preserve">(у крыс) </w:t>
      </w:r>
      <w:r>
        <w:rPr>
          <w:iCs/>
          <w:szCs w:val="28"/>
        </w:rPr>
        <w:t xml:space="preserve">или 128 раз </w:t>
      </w:r>
      <w:r>
        <w:rPr>
          <w:szCs w:val="28"/>
        </w:rPr>
        <w:t xml:space="preserve">(у кроликов) максимальную </w:t>
      </w:r>
      <w:r>
        <w:rPr>
          <w:iCs/>
          <w:szCs w:val="28"/>
        </w:rPr>
        <w:t>клиническую дозу 25 мг на основе сравнения AUC, соответственно.</w:t>
      </w:r>
    </w:p>
    <w:p w14:paraId="2C1CC4B9" w14:textId="665E1308" w:rsidR="00C035FA" w:rsidRDefault="008D5756">
      <w:pPr>
        <w:spacing w:after="0" w:line="240" w:lineRule="auto"/>
        <w:ind w:firstLine="709"/>
        <w:rPr>
          <w:szCs w:val="28"/>
        </w:rPr>
      </w:pPr>
      <w:r>
        <w:rPr>
          <w:szCs w:val="28"/>
        </w:rPr>
        <w:t>У крыс более высокие дозы эмпаглифлозина, вызывающие материнскую токсичность, пороки развития костей конечностей увеличились у плодов при дозе 700 мг/кг/день или в 154 раза превышающей максимальную клиническую дозу 25 мг для человека.</w:t>
      </w:r>
    </w:p>
    <w:p w14:paraId="66B3CA44" w14:textId="77777777" w:rsidR="00C035FA" w:rsidRDefault="008D5756">
      <w:pPr>
        <w:spacing w:after="0" w:line="240" w:lineRule="auto"/>
        <w:ind w:firstLine="709"/>
        <w:rPr>
          <w:szCs w:val="28"/>
        </w:rPr>
      </w:pPr>
      <w:r>
        <w:rPr>
          <w:szCs w:val="28"/>
        </w:rPr>
        <w:lastRenderedPageBreak/>
        <w:t>У кроликов более высокие дозы эмпаглифлозина приводили к токсичности для матери и плода при дозе 700 мг/кг/день или в 139 раз превышающей максимальную клиническую дозу 25 мг для человека</w:t>
      </w:r>
      <w:r>
        <w:rPr>
          <w:iCs/>
          <w:szCs w:val="28"/>
        </w:rPr>
        <w:t xml:space="preserve"> на основе сравнения AUC.</w:t>
      </w:r>
    </w:p>
    <w:p w14:paraId="1A638379" w14:textId="45A895A8" w:rsidR="00C035FA" w:rsidRDefault="008D5756">
      <w:pPr>
        <w:spacing w:after="0" w:line="240" w:lineRule="auto"/>
        <w:ind w:firstLine="709"/>
      </w:pPr>
      <w:r>
        <w:rPr>
          <w:iCs/>
          <w:szCs w:val="28"/>
        </w:rPr>
        <w:t xml:space="preserve">В исследовании пре- и постнатальной токсичности у крыс при применении </w:t>
      </w:r>
      <w:r w:rsidR="004103F6">
        <w:rPr>
          <w:iCs/>
          <w:szCs w:val="28"/>
        </w:rPr>
        <w:t>эмпаглифлозина в</w:t>
      </w:r>
      <w:r>
        <w:rPr>
          <w:iCs/>
          <w:szCs w:val="28"/>
        </w:rPr>
        <w:t xml:space="preserve"> дозах 10, 30 и 100 мг/кг/день с 6-го дня беременности по до 20-го дня лактации (отлучение от груди) не было выявлено никаких доказательств материнской токсичности при высокой дозе 100 мг/кг/день, однако снижение прироста массы тела детенышей F1 наблюдалось при дозе ≥30 мг/кг/день (в ≥4 раза выше клинической дозы 25 мг на основе сравнения AUC). У самцов детенышей F1 также наблюдался дефицит обучения и памяти при дозе 100 мг/кг (примерно в 16 раз выше клинической дозы 25 мг/кг на основе сравнения AUC) на постнатальный день 22. NOAEL для F1 неонатальной токсичности составила 10 мг/кг/день (примерно в 1,4 раза выше клинической дозы 25 мг на основе AUC). </w:t>
      </w:r>
      <w:r>
        <w:t>Не выявлено местно-раздражающего действия эмпаглифлозина.</w:t>
      </w:r>
    </w:p>
    <w:p w14:paraId="76B77A97" w14:textId="77777777" w:rsidR="00C035FA" w:rsidRDefault="008D5756">
      <w:pPr>
        <w:pStyle w:val="Heading2"/>
        <w:spacing w:line="240" w:lineRule="auto"/>
        <w:rPr>
          <w:color w:val="000000" w:themeColor="text1"/>
          <w:szCs w:val="24"/>
        </w:rPr>
      </w:pPr>
      <w:bookmarkStart w:id="176" w:name="_Toc139366898"/>
      <w:r>
        <w:rPr>
          <w:color w:val="000000" w:themeColor="text1"/>
          <w:szCs w:val="24"/>
        </w:rPr>
        <w:t>5.2. Обсуждение данных клинических исследований</w:t>
      </w:r>
      <w:bookmarkEnd w:id="176"/>
    </w:p>
    <w:p w14:paraId="72991CBF" w14:textId="47678014" w:rsidR="005574F0" w:rsidRDefault="00FF7A78" w:rsidP="005574F0">
      <w:pPr>
        <w:spacing w:after="0" w:line="240" w:lineRule="auto"/>
        <w:ind w:firstLine="709"/>
      </w:pPr>
      <w:bookmarkStart w:id="177" w:name="_Toc301482877"/>
      <w:bookmarkStart w:id="178" w:name="_Toc298775567"/>
      <w:bookmarkEnd w:id="175"/>
      <w:r w:rsidRPr="00FF7A78">
        <w:t xml:space="preserve">Так как препарат </w:t>
      </w:r>
      <w:r w:rsidRPr="00FF7A78">
        <w:rPr>
          <w:lang w:val="en-US"/>
        </w:rPr>
        <w:t>DT</w:t>
      </w:r>
      <w:r w:rsidRPr="00FF7A78">
        <w:t>-</w:t>
      </w:r>
      <w:r w:rsidRPr="00FF7A78">
        <w:rPr>
          <w:lang w:val="en-US"/>
        </w:rPr>
        <w:t>EMP</w:t>
      </w:r>
      <w:r w:rsidRPr="00FF7A78">
        <w:t xml:space="preserve"> (АО «Р-Фарм», Россия) представляет собой воспроизведенный препарат </w:t>
      </w:r>
      <w:r>
        <w:t>эмпаглифлозина</w:t>
      </w:r>
      <w:r w:rsidRPr="00FF7A78">
        <w:t xml:space="preserve">, который полностью соответствует по качественному и количественному составу действующего и </w:t>
      </w:r>
      <w:r w:rsidR="00E25D5C" w:rsidRPr="00FF7A78">
        <w:t>вспом</w:t>
      </w:r>
      <w:r w:rsidR="00E25D5C">
        <w:t>о</w:t>
      </w:r>
      <w:r w:rsidR="00E25D5C" w:rsidRPr="00FF7A78">
        <w:t xml:space="preserve">гательных </w:t>
      </w:r>
      <w:r w:rsidRPr="00FF7A78">
        <w:t>веществ, лекарственной форме и дозировке референтному (оригинальному) препарату эмпаглифлозина Джардинс</w:t>
      </w:r>
      <w:r w:rsidRPr="00FF7A78">
        <w:rPr>
          <w:vertAlign w:val="superscript"/>
        </w:rPr>
        <w:t>®</w:t>
      </w:r>
      <w:r w:rsidRPr="00FF7A78">
        <w:t xml:space="preserve"> </w:t>
      </w:r>
      <w:r w:rsidRPr="00FF7A78">
        <w:rPr>
          <w:lang w:eastAsia="ru-RU"/>
        </w:rPr>
        <w:t xml:space="preserve">(Берингер Ингельхайм Интернешнл ГмбХ, Германия), </w:t>
      </w:r>
      <w:r w:rsidRPr="00FF7A78">
        <w:t xml:space="preserve">ожидается, </w:t>
      </w:r>
      <w:r w:rsidR="005574F0" w:rsidRPr="00FF7A78">
        <w:t xml:space="preserve">что его свойства будут идентичны свойствам оригинального препарата. </w:t>
      </w:r>
      <w:r w:rsidR="005574F0" w:rsidRPr="00FF7A78">
        <w:rPr>
          <w:rFonts w:eastAsia="Times New Roman"/>
          <w:color w:val="000000" w:themeColor="text1"/>
        </w:rPr>
        <w:t xml:space="preserve">В связи с этим ниже приводятся данные об эффектах </w:t>
      </w:r>
      <w:r w:rsidRPr="00FF7A78">
        <w:rPr>
          <w:rFonts w:eastAsia="Times New Roman"/>
          <w:color w:val="000000" w:themeColor="text1"/>
        </w:rPr>
        <w:t>эмпаглифлозина</w:t>
      </w:r>
      <w:r w:rsidR="005574F0" w:rsidRPr="00FF7A78">
        <w:rPr>
          <w:rFonts w:eastAsia="Times New Roman"/>
          <w:color w:val="000000" w:themeColor="text1"/>
        </w:rPr>
        <w:t xml:space="preserve"> у человека, полученные в исследованиях препарата </w:t>
      </w:r>
      <w:r w:rsidRPr="00FF7A78">
        <w:rPr>
          <w:rFonts w:eastAsia="Times New Roman"/>
          <w:color w:val="000000" w:themeColor="text1"/>
        </w:rPr>
        <w:t>Джардинс</w:t>
      </w:r>
      <w:r w:rsidR="005574F0" w:rsidRPr="00FF7A78">
        <w:rPr>
          <w:bCs/>
          <w:color w:val="000000" w:themeColor="text1"/>
          <w:vertAlign w:val="superscript"/>
        </w:rPr>
        <w:t>®</w:t>
      </w:r>
      <w:r w:rsidR="005574F0" w:rsidRPr="00FF7A78">
        <w:rPr>
          <w:rFonts w:eastAsia="Times New Roman"/>
          <w:color w:val="000000" w:themeColor="text1"/>
        </w:rPr>
        <w:t>.</w:t>
      </w:r>
      <w:r w:rsidR="005574F0" w:rsidRPr="00FF7A78">
        <w:rPr>
          <w:rFonts w:eastAsiaTheme="minorEastAsia"/>
          <w:color w:val="000000" w:themeColor="text1"/>
          <w:lang w:eastAsia="ru-RU"/>
        </w:rPr>
        <w:t xml:space="preserve"> К</w:t>
      </w:r>
      <w:r w:rsidR="005574F0" w:rsidRPr="00FF7A78">
        <w:t xml:space="preserve">линических исследований лекарственного препарата </w:t>
      </w:r>
      <w:r w:rsidRPr="00FF7A78">
        <w:rPr>
          <w:lang w:val="en-US"/>
        </w:rPr>
        <w:t>DT</w:t>
      </w:r>
      <w:r w:rsidRPr="00FF7A78">
        <w:t>-</w:t>
      </w:r>
      <w:r w:rsidRPr="00FF7A78">
        <w:rPr>
          <w:lang w:val="en-US"/>
        </w:rPr>
        <w:t>EMP</w:t>
      </w:r>
      <w:r w:rsidRPr="00FF7A78">
        <w:t xml:space="preserve"> </w:t>
      </w:r>
      <w:r w:rsidR="005574F0" w:rsidRPr="00FF7A78">
        <w:t>пока не проводилось.</w:t>
      </w:r>
    </w:p>
    <w:p w14:paraId="77E6F78D" w14:textId="420D1158" w:rsidR="00C035FA" w:rsidRDefault="008D5756">
      <w:pPr>
        <w:spacing w:after="0" w:line="240" w:lineRule="auto"/>
        <w:ind w:firstLine="709"/>
        <w:rPr>
          <w:i/>
          <w:iCs/>
          <w:szCs w:val="28"/>
        </w:rPr>
      </w:pPr>
      <w:r>
        <w:rPr>
          <w:szCs w:val="28"/>
        </w:rPr>
        <w:t>Эмпаглифлозин, селективный ингибитор натрийзависимого переносчика глюкозы 2-го типа, стал первым сахароснижающим препаратом, имеющим преимущество перед плацебо по безопасности влияния на сердечно-сосудистую систему.</w:t>
      </w:r>
    </w:p>
    <w:p w14:paraId="72B3D06F" w14:textId="68A95F2C" w:rsidR="00C035FA" w:rsidRDefault="008D5756">
      <w:pPr>
        <w:spacing w:after="0" w:line="240" w:lineRule="auto"/>
        <w:ind w:firstLine="709"/>
        <w:rPr>
          <w:szCs w:val="28"/>
        </w:rPr>
      </w:pPr>
      <w:r>
        <w:rPr>
          <w:iCs/>
          <w:szCs w:val="28"/>
        </w:rPr>
        <w:t xml:space="preserve">Фармакокинетические свойства эмпаглифлозина одинаковы у здоровых добровольцев и пациентов с СД2. Эмпаглифлозин быстро всасывается, </w:t>
      </w:r>
      <w:r>
        <w:rPr>
          <w:szCs w:val="28"/>
        </w:rPr>
        <w:t>максимальная концентрация эмпаглифлозина в плазме крови (С</w:t>
      </w:r>
      <w:r>
        <w:rPr>
          <w:szCs w:val="28"/>
          <w:vertAlign w:val="subscript"/>
          <w:lang w:val="en-US"/>
        </w:rPr>
        <w:t>m</w:t>
      </w:r>
      <w:r>
        <w:rPr>
          <w:szCs w:val="28"/>
          <w:vertAlign w:val="subscript"/>
        </w:rPr>
        <w:t>ах</w:t>
      </w:r>
      <w:r>
        <w:rPr>
          <w:szCs w:val="28"/>
        </w:rPr>
        <w:t>) достигалась через 1,5 часа</w:t>
      </w:r>
      <w:r>
        <w:rPr>
          <w:iCs/>
          <w:szCs w:val="28"/>
        </w:rPr>
        <w:t xml:space="preserve">. </w:t>
      </w:r>
      <w:r>
        <w:rPr>
          <w:szCs w:val="28"/>
        </w:rPr>
        <w:t>После приема эмпаглифлозина в дозе 25 мг 1 раз в день средняя величина площади под кривой «концентрация-время» (AUC) в период равновесной плазменной концентрации составляла 4740 нмоль х час/л, а величина С</w:t>
      </w:r>
      <w:r>
        <w:rPr>
          <w:szCs w:val="28"/>
          <w:vertAlign w:val="subscript"/>
          <w:lang w:val="en-US"/>
        </w:rPr>
        <w:t>m</w:t>
      </w:r>
      <w:r>
        <w:rPr>
          <w:szCs w:val="28"/>
          <w:vertAlign w:val="subscript"/>
        </w:rPr>
        <w:t>ах</w:t>
      </w:r>
      <w:r>
        <w:rPr>
          <w:szCs w:val="28"/>
        </w:rPr>
        <w:t xml:space="preserve"> - 687 нмоль/л. Прием пищи не оказывает клинически значимого влияния на фармакокинетику эмпаглифлозина</w:t>
      </w:r>
      <w:r>
        <w:rPr>
          <w:iCs/>
          <w:szCs w:val="28"/>
        </w:rPr>
        <w:t>.</w:t>
      </w:r>
    </w:p>
    <w:p w14:paraId="77502809" w14:textId="77777777" w:rsidR="00C035FA" w:rsidRDefault="008D5756">
      <w:pPr>
        <w:spacing w:after="0" w:line="240" w:lineRule="auto"/>
        <w:ind w:firstLine="709"/>
        <w:rPr>
          <w:szCs w:val="28"/>
        </w:rPr>
      </w:pPr>
      <w:r>
        <w:rPr>
          <w:iCs/>
          <w:szCs w:val="28"/>
        </w:rPr>
        <w:t xml:space="preserve">Разовая доза и фармакокинетические свойства эмпаглифлозина в равновесном состоянии аналогичны, что свидетельствует о линейной фармакокинетике; системное воздействие эмпаглифлозина увеличивается пропорционально дозе. </w:t>
      </w:r>
      <w:r>
        <w:rPr>
          <w:szCs w:val="28"/>
          <w:lang w:val="zh-CN"/>
        </w:rPr>
        <w:t>Кажущийся объем распределения в период равновесной плазменной концентрации составлял примерно 73,8 литров. После перорального применения здоровыми добровольцами меченого [</w:t>
      </w:r>
      <w:r>
        <w:rPr>
          <w:szCs w:val="28"/>
          <w:vertAlign w:val="superscript"/>
        </w:rPr>
        <w:t>1</w:t>
      </w:r>
      <w:r>
        <w:rPr>
          <w:szCs w:val="28"/>
          <w:vertAlign w:val="superscript"/>
          <w:lang w:val="zh-CN"/>
        </w:rPr>
        <w:t>4</w:t>
      </w:r>
      <w:r>
        <w:rPr>
          <w:szCs w:val="28"/>
          <w:lang w:val="zh-CN"/>
        </w:rPr>
        <w:t>С]</w:t>
      </w:r>
      <w:r>
        <w:rPr>
          <w:szCs w:val="28"/>
        </w:rPr>
        <w:t>-</w:t>
      </w:r>
      <w:r>
        <w:rPr>
          <w:szCs w:val="28"/>
          <w:lang w:val="zh-CN"/>
        </w:rPr>
        <w:t>эмпаглифлозина связывание с белками плазмы составляло 86 %</w:t>
      </w:r>
      <w:r>
        <w:rPr>
          <w:iCs/>
          <w:szCs w:val="28"/>
        </w:rPr>
        <w:t>.</w:t>
      </w:r>
    </w:p>
    <w:p w14:paraId="591CC8E5" w14:textId="77777777" w:rsidR="00C035FA" w:rsidRDefault="008D5756">
      <w:pPr>
        <w:spacing w:after="0" w:line="240" w:lineRule="auto"/>
        <w:ind w:firstLine="709"/>
        <w:rPr>
          <w:szCs w:val="28"/>
        </w:rPr>
      </w:pPr>
      <w:r>
        <w:rPr>
          <w:iCs/>
          <w:szCs w:val="28"/>
        </w:rPr>
        <w:t xml:space="preserve">Эмпаглифлозин подвергается ограниченному метаболизму, в первую очередь глюкуронидированию, и преимущественно выводится в неизмененном виде с мочой и калом. </w:t>
      </w:r>
      <w:r>
        <w:rPr>
          <w:szCs w:val="28"/>
        </w:rPr>
        <w:t>Период полувыведения (T</w:t>
      </w:r>
      <w:r>
        <w:rPr>
          <w:szCs w:val="28"/>
          <w:vertAlign w:val="subscript"/>
        </w:rPr>
        <w:t>1/2</w:t>
      </w:r>
      <w:r>
        <w:rPr>
          <w:szCs w:val="28"/>
        </w:rPr>
        <w:t>) составлял примерно 12,4 часа</w:t>
      </w:r>
      <w:r>
        <w:rPr>
          <w:iCs/>
          <w:szCs w:val="28"/>
        </w:rPr>
        <w:t>.</w:t>
      </w:r>
    </w:p>
    <w:p w14:paraId="4053DB1F" w14:textId="77777777" w:rsidR="00C035FA" w:rsidRDefault="008D5756">
      <w:pPr>
        <w:spacing w:after="0" w:line="240" w:lineRule="auto"/>
        <w:ind w:firstLine="709"/>
        <w:rPr>
          <w:szCs w:val="28"/>
        </w:rPr>
      </w:pPr>
      <w:r>
        <w:rPr>
          <w:szCs w:val="28"/>
        </w:rPr>
        <w:t xml:space="preserve">Эмпаглифлозин зарекомендовал себя как высокоэффективный препарат для широкого круга пациентов с СД 2. Эффективность и безопасность длительного применения эмпаглифлозина у пациентов с СД2 и высоким кардиоваскулярным риском доказана в </w:t>
      </w:r>
      <w:r>
        <w:rPr>
          <w:szCs w:val="28"/>
        </w:rPr>
        <w:lastRenderedPageBreak/>
        <w:t>проспективном многоцентровом двойном слепом рандомизированном исследовании EMPA-REG OUTCOME.</w:t>
      </w:r>
    </w:p>
    <w:p w14:paraId="6C0A1D9C" w14:textId="44B50801" w:rsidR="00C035FA" w:rsidRDefault="008D5756">
      <w:pPr>
        <w:spacing w:after="0" w:line="240" w:lineRule="auto"/>
        <w:ind w:firstLine="709"/>
        <w:rPr>
          <w:szCs w:val="28"/>
        </w:rPr>
      </w:pPr>
      <w:bookmarkStart w:id="179" w:name="_Hlk115948315"/>
      <w:r>
        <w:rPr>
          <w:szCs w:val="28"/>
        </w:rPr>
        <w:t xml:space="preserve">В рандомизированном двойном слепом плацебо-контролируемом исследовании EMPA-REG OUTCOME было показано, что </w:t>
      </w:r>
      <w:r w:rsidR="004103F6">
        <w:rPr>
          <w:szCs w:val="28"/>
        </w:rPr>
        <w:t>у пациентов</w:t>
      </w:r>
      <w:r>
        <w:rPr>
          <w:szCs w:val="28"/>
        </w:rPr>
        <w:t xml:space="preserve"> </w:t>
      </w:r>
      <w:r w:rsidR="00BC78D6">
        <w:rPr>
          <w:szCs w:val="28"/>
        </w:rPr>
        <w:t>с СД</w:t>
      </w:r>
      <w:r>
        <w:rPr>
          <w:szCs w:val="28"/>
        </w:rPr>
        <w:t xml:space="preserve"> 2 типа </w:t>
      </w:r>
      <w:r w:rsidR="00635707">
        <w:rPr>
          <w:szCs w:val="28"/>
        </w:rPr>
        <w:t>и сопутствующими</w:t>
      </w:r>
      <w:r>
        <w:rPr>
          <w:szCs w:val="28"/>
        </w:rPr>
        <w:t xml:space="preserve"> ССЗ применение эмпаглифлозина привело к снижению на 35% риска госпитализаций по причине декомпенсации ХСН, а также (в анализах подгрупп) к улучшению ряда исходов ХСН, таких как риск первого введения петлевых диуретиков, риск повторной госпитализации по причине ХСН.</w:t>
      </w:r>
    </w:p>
    <w:bookmarkEnd w:id="179"/>
    <w:p w14:paraId="5B1ED258" w14:textId="77777777" w:rsidR="00C035FA" w:rsidRDefault="008D5756">
      <w:pPr>
        <w:spacing w:after="0" w:line="240" w:lineRule="auto"/>
        <w:ind w:firstLine="709"/>
        <w:rPr>
          <w:szCs w:val="28"/>
        </w:rPr>
      </w:pPr>
      <w:r>
        <w:rPr>
          <w:szCs w:val="28"/>
        </w:rPr>
        <w:t>Также наблюдалось раннее и устойчивое относительное снижение риска сердечно-сосудистой смерти на 38% независимо от исходной функции почек. У больных с СД 2 типа и ССЗ лечение эмпаглифлозином привело к быстрому снижению на 59% относительного риска развития или прогрессирования нефропатии, на 44% относительного риска удвоения креатинина сыворотки, а также на 55% риска инициации заместительной почечной терапии по сравнению с плацебо. При этом частота нежелательных явлений, связанных с острым повреждением почек, была ниже в группе эмпаглифлозина, чем в группе плацебо.</w:t>
      </w:r>
    </w:p>
    <w:p w14:paraId="487870BB" w14:textId="77777777" w:rsidR="00C035FA" w:rsidRDefault="008D5756">
      <w:pPr>
        <w:spacing w:after="0" w:line="240" w:lineRule="auto"/>
        <w:ind w:firstLine="709"/>
        <w:rPr>
          <w:szCs w:val="28"/>
        </w:rPr>
      </w:pPr>
      <w:bookmarkStart w:id="180" w:name="_Hlk115948325"/>
      <w:r>
        <w:rPr>
          <w:szCs w:val="28"/>
        </w:rPr>
        <w:t>Важным является эффект иНГЛТ-2 на сохранение почечной функции и предотвращение развития терминальной стадия хронической болезни почек или стойкого снижения скорости клубочковой фильтрации (СКФ) независимо от наличия СД2.</w:t>
      </w:r>
    </w:p>
    <w:p w14:paraId="4F898BF3" w14:textId="76D21B03" w:rsidR="00C035FA" w:rsidRDefault="008D5756">
      <w:pPr>
        <w:spacing w:after="0" w:line="240" w:lineRule="auto"/>
        <w:ind w:firstLine="709"/>
        <w:rPr>
          <w:szCs w:val="28"/>
        </w:rPr>
      </w:pPr>
      <w:r>
        <w:rPr>
          <w:szCs w:val="28"/>
        </w:rPr>
        <w:t>В связи с этим большой практический интерес имеют программы исследований эмпаглифлозина EMPEROR-Reduced и EMPEROR-Preserved. Исследование EMPEROR-Reduced вкл</w:t>
      </w:r>
      <w:r w:rsidR="004103F6">
        <w:rPr>
          <w:szCs w:val="28"/>
        </w:rPr>
        <w:t>ючило 3730 пациентов с ХСН и ФВ</w:t>
      </w:r>
      <w:r>
        <w:rPr>
          <w:szCs w:val="28"/>
        </w:rPr>
        <w:t>ЛЖ 40% и менее, а исследование EMPEROR-Preserv</w:t>
      </w:r>
      <w:r w:rsidR="004103F6">
        <w:rPr>
          <w:szCs w:val="28"/>
        </w:rPr>
        <w:t>ed включило 5988 пациентов с ФВ</w:t>
      </w:r>
      <w:r>
        <w:rPr>
          <w:szCs w:val="28"/>
        </w:rPr>
        <w:t>ЛЖ более 40%.</w:t>
      </w:r>
    </w:p>
    <w:bookmarkEnd w:id="180"/>
    <w:p w14:paraId="6ACAD732" w14:textId="7F1A53A6" w:rsidR="00C035FA" w:rsidRDefault="008D5756">
      <w:pPr>
        <w:spacing w:after="0" w:line="240" w:lineRule="auto"/>
        <w:ind w:firstLine="709"/>
        <w:rPr>
          <w:szCs w:val="28"/>
        </w:rPr>
      </w:pPr>
      <w:r>
        <w:rPr>
          <w:szCs w:val="28"/>
        </w:rPr>
        <w:t>Особая важность исследования EMPEROR-Reduced заключается в том, что в него включались пациенты с ХСН независимо от статуса диабета и СКФ≥20 мл/мин/1,73 м2. В исследовании продемонстрировано положительное влияние эмпаглифлозина на снижение риска ССС или госпитализации по причине СН на 25%, снижение риска госпитализаций по причине СН на 30%, уменьшение риска снижения функции почек и снижение риска развития комбинированной конечной почечной точки на 50%, что свидетельствует о значимом замедлении прогрессирования хронической болезни почек независимо от наличия СД.</w:t>
      </w:r>
    </w:p>
    <w:p w14:paraId="02AE84EA" w14:textId="3007F66D" w:rsidR="00C035FA" w:rsidRDefault="008D5756">
      <w:pPr>
        <w:spacing w:after="0" w:line="240" w:lineRule="auto"/>
        <w:ind w:firstLine="709"/>
        <w:rPr>
          <w:szCs w:val="28"/>
        </w:rPr>
      </w:pPr>
      <w:r>
        <w:rPr>
          <w:szCs w:val="28"/>
        </w:rPr>
        <w:t>По результатам EMPEROR-Reduced эмпаглифлозин показал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значимые различия с группой плацебо по частоте нежелательных явлений, включая гиповолемию, гипотонию, нарушение функции почек, гиперкалиемию.</w:t>
      </w:r>
    </w:p>
    <w:p w14:paraId="7C2DC046" w14:textId="77777777" w:rsidR="00C035FA" w:rsidRDefault="008D5756">
      <w:pPr>
        <w:spacing w:after="0" w:line="240" w:lineRule="auto"/>
        <w:ind w:firstLine="709"/>
        <w:rPr>
          <w:szCs w:val="28"/>
        </w:rPr>
      </w:pPr>
      <w:r>
        <w:rPr>
          <w:szCs w:val="28"/>
        </w:rPr>
        <w:t>Результаты этого исследования открывают дополнительные перспективы применения эмпаглифлозина у больных с ХСН без СД, в т.ч. со сниженной почечной функцией и вне зависимости от применения ряда препаратов базисной терапии ХСН.</w:t>
      </w:r>
    </w:p>
    <w:p w14:paraId="02363146" w14:textId="77777777" w:rsidR="00C035FA" w:rsidRDefault="008D5756">
      <w:pPr>
        <w:spacing w:after="0" w:line="240" w:lineRule="auto"/>
        <w:ind w:firstLine="709"/>
        <w:rPr>
          <w:szCs w:val="28"/>
        </w:rPr>
      </w:pPr>
      <w:bookmarkStart w:id="181" w:name="_Hlk115948335"/>
      <w:r>
        <w:rPr>
          <w:szCs w:val="28"/>
        </w:rPr>
        <w:t xml:space="preserve">Результаты проведенных исследований показывают, что эмпаглифлозин эффективен в снижении риска сердечно-сосудистой смерти и госпитализации по причине СН у пациентов с СД 2 типа и ССЗ, причем эти эффекты сохраняются в различных подгруппах пациентов. </w:t>
      </w:r>
      <w:bookmarkEnd w:id="181"/>
      <w:r>
        <w:rPr>
          <w:szCs w:val="28"/>
        </w:rPr>
        <w:t>У пациентов с СН со сниженной ФВ эмпаглифлозин также показал эффективность по снижению риска госпитализации по причине СН и сердечно-сосудистой смерти, а также замедления снижения функции почек по сравнению с плацебо. Таким образом, эмпаглифлозин предотвращает прогрессирование ССЗ у пациентов с СД 2 типа, с СН со сниженной ФВ независимо от наличия СД, обеспечивая целостный подход к лечению пациентов с ССЗ.</w:t>
      </w:r>
    </w:p>
    <w:p w14:paraId="740D0DF0" w14:textId="77777777" w:rsidR="00C035FA" w:rsidRDefault="008D5756">
      <w:pPr>
        <w:spacing w:after="0" w:line="240" w:lineRule="auto"/>
        <w:ind w:firstLine="709"/>
        <w:rPr>
          <w:szCs w:val="28"/>
        </w:rPr>
      </w:pPr>
      <w:r>
        <w:rPr>
          <w:szCs w:val="28"/>
        </w:rPr>
        <w:lastRenderedPageBreak/>
        <w:t>Одним из наиболее значимых критериев, необходимых для регистрации новых сахароснижающих препаратов, является их сердечно-сосудистая безопасность, подтвержденная в долгосрочных проспективных плацебо-контролируемых исследованиях. Эмпаглифлозин стал первым сахароснижающим средством, имевшим преимущество перед плацебо по безопасности для сердечно-сосудистой системы (исследование EMPA-REG OUTCOME).</w:t>
      </w:r>
    </w:p>
    <w:p w14:paraId="33DCA348" w14:textId="77777777" w:rsidR="00C035FA" w:rsidRDefault="008D5756">
      <w:pPr>
        <w:spacing w:after="0" w:line="240" w:lineRule="auto"/>
        <w:ind w:firstLine="709"/>
        <w:rPr>
          <w:szCs w:val="28"/>
        </w:rPr>
      </w:pPr>
      <w:r>
        <w:rPr>
          <w:szCs w:val="28"/>
        </w:rPr>
        <w:t>В проведенном исследовании EMPA-REG OUTCOME эмпаглифлозин показал хорошую переносимость. Частота развития побочных эффектов, серьезных побочных эффектов и побочных эффектов, потребовавших отмены препарата, в группах наблюдения не отличалась. Прием препарата приводил к ожидаемому увеличению риска развития генитальных инфекций.</w:t>
      </w:r>
    </w:p>
    <w:p w14:paraId="3270CBB6" w14:textId="77777777" w:rsidR="00C035FA" w:rsidRDefault="008D5756">
      <w:pPr>
        <w:spacing w:after="0" w:line="240" w:lineRule="auto"/>
        <w:ind w:firstLine="709"/>
        <w:rPr>
          <w:szCs w:val="28"/>
        </w:rPr>
      </w:pPr>
      <w:r>
        <w:rPr>
          <w:szCs w:val="28"/>
        </w:rPr>
        <w:t>По результатам исследования любые серьезные НЯ и НЯ со смертельным исходом в объединенной группе эмпаглифлозина встречались реже, чем в группе плацебо (соответственно 38,2% против 42,3%, р&lt;0,001; 3,8% против 5,1%, р&lt;0,01). При этом подтвержденные гипогликемические НЯ [глюкоза в крови менее 70 мг/дл (3,9 ммоль/л) или эпизод, потребовавший посторонней помощи] развивались в одинаковой степени во всех группах: на эмпаглифлозине 10 мг – 28% и на 25 мг – 27,6%, на плацебо – 27,9%.</w:t>
      </w:r>
    </w:p>
    <w:p w14:paraId="2C43D4B1" w14:textId="77777777" w:rsidR="00C035FA" w:rsidRDefault="008D5756">
      <w:pPr>
        <w:spacing w:after="0" w:line="240" w:lineRule="auto"/>
        <w:ind w:firstLine="709"/>
        <w:rPr>
          <w:szCs w:val="28"/>
        </w:rPr>
      </w:pPr>
      <w:bookmarkStart w:id="182" w:name="_Hlk115948352"/>
      <w:r>
        <w:rPr>
          <w:szCs w:val="28"/>
        </w:rPr>
        <w:t>По результатам EMPEROR-Reduced эмпаглифлозин продемонстрировал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значимые различия с группой плацебо по частоте нежелательных явлений, включая гиповолемию, гипотонию, нарушение функции почек, гиперкалиемию.</w:t>
      </w:r>
    </w:p>
    <w:p w14:paraId="41436065" w14:textId="100F9832" w:rsidR="00C035FA" w:rsidRDefault="008D5756">
      <w:pPr>
        <w:spacing w:after="0" w:line="240" w:lineRule="auto"/>
        <w:ind w:firstLine="709"/>
        <w:rPr>
          <w:szCs w:val="28"/>
          <w:lang w:eastAsia="zh-CN"/>
        </w:rPr>
      </w:pPr>
      <w:r>
        <w:rPr>
          <w:szCs w:val="28"/>
          <w:lang w:eastAsia="zh-CN"/>
        </w:rPr>
        <w:t xml:space="preserve">Согласно </w:t>
      </w:r>
      <w:r w:rsidR="00BC78D6">
        <w:rPr>
          <w:szCs w:val="28"/>
          <w:lang w:eastAsia="zh-CN"/>
        </w:rPr>
        <w:t xml:space="preserve">результатам </w:t>
      </w:r>
      <w:r>
        <w:rPr>
          <w:szCs w:val="28"/>
          <w:lang w:eastAsia="zh-CN"/>
        </w:rPr>
        <w:t>исследовани</w:t>
      </w:r>
      <w:r w:rsidR="00BC78D6">
        <w:rPr>
          <w:szCs w:val="28"/>
          <w:lang w:eastAsia="zh-CN"/>
        </w:rPr>
        <w:t>я</w:t>
      </w:r>
      <w:r>
        <w:rPr>
          <w:szCs w:val="28"/>
          <w:lang w:eastAsia="zh-CN"/>
        </w:rPr>
        <w:t xml:space="preserve"> EMPA-RESPONSE-AHF</w:t>
      </w:r>
      <w:r w:rsidR="00BC78D6">
        <w:rPr>
          <w:szCs w:val="28"/>
          <w:lang w:eastAsia="zh-CN"/>
        </w:rPr>
        <w:t>,</w:t>
      </w:r>
      <w:r>
        <w:rPr>
          <w:szCs w:val="28"/>
          <w:lang w:eastAsia="zh-CN"/>
        </w:rPr>
        <w:t xml:space="preserve"> частота побочных эффектов между группами значимо не различалась, но частота сердечно-сосудистых неблагоприятных событий значимо меньше среди пациентов, принимавших эмпаглифлозин (23% vs 44%; р=0,046).</w:t>
      </w:r>
    </w:p>
    <w:bookmarkEnd w:id="182"/>
    <w:p w14:paraId="50D5D137" w14:textId="77777777" w:rsidR="00C035FA" w:rsidRDefault="00C035FA">
      <w:pPr>
        <w:spacing w:after="0" w:line="240" w:lineRule="auto"/>
        <w:ind w:firstLine="708"/>
      </w:pPr>
    </w:p>
    <w:p w14:paraId="35C8129B" w14:textId="77777777" w:rsidR="00C035FA" w:rsidRDefault="008D5756" w:rsidP="00007FC4">
      <w:pPr>
        <w:pStyle w:val="NormalWeb"/>
        <w:shd w:val="clear" w:color="auto" w:fill="FFFFFF"/>
        <w:spacing w:before="0" w:beforeAutospacing="0" w:after="0" w:afterAutospacing="0"/>
        <w:jc w:val="both"/>
        <w:rPr>
          <w:b/>
          <w:color w:val="000000"/>
        </w:rPr>
      </w:pPr>
      <w:r>
        <w:rPr>
          <w:b/>
          <w:color w:val="000000"/>
        </w:rPr>
        <w:t>Оценка пользы</w:t>
      </w:r>
    </w:p>
    <w:p w14:paraId="3660CAF2" w14:textId="77777777" w:rsidR="00007FC4" w:rsidRDefault="00007FC4">
      <w:pPr>
        <w:spacing w:after="0" w:line="240" w:lineRule="auto"/>
        <w:ind w:firstLine="709"/>
      </w:pPr>
    </w:p>
    <w:p w14:paraId="577EA62A" w14:textId="49A76880" w:rsidR="00C035FA" w:rsidRDefault="008D5756">
      <w:pPr>
        <w:spacing w:after="0" w:line="240" w:lineRule="auto"/>
        <w:ind w:firstLine="709"/>
        <w:rPr>
          <w:rFonts w:eastAsia="Calibri"/>
        </w:rPr>
      </w:pPr>
      <w:r>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p>
    <w:p w14:paraId="198E1B22" w14:textId="77777777" w:rsidR="00007FC4" w:rsidRDefault="00007FC4" w:rsidP="00007FC4">
      <w:pPr>
        <w:pStyle w:val="NormalWeb"/>
        <w:shd w:val="clear" w:color="auto" w:fill="FFFFFF"/>
        <w:spacing w:before="0" w:beforeAutospacing="0" w:after="0" w:afterAutospacing="0"/>
        <w:jc w:val="both"/>
        <w:rPr>
          <w:b/>
          <w:color w:val="000000"/>
        </w:rPr>
      </w:pPr>
    </w:p>
    <w:p w14:paraId="56C90902" w14:textId="59A13C2B" w:rsidR="00C035FA" w:rsidRDefault="008D5756" w:rsidP="00007FC4">
      <w:pPr>
        <w:pStyle w:val="NormalWeb"/>
        <w:shd w:val="clear" w:color="auto" w:fill="FFFFFF"/>
        <w:spacing w:before="0" w:beforeAutospacing="0" w:after="0" w:afterAutospacing="0"/>
        <w:jc w:val="both"/>
        <w:rPr>
          <w:b/>
          <w:color w:val="000000"/>
        </w:rPr>
      </w:pPr>
      <w:r>
        <w:rPr>
          <w:b/>
          <w:color w:val="000000"/>
        </w:rPr>
        <w:t>Оценка риска</w:t>
      </w:r>
    </w:p>
    <w:p w14:paraId="1DE51A03" w14:textId="77777777" w:rsidR="00007FC4" w:rsidRDefault="00007FC4">
      <w:pPr>
        <w:spacing w:after="0" w:line="240" w:lineRule="auto"/>
        <w:ind w:firstLine="709"/>
        <w:rPr>
          <w:lang w:eastAsia="ru-RU"/>
        </w:rPr>
      </w:pPr>
      <w:bookmarkStart w:id="183" w:name="_Hlk484365465"/>
      <w:bookmarkStart w:id="184" w:name="_Hlk484354093"/>
      <w:bookmarkStart w:id="185" w:name="_Hlk484365438"/>
    </w:p>
    <w:p w14:paraId="796B8809" w14:textId="6A7176BD" w:rsidR="00C035FA" w:rsidRDefault="008D5756">
      <w:pPr>
        <w:spacing w:after="0" w:line="240" w:lineRule="auto"/>
        <w:ind w:firstLine="709"/>
        <w:rPr>
          <w:lang w:eastAsia="ru-RU"/>
        </w:rPr>
      </w:pPr>
      <w:r>
        <w:rPr>
          <w:lang w:eastAsia="ru-RU"/>
        </w:rPr>
        <w:t xml:space="preserve">Риск применения испытуемого препарата </w:t>
      </w:r>
      <w:r>
        <w:rPr>
          <w:lang w:val="en-US" w:eastAsia="ru-RU"/>
        </w:rPr>
        <w:t>DT</w:t>
      </w:r>
      <w:r>
        <w:rPr>
          <w:lang w:eastAsia="ru-RU"/>
        </w:rPr>
        <w:t>-</w:t>
      </w:r>
      <w:r>
        <w:rPr>
          <w:lang w:val="en-US" w:eastAsia="ru-RU"/>
        </w:rPr>
        <w:t>EMP</w:t>
      </w:r>
      <w:r>
        <w:rPr>
          <w:lang w:eastAsia="ru-RU"/>
        </w:rPr>
        <w:t>, как и оригинального препарата Джардинс</w:t>
      </w:r>
      <w:r>
        <w:rPr>
          <w:vertAlign w:val="superscript"/>
          <w:lang w:eastAsia="ru-RU"/>
        </w:rPr>
        <w:t>®</w:t>
      </w:r>
      <w:r>
        <w:rPr>
          <w:lang w:eastAsia="ru-RU"/>
        </w:rPr>
        <w:t>,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д</w:t>
      </w:r>
      <w:r w:rsidR="00E25D5C">
        <w:rPr>
          <w:lang w:eastAsia="ru-RU"/>
        </w:rPr>
        <w:t>а</w:t>
      </w:r>
      <w:r>
        <w:rPr>
          <w:lang w:eastAsia="ru-RU"/>
        </w:rPr>
        <w:t>паглифлозин у пациентов в монотреапии и при пострегистрационном наблюдении).</w:t>
      </w:r>
    </w:p>
    <w:p w14:paraId="2D4EBA35" w14:textId="6F7F718D" w:rsidR="00C035FA" w:rsidRDefault="008D5756">
      <w:pPr>
        <w:spacing w:after="0" w:line="240" w:lineRule="auto"/>
        <w:ind w:firstLine="709"/>
        <w:rPr>
          <w:lang w:eastAsia="ru-RU"/>
        </w:rPr>
      </w:pPr>
      <w:r>
        <w:rPr>
          <w:lang w:eastAsia="ru-RU"/>
        </w:rPr>
        <w:t xml:space="preserve">Профиль безопасности </w:t>
      </w:r>
      <w:r>
        <w:t>эмпаглифлозинв</w:t>
      </w:r>
      <w:r>
        <w:rPr>
          <w:lang w:eastAsia="ru-RU"/>
        </w:rPr>
        <w:t xml:space="preserve"> оценивали в клинических исследованиях безопасности и эффективности </w:t>
      </w:r>
      <w:r w:rsidR="00E25D5C">
        <w:t>эмпаглифлозина</w:t>
      </w:r>
      <w:r w:rsidR="00E25D5C">
        <w:rPr>
          <w:lang w:eastAsia="ru-RU"/>
        </w:rPr>
        <w:t xml:space="preserve"> </w:t>
      </w:r>
      <w:r>
        <w:rPr>
          <w:lang w:eastAsia="ru-RU"/>
        </w:rPr>
        <w:t>при применении для терапии СД2, хронической сердечной недостаточности в период пострегистрационного наблюдения.</w:t>
      </w:r>
    </w:p>
    <w:p w14:paraId="179D6E91" w14:textId="6756CAD3" w:rsidR="00C43D51" w:rsidRDefault="00C43D51" w:rsidP="00C43D51">
      <w:pPr>
        <w:spacing w:after="0" w:line="240" w:lineRule="auto"/>
        <w:ind w:firstLine="709"/>
        <w:rPr>
          <w:szCs w:val="28"/>
        </w:rPr>
      </w:pPr>
      <w:r>
        <w:rPr>
          <w:szCs w:val="28"/>
        </w:rPr>
        <w:t xml:space="preserve">Нежелательные реакции (HP), наблюдавшиеся у пациентов, получавших эмпаглифлозин в плацебо-контролируемых исследованиях, представлены ниже в таблице 5-1. HP распределены по системно-органным классам с указанием частоты их возникновения согласно рекомендациям ВОЗ: </w:t>
      </w:r>
      <w:r w:rsidR="00BD0834">
        <w:rPr>
          <w:szCs w:val="28"/>
        </w:rPr>
        <w:t xml:space="preserve">часто </w:t>
      </w:r>
      <w:r w:rsidR="00BD0834" w:rsidRPr="0092765E">
        <w:t>(≥1/10); часто (≥1/100 - &lt;1/10); нечасто (≥1/1000 - &lt;1/100); редко (≥1/10000- &lt;1/1000); очень редко (&lt;1/10000)</w:t>
      </w:r>
      <w:r w:rsidR="00BD0834">
        <w:rPr>
          <w:szCs w:val="28"/>
        </w:rPr>
        <w:t xml:space="preserve">; выделяются также </w:t>
      </w:r>
      <w:r w:rsidR="00BD0834">
        <w:rPr>
          <w:szCs w:val="28"/>
        </w:rPr>
        <w:lastRenderedPageBreak/>
        <w:t>HP, частота которых неизвестна (не может быть оценена на основании имеющихся данных)</w:t>
      </w:r>
      <w:r>
        <w:rPr>
          <w:szCs w:val="28"/>
        </w:rPr>
        <w:t>; выделяются также HP, частота которых неизвестна (не может быть оценена на основании имеющихся данных) [</w:t>
      </w:r>
      <w:r w:rsidRPr="004621EF">
        <w:rPr>
          <w:szCs w:val="28"/>
        </w:rPr>
        <w:t>1</w:t>
      </w:r>
      <w:r>
        <w:rPr>
          <w:szCs w:val="28"/>
        </w:rPr>
        <w:t>].</w:t>
      </w:r>
    </w:p>
    <w:p w14:paraId="0DA775EA" w14:textId="77777777" w:rsidR="00C43D51" w:rsidRDefault="00C43D51" w:rsidP="00C43D51">
      <w:pPr>
        <w:spacing w:after="0"/>
        <w:ind w:firstLine="708"/>
        <w:rPr>
          <w:szCs w:val="28"/>
        </w:rPr>
      </w:pPr>
    </w:p>
    <w:p w14:paraId="6C633F30" w14:textId="201F9DCA" w:rsidR="00C43D51" w:rsidRDefault="00C43D51" w:rsidP="00C43D51">
      <w:pPr>
        <w:pStyle w:val="aa"/>
        <w:spacing w:line="240" w:lineRule="auto"/>
        <w:ind w:firstLine="0"/>
        <w:rPr>
          <w:sz w:val="24"/>
          <w:szCs w:val="28"/>
        </w:rPr>
      </w:pPr>
      <w:r>
        <w:rPr>
          <w:sz w:val="24"/>
          <w:szCs w:val="28"/>
        </w:rPr>
        <w:t xml:space="preserve">Таблица 5-1. </w:t>
      </w:r>
      <w:r>
        <w:rPr>
          <w:b w:val="0"/>
          <w:bCs w:val="0"/>
          <w:sz w:val="24"/>
          <w:szCs w:val="28"/>
        </w:rPr>
        <w:t>HP, зарегистрированные в клинических исследованиях и пострегистрационном периоде наблюдения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091"/>
        <w:gridCol w:w="3132"/>
      </w:tblGrid>
      <w:tr w:rsidR="00C43D51" w14:paraId="4B9B15B8" w14:textId="77777777" w:rsidTr="00007FC4">
        <w:trPr>
          <w:trHeight w:val="649"/>
          <w:tblHeader/>
        </w:trPr>
        <w:tc>
          <w:tcPr>
            <w:tcW w:w="3121" w:type="dxa"/>
            <w:shd w:val="clear" w:color="auto" w:fill="D9D9D9" w:themeFill="background1" w:themeFillShade="D9"/>
            <w:vAlign w:val="center"/>
          </w:tcPr>
          <w:p w14:paraId="367C0295" w14:textId="77777777" w:rsidR="00C43D51" w:rsidRPr="004621EF" w:rsidRDefault="00C43D51" w:rsidP="00170CFF">
            <w:pPr>
              <w:spacing w:after="0" w:line="240" w:lineRule="auto"/>
              <w:contextualSpacing/>
              <w:jc w:val="center"/>
            </w:pPr>
            <w:r>
              <w:rPr>
                <w:b/>
                <w:bCs/>
              </w:rPr>
              <w:t>Системно-органный класс</w:t>
            </w:r>
          </w:p>
        </w:tc>
        <w:tc>
          <w:tcPr>
            <w:tcW w:w="3091" w:type="dxa"/>
            <w:shd w:val="clear" w:color="auto" w:fill="D9D9D9" w:themeFill="background1" w:themeFillShade="D9"/>
            <w:vAlign w:val="center"/>
          </w:tcPr>
          <w:p w14:paraId="4E7BE891" w14:textId="77777777" w:rsidR="00C43D51" w:rsidRPr="000B18B4" w:rsidRDefault="00C43D51" w:rsidP="00170CFF">
            <w:pPr>
              <w:spacing w:after="0" w:line="240" w:lineRule="auto"/>
              <w:contextualSpacing/>
              <w:jc w:val="center"/>
              <w:rPr>
                <w:b/>
                <w:bCs/>
              </w:rPr>
            </w:pPr>
            <w:r w:rsidRPr="000B18B4">
              <w:rPr>
                <w:b/>
                <w:bCs/>
              </w:rPr>
              <w:t>Частота встречаемости</w:t>
            </w:r>
          </w:p>
        </w:tc>
        <w:tc>
          <w:tcPr>
            <w:tcW w:w="3132" w:type="dxa"/>
            <w:shd w:val="clear" w:color="auto" w:fill="D9D9D9" w:themeFill="background1" w:themeFillShade="D9"/>
            <w:vAlign w:val="center"/>
          </w:tcPr>
          <w:p w14:paraId="0295E5BC" w14:textId="77777777" w:rsidR="00C43D51" w:rsidRPr="000B18B4" w:rsidRDefault="00C43D51" w:rsidP="00170CFF">
            <w:pPr>
              <w:spacing w:after="0" w:line="240" w:lineRule="auto"/>
              <w:contextualSpacing/>
              <w:jc w:val="center"/>
              <w:rPr>
                <w:b/>
                <w:bCs/>
              </w:rPr>
            </w:pPr>
            <w:r w:rsidRPr="000B18B4">
              <w:rPr>
                <w:b/>
                <w:bCs/>
              </w:rPr>
              <w:t>HP</w:t>
            </w:r>
          </w:p>
        </w:tc>
      </w:tr>
      <w:tr w:rsidR="00C43D51" w14:paraId="07B43255" w14:textId="77777777" w:rsidTr="00170CFF">
        <w:tc>
          <w:tcPr>
            <w:tcW w:w="3121" w:type="dxa"/>
            <w:vMerge w:val="restart"/>
            <w:shd w:val="clear" w:color="auto" w:fill="auto"/>
          </w:tcPr>
          <w:p w14:paraId="179D0512" w14:textId="77777777" w:rsidR="00C43D51" w:rsidRDefault="00C43D51" w:rsidP="00170CFF">
            <w:pPr>
              <w:spacing w:after="0" w:line="240" w:lineRule="auto"/>
              <w:contextualSpacing/>
              <w:rPr>
                <w:i/>
              </w:rPr>
            </w:pPr>
            <w:r>
              <w:rPr>
                <w:i/>
              </w:rPr>
              <w:t>Инфекционные и паразитарные заболевания</w:t>
            </w:r>
          </w:p>
        </w:tc>
        <w:tc>
          <w:tcPr>
            <w:tcW w:w="3091" w:type="dxa"/>
            <w:shd w:val="clear" w:color="auto" w:fill="auto"/>
          </w:tcPr>
          <w:p w14:paraId="7DD84A1E" w14:textId="77777777" w:rsidR="00C43D51" w:rsidRDefault="00C43D51" w:rsidP="00170CFF">
            <w:pPr>
              <w:spacing w:after="0" w:line="240" w:lineRule="auto"/>
              <w:contextualSpacing/>
            </w:pPr>
            <w:r>
              <w:t>Часто</w:t>
            </w:r>
          </w:p>
        </w:tc>
        <w:tc>
          <w:tcPr>
            <w:tcW w:w="3132" w:type="dxa"/>
            <w:shd w:val="clear" w:color="auto" w:fill="auto"/>
          </w:tcPr>
          <w:p w14:paraId="6DA06525" w14:textId="77777777" w:rsidR="00C43D51" w:rsidRDefault="00C43D51" w:rsidP="00170CFF">
            <w:pPr>
              <w:spacing w:after="0" w:line="240" w:lineRule="auto"/>
              <w:contextualSpacing/>
            </w:pPr>
            <w:r>
              <w:t>Кандидозный вульвовагинит, вульвовагинит, баланит и другие генитальные инфекции</w:t>
            </w:r>
            <w:r>
              <w:rPr>
                <w:vertAlign w:val="superscript"/>
              </w:rPr>
              <w:t>1</w:t>
            </w:r>
            <w:r>
              <w:t xml:space="preserve"> </w:t>
            </w:r>
          </w:p>
          <w:p w14:paraId="3D552D35" w14:textId="77777777" w:rsidR="00C43D51" w:rsidRDefault="00C43D51" w:rsidP="00170CFF">
            <w:pPr>
              <w:spacing w:after="0" w:line="240" w:lineRule="auto"/>
              <w:contextualSpacing/>
            </w:pPr>
            <w:r>
              <w:t>Инфекции мочевыводящих путей</w:t>
            </w:r>
            <w:r>
              <w:rPr>
                <w:vertAlign w:val="superscript"/>
              </w:rPr>
              <w:t>1</w:t>
            </w:r>
            <w:r>
              <w:t xml:space="preserve"> (в том числе пиелонефрит и уросепсис)</w:t>
            </w:r>
            <w:r>
              <w:rPr>
                <w:vertAlign w:val="superscript"/>
              </w:rPr>
              <w:t>2</w:t>
            </w:r>
          </w:p>
        </w:tc>
      </w:tr>
      <w:tr w:rsidR="00C43D51" w14:paraId="1F4B4667" w14:textId="77777777" w:rsidTr="00170CFF">
        <w:tc>
          <w:tcPr>
            <w:tcW w:w="3121" w:type="dxa"/>
            <w:vMerge/>
            <w:shd w:val="clear" w:color="auto" w:fill="auto"/>
          </w:tcPr>
          <w:p w14:paraId="26FBA5D2" w14:textId="77777777" w:rsidR="00C43D51" w:rsidRDefault="00C43D51" w:rsidP="00170CFF">
            <w:pPr>
              <w:spacing w:after="0" w:line="240" w:lineRule="auto"/>
              <w:contextualSpacing/>
            </w:pPr>
          </w:p>
        </w:tc>
        <w:tc>
          <w:tcPr>
            <w:tcW w:w="3091" w:type="dxa"/>
            <w:shd w:val="clear" w:color="auto" w:fill="auto"/>
          </w:tcPr>
          <w:p w14:paraId="1F1532F2" w14:textId="77777777" w:rsidR="00C43D51" w:rsidRDefault="00C43D51" w:rsidP="00170CFF">
            <w:pPr>
              <w:spacing w:after="0" w:line="240" w:lineRule="auto"/>
              <w:contextualSpacing/>
            </w:pPr>
            <w:r>
              <w:t>Частота неизвестна</w:t>
            </w:r>
          </w:p>
        </w:tc>
        <w:tc>
          <w:tcPr>
            <w:tcW w:w="3132" w:type="dxa"/>
            <w:shd w:val="clear" w:color="auto" w:fill="auto"/>
          </w:tcPr>
          <w:p w14:paraId="0B503699" w14:textId="77777777" w:rsidR="00C43D51" w:rsidRDefault="00C43D51" w:rsidP="00170CFF">
            <w:pPr>
              <w:spacing w:after="0" w:line="240" w:lineRule="auto"/>
              <w:contextualSpacing/>
            </w:pPr>
            <w:r>
              <w:t>Некротизирующий фасциит промежности (гангрена Фурнье)</w:t>
            </w:r>
            <w:r>
              <w:rPr>
                <w:vertAlign w:val="superscript"/>
              </w:rPr>
              <w:t>2,3</w:t>
            </w:r>
          </w:p>
        </w:tc>
      </w:tr>
      <w:tr w:rsidR="00C43D51" w14:paraId="4E14451B" w14:textId="77777777" w:rsidTr="00170CFF">
        <w:tc>
          <w:tcPr>
            <w:tcW w:w="3121" w:type="dxa"/>
            <w:vMerge w:val="restart"/>
            <w:shd w:val="clear" w:color="auto" w:fill="auto"/>
          </w:tcPr>
          <w:p w14:paraId="25D8A773" w14:textId="77777777" w:rsidR="00C43D51" w:rsidRDefault="00C43D51" w:rsidP="00170CFF">
            <w:pPr>
              <w:spacing w:after="0" w:line="240" w:lineRule="auto"/>
              <w:contextualSpacing/>
            </w:pPr>
            <w:r>
              <w:rPr>
                <w:i/>
                <w:iCs/>
              </w:rPr>
              <w:t>Нарушения со стороны обмена веществ и питания</w:t>
            </w:r>
          </w:p>
        </w:tc>
        <w:tc>
          <w:tcPr>
            <w:tcW w:w="3091" w:type="dxa"/>
            <w:shd w:val="clear" w:color="auto" w:fill="auto"/>
          </w:tcPr>
          <w:p w14:paraId="039CABF1" w14:textId="77777777" w:rsidR="00C43D51" w:rsidRDefault="00C43D51" w:rsidP="00170CFF">
            <w:pPr>
              <w:spacing w:after="0" w:line="240" w:lineRule="auto"/>
              <w:contextualSpacing/>
            </w:pPr>
            <w:r>
              <w:t>Очень часто</w:t>
            </w:r>
          </w:p>
        </w:tc>
        <w:tc>
          <w:tcPr>
            <w:tcW w:w="3132" w:type="dxa"/>
            <w:shd w:val="clear" w:color="auto" w:fill="auto"/>
          </w:tcPr>
          <w:p w14:paraId="2C7CE2C4" w14:textId="77777777" w:rsidR="00C43D51" w:rsidRDefault="00C43D51" w:rsidP="00170CFF">
            <w:pPr>
              <w:spacing w:after="0" w:line="240" w:lineRule="auto"/>
              <w:contextualSpacing/>
            </w:pPr>
            <w:r>
              <w:t>Гипогликемия (при совместном применении с производным сульфонилмочевины или инсулином)</w:t>
            </w:r>
            <w:r>
              <w:rPr>
                <w:vertAlign w:val="superscript"/>
              </w:rPr>
              <w:t>1</w:t>
            </w:r>
          </w:p>
        </w:tc>
      </w:tr>
      <w:tr w:rsidR="00C43D51" w14:paraId="2A5BECEB" w14:textId="77777777" w:rsidTr="00170CFF">
        <w:tc>
          <w:tcPr>
            <w:tcW w:w="3121" w:type="dxa"/>
            <w:vMerge/>
            <w:shd w:val="clear" w:color="auto" w:fill="auto"/>
          </w:tcPr>
          <w:p w14:paraId="7AABF6B8" w14:textId="77777777" w:rsidR="00C43D51" w:rsidRDefault="00C43D51" w:rsidP="00170CFF">
            <w:pPr>
              <w:spacing w:after="0" w:line="240" w:lineRule="auto"/>
              <w:contextualSpacing/>
            </w:pPr>
          </w:p>
        </w:tc>
        <w:tc>
          <w:tcPr>
            <w:tcW w:w="3091" w:type="dxa"/>
            <w:shd w:val="clear" w:color="auto" w:fill="auto"/>
          </w:tcPr>
          <w:p w14:paraId="3224EFD9" w14:textId="77777777" w:rsidR="00C43D51" w:rsidRDefault="00C43D51" w:rsidP="00170CFF">
            <w:pPr>
              <w:spacing w:after="0" w:line="240" w:lineRule="auto"/>
              <w:contextualSpacing/>
            </w:pPr>
            <w:r>
              <w:t>Часто</w:t>
            </w:r>
          </w:p>
        </w:tc>
        <w:tc>
          <w:tcPr>
            <w:tcW w:w="3132" w:type="dxa"/>
            <w:shd w:val="clear" w:color="auto" w:fill="auto"/>
          </w:tcPr>
          <w:p w14:paraId="4E122D2D" w14:textId="77777777" w:rsidR="00C43D51" w:rsidRDefault="00C43D51" w:rsidP="00170CFF">
            <w:pPr>
              <w:spacing w:after="0" w:line="240" w:lineRule="auto"/>
              <w:contextualSpacing/>
            </w:pPr>
            <w:r>
              <w:t>Жажда</w:t>
            </w:r>
          </w:p>
        </w:tc>
      </w:tr>
      <w:tr w:rsidR="00C43D51" w14:paraId="779E92D9" w14:textId="77777777" w:rsidTr="00170CFF">
        <w:tc>
          <w:tcPr>
            <w:tcW w:w="3121" w:type="dxa"/>
            <w:vMerge/>
            <w:shd w:val="clear" w:color="auto" w:fill="auto"/>
          </w:tcPr>
          <w:p w14:paraId="239CB77C" w14:textId="77777777" w:rsidR="00C43D51" w:rsidRDefault="00C43D51" w:rsidP="00170CFF">
            <w:pPr>
              <w:spacing w:after="0" w:line="240" w:lineRule="auto"/>
              <w:contextualSpacing/>
            </w:pPr>
          </w:p>
        </w:tc>
        <w:tc>
          <w:tcPr>
            <w:tcW w:w="3091" w:type="dxa"/>
            <w:shd w:val="clear" w:color="auto" w:fill="auto"/>
          </w:tcPr>
          <w:p w14:paraId="4E37C7CB" w14:textId="77777777" w:rsidR="00C43D51" w:rsidRDefault="00C43D51" w:rsidP="00170CFF">
            <w:pPr>
              <w:pStyle w:val="ae"/>
              <w:spacing w:line="240" w:lineRule="auto"/>
              <w:contextualSpacing/>
              <w:rPr>
                <w:sz w:val="24"/>
                <w:szCs w:val="24"/>
              </w:rPr>
            </w:pPr>
            <w:r>
              <w:rPr>
                <w:sz w:val="24"/>
                <w:szCs w:val="24"/>
              </w:rPr>
              <w:t>Редко</w:t>
            </w:r>
          </w:p>
        </w:tc>
        <w:tc>
          <w:tcPr>
            <w:tcW w:w="3132" w:type="dxa"/>
            <w:shd w:val="clear" w:color="auto" w:fill="auto"/>
          </w:tcPr>
          <w:p w14:paraId="4CF895FB" w14:textId="77777777" w:rsidR="00C43D51" w:rsidRDefault="00C43D51" w:rsidP="00170CFF">
            <w:pPr>
              <w:spacing w:after="0" w:line="240" w:lineRule="auto"/>
              <w:contextualSpacing/>
            </w:pPr>
            <w:r>
              <w:t>Диабетический кетоацидоз</w:t>
            </w:r>
            <w:r>
              <w:rPr>
                <w:vertAlign w:val="superscript"/>
              </w:rPr>
              <w:t>2,3</w:t>
            </w:r>
          </w:p>
        </w:tc>
      </w:tr>
      <w:tr w:rsidR="00C43D51" w14:paraId="50A53307" w14:textId="77777777" w:rsidTr="00170CFF">
        <w:tc>
          <w:tcPr>
            <w:tcW w:w="3121" w:type="dxa"/>
            <w:shd w:val="clear" w:color="auto" w:fill="auto"/>
          </w:tcPr>
          <w:p w14:paraId="197498C7" w14:textId="77777777" w:rsidR="00C43D51" w:rsidRPr="001D1C55" w:rsidRDefault="00C43D51" w:rsidP="00170CFF">
            <w:pPr>
              <w:spacing w:after="0" w:line="240" w:lineRule="auto"/>
              <w:contextualSpacing/>
              <w:rPr>
                <w:i/>
              </w:rPr>
            </w:pPr>
            <w:r>
              <w:rPr>
                <w:i/>
              </w:rPr>
              <w:t>Нарушения со стороны желудочно-кишечного тракта</w:t>
            </w:r>
          </w:p>
        </w:tc>
        <w:tc>
          <w:tcPr>
            <w:tcW w:w="3091" w:type="dxa"/>
            <w:shd w:val="clear" w:color="auto" w:fill="auto"/>
          </w:tcPr>
          <w:p w14:paraId="2915CD35" w14:textId="77777777" w:rsidR="00C43D51" w:rsidRDefault="00C43D51" w:rsidP="00170CFF">
            <w:pPr>
              <w:pStyle w:val="ae"/>
              <w:spacing w:line="240" w:lineRule="auto"/>
              <w:contextualSpacing/>
              <w:rPr>
                <w:sz w:val="24"/>
                <w:szCs w:val="24"/>
              </w:rPr>
            </w:pPr>
            <w:r>
              <w:rPr>
                <w:sz w:val="24"/>
                <w:szCs w:val="24"/>
              </w:rPr>
              <w:t>Часто</w:t>
            </w:r>
          </w:p>
        </w:tc>
        <w:tc>
          <w:tcPr>
            <w:tcW w:w="3132" w:type="dxa"/>
            <w:shd w:val="clear" w:color="auto" w:fill="auto"/>
          </w:tcPr>
          <w:p w14:paraId="446E2599" w14:textId="77777777" w:rsidR="00C43D51" w:rsidRDefault="00C43D51" w:rsidP="00170CFF">
            <w:pPr>
              <w:spacing w:after="0" w:line="240" w:lineRule="auto"/>
              <w:contextualSpacing/>
            </w:pPr>
            <w:r>
              <w:t>Запор</w:t>
            </w:r>
          </w:p>
        </w:tc>
      </w:tr>
      <w:tr w:rsidR="00C43D51" w14:paraId="32AC199E" w14:textId="77777777" w:rsidTr="00170CFF">
        <w:tc>
          <w:tcPr>
            <w:tcW w:w="3121" w:type="dxa"/>
            <w:vMerge w:val="restart"/>
            <w:shd w:val="clear" w:color="auto" w:fill="auto"/>
          </w:tcPr>
          <w:p w14:paraId="6CA36237" w14:textId="77777777" w:rsidR="00C43D51" w:rsidRDefault="00C43D51" w:rsidP="00170CFF">
            <w:pPr>
              <w:spacing w:after="0" w:line="240" w:lineRule="auto"/>
              <w:contextualSpacing/>
            </w:pPr>
            <w:r>
              <w:rPr>
                <w:i/>
                <w:iCs/>
              </w:rPr>
              <w:t>Нарушения со стороны кожи и подкожных тканей</w:t>
            </w:r>
          </w:p>
        </w:tc>
        <w:tc>
          <w:tcPr>
            <w:tcW w:w="3091" w:type="dxa"/>
            <w:shd w:val="clear" w:color="auto" w:fill="auto"/>
          </w:tcPr>
          <w:p w14:paraId="52FBCD8B" w14:textId="77777777" w:rsidR="00C43D51" w:rsidRDefault="00C43D51" w:rsidP="00170CFF">
            <w:pPr>
              <w:pStyle w:val="ae"/>
              <w:spacing w:line="240" w:lineRule="auto"/>
              <w:contextualSpacing/>
              <w:rPr>
                <w:sz w:val="24"/>
                <w:szCs w:val="24"/>
              </w:rPr>
            </w:pPr>
            <w:r>
              <w:rPr>
                <w:sz w:val="24"/>
                <w:szCs w:val="24"/>
              </w:rPr>
              <w:t>Часто</w:t>
            </w:r>
          </w:p>
        </w:tc>
        <w:tc>
          <w:tcPr>
            <w:tcW w:w="3132" w:type="dxa"/>
            <w:shd w:val="clear" w:color="auto" w:fill="auto"/>
          </w:tcPr>
          <w:p w14:paraId="21092730" w14:textId="77777777" w:rsidR="00C43D51" w:rsidRDefault="00C43D51" w:rsidP="00170CFF">
            <w:pPr>
              <w:pStyle w:val="ae"/>
              <w:spacing w:line="240" w:lineRule="auto"/>
              <w:contextualSpacing/>
              <w:rPr>
                <w:sz w:val="24"/>
                <w:szCs w:val="24"/>
              </w:rPr>
            </w:pPr>
            <w:r>
              <w:rPr>
                <w:sz w:val="24"/>
                <w:szCs w:val="24"/>
              </w:rPr>
              <w:t>Зуд (генерализованный)</w:t>
            </w:r>
          </w:p>
          <w:p w14:paraId="7731202B" w14:textId="77777777" w:rsidR="00C43D51" w:rsidRDefault="00C43D51" w:rsidP="00170CFF">
            <w:pPr>
              <w:spacing w:after="0" w:line="240" w:lineRule="auto"/>
              <w:contextualSpacing/>
            </w:pPr>
            <w:r>
              <w:t>Кожная сыпь</w:t>
            </w:r>
          </w:p>
        </w:tc>
      </w:tr>
      <w:tr w:rsidR="00C43D51" w14:paraId="44556EFC" w14:textId="77777777" w:rsidTr="00170CFF">
        <w:trPr>
          <w:trHeight w:val="562"/>
        </w:trPr>
        <w:tc>
          <w:tcPr>
            <w:tcW w:w="3121" w:type="dxa"/>
            <w:vMerge/>
            <w:shd w:val="clear" w:color="auto" w:fill="auto"/>
          </w:tcPr>
          <w:p w14:paraId="0F5F8FF4" w14:textId="77777777" w:rsidR="00C43D51" w:rsidRDefault="00C43D51" w:rsidP="00170CFF">
            <w:pPr>
              <w:spacing w:after="0" w:line="240" w:lineRule="auto"/>
              <w:contextualSpacing/>
              <w:rPr>
                <w:i/>
                <w:iCs/>
              </w:rPr>
            </w:pPr>
          </w:p>
        </w:tc>
        <w:tc>
          <w:tcPr>
            <w:tcW w:w="3091" w:type="dxa"/>
            <w:shd w:val="clear" w:color="auto" w:fill="auto"/>
          </w:tcPr>
          <w:p w14:paraId="6022370A" w14:textId="77777777" w:rsidR="00C43D51" w:rsidRDefault="00C43D51" w:rsidP="00170CFF">
            <w:pPr>
              <w:pStyle w:val="ae"/>
              <w:spacing w:line="240" w:lineRule="auto"/>
              <w:contextualSpacing/>
              <w:rPr>
                <w:sz w:val="24"/>
                <w:szCs w:val="24"/>
              </w:rPr>
            </w:pPr>
            <w:r>
              <w:rPr>
                <w:sz w:val="24"/>
                <w:szCs w:val="24"/>
              </w:rPr>
              <w:t>Нечасто</w:t>
            </w:r>
          </w:p>
        </w:tc>
        <w:tc>
          <w:tcPr>
            <w:tcW w:w="3132" w:type="dxa"/>
            <w:shd w:val="clear" w:color="auto" w:fill="auto"/>
          </w:tcPr>
          <w:p w14:paraId="1BA66BB4" w14:textId="77777777" w:rsidR="00C43D51" w:rsidRPr="009E0E75" w:rsidRDefault="00C43D51" w:rsidP="00170CFF">
            <w:pPr>
              <w:pStyle w:val="ae"/>
              <w:spacing w:line="240" w:lineRule="auto"/>
              <w:contextualSpacing/>
              <w:rPr>
                <w:sz w:val="24"/>
                <w:szCs w:val="24"/>
                <w:vertAlign w:val="superscript"/>
              </w:rPr>
            </w:pPr>
            <w:r>
              <w:rPr>
                <w:sz w:val="24"/>
                <w:szCs w:val="24"/>
              </w:rPr>
              <w:t>Крапивница</w:t>
            </w:r>
            <w:r>
              <w:rPr>
                <w:sz w:val="24"/>
                <w:szCs w:val="24"/>
                <w:vertAlign w:val="superscript"/>
              </w:rPr>
              <w:t>2</w:t>
            </w:r>
          </w:p>
          <w:p w14:paraId="5A7E8F89" w14:textId="77777777" w:rsidR="00C43D51" w:rsidRPr="009E0E75" w:rsidRDefault="00C43D51" w:rsidP="00170CFF">
            <w:pPr>
              <w:pStyle w:val="ae"/>
              <w:spacing w:line="240" w:lineRule="auto"/>
              <w:contextualSpacing/>
              <w:rPr>
                <w:sz w:val="24"/>
                <w:szCs w:val="24"/>
                <w:vertAlign w:val="superscript"/>
              </w:rPr>
            </w:pPr>
            <w:r>
              <w:rPr>
                <w:sz w:val="24"/>
                <w:szCs w:val="24"/>
              </w:rPr>
              <w:t>Ангионевротический отек</w:t>
            </w:r>
            <w:r>
              <w:rPr>
                <w:sz w:val="24"/>
                <w:szCs w:val="24"/>
                <w:vertAlign w:val="superscript"/>
              </w:rPr>
              <w:t>2</w:t>
            </w:r>
          </w:p>
        </w:tc>
      </w:tr>
      <w:tr w:rsidR="00C43D51" w14:paraId="5DB147F1" w14:textId="77777777" w:rsidTr="00170CFF">
        <w:tc>
          <w:tcPr>
            <w:tcW w:w="3121" w:type="dxa"/>
            <w:shd w:val="clear" w:color="auto" w:fill="auto"/>
          </w:tcPr>
          <w:p w14:paraId="1C8F88D3" w14:textId="77777777" w:rsidR="00C43D51" w:rsidRDefault="00C43D51" w:rsidP="00170CFF">
            <w:pPr>
              <w:pStyle w:val="ae"/>
              <w:spacing w:line="240" w:lineRule="auto"/>
              <w:contextualSpacing/>
              <w:rPr>
                <w:sz w:val="24"/>
                <w:szCs w:val="24"/>
              </w:rPr>
            </w:pPr>
            <w:r>
              <w:rPr>
                <w:i/>
                <w:iCs/>
                <w:sz w:val="24"/>
                <w:szCs w:val="24"/>
              </w:rPr>
              <w:t>Нарушения со стороны сосудов</w:t>
            </w:r>
          </w:p>
        </w:tc>
        <w:tc>
          <w:tcPr>
            <w:tcW w:w="3091" w:type="dxa"/>
            <w:shd w:val="clear" w:color="auto" w:fill="auto"/>
          </w:tcPr>
          <w:p w14:paraId="4980C0DF" w14:textId="77777777" w:rsidR="00C43D51" w:rsidRDefault="00C43D51" w:rsidP="00170CFF">
            <w:pPr>
              <w:pStyle w:val="ae"/>
              <w:spacing w:line="240" w:lineRule="auto"/>
              <w:contextualSpacing/>
              <w:rPr>
                <w:sz w:val="24"/>
                <w:szCs w:val="24"/>
              </w:rPr>
            </w:pPr>
            <w:r>
              <w:rPr>
                <w:sz w:val="24"/>
                <w:szCs w:val="24"/>
              </w:rPr>
              <w:t>Нечасто</w:t>
            </w:r>
          </w:p>
        </w:tc>
        <w:tc>
          <w:tcPr>
            <w:tcW w:w="3132" w:type="dxa"/>
            <w:shd w:val="clear" w:color="auto" w:fill="auto"/>
          </w:tcPr>
          <w:p w14:paraId="6B740A05" w14:textId="77777777" w:rsidR="00C43D51" w:rsidRDefault="00C43D51" w:rsidP="00170CFF">
            <w:pPr>
              <w:pStyle w:val="ae"/>
              <w:spacing w:line="240" w:lineRule="auto"/>
              <w:contextualSpacing/>
              <w:rPr>
                <w:sz w:val="24"/>
                <w:szCs w:val="24"/>
              </w:rPr>
            </w:pPr>
            <w:r>
              <w:rPr>
                <w:sz w:val="24"/>
                <w:szCs w:val="24"/>
              </w:rPr>
              <w:t>Гиповолемия</w:t>
            </w:r>
            <w:r>
              <w:rPr>
                <w:sz w:val="24"/>
                <w:szCs w:val="24"/>
                <w:vertAlign w:val="superscript"/>
              </w:rPr>
              <w:t>1</w:t>
            </w:r>
          </w:p>
        </w:tc>
      </w:tr>
      <w:tr w:rsidR="00C43D51" w14:paraId="3862A350" w14:textId="77777777" w:rsidTr="00170CFF">
        <w:tc>
          <w:tcPr>
            <w:tcW w:w="3121" w:type="dxa"/>
            <w:vMerge w:val="restart"/>
            <w:shd w:val="clear" w:color="auto" w:fill="auto"/>
          </w:tcPr>
          <w:p w14:paraId="7521D891" w14:textId="77777777" w:rsidR="00C43D51" w:rsidRDefault="00C43D51" w:rsidP="00170CFF">
            <w:pPr>
              <w:spacing w:after="0" w:line="240" w:lineRule="auto"/>
              <w:contextualSpacing/>
              <w:rPr>
                <w:i/>
                <w:iCs/>
              </w:rPr>
            </w:pPr>
            <w:r>
              <w:rPr>
                <w:i/>
                <w:iCs/>
              </w:rPr>
              <w:t>Нарушения со стороны почек и мочевыводящих путей</w:t>
            </w:r>
          </w:p>
        </w:tc>
        <w:tc>
          <w:tcPr>
            <w:tcW w:w="3091" w:type="dxa"/>
            <w:shd w:val="clear" w:color="auto" w:fill="auto"/>
          </w:tcPr>
          <w:p w14:paraId="2E7E21B9" w14:textId="77777777" w:rsidR="00C43D51" w:rsidRDefault="00C43D51" w:rsidP="00170CFF">
            <w:pPr>
              <w:pStyle w:val="ae"/>
              <w:spacing w:line="240" w:lineRule="auto"/>
              <w:contextualSpacing/>
              <w:rPr>
                <w:sz w:val="24"/>
                <w:szCs w:val="24"/>
              </w:rPr>
            </w:pPr>
            <w:r>
              <w:rPr>
                <w:sz w:val="24"/>
                <w:szCs w:val="24"/>
              </w:rPr>
              <w:t>Часто</w:t>
            </w:r>
          </w:p>
        </w:tc>
        <w:tc>
          <w:tcPr>
            <w:tcW w:w="3132" w:type="dxa"/>
            <w:shd w:val="clear" w:color="auto" w:fill="auto"/>
          </w:tcPr>
          <w:p w14:paraId="37E0712D" w14:textId="77777777" w:rsidR="00C43D51" w:rsidRDefault="00C43D51" w:rsidP="00170CFF">
            <w:pPr>
              <w:pStyle w:val="ae"/>
              <w:spacing w:line="240" w:lineRule="auto"/>
              <w:contextualSpacing/>
              <w:rPr>
                <w:sz w:val="24"/>
                <w:szCs w:val="24"/>
              </w:rPr>
            </w:pPr>
            <w:r>
              <w:rPr>
                <w:sz w:val="24"/>
                <w:szCs w:val="24"/>
              </w:rPr>
              <w:t>Увеличение мочевыделения</w:t>
            </w:r>
            <w:r>
              <w:rPr>
                <w:sz w:val="24"/>
                <w:szCs w:val="24"/>
                <w:vertAlign w:val="superscript"/>
              </w:rPr>
              <w:t>1</w:t>
            </w:r>
          </w:p>
        </w:tc>
      </w:tr>
      <w:tr w:rsidR="00C43D51" w14:paraId="719E72A8" w14:textId="77777777" w:rsidTr="00170CFF">
        <w:tc>
          <w:tcPr>
            <w:tcW w:w="3121" w:type="dxa"/>
            <w:vMerge/>
            <w:shd w:val="clear" w:color="auto" w:fill="auto"/>
          </w:tcPr>
          <w:p w14:paraId="3B201758" w14:textId="77777777" w:rsidR="00C43D51" w:rsidRDefault="00C43D51" w:rsidP="00170CFF">
            <w:pPr>
              <w:spacing w:after="0" w:line="240" w:lineRule="auto"/>
              <w:contextualSpacing/>
              <w:rPr>
                <w:i/>
                <w:iCs/>
              </w:rPr>
            </w:pPr>
          </w:p>
        </w:tc>
        <w:tc>
          <w:tcPr>
            <w:tcW w:w="3091" w:type="dxa"/>
            <w:shd w:val="clear" w:color="auto" w:fill="auto"/>
          </w:tcPr>
          <w:p w14:paraId="592C584B" w14:textId="77777777" w:rsidR="00C43D51" w:rsidRDefault="00C43D51" w:rsidP="00170CFF">
            <w:pPr>
              <w:pStyle w:val="ae"/>
              <w:spacing w:line="240" w:lineRule="auto"/>
              <w:contextualSpacing/>
              <w:rPr>
                <w:sz w:val="24"/>
                <w:szCs w:val="24"/>
              </w:rPr>
            </w:pPr>
            <w:r>
              <w:rPr>
                <w:sz w:val="24"/>
                <w:szCs w:val="24"/>
              </w:rPr>
              <w:t>Нечасто</w:t>
            </w:r>
          </w:p>
        </w:tc>
        <w:tc>
          <w:tcPr>
            <w:tcW w:w="3132" w:type="dxa"/>
            <w:shd w:val="clear" w:color="auto" w:fill="auto"/>
          </w:tcPr>
          <w:p w14:paraId="15442079" w14:textId="77777777" w:rsidR="00C43D51" w:rsidRDefault="00C43D51" w:rsidP="00170CFF">
            <w:pPr>
              <w:pStyle w:val="ae"/>
              <w:spacing w:line="240" w:lineRule="auto"/>
              <w:contextualSpacing/>
              <w:jc w:val="both"/>
              <w:rPr>
                <w:sz w:val="24"/>
                <w:szCs w:val="24"/>
              </w:rPr>
            </w:pPr>
            <w:r>
              <w:rPr>
                <w:sz w:val="24"/>
                <w:szCs w:val="24"/>
              </w:rPr>
              <w:t>Дизурия</w:t>
            </w:r>
          </w:p>
        </w:tc>
      </w:tr>
      <w:tr w:rsidR="00C43D51" w14:paraId="6A59208E" w14:textId="77777777" w:rsidTr="00170CFF">
        <w:tc>
          <w:tcPr>
            <w:tcW w:w="3121" w:type="dxa"/>
            <w:vMerge/>
            <w:shd w:val="clear" w:color="auto" w:fill="auto"/>
          </w:tcPr>
          <w:p w14:paraId="66A199C7" w14:textId="77777777" w:rsidR="00C43D51" w:rsidRDefault="00C43D51" w:rsidP="00170CFF">
            <w:pPr>
              <w:spacing w:after="0" w:line="240" w:lineRule="auto"/>
              <w:contextualSpacing/>
              <w:rPr>
                <w:i/>
                <w:iCs/>
              </w:rPr>
            </w:pPr>
          </w:p>
        </w:tc>
        <w:tc>
          <w:tcPr>
            <w:tcW w:w="3091" w:type="dxa"/>
            <w:shd w:val="clear" w:color="auto" w:fill="auto"/>
          </w:tcPr>
          <w:p w14:paraId="60956625" w14:textId="77777777" w:rsidR="00C43D51" w:rsidRDefault="00C43D51" w:rsidP="00170CFF">
            <w:pPr>
              <w:pStyle w:val="ae"/>
              <w:spacing w:line="240" w:lineRule="auto"/>
              <w:contextualSpacing/>
              <w:rPr>
                <w:sz w:val="24"/>
                <w:szCs w:val="24"/>
              </w:rPr>
            </w:pPr>
            <w:r>
              <w:rPr>
                <w:sz w:val="24"/>
                <w:szCs w:val="24"/>
              </w:rPr>
              <w:t>Очень редко</w:t>
            </w:r>
          </w:p>
        </w:tc>
        <w:tc>
          <w:tcPr>
            <w:tcW w:w="3132" w:type="dxa"/>
            <w:shd w:val="clear" w:color="auto" w:fill="auto"/>
          </w:tcPr>
          <w:p w14:paraId="5E7C8723" w14:textId="77777777" w:rsidR="00C43D51" w:rsidRDefault="00C43D51" w:rsidP="00170CFF">
            <w:pPr>
              <w:pStyle w:val="ae"/>
              <w:spacing w:line="240" w:lineRule="auto"/>
              <w:contextualSpacing/>
              <w:jc w:val="both"/>
              <w:rPr>
                <w:sz w:val="24"/>
                <w:szCs w:val="24"/>
              </w:rPr>
            </w:pPr>
            <w:r>
              <w:rPr>
                <w:sz w:val="24"/>
                <w:szCs w:val="24"/>
              </w:rPr>
              <w:t>Тубуло-интерстициальный нефрит</w:t>
            </w:r>
          </w:p>
        </w:tc>
      </w:tr>
      <w:tr w:rsidR="00C43D51" w14:paraId="5009B0BD" w14:textId="77777777" w:rsidTr="00170CFF">
        <w:tc>
          <w:tcPr>
            <w:tcW w:w="3121" w:type="dxa"/>
            <w:vMerge w:val="restart"/>
            <w:shd w:val="clear" w:color="auto" w:fill="auto"/>
          </w:tcPr>
          <w:p w14:paraId="7842D56D" w14:textId="77777777" w:rsidR="00C43D51" w:rsidRDefault="00C43D51" w:rsidP="00170CFF">
            <w:pPr>
              <w:spacing w:after="0" w:line="240" w:lineRule="auto"/>
              <w:contextualSpacing/>
              <w:rPr>
                <w:i/>
                <w:iCs/>
              </w:rPr>
            </w:pPr>
            <w:r>
              <w:rPr>
                <w:i/>
                <w:iCs/>
              </w:rPr>
              <w:t>Лабораторные и инструментальные данные</w:t>
            </w:r>
          </w:p>
        </w:tc>
        <w:tc>
          <w:tcPr>
            <w:tcW w:w="3091" w:type="dxa"/>
            <w:shd w:val="clear" w:color="auto" w:fill="auto"/>
          </w:tcPr>
          <w:p w14:paraId="3702C1BE" w14:textId="77777777" w:rsidR="00C43D51" w:rsidRDefault="00C43D51" w:rsidP="00170CFF">
            <w:pPr>
              <w:pStyle w:val="ae"/>
              <w:spacing w:line="240" w:lineRule="auto"/>
              <w:contextualSpacing/>
              <w:rPr>
                <w:sz w:val="24"/>
                <w:szCs w:val="24"/>
              </w:rPr>
            </w:pPr>
            <w:r>
              <w:rPr>
                <w:sz w:val="24"/>
                <w:szCs w:val="24"/>
              </w:rPr>
              <w:t>Часто</w:t>
            </w:r>
          </w:p>
        </w:tc>
        <w:tc>
          <w:tcPr>
            <w:tcW w:w="3132" w:type="dxa"/>
            <w:shd w:val="clear" w:color="auto" w:fill="auto"/>
            <w:vAlign w:val="bottom"/>
          </w:tcPr>
          <w:p w14:paraId="7FCF5556" w14:textId="77777777" w:rsidR="00C43D51" w:rsidRDefault="00C43D51" w:rsidP="00170CFF">
            <w:pPr>
              <w:pStyle w:val="ae"/>
              <w:spacing w:line="240" w:lineRule="auto"/>
              <w:contextualSpacing/>
              <w:rPr>
                <w:sz w:val="24"/>
                <w:szCs w:val="24"/>
              </w:rPr>
            </w:pPr>
            <w:r>
              <w:rPr>
                <w:sz w:val="24"/>
                <w:szCs w:val="24"/>
              </w:rPr>
              <w:t>Повышение концентрации липидов в плазме крови</w:t>
            </w:r>
          </w:p>
        </w:tc>
      </w:tr>
      <w:tr w:rsidR="00C43D51" w14:paraId="614C6EC1" w14:textId="77777777" w:rsidTr="00170CFF">
        <w:tc>
          <w:tcPr>
            <w:tcW w:w="3121" w:type="dxa"/>
            <w:vMerge/>
            <w:shd w:val="clear" w:color="auto" w:fill="auto"/>
          </w:tcPr>
          <w:p w14:paraId="1ECE1D1A" w14:textId="77777777" w:rsidR="00C43D51" w:rsidRDefault="00C43D51" w:rsidP="00170CFF">
            <w:pPr>
              <w:spacing w:after="0" w:line="240" w:lineRule="auto"/>
              <w:contextualSpacing/>
              <w:rPr>
                <w:i/>
                <w:iCs/>
              </w:rPr>
            </w:pPr>
          </w:p>
        </w:tc>
        <w:tc>
          <w:tcPr>
            <w:tcW w:w="3091" w:type="dxa"/>
            <w:shd w:val="clear" w:color="auto" w:fill="auto"/>
          </w:tcPr>
          <w:p w14:paraId="643F2B23" w14:textId="77777777" w:rsidR="00C43D51" w:rsidRDefault="00C43D51" w:rsidP="00170CFF">
            <w:pPr>
              <w:pStyle w:val="ae"/>
              <w:spacing w:line="240" w:lineRule="auto"/>
              <w:contextualSpacing/>
              <w:rPr>
                <w:sz w:val="24"/>
                <w:szCs w:val="24"/>
              </w:rPr>
            </w:pPr>
            <w:r>
              <w:rPr>
                <w:sz w:val="24"/>
                <w:szCs w:val="24"/>
              </w:rPr>
              <w:t>Нечасто</w:t>
            </w:r>
          </w:p>
        </w:tc>
        <w:tc>
          <w:tcPr>
            <w:tcW w:w="3132" w:type="dxa"/>
            <w:shd w:val="clear" w:color="auto" w:fill="auto"/>
          </w:tcPr>
          <w:p w14:paraId="6666BC7F" w14:textId="77777777" w:rsidR="00C43D51" w:rsidRDefault="00C43D51" w:rsidP="00170CFF">
            <w:pPr>
              <w:pStyle w:val="ae"/>
              <w:spacing w:line="240" w:lineRule="auto"/>
              <w:contextualSpacing/>
              <w:rPr>
                <w:sz w:val="24"/>
                <w:szCs w:val="24"/>
              </w:rPr>
            </w:pPr>
            <w:r>
              <w:rPr>
                <w:sz w:val="24"/>
                <w:szCs w:val="24"/>
              </w:rPr>
              <w:t>Снижение скорости клубочковой фильтрации</w:t>
            </w:r>
            <w:r>
              <w:rPr>
                <w:sz w:val="24"/>
                <w:szCs w:val="24"/>
                <w:vertAlign w:val="superscript"/>
              </w:rPr>
              <w:t>1</w:t>
            </w:r>
          </w:p>
          <w:p w14:paraId="0E5A4BBA" w14:textId="77777777" w:rsidR="00C43D51" w:rsidRDefault="00C43D51" w:rsidP="00170CFF">
            <w:pPr>
              <w:pStyle w:val="ae"/>
              <w:spacing w:line="240" w:lineRule="auto"/>
              <w:contextualSpacing/>
              <w:rPr>
                <w:sz w:val="24"/>
                <w:szCs w:val="24"/>
              </w:rPr>
            </w:pPr>
            <w:r>
              <w:rPr>
                <w:sz w:val="24"/>
                <w:szCs w:val="24"/>
              </w:rPr>
              <w:t xml:space="preserve">Повышение концентрации </w:t>
            </w:r>
            <w:r>
              <w:rPr>
                <w:sz w:val="24"/>
                <w:szCs w:val="24"/>
              </w:rPr>
              <w:lastRenderedPageBreak/>
              <w:t>креатинина в плазме крови</w:t>
            </w:r>
            <w:r>
              <w:rPr>
                <w:sz w:val="24"/>
                <w:szCs w:val="24"/>
                <w:vertAlign w:val="superscript"/>
              </w:rPr>
              <w:t>1</w:t>
            </w:r>
          </w:p>
          <w:p w14:paraId="3917CE27" w14:textId="77777777" w:rsidR="00C43D51" w:rsidRDefault="00C43D51" w:rsidP="00170CFF">
            <w:pPr>
              <w:pStyle w:val="ae"/>
              <w:spacing w:line="240" w:lineRule="auto"/>
              <w:contextualSpacing/>
              <w:rPr>
                <w:sz w:val="24"/>
                <w:szCs w:val="24"/>
              </w:rPr>
            </w:pPr>
            <w:r>
              <w:rPr>
                <w:sz w:val="24"/>
                <w:szCs w:val="24"/>
              </w:rPr>
              <w:t>Повышение содержания гематокрита</w:t>
            </w:r>
          </w:p>
        </w:tc>
      </w:tr>
      <w:tr w:rsidR="00C43D51" w14:paraId="520CA2FA" w14:textId="77777777" w:rsidTr="00170CFF">
        <w:tc>
          <w:tcPr>
            <w:tcW w:w="9344" w:type="dxa"/>
            <w:gridSpan w:val="3"/>
            <w:shd w:val="clear" w:color="auto" w:fill="auto"/>
          </w:tcPr>
          <w:p w14:paraId="4C41D1FB" w14:textId="77777777" w:rsidR="00C43D51" w:rsidRDefault="00C43D51" w:rsidP="00170CFF">
            <w:pPr>
              <w:spacing w:after="0" w:line="240" w:lineRule="auto"/>
              <w:contextualSpacing/>
              <w:rPr>
                <w:sz w:val="20"/>
                <w:szCs w:val="20"/>
              </w:rPr>
            </w:pPr>
            <w:r>
              <w:rPr>
                <w:b/>
                <w:bCs/>
                <w:sz w:val="20"/>
                <w:szCs w:val="20"/>
              </w:rPr>
              <w:lastRenderedPageBreak/>
              <w:t>Примечание:</w:t>
            </w:r>
            <w:r>
              <w:rPr>
                <w:sz w:val="20"/>
                <w:szCs w:val="20"/>
              </w:rPr>
              <w:br/>
            </w:r>
            <w:r>
              <w:rPr>
                <w:sz w:val="20"/>
                <w:szCs w:val="20"/>
                <w:vertAlign w:val="superscript"/>
              </w:rPr>
              <w:t xml:space="preserve">1 </w:t>
            </w:r>
            <w:r>
              <w:rPr>
                <w:sz w:val="20"/>
                <w:szCs w:val="20"/>
              </w:rPr>
              <w:t>Дополнительная информация для пациентов с сахарным диабетом приведена в подразделах ниже</w:t>
            </w:r>
          </w:p>
          <w:p w14:paraId="14216B4B" w14:textId="77777777" w:rsidR="00C43D51" w:rsidRDefault="00C43D51" w:rsidP="00170CFF">
            <w:pPr>
              <w:spacing w:after="0" w:line="240" w:lineRule="auto"/>
              <w:contextualSpacing/>
              <w:rPr>
                <w:sz w:val="20"/>
                <w:szCs w:val="20"/>
              </w:rPr>
            </w:pPr>
            <w:r>
              <w:rPr>
                <w:sz w:val="20"/>
                <w:szCs w:val="20"/>
                <w:vertAlign w:val="superscript"/>
              </w:rPr>
              <w:t>2</w:t>
            </w:r>
            <w:r>
              <w:rPr>
                <w:sz w:val="20"/>
                <w:szCs w:val="20"/>
              </w:rPr>
              <w:t xml:space="preserve"> На основании данных пострегистрационного применения</w:t>
            </w:r>
          </w:p>
          <w:p w14:paraId="611DDF4E" w14:textId="77777777" w:rsidR="00C43D51" w:rsidRPr="00092D11" w:rsidRDefault="00C43D51" w:rsidP="00170CFF">
            <w:pPr>
              <w:spacing w:after="0" w:line="240" w:lineRule="auto"/>
              <w:contextualSpacing/>
              <w:rPr>
                <w:szCs w:val="28"/>
              </w:rPr>
            </w:pPr>
            <w:r>
              <w:rPr>
                <w:sz w:val="20"/>
                <w:szCs w:val="20"/>
                <w:vertAlign w:val="superscript"/>
              </w:rPr>
              <w:t xml:space="preserve">3 </w:t>
            </w:r>
            <w:r>
              <w:rPr>
                <w:sz w:val="20"/>
                <w:szCs w:val="20"/>
              </w:rPr>
              <w:t>Наблюдается у пациентов в СД2.</w:t>
            </w:r>
          </w:p>
        </w:tc>
      </w:tr>
    </w:tbl>
    <w:p w14:paraId="49D54363" w14:textId="7F1FE59A" w:rsidR="00C43D51" w:rsidRDefault="00C43D51" w:rsidP="00C43D51">
      <w:pPr>
        <w:spacing w:after="0" w:line="240" w:lineRule="auto"/>
        <w:rPr>
          <w:b/>
          <w:bCs/>
          <w:i/>
          <w:iCs/>
          <w:szCs w:val="28"/>
        </w:rPr>
      </w:pPr>
    </w:p>
    <w:p w14:paraId="5C85A958" w14:textId="76D13D40" w:rsidR="00E65994" w:rsidRPr="00353C63" w:rsidRDefault="00E65994" w:rsidP="00E65994">
      <w:pPr>
        <w:spacing w:after="0" w:line="240" w:lineRule="auto"/>
        <w:ind w:firstLine="709"/>
        <w:contextualSpacing/>
        <w:rPr>
          <w:iCs/>
        </w:rPr>
      </w:pPr>
      <w:r w:rsidRPr="0092765E">
        <w:rPr>
          <w:lang w:eastAsia="ru-RU"/>
        </w:rPr>
        <w:t xml:space="preserve">Случаев прекращения участия в КИ здоровыми добровольцами по причине развития НЯ при приеме </w:t>
      </w:r>
      <w:r w:rsidR="006705BC">
        <w:rPr>
          <w:lang w:eastAsia="ru-RU"/>
        </w:rPr>
        <w:t>эмпаглифлозина</w:t>
      </w:r>
      <w:r w:rsidRPr="0092765E">
        <w:rPr>
          <w:lang w:eastAsia="ru-RU"/>
        </w:rPr>
        <w:t xml:space="preserve"> не отмечено. </w:t>
      </w:r>
      <w:r w:rsidRPr="0092765E">
        <w:t xml:space="preserve">Частота прекращения участия в КИ </w:t>
      </w:r>
      <w:r w:rsidRPr="00353C63">
        <w:t xml:space="preserve">пациентами по причине развития нежелательных явлений </w:t>
      </w:r>
      <w:r w:rsidR="00095F94" w:rsidRPr="00471588">
        <w:t>в среднем составляла до 15,4%</w:t>
      </w:r>
      <w:r w:rsidR="00095F94" w:rsidRPr="00095F94">
        <w:t xml:space="preserve"> </w:t>
      </w:r>
      <w:r w:rsidR="00095F94" w:rsidRPr="00471588">
        <w:t>(по данным мета-анализа рандомизированных исследований эмпаглифлозина).</w:t>
      </w:r>
      <w:r w:rsidRPr="00353C63">
        <w:t xml:space="preserve"> </w:t>
      </w:r>
    </w:p>
    <w:p w14:paraId="0EBE6A3E" w14:textId="1F55D565" w:rsidR="00E65994" w:rsidRDefault="00E65994" w:rsidP="00E65994">
      <w:pPr>
        <w:spacing w:after="0" w:line="240" w:lineRule="auto"/>
        <w:ind w:firstLine="709"/>
        <w:contextualSpacing/>
        <w:rPr>
          <w:iCs/>
        </w:rPr>
      </w:pPr>
      <w:r w:rsidRPr="00353C63">
        <w:rPr>
          <w:iCs/>
        </w:rPr>
        <w:t>В исследовании по протоколу №</w:t>
      </w:r>
      <w:r w:rsidR="00170CFF" w:rsidRPr="00353C63">
        <w:t xml:space="preserve"> CA101052158</w:t>
      </w:r>
      <w:r w:rsidR="00353C63" w:rsidRPr="00353C63">
        <w:t xml:space="preserve"> </w:t>
      </w:r>
      <w:r w:rsidRPr="00353C63">
        <w:rPr>
          <w:iCs/>
        </w:rPr>
        <w:t xml:space="preserve">каждый доброволец получит по 2 приема </w:t>
      </w:r>
      <w:r w:rsidR="00095F94">
        <w:rPr>
          <w:iCs/>
        </w:rPr>
        <w:t xml:space="preserve">эмпаглифлозина </w:t>
      </w:r>
      <w:r w:rsidRPr="00353C63">
        <w:rPr>
          <w:iCs/>
        </w:rPr>
        <w:t xml:space="preserve">в разовой дозе </w:t>
      </w:r>
      <w:r w:rsidR="00353C63" w:rsidRPr="00353C63">
        <w:rPr>
          <w:iCs/>
        </w:rPr>
        <w:t>10</w:t>
      </w:r>
      <w:r w:rsidRPr="00353C63">
        <w:rPr>
          <w:iCs/>
        </w:rPr>
        <w:t xml:space="preserve"> мг</w:t>
      </w:r>
      <w:r w:rsidR="00353C63" w:rsidRPr="00353C63">
        <w:rPr>
          <w:iCs/>
        </w:rPr>
        <w:t xml:space="preserve"> (подгруппа А) или 25 мг (подгруппа В)</w:t>
      </w:r>
      <w:r w:rsidRPr="00353C63">
        <w:rPr>
          <w:iCs/>
        </w:rPr>
        <w:t xml:space="preserve">. Каждый прием будет отделен от последующего отмывочным периодом в 7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353C63" w:rsidRPr="00353C63">
        <w:rPr>
          <w:iCs/>
        </w:rPr>
        <w:t>эмпаглифлозина</w:t>
      </w:r>
      <w:r w:rsidRPr="00353C63">
        <w:rPr>
          <w:iCs/>
        </w:rPr>
        <w:t xml:space="preserve"> и характеризоваться преимущественно легкой или умеренной степенью выраженности.</w:t>
      </w:r>
      <w:r w:rsidRPr="0092765E">
        <w:rPr>
          <w:iCs/>
        </w:rPr>
        <w:t xml:space="preserve"> </w:t>
      </w:r>
    </w:p>
    <w:p w14:paraId="38E7C77D" w14:textId="734B525D" w:rsidR="007F034A" w:rsidRPr="009E26C3" w:rsidRDefault="007F034A" w:rsidP="007F034A">
      <w:pPr>
        <w:spacing w:after="0" w:line="240" w:lineRule="auto"/>
        <w:ind w:firstLine="709"/>
        <w:rPr>
          <w:lang w:eastAsia="ru-RU"/>
        </w:rPr>
      </w:pPr>
      <w:r w:rsidRPr="00992542">
        <w:rPr>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sidRPr="00992542">
        <w:rPr>
          <w:rStyle w:val="FootnoteReference"/>
        </w:rPr>
        <w:footnoteReference w:id="1"/>
      </w:r>
      <w:r w:rsidR="00DB1D88" w:rsidRPr="00992542">
        <w:rPr>
          <w:lang w:eastAsia="ru-RU"/>
        </w:rPr>
        <w:t>.</w:t>
      </w:r>
      <w:r w:rsidR="00DB1D88">
        <w:rPr>
          <w:lang w:eastAsia="ru-RU"/>
        </w:rPr>
        <w:t xml:space="preserve"> </w:t>
      </w:r>
      <w:r w:rsidRPr="00992542">
        <w:rPr>
          <w:lang w:eastAsia="ru-RU"/>
        </w:rPr>
        <w:t>С целью обеспечения максимальной безопасности применения эмпаглифлозина у добровольцев женского пола, в рамках настоящего исследования будут учтены критерии, являющиеся противопоказаниями к назначению эмпаглифлозина у женщин, в частности лактация и беременность. Для предотвращения приема эмпаглифлозина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эмпаглифлозина.</w:t>
      </w:r>
    </w:p>
    <w:p w14:paraId="2EDCE8F1" w14:textId="77777777" w:rsidR="007F034A" w:rsidRPr="008C07F5" w:rsidRDefault="007F034A" w:rsidP="007F034A">
      <w:pPr>
        <w:spacing w:after="0" w:line="240" w:lineRule="auto"/>
        <w:ind w:firstLine="709"/>
      </w:pPr>
      <w:r w:rsidRPr="006C72F8">
        <w:rPr>
          <w:iCs/>
        </w:rPr>
        <w:t>Прием лекарственных препаратов, характеризующихся известным взаимодействием с эмпаглифлозином, в исследовании будет запрещен.</w:t>
      </w:r>
      <w:r w:rsidRPr="006C72F8">
        <w:t xml:space="preserve"> Кроме того, за добровольцами будет производится периодический контроль, включающий физикальное обследование, ортостатическую пробу, а также контроль лабораторных показателей, включая общий анализ крови, биохимический анализ крови (</w:t>
      </w:r>
      <w:r w:rsidRPr="00A13DC0">
        <w:t xml:space="preserve">глюкоза, </w:t>
      </w:r>
      <w:r>
        <w:rPr>
          <w:color w:val="000000"/>
        </w:rPr>
        <w:t>а</w:t>
      </w:r>
      <w:r w:rsidRPr="00733320">
        <w:rPr>
          <w:color w:val="000000"/>
        </w:rPr>
        <w:t>ланинаминотрасфераза</w:t>
      </w:r>
      <w:r>
        <w:rPr>
          <w:color w:val="000000"/>
          <w:lang w:eastAsia="ru-RU"/>
        </w:rPr>
        <w:t xml:space="preserve"> (АЛТ), </w:t>
      </w:r>
      <w:r>
        <w:rPr>
          <w:color w:val="000000"/>
        </w:rPr>
        <w:t>аспартат</w:t>
      </w:r>
      <w:r w:rsidRPr="00733320">
        <w:rPr>
          <w:color w:val="000000"/>
        </w:rPr>
        <w:t>аминотрасфераза</w:t>
      </w:r>
      <w:r>
        <w:rPr>
          <w:color w:val="000000"/>
          <w:lang w:eastAsia="ru-RU"/>
        </w:rPr>
        <w:t xml:space="preserve"> (АСТ)</w:t>
      </w:r>
      <w:r w:rsidRPr="00A13DC0">
        <w:t xml:space="preserve">, креатинин, </w:t>
      </w:r>
      <w:r>
        <w:rPr>
          <w:color w:val="000000"/>
          <w:lang w:eastAsia="ru-RU"/>
        </w:rPr>
        <w:t>скорость клубочковой фильтрации (СКФ)</w:t>
      </w:r>
      <w:r w:rsidRPr="00A13DC0">
        <w:t xml:space="preserve">, общий холестерин, </w:t>
      </w:r>
      <w:r>
        <w:t>липопротеиды высокой плотности (</w:t>
      </w:r>
      <w:r w:rsidRPr="00A13DC0">
        <w:t>ЛПВП</w:t>
      </w:r>
      <w:r>
        <w:t>)</w:t>
      </w:r>
      <w:r w:rsidRPr="00A13DC0">
        <w:t>,</w:t>
      </w:r>
      <w:r>
        <w:t xml:space="preserve"> липопротеиды низкой </w:t>
      </w:r>
      <w:r>
        <w:lastRenderedPageBreak/>
        <w:t>плотности</w:t>
      </w:r>
      <w:r w:rsidRPr="00A13DC0">
        <w:t xml:space="preserve"> </w:t>
      </w:r>
      <w:r>
        <w:t>(</w:t>
      </w:r>
      <w:r w:rsidRPr="00A13DC0">
        <w:t>ЛПНП</w:t>
      </w:r>
      <w:r>
        <w:t>)</w:t>
      </w:r>
      <w:r w:rsidRPr="00A13DC0">
        <w:t>, триглицериды, натрий, калий, хлор</w:t>
      </w:r>
      <w:r w:rsidRPr="006C72F8">
        <w:t>) и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w:t>
      </w:r>
      <w:r>
        <w:t xml:space="preserve"> </w:t>
      </w:r>
    </w:p>
    <w:p w14:paraId="6BE139EB" w14:textId="77777777" w:rsidR="007F034A" w:rsidRPr="005E6573" w:rsidRDefault="007F034A" w:rsidP="007F034A">
      <w:pPr>
        <w:spacing w:after="0" w:line="240" w:lineRule="auto"/>
        <w:ind w:firstLine="709"/>
        <w:rPr>
          <w:iCs/>
        </w:rPr>
      </w:pPr>
      <w:r w:rsidRPr="005E6573">
        <w:rPr>
          <w:iCs/>
        </w:rPr>
        <w:t>В связи с приведенными аргументами риск развития нежелательных явлений для здоровых добровольцев будет минимальным.</w:t>
      </w:r>
    </w:p>
    <w:p w14:paraId="7F3AFB13" w14:textId="38AC8939" w:rsidR="00C035FA" w:rsidRDefault="008D5756">
      <w:pPr>
        <w:pStyle w:val="Heading2"/>
        <w:spacing w:line="240" w:lineRule="auto"/>
        <w:rPr>
          <w:color w:val="000000" w:themeColor="text1"/>
          <w:szCs w:val="24"/>
        </w:rPr>
      </w:pPr>
      <w:bookmarkStart w:id="186" w:name="_Toc139366899"/>
      <w:bookmarkEnd w:id="183"/>
      <w:bookmarkEnd w:id="184"/>
      <w:bookmarkEnd w:id="185"/>
      <w:r>
        <w:rPr>
          <w:color w:val="000000" w:themeColor="text1"/>
          <w:szCs w:val="24"/>
        </w:rPr>
        <w:t>5.3. Инструкции для исследователя</w:t>
      </w:r>
      <w:bookmarkEnd w:id="177"/>
      <w:bookmarkEnd w:id="178"/>
      <w:bookmarkEnd w:id="186"/>
    </w:p>
    <w:p w14:paraId="14BEF72D" w14:textId="77777777" w:rsidR="00C035FA" w:rsidRDefault="008D5756">
      <w:pPr>
        <w:pStyle w:val="Heading3"/>
        <w:spacing w:after="0" w:line="240" w:lineRule="auto"/>
        <w:rPr>
          <w:rFonts w:ascii="Times New Roman" w:hAnsi="Times New Roman"/>
          <w:color w:val="000000" w:themeColor="text1"/>
        </w:rPr>
      </w:pPr>
      <w:bookmarkStart w:id="187" w:name="_Toc301482878"/>
      <w:bookmarkStart w:id="188" w:name="_Toc298775568"/>
      <w:bookmarkStart w:id="189" w:name="_Toc139366900"/>
      <w:r>
        <w:rPr>
          <w:rFonts w:ascii="Times New Roman" w:hAnsi="Times New Roman"/>
          <w:color w:val="000000" w:themeColor="text1"/>
        </w:rPr>
        <w:t>5.3.1. Показания к применению</w:t>
      </w:r>
      <w:bookmarkEnd w:id="187"/>
      <w:bookmarkEnd w:id="188"/>
      <w:bookmarkEnd w:id="189"/>
    </w:p>
    <w:p w14:paraId="0F343DE8" w14:textId="77777777" w:rsidR="002604EF" w:rsidRDefault="002604EF">
      <w:pPr>
        <w:spacing w:after="0" w:line="240" w:lineRule="auto"/>
        <w:rPr>
          <w:color w:val="000000" w:themeColor="text1"/>
          <w:u w:val="single"/>
        </w:rPr>
      </w:pPr>
    </w:p>
    <w:p w14:paraId="7D1D22C8" w14:textId="52A7ECCC" w:rsidR="00C035FA" w:rsidRPr="00007FC4" w:rsidRDefault="008D5756" w:rsidP="00007FC4">
      <w:pPr>
        <w:spacing w:after="0" w:line="240" w:lineRule="auto"/>
        <w:ind w:firstLine="709"/>
        <w:rPr>
          <w:b/>
          <w:i/>
          <w:color w:val="000000" w:themeColor="text1"/>
        </w:rPr>
      </w:pPr>
      <w:r w:rsidRPr="00007FC4">
        <w:rPr>
          <w:b/>
          <w:i/>
          <w:color w:val="000000" w:themeColor="text1"/>
        </w:rPr>
        <w:t>Сахарный диабет 2 типа</w:t>
      </w:r>
    </w:p>
    <w:p w14:paraId="61CC3DA7" w14:textId="77777777" w:rsidR="00C035FA" w:rsidRDefault="008D5756">
      <w:pPr>
        <w:spacing w:after="0" w:line="240" w:lineRule="auto"/>
        <w:rPr>
          <w:color w:val="000000" w:themeColor="text1"/>
        </w:rPr>
      </w:pPr>
      <w:r>
        <w:rPr>
          <w:color w:val="000000" w:themeColor="text1"/>
        </w:rPr>
        <w:t>Для терапии СД 2 у взрослых пациентов с неадекватным гликемическим контролем в дополнение к диетотерапии и физическим упражнениям:</w:t>
      </w:r>
    </w:p>
    <w:p w14:paraId="73661831" w14:textId="77777777" w:rsidR="00C035FA" w:rsidRDefault="008D5756" w:rsidP="000C7F59">
      <w:pPr>
        <w:spacing w:after="0" w:line="240" w:lineRule="auto"/>
        <w:ind w:left="426"/>
        <w:rPr>
          <w:color w:val="000000" w:themeColor="text1"/>
        </w:rPr>
      </w:pPr>
      <w:r>
        <w:rPr>
          <w:color w:val="000000" w:themeColor="text1"/>
        </w:rPr>
        <w:t>•</w:t>
      </w:r>
      <w:r>
        <w:rPr>
          <w:color w:val="000000" w:themeColor="text1"/>
        </w:rPr>
        <w:tab/>
        <w:t>в качестве монотерапии;</w:t>
      </w:r>
    </w:p>
    <w:p w14:paraId="2EBAF88D" w14:textId="034CBF7F" w:rsidR="00C035FA" w:rsidRDefault="008D5756" w:rsidP="000C7F59">
      <w:pPr>
        <w:spacing w:after="0" w:line="240" w:lineRule="auto"/>
        <w:ind w:left="426"/>
        <w:rPr>
          <w:color w:val="000000" w:themeColor="text1"/>
        </w:rPr>
      </w:pPr>
      <w:r>
        <w:rPr>
          <w:color w:val="000000" w:themeColor="text1"/>
        </w:rPr>
        <w:t>•</w:t>
      </w:r>
      <w:r>
        <w:rPr>
          <w:color w:val="000000" w:themeColor="text1"/>
        </w:rPr>
        <w:tab/>
        <w:t>в качестве комбинированной терапии с другими гипогликемическими препаратами, включая инсулин.</w:t>
      </w:r>
    </w:p>
    <w:p w14:paraId="325B10E7" w14:textId="77777777" w:rsidR="000C7F59" w:rsidRDefault="000C7F59" w:rsidP="000C7F59">
      <w:pPr>
        <w:spacing w:after="0" w:line="240" w:lineRule="auto"/>
        <w:ind w:left="426"/>
        <w:rPr>
          <w:color w:val="000000" w:themeColor="text1"/>
        </w:rPr>
      </w:pPr>
    </w:p>
    <w:p w14:paraId="55DE10AA" w14:textId="77777777" w:rsidR="00C035FA" w:rsidRDefault="008D5756" w:rsidP="000C7F59">
      <w:pPr>
        <w:spacing w:after="0" w:line="240" w:lineRule="auto"/>
        <w:ind w:firstLine="709"/>
        <w:rPr>
          <w:color w:val="000000" w:themeColor="text1"/>
        </w:rPr>
      </w:pPr>
      <w:r>
        <w:rPr>
          <w:color w:val="000000" w:themeColor="text1"/>
        </w:rPr>
        <w:t>Препарат показан пациентам с СД 2 и высоким сердечно-сосудистым риском* в комбинации со стандартной терапией сердечно-сосудистых заболеваний с целью снижения:</w:t>
      </w:r>
    </w:p>
    <w:p w14:paraId="4332229F" w14:textId="77777777" w:rsidR="00C035FA" w:rsidRDefault="008D5756" w:rsidP="000C7F59">
      <w:pPr>
        <w:spacing w:after="0" w:line="240" w:lineRule="auto"/>
        <w:ind w:left="426"/>
        <w:rPr>
          <w:color w:val="000000" w:themeColor="text1"/>
        </w:rPr>
      </w:pPr>
      <w:r>
        <w:rPr>
          <w:color w:val="000000" w:themeColor="text1"/>
        </w:rPr>
        <w:t>•</w:t>
      </w:r>
      <w:r>
        <w:rPr>
          <w:color w:val="000000" w:themeColor="text1"/>
        </w:rPr>
        <w:tab/>
        <w:t>общей смертности за счет снижения сердечно-сосудистой смертности;</w:t>
      </w:r>
    </w:p>
    <w:p w14:paraId="756717EF" w14:textId="77777777" w:rsidR="00C035FA" w:rsidRDefault="008D5756" w:rsidP="000C7F59">
      <w:pPr>
        <w:spacing w:after="0" w:line="240" w:lineRule="auto"/>
        <w:ind w:left="426"/>
        <w:rPr>
          <w:color w:val="000000" w:themeColor="text1"/>
        </w:rPr>
      </w:pPr>
      <w:r>
        <w:rPr>
          <w:color w:val="000000" w:themeColor="text1"/>
        </w:rPr>
        <w:t>•</w:t>
      </w:r>
      <w:r>
        <w:rPr>
          <w:color w:val="000000" w:themeColor="text1"/>
        </w:rPr>
        <w:tab/>
        <w:t>сердечно-сосудистой смертности или госпитализации по поводу сердечной недостаточности.</w:t>
      </w:r>
    </w:p>
    <w:p w14:paraId="0F0E146D" w14:textId="77777777" w:rsidR="00C035FA" w:rsidRDefault="008D5756" w:rsidP="000C7F59">
      <w:pPr>
        <w:spacing w:after="0" w:line="240" w:lineRule="auto"/>
        <w:ind w:firstLine="709"/>
        <w:rPr>
          <w:color w:val="000000" w:themeColor="text1"/>
        </w:rPr>
      </w:pPr>
      <w:r>
        <w:rPr>
          <w:color w:val="000000" w:themeColor="text1"/>
        </w:rPr>
        <w:t>* Высокий сердечно-сосудистый риск определен как наличие хотя бы одного из следующих заболеваний и/или состояний: ИБС (инфаркт миокарда в анамнезе, шунтирование коронарных артерий, ИБС с поражением одного коронарного сосуда, ИБС с поражением нескольких коронарных сосудов); ишемический или геморрагический инсульт в анамнезе; заболевания периферических артерий (с симптоматикой или без).</w:t>
      </w:r>
    </w:p>
    <w:p w14:paraId="0B2A83A2" w14:textId="77777777" w:rsidR="002604EF" w:rsidRDefault="002604EF" w:rsidP="000C7F59">
      <w:pPr>
        <w:spacing w:after="0" w:line="240" w:lineRule="auto"/>
        <w:ind w:firstLine="709"/>
        <w:rPr>
          <w:color w:val="000000" w:themeColor="text1"/>
          <w:u w:val="single"/>
        </w:rPr>
      </w:pPr>
    </w:p>
    <w:p w14:paraId="2A3262F4" w14:textId="6237A10E" w:rsidR="00C035FA" w:rsidRPr="00007FC4" w:rsidRDefault="008D5756" w:rsidP="00007FC4">
      <w:pPr>
        <w:spacing w:after="0" w:line="240" w:lineRule="auto"/>
        <w:ind w:firstLine="709"/>
        <w:rPr>
          <w:b/>
          <w:i/>
          <w:color w:val="000000" w:themeColor="text1"/>
        </w:rPr>
      </w:pPr>
      <w:r w:rsidRPr="00007FC4">
        <w:rPr>
          <w:b/>
          <w:i/>
          <w:color w:val="000000" w:themeColor="text1"/>
        </w:rPr>
        <w:t>Сердечная недостаточность</w:t>
      </w:r>
    </w:p>
    <w:p w14:paraId="42B7DFDE" w14:textId="4D5A26D5" w:rsidR="00C035FA" w:rsidRPr="00007FC4" w:rsidRDefault="007F034A" w:rsidP="00007FC4">
      <w:pPr>
        <w:spacing w:after="0" w:line="240" w:lineRule="auto"/>
        <w:ind w:firstLine="709"/>
        <w:rPr>
          <w:bCs/>
          <w:iCs/>
          <w:color w:val="000000" w:themeColor="text1"/>
        </w:rPr>
      </w:pPr>
      <w:r>
        <w:rPr>
          <w:color w:val="000000" w:themeColor="text1"/>
        </w:rPr>
        <w:t>Препарат показан</w:t>
      </w:r>
      <w:r w:rsidR="008D5756">
        <w:rPr>
          <w:color w:val="000000" w:themeColor="text1"/>
        </w:rPr>
        <w:t xml:space="preserve"> взрослым пациентам с ХСН (функциональные классы II-IV по классификации NYHA) независимо от фракции выброса левого желудочка, с или без СД 2 для снижения риска сердечно-сосудистой смерти и госпитализации по поводу сердечной недостаточности.</w:t>
      </w:r>
    </w:p>
    <w:p w14:paraId="2314102E" w14:textId="77777777" w:rsidR="00C035FA" w:rsidRDefault="008D5756" w:rsidP="00007FC4">
      <w:pPr>
        <w:pStyle w:val="Heading3"/>
        <w:spacing w:after="240" w:line="240" w:lineRule="auto"/>
        <w:rPr>
          <w:rFonts w:ascii="Times New Roman" w:hAnsi="Times New Roman"/>
          <w:color w:val="000000" w:themeColor="text1"/>
        </w:rPr>
      </w:pPr>
      <w:bookmarkStart w:id="190" w:name="_Toc287529201"/>
      <w:bookmarkStart w:id="191" w:name="_Toc298775569"/>
      <w:bookmarkStart w:id="192" w:name="_Toc301482879"/>
      <w:bookmarkStart w:id="193" w:name="_Toc139366901"/>
      <w:r>
        <w:rPr>
          <w:rFonts w:ascii="Times New Roman" w:hAnsi="Times New Roman"/>
          <w:color w:val="000000" w:themeColor="text1"/>
        </w:rPr>
        <w:t>5.3.2. Противопоказания</w:t>
      </w:r>
      <w:bookmarkEnd w:id="190"/>
      <w:bookmarkEnd w:id="191"/>
      <w:bookmarkEnd w:id="192"/>
      <w:bookmarkEnd w:id="193"/>
    </w:p>
    <w:p w14:paraId="53BD87F5" w14:textId="77777777"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bookmarkStart w:id="194" w:name="_Toc298775571"/>
      <w:bookmarkStart w:id="195" w:name="_Toc301482881"/>
      <w:bookmarkStart w:id="196" w:name="_Toc287529203"/>
      <w:r>
        <w:rPr>
          <w:lang w:eastAsia="ru-RU"/>
        </w:rPr>
        <w:t>Гиперчувствительность к эмпаглифлозину и/или любому вспомогательному веществу в составе препарата.</w:t>
      </w:r>
    </w:p>
    <w:p w14:paraId="29159447" w14:textId="77777777"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9"/>
        <w:contextualSpacing w:val="0"/>
        <w:rPr>
          <w:lang w:eastAsia="ru-RU"/>
        </w:rPr>
      </w:pPr>
      <w:r>
        <w:rPr>
          <w:lang w:eastAsia="ru-RU"/>
        </w:rPr>
        <w:t>Сахарный диабет 1 типа (СД 1).</w:t>
      </w:r>
    </w:p>
    <w:p w14:paraId="3BE62C34" w14:textId="77777777"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5"/>
        <w:contextualSpacing w:val="0"/>
        <w:rPr>
          <w:lang w:eastAsia="ru-RU"/>
        </w:rPr>
      </w:pPr>
      <w:r>
        <w:rPr>
          <w:lang w:eastAsia="ru-RU"/>
        </w:rPr>
        <w:t>Диабетический кетоацидоз.</w:t>
      </w:r>
    </w:p>
    <w:p w14:paraId="083A9A84" w14:textId="5BF23033" w:rsidR="00C035FA" w:rsidRDefault="008D5756" w:rsidP="000C7F59">
      <w:pPr>
        <w:pStyle w:val="ListParagraph"/>
        <w:widowControl w:val="0"/>
        <w:numPr>
          <w:ilvl w:val="0"/>
          <w:numId w:val="15"/>
        </w:numPr>
        <w:tabs>
          <w:tab w:val="left" w:pos="426"/>
          <w:tab w:val="left" w:pos="2618"/>
          <w:tab w:val="left" w:pos="3823"/>
          <w:tab w:val="left" w:pos="5016"/>
          <w:tab w:val="left" w:pos="6201"/>
          <w:tab w:val="left" w:pos="7402"/>
        </w:tabs>
        <w:autoSpaceDE w:val="0"/>
        <w:autoSpaceDN w:val="0"/>
        <w:spacing w:after="0" w:line="240" w:lineRule="auto"/>
        <w:ind w:left="709" w:hanging="296"/>
        <w:contextualSpacing w:val="0"/>
        <w:rPr>
          <w:lang w:eastAsia="ru-RU"/>
        </w:rPr>
      </w:pPr>
      <w:r>
        <w:rPr>
          <w:lang w:eastAsia="ru-RU"/>
        </w:rPr>
        <w:t>Непереносимость лактозы, дефицит лактазы,</w:t>
      </w:r>
      <w:r w:rsidR="002604EF" w:rsidRPr="002604EF">
        <w:rPr>
          <w:lang w:eastAsia="ru-RU"/>
        </w:rPr>
        <w:t xml:space="preserve"> </w:t>
      </w:r>
      <w:r>
        <w:rPr>
          <w:lang w:eastAsia="ru-RU"/>
        </w:rPr>
        <w:t>синдром глюкозо-галактозной мальабсорбции (в состав препарата входит лактозы моногидрат).</w:t>
      </w:r>
    </w:p>
    <w:p w14:paraId="4B466257" w14:textId="6EEF5727" w:rsidR="00C035FA" w:rsidRDefault="008D5756" w:rsidP="000C7F59">
      <w:pPr>
        <w:pStyle w:val="ListParagraph"/>
        <w:widowControl w:val="0"/>
        <w:numPr>
          <w:ilvl w:val="0"/>
          <w:numId w:val="15"/>
        </w:numPr>
        <w:tabs>
          <w:tab w:val="left" w:pos="426"/>
          <w:tab w:val="left" w:pos="9072"/>
        </w:tabs>
        <w:autoSpaceDE w:val="0"/>
        <w:autoSpaceDN w:val="0"/>
        <w:spacing w:after="0" w:line="240" w:lineRule="auto"/>
        <w:ind w:left="709" w:hanging="298"/>
        <w:contextualSpacing w:val="0"/>
        <w:rPr>
          <w:lang w:eastAsia="ru-RU"/>
        </w:rPr>
      </w:pPr>
      <w:r>
        <w:rPr>
          <w:lang w:eastAsia="ru-RU"/>
        </w:rPr>
        <w:t xml:space="preserve">Почечная недостаточность при СКФ </w:t>
      </w:r>
      <w:r w:rsidR="00E70118">
        <w:rPr>
          <w:lang w:eastAsia="ru-RU"/>
        </w:rPr>
        <w:t>&lt;30</w:t>
      </w:r>
      <w:r>
        <w:rPr>
          <w:lang w:eastAsia="ru-RU"/>
        </w:rPr>
        <w:t xml:space="preserve"> мл/мин/1,73 м</w:t>
      </w:r>
      <w:r w:rsidRPr="002604EF">
        <w:rPr>
          <w:vertAlign w:val="superscript"/>
          <w:lang w:eastAsia="ru-RU"/>
        </w:rPr>
        <w:t>2</w:t>
      </w:r>
      <w:r>
        <w:rPr>
          <w:lang w:eastAsia="ru-RU"/>
        </w:rPr>
        <w:t xml:space="preserve"> при применении для лечения СД2.</w:t>
      </w:r>
    </w:p>
    <w:p w14:paraId="663779C5" w14:textId="34CA5153"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 xml:space="preserve">Почечная недостаточность при СКФ </w:t>
      </w:r>
      <w:r w:rsidR="00E70118">
        <w:rPr>
          <w:lang w:eastAsia="ru-RU"/>
        </w:rPr>
        <w:t>&lt;20</w:t>
      </w:r>
      <w:r>
        <w:rPr>
          <w:lang w:eastAsia="ru-RU"/>
        </w:rPr>
        <w:t xml:space="preserve"> мл/мин/1,73 м</w:t>
      </w:r>
      <w:r w:rsidRPr="002604EF">
        <w:rPr>
          <w:vertAlign w:val="superscript"/>
          <w:lang w:eastAsia="ru-RU"/>
        </w:rPr>
        <w:t>2</w:t>
      </w:r>
      <w:r>
        <w:rPr>
          <w:lang w:eastAsia="ru-RU"/>
        </w:rPr>
        <w:t xml:space="preserve"> при применении для лечения ХСН.</w:t>
      </w:r>
    </w:p>
    <w:p w14:paraId="7947766B" w14:textId="77777777"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Печеночная недостаточность тяжелой степени.</w:t>
      </w:r>
    </w:p>
    <w:p w14:paraId="4596F0BD" w14:textId="77777777" w:rsidR="00C035FA" w:rsidRDefault="008D5756" w:rsidP="000C7F59">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Беременность и период грудного вскармливания.</w:t>
      </w:r>
    </w:p>
    <w:p w14:paraId="4A9E64E4" w14:textId="77777777" w:rsidR="00C035FA" w:rsidRDefault="008D5756" w:rsidP="000C7F59">
      <w:pPr>
        <w:pStyle w:val="ListParagraph"/>
        <w:widowControl w:val="0"/>
        <w:numPr>
          <w:ilvl w:val="0"/>
          <w:numId w:val="15"/>
        </w:numPr>
        <w:tabs>
          <w:tab w:val="left" w:pos="426"/>
          <w:tab w:val="left" w:pos="1492"/>
          <w:tab w:val="left" w:pos="7242"/>
        </w:tabs>
        <w:autoSpaceDE w:val="0"/>
        <w:autoSpaceDN w:val="0"/>
        <w:spacing w:after="0" w:line="240" w:lineRule="auto"/>
        <w:ind w:left="709" w:hanging="293"/>
        <w:contextualSpacing w:val="0"/>
        <w:rPr>
          <w:lang w:eastAsia="ru-RU"/>
        </w:rPr>
      </w:pPr>
      <w:r>
        <w:rPr>
          <w:lang w:eastAsia="ru-RU"/>
        </w:rPr>
        <w:lastRenderedPageBreak/>
        <w:t>Возраст до 18 лет (в связи с недостаточностью данных по эффективности и безопасности).</w:t>
      </w:r>
    </w:p>
    <w:p w14:paraId="39915DB0" w14:textId="51A4321E" w:rsidR="00C035FA" w:rsidRDefault="00C035FA">
      <w:pPr>
        <w:pStyle w:val="BodyText"/>
        <w:spacing w:after="0" w:line="240" w:lineRule="auto"/>
        <w:rPr>
          <w:color w:val="000000" w:themeColor="text1"/>
        </w:rPr>
      </w:pPr>
    </w:p>
    <w:p w14:paraId="7F39FA65" w14:textId="51896FB1" w:rsidR="00E70118" w:rsidRDefault="00E70118" w:rsidP="00E70118">
      <w:pPr>
        <w:spacing w:after="0" w:line="240" w:lineRule="auto"/>
        <w:rPr>
          <w:b/>
        </w:rPr>
      </w:pPr>
      <w:r w:rsidRPr="00E70118">
        <w:rPr>
          <w:b/>
        </w:rPr>
        <w:t>С осторожностью</w:t>
      </w:r>
    </w:p>
    <w:p w14:paraId="208EBF6E" w14:textId="77777777" w:rsidR="00E70118" w:rsidRPr="00E70118" w:rsidRDefault="00E70118" w:rsidP="00E70118">
      <w:pPr>
        <w:spacing w:after="0" w:line="240" w:lineRule="auto"/>
        <w:rPr>
          <w:b/>
        </w:rPr>
      </w:pPr>
    </w:p>
    <w:p w14:paraId="6E47E083"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У пациентов с риском развития гиповолемии (применение гипотензивных препаратов со случаями артериальной гипотензии в анамнезе).</w:t>
      </w:r>
    </w:p>
    <w:p w14:paraId="567CEA1D"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При заболеваниях желудочно-кишечного тракта, приводящих к потере жидкости.</w:t>
      </w:r>
    </w:p>
    <w:p w14:paraId="112E435D"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Возраст старше 75 лет.</w:t>
      </w:r>
    </w:p>
    <w:p w14:paraId="36DAFEAF"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Применение в комбинации с производным сульфонилмочевины или инсулином.</w:t>
      </w:r>
    </w:p>
    <w:p w14:paraId="0A694663"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Инфекции мочеполовой системы.</w:t>
      </w:r>
    </w:p>
    <w:p w14:paraId="03BDEA08"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Диета с низким содержанием углеводов.</w:t>
      </w:r>
    </w:p>
    <w:p w14:paraId="27C7F2E0" w14:textId="77777777" w:rsid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Диабетический кетоацидоз в анамнезе.</w:t>
      </w:r>
    </w:p>
    <w:p w14:paraId="23238968" w14:textId="5D4B1BD6" w:rsidR="00E70118" w:rsidRPr="00E70118" w:rsidRDefault="00E70118" w:rsidP="00E70118">
      <w:pPr>
        <w:pStyle w:val="ListParagraph"/>
        <w:widowControl w:val="0"/>
        <w:numPr>
          <w:ilvl w:val="0"/>
          <w:numId w:val="15"/>
        </w:numPr>
        <w:tabs>
          <w:tab w:val="left" w:pos="426"/>
        </w:tabs>
        <w:autoSpaceDE w:val="0"/>
        <w:autoSpaceDN w:val="0"/>
        <w:spacing w:after="0" w:line="240" w:lineRule="auto"/>
        <w:ind w:left="709" w:hanging="298"/>
        <w:contextualSpacing w:val="0"/>
        <w:rPr>
          <w:lang w:eastAsia="ru-RU"/>
        </w:rPr>
      </w:pPr>
      <w:r>
        <w:rPr>
          <w:lang w:eastAsia="ru-RU"/>
        </w:rPr>
        <w:t>Низкая секреторная активность бета-клеток поджелудочной железы.</w:t>
      </w:r>
    </w:p>
    <w:p w14:paraId="035E97F0" w14:textId="77777777" w:rsidR="00E70118" w:rsidRDefault="00E70118">
      <w:pPr>
        <w:pStyle w:val="BodyText"/>
        <w:spacing w:after="0" w:line="240" w:lineRule="auto"/>
        <w:rPr>
          <w:color w:val="000000" w:themeColor="text1"/>
        </w:rPr>
      </w:pPr>
    </w:p>
    <w:p w14:paraId="15DF7DD6" w14:textId="35C467E7" w:rsidR="00C035FA" w:rsidRPr="00E70118" w:rsidRDefault="008D5756" w:rsidP="00E70118">
      <w:pPr>
        <w:pStyle w:val="Heading4"/>
        <w:spacing w:before="0" w:after="0" w:line="240" w:lineRule="auto"/>
        <w:rPr>
          <w:rFonts w:ascii="Times New Roman" w:hAnsi="Times New Roman"/>
          <w:sz w:val="24"/>
          <w:szCs w:val="24"/>
          <w:lang w:eastAsia="ru-RU"/>
        </w:rPr>
      </w:pPr>
      <w:bookmarkStart w:id="197" w:name="_Toc139366902"/>
      <w:r w:rsidRPr="00E70118">
        <w:rPr>
          <w:rFonts w:ascii="Times New Roman" w:hAnsi="Times New Roman"/>
          <w:color w:val="000000" w:themeColor="text1"/>
          <w:w w:val="105"/>
          <w:sz w:val="24"/>
          <w:szCs w:val="24"/>
        </w:rPr>
        <w:t xml:space="preserve">5.3.3. </w:t>
      </w:r>
      <w:r w:rsidRPr="00E70118">
        <w:rPr>
          <w:rFonts w:ascii="Times New Roman" w:eastAsia="MS Mincho" w:hAnsi="Times New Roman"/>
          <w:bCs w:val="0"/>
          <w:color w:val="000000" w:themeColor="text1"/>
          <w:sz w:val="24"/>
          <w:szCs w:val="24"/>
        </w:rPr>
        <w:t>Применение в период беременности и грудного вскармливания</w:t>
      </w:r>
      <w:bookmarkEnd w:id="197"/>
    </w:p>
    <w:p w14:paraId="4C5F4C3B" w14:textId="77777777" w:rsidR="002604EF" w:rsidRDefault="002604EF">
      <w:pPr>
        <w:pStyle w:val="NormalWeb"/>
        <w:shd w:val="clear" w:color="auto" w:fill="FFFFFF"/>
        <w:spacing w:before="0" w:beforeAutospacing="0" w:after="0" w:afterAutospacing="0"/>
        <w:jc w:val="both"/>
        <w:rPr>
          <w:b/>
          <w:color w:val="000000" w:themeColor="text1"/>
        </w:rPr>
      </w:pPr>
    </w:p>
    <w:p w14:paraId="39EB4359" w14:textId="752FF88E" w:rsidR="00C035FA" w:rsidRDefault="008D5756" w:rsidP="00E70118">
      <w:pPr>
        <w:pStyle w:val="NormalWeb"/>
        <w:shd w:val="clear" w:color="auto" w:fill="FFFFFF"/>
        <w:spacing w:before="0" w:beforeAutospacing="0" w:after="0" w:afterAutospacing="0"/>
        <w:jc w:val="both"/>
        <w:rPr>
          <w:b/>
          <w:color w:val="000000" w:themeColor="text1"/>
        </w:rPr>
      </w:pPr>
      <w:r>
        <w:rPr>
          <w:b/>
          <w:color w:val="000000" w:themeColor="text1"/>
        </w:rPr>
        <w:t>Беременность</w:t>
      </w:r>
    </w:p>
    <w:p w14:paraId="0266F3FE" w14:textId="77777777" w:rsidR="00007FC4" w:rsidRDefault="00007FC4" w:rsidP="000C7F59">
      <w:pPr>
        <w:pStyle w:val="NormalWeb"/>
        <w:shd w:val="clear" w:color="auto" w:fill="FFFFFF"/>
        <w:spacing w:before="0" w:beforeAutospacing="0" w:after="0" w:afterAutospacing="0"/>
        <w:ind w:firstLine="709"/>
        <w:jc w:val="both"/>
        <w:rPr>
          <w:rFonts w:eastAsia="MS Mincho"/>
          <w:lang w:eastAsia="ja-JP"/>
        </w:rPr>
      </w:pPr>
    </w:p>
    <w:p w14:paraId="1183878D" w14:textId="5C213E7C" w:rsidR="00C035FA" w:rsidRDefault="008D5756" w:rsidP="000C7F59">
      <w:pPr>
        <w:pStyle w:val="NormalWeb"/>
        <w:shd w:val="clear" w:color="auto" w:fill="FFFFFF"/>
        <w:spacing w:before="0" w:beforeAutospacing="0" w:after="0" w:afterAutospacing="0"/>
        <w:ind w:firstLine="709"/>
        <w:jc w:val="both"/>
        <w:rPr>
          <w:rFonts w:eastAsia="MS Mincho"/>
          <w:lang w:eastAsia="ja-JP"/>
        </w:rPr>
      </w:pPr>
      <w:r>
        <w:rPr>
          <w:rFonts w:eastAsia="MS Mincho"/>
          <w:lang w:eastAsia="ja-JP"/>
        </w:rPr>
        <w:t>Данные о применении эмпаглифлозина во время беременности отсутствуют. Исследования на животных показывают, что эмпаглифлозин проникает через плаценту на позднем сроке беременности в очень ограниченной степени, но не указьmают на прямое или косвенное отрицательное влияние на раннее эмбриональное развитие. Однако исследования на животных показали неблагоприятное воздействие на постнатальное развитие. Применение эмпаглифлозина во время беременности противопоказано.</w:t>
      </w:r>
    </w:p>
    <w:p w14:paraId="3260AEC1" w14:textId="77777777" w:rsidR="002604EF" w:rsidRDefault="002604EF" w:rsidP="000C7F59">
      <w:pPr>
        <w:pStyle w:val="NormalWeb"/>
        <w:shd w:val="clear" w:color="auto" w:fill="FFFFFF"/>
        <w:spacing w:before="0" w:beforeAutospacing="0" w:after="0" w:afterAutospacing="0"/>
        <w:ind w:firstLine="709"/>
        <w:rPr>
          <w:rFonts w:eastAsia="MS Mincho"/>
          <w:b/>
          <w:i/>
          <w:lang w:eastAsia="ja-JP"/>
        </w:rPr>
      </w:pPr>
    </w:p>
    <w:p w14:paraId="7DF3D402" w14:textId="7EFC5BF4" w:rsidR="00C035FA" w:rsidRPr="00E70118" w:rsidRDefault="008D5756" w:rsidP="00E70118">
      <w:pPr>
        <w:pStyle w:val="NormalWeb"/>
        <w:shd w:val="clear" w:color="auto" w:fill="FFFFFF"/>
        <w:spacing w:before="0" w:beforeAutospacing="0" w:after="0" w:afterAutospacing="0"/>
        <w:rPr>
          <w:rFonts w:eastAsia="MS Mincho"/>
          <w:b/>
          <w:lang w:eastAsia="ja-JP"/>
        </w:rPr>
      </w:pPr>
      <w:r w:rsidRPr="00E70118">
        <w:rPr>
          <w:rFonts w:eastAsia="MS Mincho"/>
          <w:b/>
          <w:lang w:eastAsia="ja-JP"/>
        </w:rPr>
        <w:t>Период грудного вскармливания</w:t>
      </w:r>
    </w:p>
    <w:p w14:paraId="01008637" w14:textId="77777777" w:rsidR="00E70118" w:rsidRDefault="00E70118" w:rsidP="000C7F59">
      <w:pPr>
        <w:pStyle w:val="NormalWeb"/>
        <w:shd w:val="clear" w:color="auto" w:fill="FFFFFF"/>
        <w:spacing w:before="0" w:beforeAutospacing="0" w:after="0" w:afterAutospacing="0"/>
        <w:ind w:firstLine="709"/>
        <w:jc w:val="both"/>
        <w:rPr>
          <w:rFonts w:eastAsia="MS Mincho"/>
          <w:lang w:eastAsia="ja-JP"/>
        </w:rPr>
      </w:pPr>
    </w:p>
    <w:p w14:paraId="0E193BE1" w14:textId="65E4438E" w:rsidR="00C035FA" w:rsidRDefault="008D5756" w:rsidP="000C7F59">
      <w:pPr>
        <w:pStyle w:val="NormalWeb"/>
        <w:shd w:val="clear" w:color="auto" w:fill="FFFFFF"/>
        <w:spacing w:before="0" w:beforeAutospacing="0" w:after="0" w:afterAutospacing="0"/>
        <w:ind w:firstLine="709"/>
        <w:jc w:val="both"/>
        <w:rPr>
          <w:rFonts w:eastAsia="MS Mincho"/>
          <w:lang w:eastAsia="ja-JP"/>
        </w:rPr>
      </w:pPr>
      <w:r>
        <w:rPr>
          <w:rFonts w:eastAsia="MS Mincho"/>
          <w:lang w:eastAsia="ja-JP"/>
        </w:rPr>
        <w:t>Данные о проникновении эмпаглифлозина в грудное молоко отсутствуют. Доступные токсикологические данные, полученные на животных, продемонстрировали, что эмпаглифлозин проникает в молоко. Нельзя исключить риск для новорожденных детей/детей грудного возраста. Применение эмпаглифлозина в период грудного вскармливания противопоказано.</w:t>
      </w:r>
    </w:p>
    <w:p w14:paraId="35614BF6" w14:textId="77777777" w:rsidR="00E70118" w:rsidRDefault="00E70118" w:rsidP="00E70118">
      <w:pPr>
        <w:pStyle w:val="NormalWeb"/>
        <w:shd w:val="clear" w:color="auto" w:fill="FFFFFF"/>
        <w:spacing w:before="0" w:beforeAutospacing="0" w:after="0" w:afterAutospacing="0"/>
        <w:rPr>
          <w:rFonts w:eastAsia="MS Mincho"/>
          <w:b/>
          <w:bCs/>
          <w:i/>
          <w:iCs/>
          <w:lang w:eastAsia="ja-JP"/>
        </w:rPr>
      </w:pPr>
    </w:p>
    <w:p w14:paraId="791AD09F" w14:textId="315217A1" w:rsidR="00C035FA" w:rsidRPr="00E70118" w:rsidRDefault="008D5756" w:rsidP="00E70118">
      <w:pPr>
        <w:pStyle w:val="NormalWeb"/>
        <w:shd w:val="clear" w:color="auto" w:fill="FFFFFF"/>
        <w:spacing w:before="0" w:beforeAutospacing="0" w:after="0" w:afterAutospacing="0"/>
        <w:rPr>
          <w:rFonts w:eastAsia="MS Mincho"/>
          <w:b/>
          <w:bCs/>
          <w:iCs/>
          <w:lang w:eastAsia="ja-JP"/>
        </w:rPr>
      </w:pPr>
      <w:r w:rsidRPr="00E70118">
        <w:rPr>
          <w:rFonts w:eastAsia="MS Mincho"/>
          <w:b/>
          <w:bCs/>
          <w:iCs/>
          <w:lang w:eastAsia="ja-JP"/>
        </w:rPr>
        <w:t>Фертильность</w:t>
      </w:r>
    </w:p>
    <w:p w14:paraId="5EBFAB39" w14:textId="77777777" w:rsidR="00E70118" w:rsidRDefault="00E70118" w:rsidP="000C7F59">
      <w:pPr>
        <w:pStyle w:val="NormalWeb"/>
        <w:shd w:val="clear" w:color="auto" w:fill="FFFFFF"/>
        <w:spacing w:before="0" w:beforeAutospacing="0" w:after="0" w:afterAutospacing="0"/>
        <w:ind w:firstLine="709"/>
        <w:jc w:val="both"/>
        <w:rPr>
          <w:rFonts w:eastAsia="MS Mincho"/>
          <w:lang w:eastAsia="ja-JP"/>
        </w:rPr>
      </w:pPr>
    </w:p>
    <w:p w14:paraId="14C25236" w14:textId="06BEBF5B" w:rsidR="00C035FA" w:rsidRDefault="008D5756" w:rsidP="000C7F59">
      <w:pPr>
        <w:pStyle w:val="NormalWeb"/>
        <w:shd w:val="clear" w:color="auto" w:fill="FFFFFF"/>
        <w:spacing w:before="0" w:beforeAutospacing="0" w:after="0" w:afterAutospacing="0"/>
        <w:ind w:firstLine="709"/>
        <w:jc w:val="both"/>
        <w:rPr>
          <w:b/>
          <w:color w:val="000000" w:themeColor="text1"/>
        </w:rPr>
      </w:pPr>
      <w:r>
        <w:rPr>
          <w:rFonts w:eastAsia="MS Mincho"/>
          <w:lang w:eastAsia="ja-JP"/>
        </w:rPr>
        <w:t>Исследование влияния эмпаглифлозина на фертильность у человека не проводили. В исследованиях на животных не было выявлено прямого или косвенного отрицательного влияния на фертильность.</w:t>
      </w:r>
    </w:p>
    <w:p w14:paraId="7DD88B33" w14:textId="77777777" w:rsidR="00C035FA" w:rsidRDefault="008D5756">
      <w:pPr>
        <w:pStyle w:val="Heading3"/>
        <w:spacing w:after="240" w:line="240" w:lineRule="auto"/>
        <w:rPr>
          <w:rFonts w:ascii="Times New Roman" w:hAnsi="Times New Roman"/>
          <w:color w:val="000000" w:themeColor="text1"/>
        </w:rPr>
      </w:pPr>
      <w:bookmarkStart w:id="198" w:name="_Toc139366903"/>
      <w:r>
        <w:rPr>
          <w:rFonts w:ascii="Times New Roman" w:hAnsi="Times New Roman"/>
          <w:color w:val="000000" w:themeColor="text1"/>
        </w:rPr>
        <w:t>5.3.4. Способ применения и дозы</w:t>
      </w:r>
      <w:bookmarkEnd w:id="194"/>
      <w:bookmarkEnd w:id="195"/>
      <w:bookmarkEnd w:id="196"/>
      <w:bookmarkEnd w:id="198"/>
    </w:p>
    <w:p w14:paraId="77611C75" w14:textId="77777777" w:rsidR="00C035FA" w:rsidRDefault="008D5756" w:rsidP="00E70118">
      <w:pPr>
        <w:widowControl w:val="0"/>
        <w:spacing w:before="240" w:after="0" w:line="240" w:lineRule="auto"/>
        <w:rPr>
          <w:rFonts w:eastAsia="Courier New"/>
          <w:b/>
          <w:lang w:eastAsia="ru-RU" w:bidi="ru-RU"/>
        </w:rPr>
      </w:pPr>
      <w:bookmarkStart w:id="199" w:name="_Toc301482882"/>
      <w:bookmarkStart w:id="200" w:name="_Toc298775572"/>
      <w:bookmarkStart w:id="201" w:name="_Toc287529204"/>
      <w:r>
        <w:rPr>
          <w:rFonts w:eastAsia="Courier New"/>
          <w:b/>
          <w:lang w:eastAsia="ru-RU" w:bidi="ru-RU"/>
        </w:rPr>
        <w:t>Способ применения</w:t>
      </w:r>
    </w:p>
    <w:p w14:paraId="3F127940" w14:textId="77777777" w:rsidR="00E70118" w:rsidRDefault="00E70118" w:rsidP="000C7F59">
      <w:pPr>
        <w:widowControl w:val="0"/>
        <w:tabs>
          <w:tab w:val="left" w:pos="8647"/>
        </w:tabs>
        <w:spacing w:after="0" w:line="240" w:lineRule="auto"/>
        <w:ind w:firstLine="709"/>
        <w:rPr>
          <w:i/>
          <w:iCs/>
        </w:rPr>
      </w:pPr>
    </w:p>
    <w:p w14:paraId="638DBB4C" w14:textId="52987D79" w:rsidR="00C035FA" w:rsidRPr="00007FC4" w:rsidRDefault="008D5756" w:rsidP="00007FC4">
      <w:pPr>
        <w:spacing w:after="0" w:line="240" w:lineRule="auto"/>
        <w:ind w:firstLine="709"/>
        <w:rPr>
          <w:b/>
          <w:i/>
          <w:color w:val="000000" w:themeColor="text1"/>
        </w:rPr>
      </w:pPr>
      <w:r w:rsidRPr="00007FC4">
        <w:rPr>
          <w:b/>
          <w:i/>
          <w:color w:val="000000" w:themeColor="text1"/>
        </w:rPr>
        <w:t>Монотерапия или комбинированная терапия сахарного диабета 2 типа</w:t>
      </w:r>
    </w:p>
    <w:p w14:paraId="4F574A1F" w14:textId="77777777" w:rsidR="00C035FA" w:rsidRDefault="008D5756" w:rsidP="000C7F59">
      <w:pPr>
        <w:widowControl w:val="0"/>
        <w:tabs>
          <w:tab w:val="left" w:pos="8647"/>
        </w:tabs>
        <w:spacing w:after="0" w:line="240" w:lineRule="auto"/>
        <w:ind w:firstLine="709"/>
      </w:pPr>
      <w:r>
        <w:t>Рекомендуемая начальная доза составляет 10 мг (1 таблетка дозировкой 10 мг) 1 раз в сутки.</w:t>
      </w:r>
    </w:p>
    <w:p w14:paraId="62C3563C" w14:textId="6EA560F4" w:rsidR="00C035FA" w:rsidRDefault="008D5756" w:rsidP="000C7F59">
      <w:pPr>
        <w:widowControl w:val="0"/>
        <w:tabs>
          <w:tab w:val="left" w:pos="8647"/>
        </w:tabs>
        <w:spacing w:after="0" w:line="240" w:lineRule="auto"/>
        <w:ind w:firstLine="709"/>
      </w:pPr>
      <w:r>
        <w:t xml:space="preserve">В случае если суточная доза 10 мг не обеспечивает адекватного гликемического </w:t>
      </w:r>
      <w:r>
        <w:lastRenderedPageBreak/>
        <w:t xml:space="preserve">контроля, доза может </w:t>
      </w:r>
      <w:r w:rsidR="00E25D5C">
        <w:t xml:space="preserve">бьть </w:t>
      </w:r>
      <w:r>
        <w:t>увеличена до 25 мг (1 таблетка дозировкой 25 мг) 1 раз в сутки.</w:t>
      </w:r>
    </w:p>
    <w:p w14:paraId="7AD026DE" w14:textId="77777777" w:rsidR="00C035FA" w:rsidRDefault="008D5756" w:rsidP="000C7F59">
      <w:pPr>
        <w:widowControl w:val="0"/>
        <w:tabs>
          <w:tab w:val="left" w:pos="8647"/>
        </w:tabs>
        <w:spacing w:after="0" w:line="240" w:lineRule="auto"/>
        <w:ind w:firstLine="709"/>
      </w:pPr>
      <w:r>
        <w:t>Максимальная суточная доза составляет 25 мг.</w:t>
      </w:r>
    </w:p>
    <w:p w14:paraId="1E700225" w14:textId="77777777" w:rsidR="00C035FA" w:rsidRDefault="008D5756" w:rsidP="000C7F59">
      <w:pPr>
        <w:widowControl w:val="0"/>
        <w:tabs>
          <w:tab w:val="left" w:pos="8647"/>
        </w:tabs>
        <w:spacing w:after="0" w:line="240" w:lineRule="auto"/>
        <w:ind w:firstLine="709"/>
      </w:pPr>
      <w:r>
        <w:t>При совместном применении эмпаглифлозина с производным сульфонилмочевины или с инсулином может потребоваться снижение дозы производного сульфонилмочевины/инсулина из-за риска развития гипогликемии.</w:t>
      </w:r>
    </w:p>
    <w:p w14:paraId="3DC71CD4" w14:textId="77777777" w:rsidR="000C7F59" w:rsidRDefault="000C7F59" w:rsidP="000C7F59">
      <w:pPr>
        <w:widowControl w:val="0"/>
        <w:tabs>
          <w:tab w:val="left" w:pos="8647"/>
        </w:tabs>
        <w:spacing w:after="0" w:line="240" w:lineRule="auto"/>
        <w:ind w:firstLine="709"/>
      </w:pPr>
    </w:p>
    <w:p w14:paraId="4A0F03B5" w14:textId="6DE9CF6B" w:rsidR="00C035FA" w:rsidRPr="00007FC4" w:rsidRDefault="008D5756" w:rsidP="00007FC4">
      <w:pPr>
        <w:spacing w:after="0" w:line="240" w:lineRule="auto"/>
        <w:ind w:firstLine="709"/>
        <w:rPr>
          <w:b/>
          <w:i/>
          <w:color w:val="000000" w:themeColor="text1"/>
        </w:rPr>
      </w:pPr>
      <w:r w:rsidRPr="00007FC4">
        <w:rPr>
          <w:b/>
          <w:i/>
          <w:color w:val="000000" w:themeColor="text1"/>
        </w:rPr>
        <w:t>Терапия хронической сердечной недостаточности</w:t>
      </w:r>
    </w:p>
    <w:p w14:paraId="3D0E0E6C" w14:textId="4C284E5D" w:rsidR="00C035FA" w:rsidRDefault="008D5756" w:rsidP="000C7F59">
      <w:pPr>
        <w:widowControl w:val="0"/>
        <w:tabs>
          <w:tab w:val="left" w:pos="8647"/>
        </w:tabs>
        <w:spacing w:after="0" w:line="240" w:lineRule="auto"/>
        <w:ind w:firstLine="709"/>
      </w:pPr>
      <w:r>
        <w:t xml:space="preserve">Рекомендуемая суточная доза препарата составляет 10 </w:t>
      </w:r>
      <w:r w:rsidR="006C48BC">
        <w:t>мг 1</w:t>
      </w:r>
      <w:r>
        <w:t xml:space="preserve"> раз в сутки.</w:t>
      </w:r>
    </w:p>
    <w:p w14:paraId="5F4C0CA4" w14:textId="77777777" w:rsidR="00C035FA" w:rsidRDefault="008D5756" w:rsidP="000C7F59">
      <w:pPr>
        <w:widowControl w:val="0"/>
        <w:tabs>
          <w:tab w:val="left" w:pos="8647"/>
        </w:tabs>
        <w:spacing w:after="0" w:line="240" w:lineRule="auto"/>
        <w:ind w:firstLine="709"/>
      </w:pPr>
      <w:r>
        <w:t>Рекомендации в случае пропуска приема препарата</w:t>
      </w:r>
    </w:p>
    <w:p w14:paraId="038DCD64" w14:textId="77777777" w:rsidR="00C035FA" w:rsidRDefault="008D5756" w:rsidP="000C7F59">
      <w:pPr>
        <w:widowControl w:val="0"/>
        <w:tabs>
          <w:tab w:val="left" w:pos="8647"/>
        </w:tabs>
        <w:spacing w:after="0" w:line="240" w:lineRule="auto"/>
        <w:ind w:firstLine="709"/>
      </w:pPr>
      <w:r>
        <w:t>При пропуске дозы пациенту следует принять препарат, как только он об этом вспомнит. Не следует принимать двойную дозу в течение одних суток.</w:t>
      </w:r>
    </w:p>
    <w:p w14:paraId="6C9E9573" w14:textId="77777777" w:rsidR="002604EF" w:rsidRDefault="002604EF" w:rsidP="000C7F59">
      <w:pPr>
        <w:widowControl w:val="0"/>
        <w:tabs>
          <w:tab w:val="left" w:pos="8647"/>
        </w:tabs>
        <w:spacing w:after="0" w:line="240" w:lineRule="auto"/>
        <w:ind w:firstLine="709"/>
        <w:rPr>
          <w:b/>
          <w:i/>
        </w:rPr>
      </w:pPr>
    </w:p>
    <w:p w14:paraId="720D38B0" w14:textId="421CF98E" w:rsidR="00C035FA" w:rsidRPr="00007FC4" w:rsidRDefault="008D5756" w:rsidP="00007FC4">
      <w:pPr>
        <w:widowControl w:val="0"/>
        <w:tabs>
          <w:tab w:val="left" w:pos="8647"/>
        </w:tabs>
        <w:spacing w:after="0" w:line="240" w:lineRule="auto"/>
        <w:rPr>
          <w:b/>
        </w:rPr>
      </w:pPr>
      <w:r w:rsidRPr="00007FC4">
        <w:rPr>
          <w:b/>
        </w:rPr>
        <w:t>Применение препарата, в особых группах пациентов</w:t>
      </w:r>
    </w:p>
    <w:p w14:paraId="7626C0F3" w14:textId="77777777" w:rsidR="002604EF" w:rsidRDefault="002604EF" w:rsidP="00005816">
      <w:pPr>
        <w:widowControl w:val="0"/>
        <w:tabs>
          <w:tab w:val="left" w:pos="8647"/>
        </w:tabs>
        <w:spacing w:after="0" w:line="240" w:lineRule="auto"/>
        <w:ind w:firstLine="709"/>
        <w:rPr>
          <w:i/>
        </w:rPr>
      </w:pPr>
    </w:p>
    <w:p w14:paraId="00449D18" w14:textId="7CD00553" w:rsidR="00C035FA" w:rsidRPr="00007FC4" w:rsidRDefault="008D5756" w:rsidP="00007FC4">
      <w:pPr>
        <w:spacing w:after="0" w:line="240" w:lineRule="auto"/>
        <w:ind w:firstLine="709"/>
        <w:rPr>
          <w:b/>
          <w:i/>
          <w:color w:val="000000" w:themeColor="text1"/>
        </w:rPr>
      </w:pPr>
      <w:r w:rsidRPr="00007FC4">
        <w:rPr>
          <w:b/>
          <w:i/>
          <w:color w:val="000000" w:themeColor="text1"/>
        </w:rPr>
        <w:t>У пациентов с нарушением функции почек</w:t>
      </w:r>
    </w:p>
    <w:p w14:paraId="5369458D" w14:textId="2909D780" w:rsidR="00005816" w:rsidRDefault="00005816" w:rsidP="00005816">
      <w:pPr>
        <w:widowControl w:val="0"/>
        <w:tabs>
          <w:tab w:val="left" w:pos="8647"/>
        </w:tabs>
        <w:spacing w:after="0" w:line="240" w:lineRule="auto"/>
        <w:rPr>
          <w:i/>
        </w:rPr>
      </w:pPr>
    </w:p>
    <w:p w14:paraId="799D201D" w14:textId="371F6528" w:rsidR="00007FC4" w:rsidRPr="00007FC4" w:rsidRDefault="00007FC4" w:rsidP="00005816">
      <w:pPr>
        <w:widowControl w:val="0"/>
        <w:tabs>
          <w:tab w:val="left" w:pos="8647"/>
        </w:tabs>
        <w:spacing w:after="0" w:line="240" w:lineRule="auto"/>
      </w:pPr>
      <w:r w:rsidRPr="00007FC4">
        <w:rPr>
          <w:b/>
        </w:rPr>
        <w:t>Таблица 5-1.</w:t>
      </w:r>
      <w:r w:rsidRPr="00007FC4">
        <w:t xml:space="preserve"> Коррекция режима терапии у пациентов с нарушением функций почек.</w:t>
      </w:r>
    </w:p>
    <w:tbl>
      <w:tblPr>
        <w:tblStyle w:val="TableNormal1"/>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395"/>
        <w:gridCol w:w="4961"/>
      </w:tblGrid>
      <w:tr w:rsidR="00C035FA" w14:paraId="5D52225A" w14:textId="77777777" w:rsidTr="00007FC4">
        <w:trPr>
          <w:trHeight w:val="332"/>
        </w:trPr>
        <w:tc>
          <w:tcPr>
            <w:tcW w:w="9356" w:type="dxa"/>
            <w:gridSpan w:val="2"/>
          </w:tcPr>
          <w:p w14:paraId="634B5D96" w14:textId="77777777" w:rsidR="00C035FA" w:rsidRDefault="008D5756">
            <w:pPr>
              <w:pStyle w:val="TableParagraph"/>
              <w:ind w:left="113"/>
              <w:rPr>
                <w:rFonts w:ascii="Times New Roman" w:hAnsi="Times New Roman" w:cs="Times New Roman"/>
                <w:sz w:val="24"/>
                <w:szCs w:val="24"/>
              </w:rPr>
            </w:pPr>
            <w:r>
              <w:rPr>
                <w:rFonts w:ascii="Times New Roman" w:eastAsia="MS Mincho" w:hAnsi="Times New Roman" w:cs="Times New Roman"/>
                <w:sz w:val="24"/>
                <w:szCs w:val="24"/>
                <w:lang w:val="ru-RU" w:eastAsia="ja-JP"/>
              </w:rPr>
              <w:t>Лечение сахарного диабета 2 типа</w:t>
            </w:r>
          </w:p>
        </w:tc>
      </w:tr>
      <w:tr w:rsidR="00C035FA" w14:paraId="5C9FF8BF" w14:textId="77777777" w:rsidTr="00007FC4">
        <w:trPr>
          <w:trHeight w:val="2591"/>
        </w:trPr>
        <w:tc>
          <w:tcPr>
            <w:tcW w:w="4395" w:type="dxa"/>
          </w:tcPr>
          <w:p w14:paraId="32FCBD46" w14:textId="77777777" w:rsidR="00C035FA" w:rsidRDefault="008D5756">
            <w:pPr>
              <w:pStyle w:val="TableParagraph"/>
              <w:numPr>
                <w:ilvl w:val="0"/>
                <w:numId w:val="16"/>
              </w:numPr>
              <w:spacing w:line="223" w:lineRule="auto"/>
              <w:ind w:right="81" w:hanging="372"/>
              <w:jc w:val="both"/>
              <w:rPr>
                <w:rFonts w:ascii="Times New Roman" w:eastAsia="MS Mincho" w:hAnsi="Times New Roman" w:cs="Times New Roman"/>
                <w:sz w:val="24"/>
                <w:szCs w:val="24"/>
                <w:lang w:val="ru-RU" w:eastAsia="ja-JP"/>
              </w:rPr>
            </w:pPr>
            <w:r>
              <w:rPr>
                <w:rFonts w:ascii="Times New Roman" w:eastAsia="MS Mincho" w:hAnsi="Times New Roman" w:cs="Times New Roman"/>
                <w:sz w:val="24"/>
                <w:szCs w:val="24"/>
                <w:lang w:val="ru-RU" w:eastAsia="ja-JP"/>
              </w:rPr>
              <w:t>Гликемический контроль</w:t>
            </w:r>
          </w:p>
          <w:p w14:paraId="24F5F375" w14:textId="77777777" w:rsidR="00C035FA" w:rsidRDefault="008D5756">
            <w:pPr>
              <w:pStyle w:val="TableParagraph"/>
              <w:numPr>
                <w:ilvl w:val="0"/>
                <w:numId w:val="16"/>
              </w:numPr>
              <w:spacing w:line="223" w:lineRule="auto"/>
              <w:ind w:right="81" w:hanging="372"/>
              <w:jc w:val="both"/>
              <w:rPr>
                <w:rFonts w:ascii="Times New Roman" w:eastAsia="MS Mincho" w:hAnsi="Times New Roman" w:cs="Times New Roman"/>
                <w:sz w:val="24"/>
                <w:szCs w:val="24"/>
                <w:lang w:val="ru-RU" w:eastAsia="ja-JP"/>
              </w:rPr>
            </w:pPr>
            <w:r>
              <w:rPr>
                <w:rFonts w:ascii="Times New Roman" w:eastAsia="MS Mincho" w:hAnsi="Times New Roman" w:cs="Times New Roman"/>
                <w:sz w:val="24"/>
                <w:szCs w:val="24"/>
                <w:lang w:val="ru-RU" w:eastAsia="ja-JP"/>
              </w:rPr>
              <w:t>Профилактика</w:t>
            </w:r>
            <w:r>
              <w:rPr>
                <w:rFonts w:ascii="Times New Roman" w:eastAsia="MS Mincho" w:hAnsi="Times New Roman" w:cs="Times New Roman"/>
                <w:sz w:val="24"/>
                <w:szCs w:val="24"/>
                <w:lang w:val="ru-RU" w:eastAsia="ja-JP"/>
              </w:rPr>
              <w:tab/>
              <w:t>сердечно-сосудистых нарушений у пациентов с СД 2 и высоким сердечно-сосудистым риском</w:t>
            </w:r>
          </w:p>
        </w:tc>
        <w:tc>
          <w:tcPr>
            <w:tcW w:w="4961" w:type="dxa"/>
          </w:tcPr>
          <w:p w14:paraId="0A899EDB" w14:textId="1247BD7E" w:rsidR="00C035FA" w:rsidRDefault="008D5756" w:rsidP="00007FC4">
            <w:pPr>
              <w:pStyle w:val="TableParagraph"/>
              <w:tabs>
                <w:tab w:val="left" w:pos="141"/>
              </w:tabs>
              <w:ind w:left="141" w:right="132"/>
              <w:jc w:val="both"/>
              <w:rPr>
                <w:rFonts w:ascii="Times New Roman" w:eastAsia="MS Mincho" w:hAnsi="Times New Roman" w:cs="Times New Roman"/>
                <w:sz w:val="24"/>
                <w:szCs w:val="24"/>
                <w:lang w:val="ru-RU" w:eastAsia="ja-JP"/>
              </w:rPr>
            </w:pPr>
            <w:r>
              <w:rPr>
                <w:rFonts w:ascii="Times New Roman" w:eastAsia="MS Mincho" w:hAnsi="Times New Roman" w:cs="Times New Roman"/>
                <w:sz w:val="24"/>
                <w:szCs w:val="24"/>
                <w:lang w:val="ru-RU" w:eastAsia="ja-JP"/>
              </w:rPr>
              <w:t>Применение</w:t>
            </w:r>
            <w:r>
              <w:rPr>
                <w:rFonts w:ascii="Times New Roman" w:eastAsia="MS Mincho" w:hAnsi="Times New Roman" w:cs="Times New Roman"/>
                <w:sz w:val="24"/>
                <w:szCs w:val="24"/>
                <w:lang w:val="ru-RU" w:eastAsia="ja-JP"/>
              </w:rPr>
              <w:tab/>
              <w:t>препарата</w:t>
            </w:r>
            <w:r>
              <w:rPr>
                <w:rFonts w:ascii="Times New Roman" w:eastAsia="MS Mincho" w:hAnsi="Times New Roman" w:cs="Times New Roman"/>
                <w:sz w:val="24"/>
                <w:szCs w:val="24"/>
                <w:lang w:val="ru-RU" w:eastAsia="ja-JP"/>
              </w:rPr>
              <w:tab/>
              <w:t>у пациентов</w:t>
            </w:r>
            <w:r>
              <w:rPr>
                <w:rFonts w:ascii="Times New Roman" w:eastAsia="MS Mincho" w:hAnsi="Times New Roman" w:cs="Times New Roman"/>
                <w:sz w:val="24"/>
                <w:szCs w:val="24"/>
                <w:lang w:val="ru-RU" w:eastAsia="ja-JP"/>
              </w:rPr>
              <w:tab/>
              <w:t>с почечной</w:t>
            </w:r>
            <w:r>
              <w:rPr>
                <w:rFonts w:ascii="Times New Roman" w:eastAsia="MS Mincho" w:hAnsi="Times New Roman" w:cs="Times New Roman"/>
                <w:sz w:val="24"/>
                <w:szCs w:val="24"/>
                <w:lang w:val="ru-RU" w:eastAsia="ja-JP"/>
              </w:rPr>
              <w:tab/>
              <w:t>недостаточностью</w:t>
            </w:r>
            <w:r>
              <w:rPr>
                <w:rFonts w:ascii="Times New Roman" w:eastAsia="MS Mincho" w:hAnsi="Times New Roman" w:cs="Times New Roman"/>
                <w:sz w:val="24"/>
                <w:szCs w:val="24"/>
                <w:lang w:val="ru-RU" w:eastAsia="ja-JP"/>
              </w:rPr>
              <w:tab/>
              <w:t>при</w:t>
            </w:r>
            <w:r>
              <w:rPr>
                <w:rFonts w:ascii="Times New Roman" w:eastAsia="MS Mincho" w:hAnsi="Times New Roman" w:cs="Times New Roman"/>
                <w:sz w:val="24"/>
                <w:szCs w:val="24"/>
                <w:lang w:val="ru-RU" w:eastAsia="ja-JP"/>
              </w:rPr>
              <w:tab/>
              <w:t xml:space="preserve">СКФ </w:t>
            </w:r>
            <w:r w:rsidR="00005816">
              <w:rPr>
                <w:rFonts w:ascii="Times New Roman" w:eastAsia="MS Mincho" w:hAnsi="Times New Roman" w:cs="Times New Roman"/>
                <w:sz w:val="24"/>
                <w:szCs w:val="24"/>
                <w:lang w:val="ru-RU" w:eastAsia="ja-JP"/>
              </w:rPr>
              <w:t>&lt;30</w:t>
            </w:r>
            <w:r>
              <w:rPr>
                <w:rFonts w:ascii="Times New Roman" w:eastAsia="MS Mincho" w:hAnsi="Times New Roman" w:cs="Times New Roman"/>
                <w:sz w:val="24"/>
                <w:szCs w:val="24"/>
                <w:lang w:val="ru-RU" w:eastAsia="ja-JP"/>
              </w:rPr>
              <w:t xml:space="preserve"> мл/мин/1,73 м</w:t>
            </w:r>
            <w:r>
              <w:rPr>
                <w:rFonts w:ascii="Times New Roman" w:eastAsia="MS Mincho" w:hAnsi="Times New Roman" w:cs="Times New Roman"/>
                <w:sz w:val="24"/>
                <w:szCs w:val="24"/>
                <w:vertAlign w:val="superscript"/>
                <w:lang w:val="ru-RU" w:eastAsia="ja-JP"/>
              </w:rPr>
              <w:t>2</w:t>
            </w:r>
            <w:r>
              <w:rPr>
                <w:rFonts w:ascii="Times New Roman" w:eastAsia="MS Mincho" w:hAnsi="Times New Roman" w:cs="Times New Roman"/>
                <w:sz w:val="24"/>
                <w:szCs w:val="24"/>
                <w:lang w:val="ru-RU" w:eastAsia="ja-JP"/>
              </w:rPr>
              <w:t xml:space="preserve"> противопоказано. Пациентам</w:t>
            </w:r>
            <w:r>
              <w:rPr>
                <w:rFonts w:ascii="Times New Roman" w:eastAsia="MS Mincho" w:hAnsi="Times New Roman" w:cs="Times New Roman"/>
                <w:sz w:val="24"/>
                <w:szCs w:val="24"/>
                <w:lang w:val="ru-RU" w:eastAsia="ja-JP"/>
              </w:rPr>
              <w:tab/>
              <w:t>с СКФ≥30 мл/мин/1,73 м</w:t>
            </w:r>
            <w:r>
              <w:rPr>
                <w:rFonts w:ascii="Times New Roman" w:eastAsia="MS Mincho" w:hAnsi="Times New Roman" w:cs="Times New Roman"/>
                <w:sz w:val="24"/>
                <w:szCs w:val="24"/>
                <w:vertAlign w:val="superscript"/>
                <w:lang w:val="ru-RU" w:eastAsia="ja-JP"/>
              </w:rPr>
              <w:t>2</w:t>
            </w:r>
            <w:r>
              <w:rPr>
                <w:rFonts w:ascii="Times New Roman" w:eastAsia="MS Mincho" w:hAnsi="Times New Roman" w:cs="Times New Roman"/>
                <w:sz w:val="24"/>
                <w:szCs w:val="24"/>
                <w:lang w:val="ru-RU" w:eastAsia="ja-JP"/>
              </w:rPr>
              <w:t xml:space="preserve"> коррекции дозы не требуется. Применение препарата противопоказано у пациентов с терминальной стадией почечной недостаточности или у находящихся на гемодиализе.</w:t>
            </w:r>
          </w:p>
        </w:tc>
      </w:tr>
      <w:tr w:rsidR="00C035FA" w14:paraId="14E42FE3" w14:textId="77777777" w:rsidTr="00007FC4">
        <w:trPr>
          <w:trHeight w:val="288"/>
        </w:trPr>
        <w:tc>
          <w:tcPr>
            <w:tcW w:w="9356" w:type="dxa"/>
            <w:gridSpan w:val="2"/>
          </w:tcPr>
          <w:p w14:paraId="7CF66DEE" w14:textId="77777777" w:rsidR="00C035FA" w:rsidRDefault="008D5756" w:rsidP="00007FC4">
            <w:pPr>
              <w:pStyle w:val="TableParagraph"/>
              <w:ind w:left="141" w:right="132"/>
              <w:rPr>
                <w:lang w:val="ru-RU"/>
              </w:rPr>
            </w:pPr>
            <w:r>
              <w:rPr>
                <w:rFonts w:ascii="Times New Roman" w:eastAsia="MS Mincho" w:hAnsi="Times New Roman" w:cs="Times New Roman"/>
                <w:sz w:val="24"/>
                <w:szCs w:val="24"/>
                <w:lang w:val="ru-RU" w:eastAsia="ja-JP"/>
              </w:rPr>
              <w:t>Лечение Хронической сердечной недостаточности</w:t>
            </w:r>
          </w:p>
        </w:tc>
      </w:tr>
      <w:tr w:rsidR="00C035FA" w14:paraId="3E405A62" w14:textId="77777777" w:rsidTr="00007FC4">
        <w:trPr>
          <w:trHeight w:val="1257"/>
        </w:trPr>
        <w:tc>
          <w:tcPr>
            <w:tcW w:w="4395" w:type="dxa"/>
          </w:tcPr>
          <w:p w14:paraId="110DD249" w14:textId="77777777" w:rsidR="00C035FA" w:rsidRDefault="008D5756">
            <w:pPr>
              <w:pStyle w:val="TableParagraph"/>
              <w:numPr>
                <w:ilvl w:val="0"/>
                <w:numId w:val="16"/>
              </w:numPr>
              <w:tabs>
                <w:tab w:val="left" w:pos="575"/>
              </w:tabs>
              <w:spacing w:before="3" w:line="223" w:lineRule="auto"/>
              <w:ind w:right="81" w:hanging="372"/>
              <w:jc w:val="both"/>
              <w:rPr>
                <w:lang w:val="ru-RU"/>
              </w:rPr>
            </w:pPr>
            <w:r>
              <w:rPr>
                <w:rFonts w:ascii="Times New Roman" w:eastAsia="MS Mincho" w:hAnsi="Times New Roman" w:cs="Times New Roman"/>
                <w:sz w:val="24"/>
                <w:szCs w:val="24"/>
                <w:lang w:val="ru-RU" w:eastAsia="ja-JP"/>
              </w:rPr>
              <w:t>Лечение пациентов с ХСН, с или без СД2</w:t>
            </w:r>
          </w:p>
        </w:tc>
        <w:tc>
          <w:tcPr>
            <w:tcW w:w="4961" w:type="dxa"/>
          </w:tcPr>
          <w:p w14:paraId="5A49048C" w14:textId="63AE6BB6" w:rsidR="00C035FA" w:rsidRDefault="008D5756" w:rsidP="00007FC4">
            <w:pPr>
              <w:pStyle w:val="TableParagraph"/>
              <w:tabs>
                <w:tab w:val="left" w:pos="141"/>
              </w:tabs>
              <w:ind w:left="141" w:right="132"/>
              <w:rPr>
                <w:rFonts w:ascii="Times New Roman" w:eastAsia="MS Mincho" w:hAnsi="Times New Roman" w:cs="Times New Roman"/>
                <w:sz w:val="24"/>
                <w:szCs w:val="24"/>
                <w:lang w:val="ru-RU" w:eastAsia="ja-JP"/>
              </w:rPr>
            </w:pPr>
            <w:r>
              <w:rPr>
                <w:rFonts w:ascii="Times New Roman" w:eastAsia="MS Mincho" w:hAnsi="Times New Roman" w:cs="Times New Roman"/>
                <w:sz w:val="24"/>
                <w:szCs w:val="24"/>
                <w:lang w:val="ru-RU" w:eastAsia="ja-JP"/>
              </w:rPr>
              <w:t>Применение</w:t>
            </w:r>
            <w:r w:rsidR="00DB1D88">
              <w:rPr>
                <w:rFonts w:ascii="Times New Roman" w:eastAsia="MS Mincho" w:hAnsi="Times New Roman" w:cs="Times New Roman"/>
                <w:sz w:val="24"/>
                <w:szCs w:val="24"/>
                <w:lang w:val="ru-RU" w:eastAsia="ja-JP"/>
              </w:rPr>
              <w:t xml:space="preserve"> </w:t>
            </w:r>
            <w:r>
              <w:rPr>
                <w:rFonts w:ascii="Times New Roman" w:eastAsia="MS Mincho" w:hAnsi="Times New Roman" w:cs="Times New Roman"/>
                <w:sz w:val="24"/>
                <w:szCs w:val="24"/>
                <w:lang w:val="ru-RU" w:eastAsia="ja-JP"/>
              </w:rPr>
              <w:t>препарата</w:t>
            </w:r>
            <w:r w:rsidR="00DB1D88">
              <w:rPr>
                <w:rFonts w:ascii="Times New Roman" w:eastAsia="MS Mincho" w:hAnsi="Times New Roman" w:cs="Times New Roman"/>
                <w:sz w:val="24"/>
                <w:szCs w:val="24"/>
                <w:lang w:val="ru-RU" w:eastAsia="ja-JP"/>
              </w:rPr>
              <w:t xml:space="preserve"> </w:t>
            </w:r>
            <w:r>
              <w:rPr>
                <w:rFonts w:ascii="Times New Roman" w:eastAsia="MS Mincho" w:hAnsi="Times New Roman" w:cs="Times New Roman"/>
                <w:sz w:val="24"/>
                <w:szCs w:val="24"/>
                <w:lang w:val="ru-RU" w:eastAsia="ja-JP"/>
              </w:rPr>
              <w:t>у</w:t>
            </w:r>
            <w:r w:rsidR="00DB1D88">
              <w:rPr>
                <w:rFonts w:ascii="Times New Roman" w:eastAsia="MS Mincho" w:hAnsi="Times New Roman" w:cs="Times New Roman"/>
                <w:sz w:val="24"/>
                <w:szCs w:val="24"/>
                <w:lang w:val="ru-RU" w:eastAsia="ja-JP"/>
              </w:rPr>
              <w:t xml:space="preserve"> </w:t>
            </w:r>
            <w:r>
              <w:rPr>
                <w:rFonts w:ascii="Times New Roman" w:eastAsia="MS Mincho" w:hAnsi="Times New Roman" w:cs="Times New Roman"/>
                <w:sz w:val="24"/>
                <w:szCs w:val="24"/>
                <w:lang w:val="ru-RU" w:eastAsia="ja-JP"/>
              </w:rPr>
              <w:t>пациентов с почечной недостаточностью при СКФ &lt; 20 мл/мин/1,73 м</w:t>
            </w:r>
            <w:r>
              <w:rPr>
                <w:rFonts w:ascii="Times New Roman" w:eastAsia="MS Mincho" w:hAnsi="Times New Roman" w:cs="Times New Roman"/>
                <w:sz w:val="24"/>
                <w:szCs w:val="24"/>
                <w:vertAlign w:val="superscript"/>
                <w:lang w:val="ru-RU" w:eastAsia="ja-JP"/>
              </w:rPr>
              <w:t xml:space="preserve">2 </w:t>
            </w:r>
            <w:r>
              <w:rPr>
                <w:rFonts w:ascii="Times New Roman" w:eastAsia="MS Mincho" w:hAnsi="Times New Roman" w:cs="Times New Roman"/>
                <w:sz w:val="24"/>
                <w:szCs w:val="24"/>
                <w:lang w:val="ru-RU" w:eastAsia="ja-JP"/>
              </w:rPr>
              <w:t>противопоказано в связи с ограниченным опытом применения.</w:t>
            </w:r>
          </w:p>
        </w:tc>
      </w:tr>
    </w:tbl>
    <w:p w14:paraId="45D82E2E" w14:textId="77777777" w:rsidR="00C035FA" w:rsidRDefault="00C035FA">
      <w:pPr>
        <w:widowControl w:val="0"/>
        <w:tabs>
          <w:tab w:val="left" w:pos="8647"/>
        </w:tabs>
        <w:spacing w:after="0" w:line="240" w:lineRule="auto"/>
        <w:rPr>
          <w:rFonts w:eastAsia="Courier New"/>
          <w:b/>
          <w:highlight w:val="yellow"/>
          <w:lang w:eastAsia="ru-RU" w:bidi="ru-RU"/>
        </w:rPr>
      </w:pPr>
    </w:p>
    <w:p w14:paraId="1170669E" w14:textId="77777777" w:rsidR="00C035FA" w:rsidRPr="00007FC4" w:rsidRDefault="008D5756" w:rsidP="00007FC4">
      <w:pPr>
        <w:spacing w:after="0" w:line="240" w:lineRule="auto"/>
        <w:ind w:firstLine="709"/>
        <w:rPr>
          <w:b/>
          <w:i/>
          <w:color w:val="000000" w:themeColor="text1"/>
        </w:rPr>
      </w:pPr>
      <w:r w:rsidRPr="00007FC4">
        <w:rPr>
          <w:b/>
          <w:i/>
          <w:color w:val="000000" w:themeColor="text1"/>
        </w:rPr>
        <w:t>У пациентов с нарушением функции печени</w:t>
      </w:r>
    </w:p>
    <w:p w14:paraId="201D6EF4" w14:textId="77777777" w:rsidR="00C035FA" w:rsidRDefault="008D5756" w:rsidP="000C7F59">
      <w:pPr>
        <w:pStyle w:val="NormalWeb"/>
        <w:shd w:val="clear" w:color="auto" w:fill="FFFFFF"/>
        <w:tabs>
          <w:tab w:val="left" w:pos="8647"/>
        </w:tabs>
        <w:spacing w:before="0" w:beforeAutospacing="0" w:after="0" w:afterAutospacing="0"/>
        <w:ind w:firstLine="709"/>
        <w:jc w:val="both"/>
        <w:rPr>
          <w:color w:val="000000" w:themeColor="text1"/>
        </w:rPr>
      </w:pPr>
      <w:r>
        <w:rPr>
          <w:color w:val="000000" w:themeColor="text1"/>
        </w:rPr>
        <w:t>У пациентов с печеночной недостаточностью легкой и средней степени тяжести коррекции дозы препарата не требуется. Экспозиция эмпаглифлозина у пациентов с печеночной недостаточностью тяжелой степени увеличивается. Клинические данные по применению эмпаглифлозина у пациентов с печеночной недостаточностью тяжелой степени ограничены, в связи с чем применение препарата у таких пациентов не рекомендуется.</w:t>
      </w:r>
    </w:p>
    <w:p w14:paraId="708E72C7" w14:textId="77777777" w:rsidR="002604EF" w:rsidRDefault="002604EF" w:rsidP="000C7F59">
      <w:pPr>
        <w:pStyle w:val="NormalWeb"/>
        <w:shd w:val="clear" w:color="auto" w:fill="FFFFFF"/>
        <w:tabs>
          <w:tab w:val="left" w:pos="8647"/>
        </w:tabs>
        <w:spacing w:before="0" w:beforeAutospacing="0" w:after="0" w:afterAutospacing="0"/>
        <w:ind w:firstLine="709"/>
        <w:jc w:val="both"/>
        <w:rPr>
          <w:i/>
          <w:color w:val="000000" w:themeColor="text1"/>
        </w:rPr>
      </w:pPr>
    </w:p>
    <w:p w14:paraId="243638EB" w14:textId="47C520F7" w:rsidR="00C035FA" w:rsidRPr="00007FC4" w:rsidRDefault="008D5756" w:rsidP="00007FC4">
      <w:pPr>
        <w:spacing w:after="0" w:line="240" w:lineRule="auto"/>
        <w:ind w:firstLine="709"/>
        <w:rPr>
          <w:b/>
          <w:i/>
          <w:color w:val="000000" w:themeColor="text1"/>
        </w:rPr>
      </w:pPr>
      <w:r w:rsidRPr="00007FC4">
        <w:rPr>
          <w:b/>
          <w:i/>
          <w:color w:val="000000" w:themeColor="text1"/>
        </w:rPr>
        <w:t>Дети и подростки до 18 лет</w:t>
      </w:r>
    </w:p>
    <w:p w14:paraId="4F3264A4" w14:textId="77777777" w:rsidR="00C035FA" w:rsidRDefault="008D5756" w:rsidP="000C7F59">
      <w:pPr>
        <w:pStyle w:val="NormalWeb"/>
        <w:shd w:val="clear" w:color="auto" w:fill="FFFFFF"/>
        <w:tabs>
          <w:tab w:val="left" w:pos="8647"/>
        </w:tabs>
        <w:spacing w:before="0" w:beforeAutospacing="0" w:after="0" w:afterAutospacing="0"/>
        <w:ind w:firstLine="709"/>
        <w:jc w:val="both"/>
        <w:rPr>
          <w:color w:val="000000" w:themeColor="text1"/>
        </w:rPr>
      </w:pPr>
      <w:r>
        <w:rPr>
          <w:color w:val="000000" w:themeColor="text1"/>
        </w:rPr>
        <w:t>Безопасность и эффективность эмпаглифлозина у детей и подростков до 18 лет не установлены.</w:t>
      </w:r>
    </w:p>
    <w:p w14:paraId="6ABC5E66" w14:textId="77777777" w:rsidR="002604EF" w:rsidRDefault="002604EF" w:rsidP="000C7F59">
      <w:pPr>
        <w:pStyle w:val="NormalWeb"/>
        <w:shd w:val="clear" w:color="auto" w:fill="FFFFFF"/>
        <w:tabs>
          <w:tab w:val="left" w:pos="8647"/>
        </w:tabs>
        <w:spacing w:before="0" w:beforeAutospacing="0" w:after="0" w:afterAutospacing="0"/>
        <w:ind w:firstLine="709"/>
        <w:jc w:val="both"/>
        <w:rPr>
          <w:i/>
          <w:color w:val="000000" w:themeColor="text1"/>
        </w:rPr>
      </w:pPr>
    </w:p>
    <w:p w14:paraId="5B4BB62D" w14:textId="23D62E56" w:rsidR="00C035FA" w:rsidRPr="00007FC4" w:rsidRDefault="008D5756" w:rsidP="00007FC4">
      <w:pPr>
        <w:spacing w:after="0" w:line="240" w:lineRule="auto"/>
        <w:ind w:firstLine="709"/>
        <w:rPr>
          <w:b/>
          <w:i/>
          <w:color w:val="000000" w:themeColor="text1"/>
        </w:rPr>
      </w:pPr>
      <w:r w:rsidRPr="00007FC4">
        <w:rPr>
          <w:b/>
          <w:i/>
          <w:color w:val="000000" w:themeColor="text1"/>
        </w:rPr>
        <w:t>У пациентов пожилого возраста</w:t>
      </w:r>
    </w:p>
    <w:p w14:paraId="26823F8A" w14:textId="33AA3CC8" w:rsidR="002604EF" w:rsidRDefault="008D5756" w:rsidP="00007FC4">
      <w:pPr>
        <w:pStyle w:val="NormalWeb"/>
        <w:shd w:val="clear" w:color="auto" w:fill="FFFFFF"/>
        <w:tabs>
          <w:tab w:val="left" w:pos="8647"/>
        </w:tabs>
        <w:spacing w:before="0" w:beforeAutospacing="0" w:after="0" w:afterAutospacing="0"/>
        <w:ind w:firstLine="709"/>
        <w:jc w:val="both"/>
        <w:rPr>
          <w:color w:val="000000" w:themeColor="text1"/>
        </w:rPr>
      </w:pPr>
      <w:r>
        <w:rPr>
          <w:color w:val="000000" w:themeColor="text1"/>
        </w:rPr>
        <w:lastRenderedPageBreak/>
        <w:t xml:space="preserve">Коррекции дозы эмпаглифлозина в зависимости от возраста не требуется. У пациентов в возрасте 75 лет и старше следует </w:t>
      </w:r>
      <w:r w:rsidR="00E25D5C">
        <w:rPr>
          <w:color w:val="000000" w:themeColor="text1"/>
        </w:rPr>
        <w:t xml:space="preserve">учитывать </w:t>
      </w:r>
      <w:r>
        <w:rPr>
          <w:color w:val="000000" w:themeColor="text1"/>
        </w:rPr>
        <w:t>повышенный риск гиповолемии.</w:t>
      </w:r>
    </w:p>
    <w:p w14:paraId="24EA8C37" w14:textId="77777777" w:rsidR="00007FC4" w:rsidRPr="00007FC4" w:rsidRDefault="00007FC4" w:rsidP="00007FC4">
      <w:pPr>
        <w:pStyle w:val="NormalWeb"/>
        <w:shd w:val="clear" w:color="auto" w:fill="FFFFFF"/>
        <w:tabs>
          <w:tab w:val="left" w:pos="8647"/>
        </w:tabs>
        <w:spacing w:before="0" w:beforeAutospacing="0" w:after="0" w:afterAutospacing="0"/>
        <w:ind w:firstLine="709"/>
        <w:jc w:val="both"/>
        <w:rPr>
          <w:color w:val="000000" w:themeColor="text1"/>
        </w:rPr>
      </w:pPr>
    </w:p>
    <w:p w14:paraId="3AAE5D49" w14:textId="5797B166" w:rsidR="00C035FA" w:rsidRPr="00007FC4" w:rsidRDefault="00007FC4" w:rsidP="00007FC4">
      <w:pPr>
        <w:widowControl w:val="0"/>
        <w:spacing w:after="0" w:line="240" w:lineRule="auto"/>
        <w:rPr>
          <w:rFonts w:eastAsia="Courier New"/>
          <w:b/>
          <w:lang w:eastAsia="ru-RU" w:bidi="ru-RU"/>
        </w:rPr>
      </w:pPr>
      <w:r>
        <w:rPr>
          <w:rFonts w:eastAsia="Courier New"/>
          <w:b/>
          <w:lang w:eastAsia="ru-RU" w:bidi="ru-RU"/>
        </w:rPr>
        <w:t>Способ введения</w:t>
      </w:r>
    </w:p>
    <w:p w14:paraId="48BC9055" w14:textId="77777777" w:rsidR="00007FC4" w:rsidRDefault="00007FC4" w:rsidP="00005816">
      <w:pPr>
        <w:pStyle w:val="NormalWeb"/>
        <w:shd w:val="clear" w:color="auto" w:fill="FFFFFF"/>
        <w:tabs>
          <w:tab w:val="left" w:pos="8647"/>
        </w:tabs>
        <w:spacing w:before="0" w:beforeAutospacing="0" w:after="0" w:afterAutospacing="0"/>
        <w:ind w:firstLine="709"/>
        <w:jc w:val="both"/>
        <w:rPr>
          <w:color w:val="000000" w:themeColor="text1"/>
        </w:rPr>
      </w:pPr>
    </w:p>
    <w:p w14:paraId="3DD3897E" w14:textId="78A0B7EA" w:rsidR="002604EF" w:rsidRPr="00005816" w:rsidRDefault="008D5756" w:rsidP="00005816">
      <w:pPr>
        <w:pStyle w:val="NormalWeb"/>
        <w:shd w:val="clear" w:color="auto" w:fill="FFFFFF"/>
        <w:tabs>
          <w:tab w:val="left" w:pos="8647"/>
        </w:tabs>
        <w:spacing w:before="0" w:beforeAutospacing="0" w:after="0" w:afterAutospacing="0"/>
        <w:ind w:firstLine="709"/>
        <w:jc w:val="both"/>
        <w:rPr>
          <w:color w:val="000000" w:themeColor="text1"/>
        </w:rPr>
      </w:pPr>
      <w:r>
        <w:rPr>
          <w:color w:val="000000" w:themeColor="text1"/>
        </w:rPr>
        <w:t>Таблетки следует принимать внутрь, запивая водой. Эмпаглифлозин может приниматься независимо от приема пищи в любое время дня.</w:t>
      </w:r>
    </w:p>
    <w:p w14:paraId="2DA27321" w14:textId="77777777" w:rsidR="002604EF" w:rsidRPr="002604EF" w:rsidRDefault="002604EF" w:rsidP="002604EF">
      <w:pPr>
        <w:pStyle w:val="NormalWeb"/>
        <w:shd w:val="clear" w:color="auto" w:fill="FFFFFF"/>
        <w:tabs>
          <w:tab w:val="left" w:pos="8647"/>
        </w:tabs>
        <w:spacing w:before="0" w:beforeAutospacing="0" w:after="0" w:afterAutospacing="0"/>
        <w:jc w:val="both"/>
        <w:rPr>
          <w:color w:val="000000" w:themeColor="text1"/>
          <w:highlight w:val="yellow"/>
        </w:rPr>
      </w:pPr>
    </w:p>
    <w:p w14:paraId="3DC9DD65" w14:textId="38D24CAA" w:rsidR="00C035FA" w:rsidRDefault="008D5756">
      <w:pPr>
        <w:pStyle w:val="Heading3"/>
        <w:tabs>
          <w:tab w:val="left" w:pos="8647"/>
        </w:tabs>
        <w:spacing w:before="0" w:after="0" w:line="240" w:lineRule="auto"/>
        <w:rPr>
          <w:rFonts w:ascii="Times New Roman" w:hAnsi="Times New Roman"/>
          <w:color w:val="000000" w:themeColor="text1"/>
        </w:rPr>
      </w:pPr>
      <w:bookmarkStart w:id="202" w:name="_Toc139366904"/>
      <w:r>
        <w:rPr>
          <w:rFonts w:ascii="Times New Roman" w:hAnsi="Times New Roman"/>
          <w:color w:val="000000" w:themeColor="text1"/>
        </w:rPr>
        <w:t>5.3.5. Побочн</w:t>
      </w:r>
      <w:bookmarkEnd w:id="199"/>
      <w:bookmarkEnd w:id="200"/>
      <w:bookmarkEnd w:id="201"/>
      <w:r>
        <w:rPr>
          <w:rFonts w:ascii="Times New Roman" w:hAnsi="Times New Roman"/>
          <w:color w:val="000000" w:themeColor="text1"/>
        </w:rPr>
        <w:t>ое действие</w:t>
      </w:r>
      <w:bookmarkEnd w:id="202"/>
    </w:p>
    <w:p w14:paraId="658E9F63" w14:textId="77777777" w:rsidR="002604EF" w:rsidRDefault="002604EF">
      <w:pPr>
        <w:spacing w:after="0" w:line="240" w:lineRule="auto"/>
        <w:ind w:hanging="1"/>
        <w:rPr>
          <w:rFonts w:eastAsia="Times New Roman"/>
          <w:color w:val="000000" w:themeColor="text1"/>
          <w:u w:val="single"/>
          <w:lang w:eastAsia="ru-RU"/>
        </w:rPr>
      </w:pPr>
      <w:bookmarkStart w:id="203" w:name="bookmark5"/>
    </w:p>
    <w:p w14:paraId="043F40F7" w14:textId="61BB3289" w:rsidR="00C035FA" w:rsidRPr="00007FC4" w:rsidRDefault="008D5756" w:rsidP="002E566D">
      <w:pPr>
        <w:spacing w:after="0" w:line="240" w:lineRule="auto"/>
        <w:rPr>
          <w:rFonts w:eastAsia="Times New Roman"/>
          <w:b/>
          <w:color w:val="000000" w:themeColor="text1"/>
          <w:lang w:eastAsia="ru-RU"/>
        </w:rPr>
      </w:pPr>
      <w:r w:rsidRPr="00007FC4">
        <w:rPr>
          <w:rFonts w:eastAsia="Times New Roman"/>
          <w:b/>
          <w:color w:val="000000" w:themeColor="text1"/>
          <w:lang w:eastAsia="ru-RU"/>
        </w:rPr>
        <w:t xml:space="preserve">Общий профиль безопасности </w:t>
      </w:r>
    </w:p>
    <w:p w14:paraId="0DFA988E" w14:textId="77777777" w:rsidR="002604EF" w:rsidRDefault="002604EF" w:rsidP="000C7F59">
      <w:pPr>
        <w:spacing w:after="0" w:line="240" w:lineRule="auto"/>
        <w:ind w:firstLine="709"/>
        <w:rPr>
          <w:rFonts w:eastAsia="Times New Roman"/>
          <w:i/>
          <w:color w:val="000000" w:themeColor="text1"/>
          <w:lang w:eastAsia="ru-RU"/>
        </w:rPr>
      </w:pPr>
    </w:p>
    <w:p w14:paraId="09ABEBF8" w14:textId="5DD6A165" w:rsidR="00C035FA" w:rsidRPr="00007FC4" w:rsidRDefault="008D5756" w:rsidP="000C7F59">
      <w:pPr>
        <w:spacing w:after="0" w:line="240" w:lineRule="auto"/>
        <w:ind w:firstLine="709"/>
        <w:rPr>
          <w:rFonts w:eastAsia="Times New Roman"/>
          <w:b/>
          <w:i/>
          <w:color w:val="000000" w:themeColor="text1"/>
          <w:lang w:eastAsia="ru-RU"/>
        </w:rPr>
      </w:pPr>
      <w:r w:rsidRPr="00007FC4">
        <w:rPr>
          <w:rFonts w:eastAsia="Times New Roman"/>
          <w:b/>
          <w:i/>
          <w:color w:val="000000" w:themeColor="text1"/>
          <w:lang w:eastAsia="ru-RU"/>
        </w:rPr>
        <w:t>Пациенты с сахарным диабетом 2 типа</w:t>
      </w:r>
    </w:p>
    <w:p w14:paraId="23885154" w14:textId="4E55ED55" w:rsidR="00C035FA" w:rsidRDefault="008D5756" w:rsidP="000C7F59">
      <w:pPr>
        <w:spacing w:after="0" w:line="240" w:lineRule="auto"/>
        <w:ind w:firstLine="709"/>
        <w:rPr>
          <w:rFonts w:eastAsia="Times New Roman"/>
          <w:color w:val="000000" w:themeColor="text1"/>
          <w:lang w:eastAsia="ru-RU"/>
        </w:rPr>
      </w:pPr>
      <w:r>
        <w:rPr>
          <w:rFonts w:eastAsia="Times New Roman"/>
          <w:color w:val="000000" w:themeColor="text1"/>
          <w:lang w:eastAsia="ru-RU"/>
        </w:rPr>
        <w:t xml:space="preserve">В клинические исследования с целью оценки безопасности эмпаглифлозина были включены 15582 пациента с СД 2, 10004 из них получали эмпаглифлозин в качестве монотерапии, а также в комбинации с метформином, производным сульфонилмочевины, пиоглитазоном, ингибиторами ДПП-4 или инсулином. В 6 плацебо-контролируемых исследований продолжительностью 18-24 месяца </w:t>
      </w:r>
      <w:r w:rsidR="00E25D5C">
        <w:rPr>
          <w:rFonts w:eastAsia="Times New Roman"/>
          <w:color w:val="000000" w:themeColor="text1"/>
          <w:lang w:eastAsia="ru-RU"/>
        </w:rPr>
        <w:t xml:space="preserve">было </w:t>
      </w:r>
      <w:r>
        <w:rPr>
          <w:rFonts w:eastAsia="Times New Roman"/>
          <w:color w:val="000000" w:themeColor="text1"/>
          <w:lang w:eastAsia="ru-RU"/>
        </w:rPr>
        <w:t xml:space="preserve">включено 3534 пациента, 1183 из них получали плацебо, 2351 </w:t>
      </w:r>
      <w:r w:rsidR="007F4E89">
        <w:rPr>
          <w:rFonts w:eastAsia="Times New Roman"/>
          <w:color w:val="000000" w:themeColor="text1"/>
          <w:lang w:eastAsia="ru-RU"/>
        </w:rPr>
        <w:t>–</w:t>
      </w:r>
      <w:r>
        <w:rPr>
          <w:rFonts w:eastAsia="Times New Roman"/>
          <w:color w:val="000000" w:themeColor="text1"/>
          <w:lang w:eastAsia="ru-RU"/>
        </w:rPr>
        <w:t xml:space="preserve"> эмпаглифлозин. Общая частота возникновения нежелательных реакций (НР) у пациентов, получавших эмпаглифлозин, была аналогична таковой у пациентов, принимавших плацебо. Самой частой НР была гипогликемия при применении с производным сульфонилмочевины или инсулином (см. описание отдельных НР).</w:t>
      </w:r>
    </w:p>
    <w:p w14:paraId="7099AE59" w14:textId="77777777" w:rsidR="002604EF" w:rsidRPr="00485E09" w:rsidRDefault="002604EF" w:rsidP="000C7F59">
      <w:pPr>
        <w:spacing w:after="0" w:line="240" w:lineRule="auto"/>
        <w:ind w:firstLine="709"/>
        <w:rPr>
          <w:i/>
          <w:w w:val="105"/>
        </w:rPr>
      </w:pPr>
    </w:p>
    <w:p w14:paraId="3FA4BAE3" w14:textId="599CD4B9" w:rsidR="00C035FA" w:rsidRPr="00007FC4" w:rsidRDefault="008D5756" w:rsidP="000C7F59">
      <w:pPr>
        <w:spacing w:after="0" w:line="240" w:lineRule="auto"/>
        <w:ind w:firstLine="709"/>
        <w:rPr>
          <w:rFonts w:eastAsia="Times New Roman"/>
          <w:b/>
          <w:i/>
          <w:color w:val="000000" w:themeColor="text1"/>
          <w:lang w:eastAsia="ru-RU"/>
        </w:rPr>
      </w:pPr>
      <w:r w:rsidRPr="00007FC4">
        <w:rPr>
          <w:rFonts w:eastAsia="Times New Roman"/>
          <w:b/>
          <w:i/>
          <w:color w:val="000000" w:themeColor="text1"/>
          <w:lang w:eastAsia="ru-RU"/>
        </w:rPr>
        <w:t>Пациенты с хронической сердечной недостаточностью</w:t>
      </w:r>
    </w:p>
    <w:p w14:paraId="2DA27939" w14:textId="27E69E1B" w:rsidR="00C035FA" w:rsidRDefault="008D5756" w:rsidP="000C7F59">
      <w:pPr>
        <w:spacing w:after="0" w:line="240" w:lineRule="auto"/>
        <w:ind w:firstLine="709"/>
        <w:rPr>
          <w:rFonts w:eastAsia="Times New Roman"/>
          <w:color w:val="000000" w:themeColor="text1"/>
          <w:lang w:eastAsia="ru-RU"/>
        </w:rPr>
      </w:pPr>
      <w:r w:rsidRPr="00485E09">
        <w:rPr>
          <w:rFonts w:eastAsia="Times New Roman"/>
          <w:lang w:eastAsia="ru-RU"/>
        </w:rPr>
        <w:t>В исследования EMPEROR б</w:t>
      </w:r>
      <w:r w:rsidR="00E25D5C">
        <w:rPr>
          <w:rFonts w:eastAsia="Times New Roman"/>
          <w:lang w:eastAsia="ru-RU"/>
        </w:rPr>
        <w:t>ыл</w:t>
      </w:r>
      <w:r w:rsidRPr="00485E09">
        <w:rPr>
          <w:rFonts w:eastAsia="Times New Roman"/>
          <w:lang w:eastAsia="ru-RU"/>
        </w:rPr>
        <w:t xml:space="preserve">и включены пациенты с ХСН со сниженной фракцией выброса (N=3726) или сохраненной фракцией выброса (N=5985), которые получали эмпаглифлозин </w:t>
      </w:r>
      <w:r w:rsidR="00E25D5C" w:rsidRPr="00485E09">
        <w:rPr>
          <w:rFonts w:eastAsia="Times New Roman"/>
          <w:lang w:eastAsia="ru-RU"/>
        </w:rPr>
        <w:t>1</w:t>
      </w:r>
      <w:r w:rsidR="00E25D5C">
        <w:rPr>
          <w:rFonts w:eastAsia="Times New Roman"/>
          <w:lang w:eastAsia="ru-RU"/>
        </w:rPr>
        <w:t>0</w:t>
      </w:r>
      <w:r w:rsidR="00E25D5C" w:rsidRPr="00485E09">
        <w:rPr>
          <w:rFonts w:eastAsia="Times New Roman"/>
          <w:lang w:eastAsia="ru-RU"/>
        </w:rPr>
        <w:t xml:space="preserve"> </w:t>
      </w:r>
      <w:r w:rsidRPr="00485E09">
        <w:rPr>
          <w:rFonts w:eastAsia="Times New Roman"/>
          <w:lang w:eastAsia="ru-RU"/>
        </w:rPr>
        <w:t xml:space="preserve">мг или плацебо. Примерно у половины пациентов </w:t>
      </w:r>
      <w:r w:rsidR="00E25D5C" w:rsidRPr="00485E09">
        <w:rPr>
          <w:rFonts w:eastAsia="Times New Roman"/>
          <w:lang w:eastAsia="ru-RU"/>
        </w:rPr>
        <w:t>б</w:t>
      </w:r>
      <w:r w:rsidR="00E25D5C">
        <w:rPr>
          <w:rFonts w:eastAsia="Times New Roman"/>
          <w:lang w:eastAsia="ru-RU"/>
        </w:rPr>
        <w:t>ыл</w:t>
      </w:r>
      <w:r w:rsidR="00E25D5C" w:rsidRPr="00485E09">
        <w:rPr>
          <w:rFonts w:eastAsia="Times New Roman"/>
          <w:lang w:eastAsia="ru-RU"/>
        </w:rPr>
        <w:t xml:space="preserve"> </w:t>
      </w:r>
      <w:r w:rsidRPr="00485E09">
        <w:rPr>
          <w:rFonts w:eastAsia="Times New Roman"/>
          <w:lang w:eastAsia="ru-RU"/>
        </w:rPr>
        <w:t xml:space="preserve">СД 2. Самой частой </w:t>
      </w:r>
      <w:r>
        <w:rPr>
          <w:rFonts w:eastAsia="Times New Roman"/>
          <w:color w:val="000000" w:themeColor="text1"/>
          <w:lang w:eastAsia="ru-RU"/>
        </w:rPr>
        <w:t xml:space="preserve">НР в объединенных исследованиях EMPEROR-Reduced и EМPEROR-Preserved </w:t>
      </w:r>
      <w:r w:rsidR="00E25D5C">
        <w:rPr>
          <w:rFonts w:eastAsia="Times New Roman"/>
          <w:color w:val="000000" w:themeColor="text1"/>
          <w:lang w:eastAsia="ru-RU"/>
        </w:rPr>
        <w:t xml:space="preserve">была </w:t>
      </w:r>
      <w:r>
        <w:rPr>
          <w:rFonts w:eastAsia="Times New Roman"/>
          <w:color w:val="000000" w:themeColor="text1"/>
          <w:lang w:eastAsia="ru-RU"/>
        </w:rPr>
        <w:t>гиповолемия (эмпаглифлозин 10 мг: 11,4 %, плацебо: 9,7 %).</w:t>
      </w:r>
    </w:p>
    <w:p w14:paraId="4D11429E" w14:textId="2FE18616" w:rsidR="00C035FA" w:rsidRDefault="008D5756" w:rsidP="000C7F59">
      <w:pPr>
        <w:spacing w:after="0" w:line="240" w:lineRule="auto"/>
        <w:ind w:firstLine="709"/>
        <w:rPr>
          <w:rFonts w:eastAsia="Times New Roman"/>
          <w:color w:val="000000" w:themeColor="text1"/>
          <w:lang w:eastAsia="ru-RU"/>
        </w:rPr>
      </w:pPr>
      <w:r>
        <w:rPr>
          <w:rFonts w:eastAsia="Times New Roman"/>
          <w:color w:val="000000" w:themeColor="text1"/>
          <w:lang w:eastAsia="ru-RU"/>
        </w:rPr>
        <w:t>Общий профиль безопасности применения препарата Д</w:t>
      </w:r>
      <w:r w:rsidR="000C7F59">
        <w:rPr>
          <w:rFonts w:eastAsia="Times New Roman"/>
          <w:color w:val="000000" w:themeColor="text1"/>
          <w:lang w:eastAsia="ru-RU"/>
        </w:rPr>
        <w:t>жардинс</w:t>
      </w:r>
      <w:r w:rsidRPr="000C7F59">
        <w:rPr>
          <w:rFonts w:eastAsia="Times New Roman"/>
          <w:color w:val="000000" w:themeColor="text1"/>
          <w:vertAlign w:val="superscript"/>
          <w:lang w:eastAsia="ru-RU"/>
        </w:rPr>
        <w:t>®</w:t>
      </w:r>
      <w:r w:rsidR="000C7F59" w:rsidRPr="000C7F59">
        <w:rPr>
          <w:rFonts w:eastAsia="Times New Roman"/>
          <w:color w:val="000000" w:themeColor="text1"/>
          <w:lang w:eastAsia="ru-RU"/>
        </w:rPr>
        <w:t xml:space="preserve"> </w:t>
      </w:r>
      <w:r>
        <w:rPr>
          <w:rFonts w:eastAsia="Times New Roman"/>
          <w:color w:val="000000" w:themeColor="text1"/>
          <w:lang w:eastAsia="ru-RU"/>
        </w:rPr>
        <w:t>был в целом схожим для изученных показаний к применению.</w:t>
      </w:r>
    </w:p>
    <w:p w14:paraId="2A35891B" w14:textId="1DBF327F" w:rsidR="00C035FA" w:rsidRDefault="008D5756" w:rsidP="000C7F59">
      <w:pPr>
        <w:spacing w:after="0" w:line="240" w:lineRule="auto"/>
        <w:ind w:firstLine="709"/>
        <w:rPr>
          <w:rFonts w:eastAsia="Times New Roman"/>
          <w:color w:val="000000" w:themeColor="text1"/>
          <w:lang w:eastAsia="ru-RU"/>
        </w:rPr>
      </w:pPr>
      <w:r>
        <w:rPr>
          <w:rFonts w:eastAsia="Times New Roman"/>
          <w:color w:val="000000" w:themeColor="text1"/>
          <w:lang w:eastAsia="ru-RU"/>
        </w:rPr>
        <w:t>НР, зарегистрированные у пациентов, получавших эмпаглифлозин в плацебо­ контролируемых исследованиях, распределены по системно-органным классам и терминологии MedDRA и представлены в таблице ниже (Таблица 5-</w:t>
      </w:r>
      <w:r w:rsidR="00005816">
        <w:rPr>
          <w:rFonts w:eastAsia="Times New Roman"/>
          <w:color w:val="000000" w:themeColor="text1"/>
          <w:lang w:eastAsia="ru-RU"/>
        </w:rPr>
        <w:t>2</w:t>
      </w:r>
      <w:r>
        <w:rPr>
          <w:rFonts w:eastAsia="Times New Roman"/>
          <w:color w:val="000000" w:themeColor="text1"/>
          <w:lang w:eastAsia="ru-RU"/>
        </w:rPr>
        <w:t>). НР перечислены в градации по абсолютной частоте их возникновения. Частота определяется как: очень часто (2: 1/10), часто (от 2: 1/100 до &lt;1/10), нечасто (от 2: 1/1000 до</w:t>
      </w:r>
      <w:r w:rsidR="00005816">
        <w:rPr>
          <w:rFonts w:eastAsia="Times New Roman"/>
          <w:color w:val="000000" w:themeColor="text1"/>
          <w:lang w:eastAsia="ru-RU"/>
        </w:rPr>
        <w:t xml:space="preserve"> </w:t>
      </w:r>
      <w:r>
        <w:rPr>
          <w:rFonts w:eastAsia="Times New Roman"/>
          <w:color w:val="000000" w:themeColor="text1"/>
          <w:lang w:eastAsia="ru-RU"/>
        </w:rPr>
        <w:t>&lt; 1/100), редко (от 2: 1/10000 &lt; 1/1000), очень редко (&lt; 1/10000) или неизвестно (невозможно оценить на основании имеющихся данных).</w:t>
      </w:r>
    </w:p>
    <w:p w14:paraId="62D9A540" w14:textId="77777777" w:rsidR="00C035FA" w:rsidRDefault="00C035FA">
      <w:pPr>
        <w:spacing w:after="0" w:line="240" w:lineRule="auto"/>
        <w:ind w:hanging="1"/>
        <w:rPr>
          <w:rFonts w:eastAsia="Times New Roman"/>
          <w:color w:val="000000" w:themeColor="text1"/>
          <w:lang w:eastAsia="ru-RU"/>
        </w:rPr>
      </w:pPr>
    </w:p>
    <w:p w14:paraId="08FEF3C6" w14:textId="77777777" w:rsidR="00007FC4" w:rsidRDefault="00007FC4">
      <w:pPr>
        <w:spacing w:after="0" w:line="240" w:lineRule="auto"/>
        <w:ind w:firstLine="6"/>
        <w:rPr>
          <w:b/>
          <w:color w:val="363434"/>
          <w:w w:val="105"/>
        </w:rPr>
        <w:sectPr w:rsidR="00007FC4">
          <w:pgSz w:w="11906" w:h="16838"/>
          <w:pgMar w:top="1134" w:right="851" w:bottom="1134" w:left="1701" w:header="709" w:footer="709" w:gutter="0"/>
          <w:cols w:space="708"/>
          <w:docGrid w:linePitch="360"/>
        </w:sectPr>
      </w:pPr>
    </w:p>
    <w:p w14:paraId="52A57D4A" w14:textId="3F2852D8" w:rsidR="00C035FA" w:rsidRDefault="008D5756">
      <w:pPr>
        <w:spacing w:after="0" w:line="240" w:lineRule="auto"/>
        <w:ind w:firstLine="6"/>
        <w:rPr>
          <w:bCs/>
          <w:sz w:val="28"/>
        </w:rPr>
      </w:pPr>
      <w:r>
        <w:rPr>
          <w:b/>
          <w:color w:val="363434"/>
          <w:w w:val="105"/>
        </w:rPr>
        <w:lastRenderedPageBreak/>
        <w:t>Таб</w:t>
      </w:r>
      <w:r>
        <w:rPr>
          <w:b/>
          <w:color w:val="4F4D4F"/>
          <w:w w:val="105"/>
        </w:rPr>
        <w:t>л</w:t>
      </w:r>
      <w:r>
        <w:rPr>
          <w:b/>
          <w:color w:val="363434"/>
          <w:w w:val="105"/>
        </w:rPr>
        <w:t>ица</w:t>
      </w:r>
      <w:r>
        <w:rPr>
          <w:b/>
          <w:color w:val="363434"/>
          <w:spacing w:val="-9"/>
          <w:w w:val="105"/>
        </w:rPr>
        <w:t xml:space="preserve"> 5-</w:t>
      </w:r>
      <w:r w:rsidR="00005816">
        <w:rPr>
          <w:b/>
          <w:color w:val="363434"/>
          <w:w w:val="105"/>
        </w:rPr>
        <w:t>2</w:t>
      </w:r>
      <w:r>
        <w:rPr>
          <w:b/>
          <w:color w:val="666464"/>
          <w:w w:val="105"/>
        </w:rPr>
        <w:t>.</w:t>
      </w:r>
      <w:r>
        <w:rPr>
          <w:b/>
          <w:color w:val="666464"/>
          <w:spacing w:val="-7"/>
          <w:w w:val="105"/>
        </w:rPr>
        <w:t xml:space="preserve"> </w:t>
      </w:r>
      <w:r>
        <w:rPr>
          <w:bCs/>
          <w:color w:val="363434"/>
          <w:w w:val="105"/>
        </w:rPr>
        <w:t>Н</w:t>
      </w:r>
      <w:r>
        <w:rPr>
          <w:bCs/>
          <w:color w:val="4F4D4F"/>
          <w:w w:val="105"/>
        </w:rPr>
        <w:t>ежел</w:t>
      </w:r>
      <w:r>
        <w:rPr>
          <w:bCs/>
          <w:color w:val="363434"/>
          <w:w w:val="105"/>
        </w:rPr>
        <w:t>ат</w:t>
      </w:r>
      <w:r>
        <w:rPr>
          <w:bCs/>
          <w:color w:val="4F4D4F"/>
          <w:w w:val="105"/>
        </w:rPr>
        <w:t>ел</w:t>
      </w:r>
      <w:r>
        <w:rPr>
          <w:bCs/>
          <w:color w:val="363434"/>
          <w:w w:val="105"/>
        </w:rPr>
        <w:t>ьны</w:t>
      </w:r>
      <w:r>
        <w:rPr>
          <w:bCs/>
          <w:color w:val="4F4D4F"/>
          <w:w w:val="105"/>
        </w:rPr>
        <w:t>е</w:t>
      </w:r>
      <w:r>
        <w:rPr>
          <w:bCs/>
          <w:color w:val="4F4D4F"/>
          <w:spacing w:val="-16"/>
          <w:w w:val="105"/>
        </w:rPr>
        <w:t xml:space="preserve"> </w:t>
      </w:r>
      <w:r>
        <w:rPr>
          <w:bCs/>
          <w:color w:val="363434"/>
          <w:w w:val="105"/>
        </w:rPr>
        <w:t>реакции</w:t>
      </w:r>
      <w:r>
        <w:rPr>
          <w:bCs/>
          <w:color w:val="4F4D4F"/>
          <w:w w:val="105"/>
        </w:rPr>
        <w:t>,</w:t>
      </w:r>
      <w:r>
        <w:rPr>
          <w:bCs/>
          <w:color w:val="4F4D4F"/>
          <w:spacing w:val="-4"/>
          <w:w w:val="105"/>
        </w:rPr>
        <w:t xml:space="preserve"> </w:t>
      </w:r>
      <w:r>
        <w:rPr>
          <w:bCs/>
          <w:color w:val="4F4D4F"/>
          <w:w w:val="105"/>
        </w:rPr>
        <w:t>з</w:t>
      </w:r>
      <w:r>
        <w:rPr>
          <w:bCs/>
          <w:color w:val="363434"/>
          <w:w w:val="105"/>
        </w:rPr>
        <w:t>аре</w:t>
      </w:r>
      <w:r>
        <w:rPr>
          <w:bCs/>
          <w:color w:val="4F4D4F"/>
          <w:w w:val="105"/>
        </w:rPr>
        <w:t>г</w:t>
      </w:r>
      <w:r>
        <w:rPr>
          <w:bCs/>
          <w:color w:val="363434"/>
          <w:w w:val="105"/>
        </w:rPr>
        <w:t>истрированны</w:t>
      </w:r>
      <w:r>
        <w:rPr>
          <w:bCs/>
          <w:color w:val="4F4D4F"/>
          <w:w w:val="105"/>
        </w:rPr>
        <w:t>е</w:t>
      </w:r>
      <w:r>
        <w:rPr>
          <w:bCs/>
          <w:color w:val="4F4D4F"/>
          <w:spacing w:val="-16"/>
          <w:w w:val="105"/>
        </w:rPr>
        <w:t xml:space="preserve"> </w:t>
      </w:r>
      <w:r>
        <w:rPr>
          <w:bCs/>
          <w:color w:val="4F4D4F"/>
          <w:w w:val="105"/>
        </w:rPr>
        <w:t>в</w:t>
      </w:r>
      <w:r>
        <w:rPr>
          <w:bCs/>
          <w:color w:val="4F4D4F"/>
          <w:spacing w:val="-13"/>
          <w:w w:val="105"/>
        </w:rPr>
        <w:t xml:space="preserve"> </w:t>
      </w:r>
      <w:r>
        <w:rPr>
          <w:bCs/>
          <w:color w:val="4F4D4F"/>
          <w:w w:val="105"/>
        </w:rPr>
        <w:t>кл</w:t>
      </w:r>
      <w:r>
        <w:rPr>
          <w:bCs/>
          <w:color w:val="363434"/>
          <w:w w:val="105"/>
        </w:rPr>
        <w:t>иническ</w:t>
      </w:r>
      <w:r>
        <w:rPr>
          <w:bCs/>
          <w:color w:val="4F4D4F"/>
          <w:w w:val="105"/>
        </w:rPr>
        <w:t>их</w:t>
      </w:r>
      <w:r>
        <w:rPr>
          <w:bCs/>
          <w:color w:val="4F4D4F"/>
          <w:spacing w:val="-12"/>
          <w:w w:val="105"/>
        </w:rPr>
        <w:t xml:space="preserve"> </w:t>
      </w:r>
      <w:r>
        <w:rPr>
          <w:bCs/>
          <w:color w:val="363434"/>
          <w:w w:val="105"/>
        </w:rPr>
        <w:t>исс</w:t>
      </w:r>
      <w:r>
        <w:rPr>
          <w:bCs/>
          <w:color w:val="4F4D4F"/>
          <w:w w:val="105"/>
        </w:rPr>
        <w:t>л</w:t>
      </w:r>
      <w:r>
        <w:rPr>
          <w:bCs/>
          <w:color w:val="363434"/>
          <w:w w:val="105"/>
        </w:rPr>
        <w:t>едованиях</w:t>
      </w:r>
      <w:r>
        <w:rPr>
          <w:bCs/>
          <w:color w:val="363434"/>
          <w:spacing w:val="-3"/>
          <w:w w:val="105"/>
        </w:rPr>
        <w:t xml:space="preserve"> </w:t>
      </w:r>
      <w:r>
        <w:rPr>
          <w:bCs/>
          <w:color w:val="363434"/>
          <w:w w:val="105"/>
        </w:rPr>
        <w:t>и постр</w:t>
      </w:r>
      <w:r>
        <w:rPr>
          <w:bCs/>
          <w:color w:val="4F4D4F"/>
          <w:w w:val="105"/>
        </w:rPr>
        <w:t>егистр</w:t>
      </w:r>
      <w:r>
        <w:rPr>
          <w:bCs/>
          <w:color w:val="363434"/>
          <w:w w:val="105"/>
        </w:rPr>
        <w:t>ационно</w:t>
      </w:r>
      <w:r>
        <w:rPr>
          <w:bCs/>
          <w:color w:val="4F4D4F"/>
          <w:w w:val="105"/>
        </w:rPr>
        <w:t xml:space="preserve">м </w:t>
      </w:r>
      <w:r>
        <w:rPr>
          <w:bCs/>
          <w:color w:val="363434"/>
          <w:w w:val="105"/>
        </w:rPr>
        <w:t>п</w:t>
      </w:r>
      <w:r>
        <w:rPr>
          <w:bCs/>
          <w:color w:val="4F4D4F"/>
          <w:w w:val="105"/>
        </w:rPr>
        <w:t>е</w:t>
      </w:r>
      <w:r>
        <w:rPr>
          <w:bCs/>
          <w:color w:val="363434"/>
          <w:w w:val="105"/>
        </w:rPr>
        <w:t>риод</w:t>
      </w:r>
      <w:r>
        <w:rPr>
          <w:bCs/>
          <w:color w:val="4F4D4F"/>
          <w:w w:val="105"/>
        </w:rPr>
        <w:t xml:space="preserve">е </w:t>
      </w:r>
      <w:r>
        <w:rPr>
          <w:bCs/>
          <w:color w:val="363434"/>
          <w:w w:val="105"/>
        </w:rPr>
        <w:t>наб</w:t>
      </w:r>
      <w:r>
        <w:rPr>
          <w:bCs/>
          <w:color w:val="4F4D4F"/>
          <w:w w:val="105"/>
        </w:rPr>
        <w:t>л</w:t>
      </w:r>
      <w:r>
        <w:rPr>
          <w:bCs/>
          <w:color w:val="363434"/>
          <w:w w:val="105"/>
        </w:rPr>
        <w:t>юдения</w:t>
      </w:r>
    </w:p>
    <w:tbl>
      <w:tblPr>
        <w:tblStyle w:val="TableNormal1"/>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556"/>
        <w:gridCol w:w="1709"/>
        <w:gridCol w:w="1560"/>
        <w:gridCol w:w="1369"/>
        <w:gridCol w:w="1451"/>
      </w:tblGrid>
      <w:tr w:rsidR="00C035FA" w:rsidRPr="00485E09" w14:paraId="63B123F6" w14:textId="77777777">
        <w:trPr>
          <w:trHeight w:val="20"/>
          <w:tblHeader/>
        </w:trPr>
        <w:tc>
          <w:tcPr>
            <w:tcW w:w="1699" w:type="dxa"/>
            <w:shd w:val="clear" w:color="auto" w:fill="D9D9D9" w:themeFill="background1" w:themeFillShade="D9"/>
            <w:vAlign w:val="center"/>
          </w:tcPr>
          <w:p w14:paraId="31C44F15" w14:textId="77777777" w:rsidR="00C035FA" w:rsidRPr="00E25D5C" w:rsidRDefault="008D5756">
            <w:pPr>
              <w:pStyle w:val="TableParagraph"/>
              <w:jc w:val="center"/>
              <w:rPr>
                <w:rFonts w:ascii="Times New Roman" w:hAnsi="Times New Roman" w:cs="Times New Roman"/>
                <w:b/>
                <w:sz w:val="19"/>
                <w:lang w:val="ru-RU"/>
              </w:rPr>
            </w:pPr>
            <w:r w:rsidRPr="00E25D5C">
              <w:rPr>
                <w:rFonts w:ascii="Times New Roman" w:hAnsi="Times New Roman" w:cs="Times New Roman"/>
                <w:b/>
                <w:spacing w:val="-2"/>
                <w:w w:val="105"/>
                <w:sz w:val="19"/>
                <w:lang w:val="ru-RU"/>
              </w:rPr>
              <w:t>Классификация</w:t>
            </w:r>
          </w:p>
          <w:p w14:paraId="531AB23E" w14:textId="77777777" w:rsidR="00C035FA" w:rsidRPr="00E25D5C" w:rsidRDefault="008D5756">
            <w:pPr>
              <w:pStyle w:val="TableParagraph"/>
              <w:spacing w:line="230" w:lineRule="atLeast"/>
              <w:jc w:val="center"/>
              <w:rPr>
                <w:rFonts w:ascii="Times New Roman" w:hAnsi="Times New Roman" w:cs="Times New Roman"/>
                <w:b/>
                <w:sz w:val="19"/>
                <w:lang w:val="ru-RU"/>
              </w:rPr>
            </w:pPr>
            <w:r w:rsidRPr="00E25D5C">
              <w:rPr>
                <w:rFonts w:ascii="Times New Roman" w:hAnsi="Times New Roman" w:cs="Times New Roman"/>
                <w:b/>
                <w:w w:val="105"/>
                <w:sz w:val="19"/>
                <w:lang w:val="ru-RU"/>
              </w:rPr>
              <w:t>по</w:t>
            </w:r>
            <w:r w:rsidRPr="00E25D5C">
              <w:rPr>
                <w:rFonts w:ascii="Times New Roman" w:hAnsi="Times New Roman" w:cs="Times New Roman"/>
                <w:b/>
                <w:spacing w:val="-13"/>
                <w:w w:val="105"/>
                <w:sz w:val="19"/>
                <w:lang w:val="ru-RU"/>
              </w:rPr>
              <w:t xml:space="preserve"> </w:t>
            </w:r>
            <w:r w:rsidRPr="00E25D5C">
              <w:rPr>
                <w:rFonts w:ascii="Times New Roman" w:hAnsi="Times New Roman" w:cs="Times New Roman"/>
                <w:b/>
                <w:w w:val="105"/>
                <w:sz w:val="19"/>
                <w:lang w:val="ru-RU"/>
              </w:rPr>
              <w:t>органам</w:t>
            </w:r>
            <w:r w:rsidRPr="00E25D5C">
              <w:rPr>
                <w:rFonts w:ascii="Times New Roman" w:hAnsi="Times New Roman" w:cs="Times New Roman"/>
                <w:b/>
                <w:spacing w:val="-9"/>
                <w:w w:val="105"/>
                <w:sz w:val="19"/>
                <w:lang w:val="ru-RU"/>
              </w:rPr>
              <w:t xml:space="preserve"> </w:t>
            </w:r>
            <w:r w:rsidRPr="00E25D5C">
              <w:rPr>
                <w:rFonts w:ascii="Times New Roman" w:hAnsi="Times New Roman" w:cs="Times New Roman"/>
                <w:b/>
                <w:w w:val="105"/>
                <w:sz w:val="19"/>
                <w:lang w:val="ru-RU"/>
              </w:rPr>
              <w:t xml:space="preserve">и </w:t>
            </w:r>
            <w:r w:rsidRPr="00E25D5C">
              <w:rPr>
                <w:rFonts w:ascii="Times New Roman" w:hAnsi="Times New Roman" w:cs="Times New Roman"/>
                <w:b/>
                <w:spacing w:val="-2"/>
                <w:w w:val="105"/>
                <w:sz w:val="19"/>
                <w:lang w:val="ru-RU"/>
              </w:rPr>
              <w:t>системам</w:t>
            </w:r>
          </w:p>
        </w:tc>
        <w:tc>
          <w:tcPr>
            <w:tcW w:w="1556" w:type="dxa"/>
            <w:shd w:val="clear" w:color="auto" w:fill="D9D9D9" w:themeFill="background1" w:themeFillShade="D9"/>
            <w:vAlign w:val="center"/>
          </w:tcPr>
          <w:p w14:paraId="4234D7A7" w14:textId="77777777" w:rsidR="00C035FA" w:rsidRPr="00421FA2" w:rsidRDefault="008D5756">
            <w:pPr>
              <w:pStyle w:val="TableParagraph"/>
              <w:jc w:val="center"/>
              <w:rPr>
                <w:rFonts w:ascii="Times New Roman" w:hAnsi="Times New Roman" w:cs="Times New Roman"/>
                <w:b/>
                <w:sz w:val="19"/>
                <w:lang w:val="ru-RU"/>
              </w:rPr>
            </w:pPr>
            <w:r w:rsidRPr="00421FA2">
              <w:rPr>
                <w:rFonts w:ascii="Times New Roman" w:hAnsi="Times New Roman" w:cs="Times New Roman"/>
                <w:b/>
                <w:w w:val="105"/>
                <w:sz w:val="19"/>
                <w:lang w:val="ru-RU"/>
              </w:rPr>
              <w:t>Очень</w:t>
            </w:r>
            <w:r w:rsidRPr="00421FA2">
              <w:rPr>
                <w:rFonts w:ascii="Times New Roman" w:hAnsi="Times New Roman" w:cs="Times New Roman"/>
                <w:b/>
                <w:spacing w:val="1"/>
                <w:w w:val="105"/>
                <w:sz w:val="19"/>
                <w:lang w:val="ru-RU"/>
              </w:rPr>
              <w:t xml:space="preserve"> </w:t>
            </w:r>
            <w:r w:rsidRPr="00421FA2">
              <w:rPr>
                <w:rFonts w:ascii="Times New Roman" w:hAnsi="Times New Roman" w:cs="Times New Roman"/>
                <w:b/>
                <w:spacing w:val="-2"/>
                <w:w w:val="105"/>
                <w:sz w:val="19"/>
                <w:lang w:val="ru-RU"/>
              </w:rPr>
              <w:t>часто</w:t>
            </w:r>
          </w:p>
        </w:tc>
        <w:tc>
          <w:tcPr>
            <w:tcW w:w="1709" w:type="dxa"/>
            <w:shd w:val="clear" w:color="auto" w:fill="D9D9D9" w:themeFill="background1" w:themeFillShade="D9"/>
            <w:vAlign w:val="center"/>
          </w:tcPr>
          <w:p w14:paraId="0042076D" w14:textId="77777777" w:rsidR="00C035FA" w:rsidRPr="00421FA2" w:rsidRDefault="008D5756">
            <w:pPr>
              <w:pStyle w:val="TableParagraph"/>
              <w:jc w:val="center"/>
              <w:rPr>
                <w:rFonts w:ascii="Times New Roman" w:hAnsi="Times New Roman" w:cs="Times New Roman"/>
                <w:b/>
                <w:sz w:val="19"/>
                <w:lang w:val="ru-RU"/>
              </w:rPr>
            </w:pPr>
            <w:r w:rsidRPr="00421FA2">
              <w:rPr>
                <w:rFonts w:ascii="Times New Roman" w:hAnsi="Times New Roman" w:cs="Times New Roman"/>
                <w:b/>
                <w:spacing w:val="-2"/>
                <w:w w:val="105"/>
                <w:sz w:val="19"/>
                <w:lang w:val="ru-RU"/>
              </w:rPr>
              <w:t>Часто</w:t>
            </w:r>
          </w:p>
        </w:tc>
        <w:tc>
          <w:tcPr>
            <w:tcW w:w="1560" w:type="dxa"/>
            <w:shd w:val="clear" w:color="auto" w:fill="D9D9D9" w:themeFill="background1" w:themeFillShade="D9"/>
            <w:vAlign w:val="center"/>
          </w:tcPr>
          <w:p w14:paraId="00238757" w14:textId="77777777" w:rsidR="00C035FA" w:rsidRPr="00421FA2" w:rsidRDefault="008D5756">
            <w:pPr>
              <w:pStyle w:val="TableParagraph"/>
              <w:jc w:val="center"/>
              <w:rPr>
                <w:rFonts w:ascii="Times New Roman" w:hAnsi="Times New Roman" w:cs="Times New Roman"/>
                <w:b/>
                <w:sz w:val="19"/>
                <w:lang w:val="ru-RU"/>
              </w:rPr>
            </w:pPr>
            <w:r w:rsidRPr="00421FA2">
              <w:rPr>
                <w:rFonts w:ascii="Times New Roman" w:hAnsi="Times New Roman" w:cs="Times New Roman"/>
                <w:b/>
                <w:spacing w:val="-2"/>
                <w:w w:val="105"/>
                <w:sz w:val="19"/>
                <w:lang w:val="ru-RU"/>
              </w:rPr>
              <w:t>Нечасто</w:t>
            </w:r>
          </w:p>
        </w:tc>
        <w:tc>
          <w:tcPr>
            <w:tcW w:w="1369" w:type="dxa"/>
            <w:shd w:val="clear" w:color="auto" w:fill="D9D9D9" w:themeFill="background1" w:themeFillShade="D9"/>
            <w:vAlign w:val="center"/>
          </w:tcPr>
          <w:p w14:paraId="6E0BC48F" w14:textId="77777777" w:rsidR="00C035FA" w:rsidRPr="00421FA2" w:rsidRDefault="008D5756">
            <w:pPr>
              <w:pStyle w:val="TableParagraph"/>
              <w:jc w:val="center"/>
              <w:rPr>
                <w:rFonts w:ascii="Times New Roman" w:hAnsi="Times New Roman" w:cs="Times New Roman"/>
                <w:b/>
                <w:sz w:val="19"/>
                <w:lang w:val="ru-RU"/>
              </w:rPr>
            </w:pPr>
            <w:r w:rsidRPr="00421FA2">
              <w:rPr>
                <w:rFonts w:ascii="Times New Roman" w:hAnsi="Times New Roman" w:cs="Times New Roman"/>
                <w:b/>
                <w:spacing w:val="-4"/>
                <w:w w:val="105"/>
                <w:sz w:val="19"/>
                <w:lang w:val="ru-RU"/>
              </w:rPr>
              <w:t>Редко</w:t>
            </w:r>
          </w:p>
        </w:tc>
        <w:tc>
          <w:tcPr>
            <w:tcW w:w="1451" w:type="dxa"/>
            <w:shd w:val="clear" w:color="auto" w:fill="D9D9D9" w:themeFill="background1" w:themeFillShade="D9"/>
            <w:vAlign w:val="center"/>
          </w:tcPr>
          <w:p w14:paraId="548093C1" w14:textId="77777777" w:rsidR="00C035FA" w:rsidRPr="00421FA2" w:rsidRDefault="008D5756">
            <w:pPr>
              <w:pStyle w:val="TableParagraph"/>
              <w:jc w:val="center"/>
              <w:rPr>
                <w:rFonts w:ascii="Times New Roman" w:hAnsi="Times New Roman" w:cs="Times New Roman"/>
                <w:b/>
                <w:sz w:val="19"/>
                <w:lang w:val="ru-RU"/>
              </w:rPr>
            </w:pPr>
            <w:r w:rsidRPr="00421FA2">
              <w:rPr>
                <w:rFonts w:ascii="Times New Roman" w:hAnsi="Times New Roman" w:cs="Times New Roman"/>
                <w:b/>
                <w:w w:val="105"/>
                <w:sz w:val="19"/>
                <w:lang w:val="ru-RU"/>
              </w:rPr>
              <w:t>Очень</w:t>
            </w:r>
            <w:r w:rsidRPr="00421FA2">
              <w:rPr>
                <w:rFonts w:ascii="Times New Roman" w:hAnsi="Times New Roman" w:cs="Times New Roman"/>
                <w:b/>
                <w:spacing w:val="8"/>
                <w:w w:val="105"/>
                <w:sz w:val="19"/>
                <w:lang w:val="ru-RU"/>
              </w:rPr>
              <w:t xml:space="preserve"> </w:t>
            </w:r>
            <w:r w:rsidRPr="00421FA2">
              <w:rPr>
                <w:rFonts w:ascii="Times New Roman" w:hAnsi="Times New Roman" w:cs="Times New Roman"/>
                <w:b/>
                <w:spacing w:val="-4"/>
                <w:w w:val="105"/>
                <w:sz w:val="19"/>
                <w:lang w:val="ru-RU"/>
              </w:rPr>
              <w:t>редко</w:t>
            </w:r>
          </w:p>
        </w:tc>
      </w:tr>
      <w:tr w:rsidR="00C035FA" w:rsidRPr="00485E09" w14:paraId="0A0BDDC1" w14:textId="77777777">
        <w:trPr>
          <w:trHeight w:val="20"/>
        </w:trPr>
        <w:tc>
          <w:tcPr>
            <w:tcW w:w="1699" w:type="dxa"/>
          </w:tcPr>
          <w:p w14:paraId="1DBD6DD6" w14:textId="77777777" w:rsidR="00C035FA" w:rsidRPr="00421FA2" w:rsidRDefault="008D5756">
            <w:pPr>
              <w:pStyle w:val="TableParagraph"/>
              <w:spacing w:line="201" w:lineRule="exact"/>
              <w:rPr>
                <w:rFonts w:ascii="Times New Roman" w:hAnsi="Times New Roman" w:cs="Times New Roman"/>
                <w:i/>
                <w:sz w:val="19"/>
                <w:lang w:val="ru-RU"/>
              </w:rPr>
            </w:pPr>
            <w:r w:rsidRPr="00421FA2">
              <w:rPr>
                <w:rFonts w:ascii="Times New Roman" w:hAnsi="Times New Roman" w:cs="Times New Roman"/>
                <w:i/>
                <w:w w:val="105"/>
                <w:sz w:val="19"/>
                <w:lang w:val="ru-RU"/>
              </w:rPr>
              <w:t>Инфекционные</w:t>
            </w:r>
            <w:r w:rsidRPr="00421FA2">
              <w:rPr>
                <w:rFonts w:ascii="Times New Roman" w:hAnsi="Times New Roman" w:cs="Times New Roman"/>
                <w:i/>
                <w:spacing w:val="-11"/>
                <w:w w:val="105"/>
                <w:sz w:val="19"/>
                <w:lang w:val="ru-RU"/>
              </w:rPr>
              <w:t xml:space="preserve"> </w:t>
            </w:r>
            <w:r w:rsidRPr="00421FA2">
              <w:rPr>
                <w:rFonts w:ascii="Times New Roman" w:hAnsi="Times New Roman" w:cs="Times New Roman"/>
                <w:i/>
                <w:spacing w:val="-10"/>
                <w:w w:val="105"/>
                <w:sz w:val="19"/>
                <w:lang w:val="ru-RU"/>
              </w:rPr>
              <w:t>и</w:t>
            </w:r>
          </w:p>
          <w:p w14:paraId="072B5993" w14:textId="77777777" w:rsidR="00C035FA" w:rsidRPr="00421FA2" w:rsidRDefault="008D5756">
            <w:pPr>
              <w:pStyle w:val="TableParagraph"/>
              <w:spacing w:line="198" w:lineRule="exact"/>
              <w:rPr>
                <w:rFonts w:ascii="Times New Roman" w:hAnsi="Times New Roman" w:cs="Times New Roman"/>
                <w:i/>
                <w:sz w:val="19"/>
                <w:lang w:val="ru-RU"/>
              </w:rPr>
            </w:pPr>
            <w:r w:rsidRPr="00421FA2">
              <w:rPr>
                <w:rFonts w:ascii="Times New Roman" w:hAnsi="Times New Roman" w:cs="Times New Roman"/>
                <w:i/>
                <w:spacing w:val="-2"/>
                <w:w w:val="105"/>
                <w:sz w:val="19"/>
                <w:lang w:val="ru-RU"/>
              </w:rPr>
              <w:t>паразитарные</w:t>
            </w:r>
          </w:p>
          <w:p w14:paraId="25182409" w14:textId="77777777" w:rsidR="00C035FA" w:rsidRPr="00421FA2" w:rsidRDefault="008D5756">
            <w:pPr>
              <w:pStyle w:val="TableParagraph"/>
              <w:spacing w:line="198" w:lineRule="exact"/>
              <w:rPr>
                <w:rFonts w:ascii="Times New Roman" w:hAnsi="Times New Roman" w:cs="Times New Roman"/>
                <w:i/>
                <w:sz w:val="19"/>
                <w:lang w:val="ru-RU"/>
              </w:rPr>
            </w:pPr>
            <w:r w:rsidRPr="00421FA2">
              <w:rPr>
                <w:rFonts w:ascii="Times New Roman" w:hAnsi="Times New Roman" w:cs="Times New Roman"/>
                <w:i/>
                <w:spacing w:val="-2"/>
                <w:w w:val="105"/>
                <w:sz w:val="19"/>
                <w:lang w:val="ru-RU"/>
              </w:rPr>
              <w:t>заболевания</w:t>
            </w:r>
          </w:p>
        </w:tc>
        <w:tc>
          <w:tcPr>
            <w:tcW w:w="1556" w:type="dxa"/>
          </w:tcPr>
          <w:p w14:paraId="2A2B39A0" w14:textId="77777777" w:rsidR="00C035FA" w:rsidRPr="00421FA2" w:rsidRDefault="00C035FA">
            <w:pPr>
              <w:pStyle w:val="TableParagraph"/>
              <w:rPr>
                <w:rFonts w:ascii="Times New Roman" w:hAnsi="Times New Roman" w:cs="Times New Roman"/>
                <w:lang w:val="ru-RU"/>
              </w:rPr>
            </w:pPr>
          </w:p>
        </w:tc>
        <w:tc>
          <w:tcPr>
            <w:tcW w:w="1709" w:type="dxa"/>
          </w:tcPr>
          <w:p w14:paraId="574E661F" w14:textId="77777777" w:rsidR="00C035FA" w:rsidRPr="00E25D5C" w:rsidRDefault="008D5756">
            <w:pPr>
              <w:pStyle w:val="TableParagraph"/>
              <w:spacing w:line="206"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Кандидозный</w:t>
            </w:r>
          </w:p>
          <w:p w14:paraId="75B09989"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вульвовагинит,</w:t>
            </w:r>
          </w:p>
          <w:p w14:paraId="12FF1AA7"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вульвовагинит,</w:t>
            </w:r>
          </w:p>
          <w:p w14:paraId="5FAE3223"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w w:val="105"/>
                <w:sz w:val="19"/>
                <w:lang w:val="ru-RU"/>
              </w:rPr>
              <w:t>баланит</w:t>
            </w:r>
            <w:r w:rsidRPr="00E25D5C">
              <w:rPr>
                <w:rFonts w:ascii="Times New Roman" w:hAnsi="Times New Roman" w:cs="Times New Roman"/>
                <w:spacing w:val="2"/>
                <w:w w:val="105"/>
                <w:sz w:val="19"/>
                <w:lang w:val="ru-RU"/>
              </w:rPr>
              <w:t xml:space="preserve"> </w:t>
            </w:r>
            <w:r w:rsidRPr="00E25D5C">
              <w:rPr>
                <w:rFonts w:ascii="Times New Roman" w:hAnsi="Times New Roman" w:cs="Times New Roman"/>
                <w:w w:val="105"/>
                <w:sz w:val="19"/>
                <w:lang w:val="ru-RU"/>
              </w:rPr>
              <w:t>и</w:t>
            </w:r>
            <w:r w:rsidRPr="00E25D5C">
              <w:rPr>
                <w:rFonts w:ascii="Times New Roman" w:hAnsi="Times New Roman" w:cs="Times New Roman"/>
                <w:spacing w:val="-6"/>
                <w:w w:val="105"/>
                <w:sz w:val="19"/>
                <w:lang w:val="ru-RU"/>
              </w:rPr>
              <w:t xml:space="preserve"> </w:t>
            </w:r>
            <w:r w:rsidRPr="00E25D5C">
              <w:rPr>
                <w:rFonts w:ascii="Times New Roman" w:hAnsi="Times New Roman" w:cs="Times New Roman"/>
                <w:spacing w:val="-2"/>
                <w:w w:val="105"/>
                <w:sz w:val="19"/>
                <w:lang w:val="ru-RU"/>
              </w:rPr>
              <w:t>другие</w:t>
            </w:r>
          </w:p>
          <w:p w14:paraId="38C64EC5" w14:textId="77777777" w:rsidR="00C035FA" w:rsidRPr="00E25D5C" w:rsidRDefault="008D5756">
            <w:pPr>
              <w:pStyle w:val="TableParagraph"/>
              <w:spacing w:line="203"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генитальные</w:t>
            </w:r>
          </w:p>
          <w:p w14:paraId="2AC89E2E" w14:textId="77777777" w:rsidR="00C035FA" w:rsidRPr="00E25D5C" w:rsidRDefault="008D5756">
            <w:pPr>
              <w:pStyle w:val="TableParagraph"/>
              <w:spacing w:line="215"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инфекции</w:t>
            </w:r>
            <w:r w:rsidRPr="00E25D5C">
              <w:rPr>
                <w:rFonts w:ascii="Times New Roman" w:hAnsi="Times New Roman" w:cs="Times New Roman"/>
                <w:spacing w:val="-2"/>
                <w:w w:val="105"/>
                <w:sz w:val="19"/>
                <w:vertAlign w:val="superscript"/>
                <w:lang w:val="ru-RU"/>
              </w:rPr>
              <w:t>1</w:t>
            </w:r>
          </w:p>
          <w:p w14:paraId="6D69108B" w14:textId="77777777" w:rsidR="00C035FA" w:rsidRPr="00E25D5C" w:rsidRDefault="008D5756">
            <w:pPr>
              <w:pStyle w:val="TableParagraph"/>
              <w:spacing w:line="203"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Инфекции</w:t>
            </w:r>
          </w:p>
          <w:p w14:paraId="72AC896C"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мочевыводящих</w:t>
            </w:r>
          </w:p>
          <w:p w14:paraId="6020E7D9"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w w:val="105"/>
                <w:sz w:val="19"/>
                <w:lang w:val="ru-RU"/>
              </w:rPr>
              <w:t>путей</w:t>
            </w:r>
            <w:r w:rsidRPr="00E25D5C">
              <w:rPr>
                <w:rFonts w:ascii="Times New Roman" w:hAnsi="Times New Roman" w:cs="Times New Roman"/>
                <w:w w:val="105"/>
                <w:sz w:val="19"/>
                <w:vertAlign w:val="superscript"/>
                <w:lang w:val="ru-RU"/>
              </w:rPr>
              <w:t>1</w:t>
            </w:r>
            <w:r w:rsidRPr="00E25D5C">
              <w:rPr>
                <w:rFonts w:ascii="Times New Roman" w:hAnsi="Times New Roman" w:cs="Times New Roman"/>
                <w:spacing w:val="17"/>
                <w:w w:val="105"/>
                <w:sz w:val="19"/>
                <w:lang w:val="ru-RU"/>
              </w:rPr>
              <w:t xml:space="preserve"> </w:t>
            </w:r>
            <w:r w:rsidRPr="00E25D5C">
              <w:rPr>
                <w:rFonts w:ascii="Times New Roman" w:hAnsi="Times New Roman" w:cs="Times New Roman"/>
                <w:w w:val="105"/>
                <w:sz w:val="19"/>
                <w:lang w:val="ru-RU"/>
              </w:rPr>
              <w:t>(в</w:t>
            </w:r>
            <w:r w:rsidRPr="00E25D5C">
              <w:rPr>
                <w:rFonts w:ascii="Times New Roman" w:hAnsi="Times New Roman" w:cs="Times New Roman"/>
                <w:spacing w:val="8"/>
                <w:w w:val="105"/>
                <w:sz w:val="19"/>
                <w:lang w:val="ru-RU"/>
              </w:rPr>
              <w:t xml:space="preserve"> </w:t>
            </w:r>
            <w:r w:rsidRPr="00E25D5C">
              <w:rPr>
                <w:rFonts w:ascii="Times New Roman" w:hAnsi="Times New Roman" w:cs="Times New Roman"/>
                <w:spacing w:val="-5"/>
                <w:w w:val="105"/>
                <w:sz w:val="19"/>
                <w:lang w:val="ru-RU"/>
              </w:rPr>
              <w:t>том</w:t>
            </w:r>
          </w:p>
          <w:p w14:paraId="696B5429" w14:textId="77777777" w:rsidR="00C035FA" w:rsidRPr="00E25D5C" w:rsidRDefault="008D5756">
            <w:pPr>
              <w:pStyle w:val="TableParagraph"/>
              <w:spacing w:line="200"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 xml:space="preserve">числе </w:t>
            </w:r>
            <w:r w:rsidRPr="00E25D5C">
              <w:rPr>
                <w:rFonts w:ascii="Times New Roman" w:hAnsi="Times New Roman" w:cs="Times New Roman"/>
                <w:w w:val="105"/>
                <w:sz w:val="19"/>
                <w:lang w:val="ru-RU"/>
              </w:rPr>
              <w:t>пиелонефрит</w:t>
            </w:r>
            <w:r w:rsidRPr="00E25D5C">
              <w:rPr>
                <w:rFonts w:ascii="Times New Roman" w:hAnsi="Times New Roman" w:cs="Times New Roman"/>
                <w:spacing w:val="-9"/>
                <w:w w:val="105"/>
                <w:sz w:val="19"/>
                <w:lang w:val="ru-RU"/>
              </w:rPr>
              <w:t xml:space="preserve"> </w:t>
            </w:r>
            <w:r w:rsidRPr="00E25D5C">
              <w:rPr>
                <w:rFonts w:ascii="Times New Roman" w:hAnsi="Times New Roman" w:cs="Times New Roman"/>
                <w:w w:val="105"/>
                <w:sz w:val="19"/>
                <w:lang w:val="ru-RU"/>
              </w:rPr>
              <w:t xml:space="preserve">и </w:t>
            </w:r>
            <w:r w:rsidRPr="00E25D5C">
              <w:rPr>
                <w:rFonts w:ascii="Times New Roman" w:hAnsi="Times New Roman" w:cs="Times New Roman"/>
                <w:spacing w:val="-2"/>
                <w:w w:val="105"/>
                <w:sz w:val="19"/>
                <w:lang w:val="ru-RU"/>
              </w:rPr>
              <w:t>уросепсис)</w:t>
            </w:r>
            <w:r w:rsidRPr="00E25D5C">
              <w:rPr>
                <w:rFonts w:ascii="Times New Roman" w:hAnsi="Times New Roman" w:cs="Times New Roman"/>
                <w:spacing w:val="-2"/>
                <w:w w:val="105"/>
                <w:sz w:val="19"/>
                <w:vertAlign w:val="superscript"/>
                <w:lang w:val="ru-RU"/>
              </w:rPr>
              <w:t>2</w:t>
            </w:r>
          </w:p>
        </w:tc>
        <w:tc>
          <w:tcPr>
            <w:tcW w:w="1560" w:type="dxa"/>
          </w:tcPr>
          <w:p w14:paraId="55888B0D" w14:textId="77777777" w:rsidR="00C035FA" w:rsidRPr="00E25D5C" w:rsidRDefault="00C035FA">
            <w:pPr>
              <w:pStyle w:val="TableParagraph"/>
              <w:rPr>
                <w:rFonts w:ascii="Times New Roman" w:hAnsi="Times New Roman" w:cs="Times New Roman"/>
                <w:lang w:val="ru-RU"/>
              </w:rPr>
            </w:pPr>
          </w:p>
        </w:tc>
        <w:tc>
          <w:tcPr>
            <w:tcW w:w="1369" w:type="dxa"/>
          </w:tcPr>
          <w:p w14:paraId="724B499C" w14:textId="77777777" w:rsidR="00C035FA" w:rsidRPr="00E25D5C" w:rsidRDefault="008D5756">
            <w:pPr>
              <w:pStyle w:val="TableParagraph"/>
              <w:spacing w:line="201"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Некротизирующий фасциит</w:t>
            </w:r>
          </w:p>
          <w:p w14:paraId="4D53E859"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spacing w:val="-2"/>
                <w:sz w:val="19"/>
                <w:lang w:val="ru-RU"/>
              </w:rPr>
              <w:t>промежности</w:t>
            </w:r>
          </w:p>
          <w:p w14:paraId="27056FC8" w14:textId="77777777" w:rsidR="00C035FA" w:rsidRPr="00E25D5C" w:rsidRDefault="008D5756">
            <w:pPr>
              <w:pStyle w:val="TableParagraph"/>
              <w:spacing w:line="205"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(гангрена</w:t>
            </w:r>
          </w:p>
          <w:p w14:paraId="169E1025" w14:textId="77777777" w:rsidR="00C035FA" w:rsidRPr="00E25D5C" w:rsidRDefault="008D5756">
            <w:pPr>
              <w:pStyle w:val="TableParagraph"/>
              <w:spacing w:line="215"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Фурнье)</w:t>
            </w:r>
            <w:r w:rsidRPr="00E25D5C">
              <w:rPr>
                <w:rFonts w:ascii="Times New Roman" w:hAnsi="Times New Roman" w:cs="Times New Roman"/>
                <w:spacing w:val="-2"/>
                <w:w w:val="105"/>
                <w:sz w:val="19"/>
                <w:vertAlign w:val="superscript"/>
                <w:lang w:val="ru-RU"/>
              </w:rPr>
              <w:t>2,3</w:t>
            </w:r>
          </w:p>
        </w:tc>
        <w:tc>
          <w:tcPr>
            <w:tcW w:w="1451" w:type="dxa"/>
          </w:tcPr>
          <w:p w14:paraId="48DE0FAB" w14:textId="77777777" w:rsidR="00C035FA" w:rsidRPr="00E25D5C" w:rsidRDefault="00C035FA">
            <w:pPr>
              <w:pStyle w:val="TableParagraph"/>
              <w:rPr>
                <w:rFonts w:ascii="Times New Roman" w:hAnsi="Times New Roman" w:cs="Times New Roman"/>
                <w:lang w:val="ru-RU"/>
              </w:rPr>
            </w:pPr>
          </w:p>
        </w:tc>
      </w:tr>
      <w:tr w:rsidR="00C035FA" w:rsidRPr="00485E09" w14:paraId="5F5D3C37" w14:textId="77777777">
        <w:trPr>
          <w:trHeight w:val="20"/>
        </w:trPr>
        <w:tc>
          <w:tcPr>
            <w:tcW w:w="1699" w:type="dxa"/>
          </w:tcPr>
          <w:p w14:paraId="0446E54C" w14:textId="77777777" w:rsidR="00C035FA" w:rsidRPr="00E25D5C" w:rsidRDefault="008D5756">
            <w:pPr>
              <w:pStyle w:val="TableParagraph"/>
              <w:spacing w:line="230" w:lineRule="atLeast"/>
              <w:rPr>
                <w:rFonts w:ascii="Times New Roman" w:hAnsi="Times New Roman" w:cs="Times New Roman"/>
                <w:i/>
                <w:sz w:val="19"/>
                <w:lang w:val="ru-RU"/>
              </w:rPr>
            </w:pPr>
            <w:r w:rsidRPr="00E25D5C">
              <w:rPr>
                <w:rFonts w:ascii="Times New Roman" w:hAnsi="Times New Roman" w:cs="Times New Roman"/>
                <w:i/>
                <w:w w:val="105"/>
                <w:sz w:val="19"/>
                <w:lang w:val="ru-RU"/>
              </w:rPr>
              <w:t>Нарушения со стороны</w:t>
            </w:r>
            <w:r w:rsidRPr="00E25D5C">
              <w:rPr>
                <w:rFonts w:ascii="Times New Roman" w:hAnsi="Times New Roman" w:cs="Times New Roman"/>
                <w:i/>
                <w:spacing w:val="-13"/>
                <w:w w:val="105"/>
                <w:sz w:val="19"/>
                <w:lang w:val="ru-RU"/>
              </w:rPr>
              <w:t xml:space="preserve"> </w:t>
            </w:r>
            <w:r w:rsidRPr="00E25D5C">
              <w:rPr>
                <w:rFonts w:ascii="Times New Roman" w:hAnsi="Times New Roman" w:cs="Times New Roman"/>
                <w:i/>
                <w:w w:val="105"/>
                <w:sz w:val="19"/>
                <w:lang w:val="ru-RU"/>
              </w:rPr>
              <w:t>обмена</w:t>
            </w:r>
          </w:p>
          <w:p w14:paraId="2ED74038" w14:textId="77777777" w:rsidR="00C035FA" w:rsidRPr="00E25D5C" w:rsidRDefault="008D5756">
            <w:pPr>
              <w:pStyle w:val="TableParagraph"/>
              <w:spacing w:line="210" w:lineRule="exact"/>
              <w:rPr>
                <w:rFonts w:ascii="Times New Roman" w:hAnsi="Times New Roman" w:cs="Times New Roman"/>
                <w:i/>
                <w:sz w:val="19"/>
                <w:lang w:val="ru-RU"/>
              </w:rPr>
            </w:pPr>
            <w:r w:rsidRPr="00E25D5C">
              <w:rPr>
                <w:rFonts w:ascii="Times New Roman" w:hAnsi="Times New Roman" w:cs="Times New Roman"/>
                <w:i/>
                <w:w w:val="105"/>
                <w:sz w:val="19"/>
                <w:lang w:val="ru-RU"/>
              </w:rPr>
              <w:t>веществ</w:t>
            </w:r>
            <w:r w:rsidRPr="00E25D5C">
              <w:rPr>
                <w:rFonts w:ascii="Times New Roman" w:hAnsi="Times New Roman" w:cs="Times New Roman"/>
                <w:i/>
                <w:spacing w:val="7"/>
                <w:w w:val="105"/>
                <w:sz w:val="19"/>
                <w:lang w:val="ru-RU"/>
              </w:rPr>
              <w:t xml:space="preserve"> </w:t>
            </w:r>
            <w:r w:rsidRPr="00E25D5C">
              <w:rPr>
                <w:rFonts w:ascii="Times New Roman" w:hAnsi="Times New Roman" w:cs="Times New Roman"/>
                <w:i/>
                <w:spacing w:val="-10"/>
                <w:w w:val="105"/>
                <w:sz w:val="19"/>
                <w:lang w:val="ru-RU"/>
              </w:rPr>
              <w:t>и</w:t>
            </w:r>
          </w:p>
          <w:p w14:paraId="12C7733F" w14:textId="77777777" w:rsidR="00C035FA" w:rsidRPr="00421FA2" w:rsidRDefault="008D5756">
            <w:pPr>
              <w:pStyle w:val="TableParagraph"/>
              <w:spacing w:line="206" w:lineRule="exact"/>
              <w:rPr>
                <w:rFonts w:ascii="Times New Roman" w:hAnsi="Times New Roman" w:cs="Times New Roman"/>
                <w:i/>
                <w:sz w:val="19"/>
                <w:lang w:val="ru-RU"/>
              </w:rPr>
            </w:pPr>
            <w:r w:rsidRPr="00421FA2">
              <w:rPr>
                <w:rFonts w:ascii="Times New Roman" w:hAnsi="Times New Roman" w:cs="Times New Roman"/>
                <w:i/>
                <w:spacing w:val="-2"/>
                <w:sz w:val="19"/>
                <w:lang w:val="ru-RU"/>
              </w:rPr>
              <w:t>питания</w:t>
            </w:r>
          </w:p>
        </w:tc>
        <w:tc>
          <w:tcPr>
            <w:tcW w:w="1556" w:type="dxa"/>
          </w:tcPr>
          <w:p w14:paraId="089CF5A2" w14:textId="77777777" w:rsidR="00C035FA" w:rsidRPr="00E25D5C" w:rsidRDefault="008D5756">
            <w:pPr>
              <w:pStyle w:val="TableParagraph"/>
              <w:spacing w:line="220" w:lineRule="atLeast"/>
              <w:rPr>
                <w:rFonts w:ascii="Times New Roman" w:hAnsi="Times New Roman" w:cs="Times New Roman"/>
                <w:sz w:val="19"/>
                <w:lang w:val="ru-RU"/>
              </w:rPr>
            </w:pPr>
            <w:r w:rsidRPr="00E25D5C">
              <w:rPr>
                <w:rFonts w:ascii="Times New Roman" w:hAnsi="Times New Roman" w:cs="Times New Roman"/>
                <w:spacing w:val="-2"/>
                <w:w w:val="105"/>
                <w:sz w:val="19"/>
                <w:lang w:val="ru-RU"/>
              </w:rPr>
              <w:t xml:space="preserve">Гилогликемия </w:t>
            </w:r>
            <w:r w:rsidRPr="00E25D5C">
              <w:rPr>
                <w:rFonts w:ascii="Times New Roman" w:hAnsi="Times New Roman" w:cs="Times New Roman"/>
                <w:spacing w:val="-4"/>
                <w:w w:val="105"/>
                <w:sz w:val="19"/>
                <w:lang w:val="ru-RU"/>
              </w:rPr>
              <w:t xml:space="preserve">(при </w:t>
            </w:r>
            <w:r w:rsidRPr="00E25D5C">
              <w:rPr>
                <w:rFonts w:ascii="Times New Roman" w:hAnsi="Times New Roman" w:cs="Times New Roman"/>
                <w:spacing w:val="-2"/>
                <w:w w:val="105"/>
                <w:sz w:val="19"/>
                <w:lang w:val="ru-RU"/>
              </w:rPr>
              <w:t>совместном</w:t>
            </w:r>
          </w:p>
          <w:p w14:paraId="0887EEBE" w14:textId="77777777" w:rsidR="00C035FA" w:rsidRPr="00E25D5C" w:rsidRDefault="008D5756">
            <w:pPr>
              <w:pStyle w:val="TableParagraph"/>
              <w:spacing w:line="206" w:lineRule="exact"/>
              <w:rPr>
                <w:rFonts w:ascii="Times New Roman" w:hAnsi="Times New Roman" w:cs="Times New Roman"/>
                <w:sz w:val="19"/>
                <w:lang w:val="ru-RU"/>
              </w:rPr>
            </w:pPr>
            <w:r w:rsidRPr="00E25D5C">
              <w:rPr>
                <w:rFonts w:ascii="Times New Roman" w:hAnsi="Times New Roman" w:cs="Times New Roman"/>
                <w:w w:val="105"/>
                <w:sz w:val="19"/>
                <w:lang w:val="ru-RU"/>
              </w:rPr>
              <w:t>применении</w:t>
            </w:r>
            <w:r w:rsidRPr="00E25D5C">
              <w:rPr>
                <w:rFonts w:ascii="Times New Roman" w:hAnsi="Times New Roman" w:cs="Times New Roman"/>
                <w:spacing w:val="-9"/>
                <w:w w:val="105"/>
                <w:sz w:val="19"/>
                <w:lang w:val="ru-RU"/>
              </w:rPr>
              <w:t xml:space="preserve"> </w:t>
            </w:r>
            <w:r w:rsidRPr="00E25D5C">
              <w:rPr>
                <w:rFonts w:ascii="Times New Roman" w:hAnsi="Times New Roman" w:cs="Times New Roman"/>
                <w:spacing w:val="-10"/>
                <w:w w:val="105"/>
                <w:sz w:val="19"/>
                <w:lang w:val="ru-RU"/>
              </w:rPr>
              <w:t>с</w:t>
            </w:r>
          </w:p>
          <w:p w14:paraId="61DEACEA" w14:textId="77777777" w:rsidR="00C035FA" w:rsidRPr="00E25D5C" w:rsidRDefault="008D5756">
            <w:pPr>
              <w:pStyle w:val="TableParagraph"/>
              <w:spacing w:line="206"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производным</w:t>
            </w:r>
          </w:p>
          <w:p w14:paraId="369C6832" w14:textId="77777777" w:rsidR="00C035FA" w:rsidRPr="00421FA2" w:rsidRDefault="008D5756">
            <w:pPr>
              <w:pStyle w:val="TableParagraph"/>
              <w:spacing w:line="208"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сульфонил</w:t>
            </w:r>
            <w:r w:rsidRPr="00421FA2">
              <w:rPr>
                <w:rFonts w:ascii="Times New Roman" w:hAnsi="Times New Roman" w:cs="Times New Roman"/>
                <w:spacing w:val="-2"/>
                <w:w w:val="105"/>
                <w:sz w:val="19"/>
                <w:lang w:val="ru-RU"/>
              </w:rPr>
              <w:t>мочевины</w:t>
            </w:r>
            <w:r w:rsidRPr="00421FA2">
              <w:rPr>
                <w:rFonts w:ascii="Times New Roman" w:hAnsi="Times New Roman" w:cs="Times New Roman"/>
                <w:spacing w:val="5"/>
                <w:w w:val="105"/>
                <w:sz w:val="19"/>
                <w:lang w:val="ru-RU"/>
              </w:rPr>
              <w:t xml:space="preserve"> </w:t>
            </w:r>
            <w:r w:rsidRPr="00421FA2">
              <w:rPr>
                <w:rFonts w:ascii="Times New Roman" w:hAnsi="Times New Roman" w:cs="Times New Roman"/>
                <w:spacing w:val="-5"/>
                <w:w w:val="105"/>
                <w:sz w:val="19"/>
                <w:lang w:val="ru-RU"/>
              </w:rPr>
              <w:t>или</w:t>
            </w:r>
            <w:r w:rsidRPr="00E25D5C">
              <w:rPr>
                <w:rFonts w:ascii="Times New Roman" w:hAnsi="Times New Roman" w:cs="Times New Roman"/>
                <w:spacing w:val="-5"/>
                <w:w w:val="105"/>
                <w:sz w:val="19"/>
                <w:lang w:val="ru-RU"/>
              </w:rPr>
              <w:t xml:space="preserve"> </w:t>
            </w:r>
            <w:r w:rsidRPr="00421FA2">
              <w:rPr>
                <w:rFonts w:ascii="Times New Roman" w:hAnsi="Times New Roman" w:cs="Times New Roman"/>
                <w:spacing w:val="-2"/>
                <w:w w:val="105"/>
                <w:sz w:val="19"/>
                <w:lang w:val="ru-RU"/>
              </w:rPr>
              <w:t>инс</w:t>
            </w:r>
            <w:r w:rsidRPr="00E25D5C">
              <w:rPr>
                <w:rFonts w:ascii="Times New Roman" w:hAnsi="Times New Roman" w:cs="Times New Roman"/>
                <w:spacing w:val="-2"/>
                <w:w w:val="105"/>
                <w:sz w:val="19"/>
                <w:lang w:val="ru-RU"/>
              </w:rPr>
              <w:t>у</w:t>
            </w:r>
            <w:r w:rsidRPr="00421FA2">
              <w:rPr>
                <w:rFonts w:ascii="Times New Roman" w:hAnsi="Times New Roman" w:cs="Times New Roman"/>
                <w:spacing w:val="-2"/>
                <w:w w:val="105"/>
                <w:sz w:val="19"/>
                <w:lang w:val="ru-RU"/>
              </w:rPr>
              <w:t>лином)</w:t>
            </w:r>
            <w:r w:rsidRPr="00421FA2">
              <w:rPr>
                <w:rFonts w:ascii="Times New Roman" w:hAnsi="Times New Roman" w:cs="Times New Roman"/>
                <w:spacing w:val="-2"/>
                <w:w w:val="105"/>
                <w:sz w:val="19"/>
                <w:vertAlign w:val="superscript"/>
                <w:lang w:val="ru-RU"/>
              </w:rPr>
              <w:t>1</w:t>
            </w:r>
          </w:p>
        </w:tc>
        <w:tc>
          <w:tcPr>
            <w:tcW w:w="1709" w:type="dxa"/>
          </w:tcPr>
          <w:p w14:paraId="2956222D" w14:textId="77777777" w:rsidR="00C035FA" w:rsidRPr="00421FA2" w:rsidRDefault="008D5756">
            <w:pPr>
              <w:pStyle w:val="TableParagraph"/>
              <w:rPr>
                <w:rFonts w:ascii="Times New Roman" w:hAnsi="Times New Roman" w:cs="Times New Roman"/>
                <w:sz w:val="19"/>
                <w:lang w:val="ru-RU"/>
              </w:rPr>
            </w:pPr>
            <w:r w:rsidRPr="00421FA2">
              <w:rPr>
                <w:rFonts w:ascii="Times New Roman" w:hAnsi="Times New Roman" w:cs="Times New Roman"/>
                <w:spacing w:val="-2"/>
                <w:w w:val="105"/>
                <w:sz w:val="19"/>
                <w:lang w:val="ru-RU"/>
              </w:rPr>
              <w:t>Жажда</w:t>
            </w:r>
          </w:p>
        </w:tc>
        <w:tc>
          <w:tcPr>
            <w:tcW w:w="1560" w:type="dxa"/>
          </w:tcPr>
          <w:p w14:paraId="6869F448" w14:textId="77777777" w:rsidR="00C035FA" w:rsidRPr="00421FA2" w:rsidRDefault="008D5756">
            <w:pPr>
              <w:pStyle w:val="TableParagraph"/>
              <w:spacing w:line="230" w:lineRule="atLeast"/>
              <w:rPr>
                <w:rFonts w:ascii="Times New Roman" w:hAnsi="Times New Roman" w:cs="Times New Roman"/>
                <w:sz w:val="19"/>
                <w:lang w:val="ru-RU"/>
              </w:rPr>
            </w:pPr>
            <w:r w:rsidRPr="00421FA2">
              <w:rPr>
                <w:rFonts w:ascii="Times New Roman" w:hAnsi="Times New Roman" w:cs="Times New Roman"/>
                <w:spacing w:val="-2"/>
                <w:sz w:val="19"/>
                <w:lang w:val="ru-RU"/>
              </w:rPr>
              <w:t>Диабети</w:t>
            </w:r>
            <w:r w:rsidRPr="00421FA2">
              <w:rPr>
                <w:rFonts w:ascii="Times New Roman" w:hAnsi="Times New Roman" w:cs="Times New Roman"/>
                <w:spacing w:val="-2"/>
                <w:w w:val="105"/>
                <w:sz w:val="19"/>
                <w:lang w:val="ru-RU"/>
              </w:rPr>
              <w:t>ческий</w:t>
            </w:r>
            <w:r w:rsidRPr="00E25D5C">
              <w:rPr>
                <w:rFonts w:ascii="Times New Roman" w:hAnsi="Times New Roman" w:cs="Times New Roman"/>
                <w:sz w:val="19"/>
                <w:lang w:val="ru-RU"/>
              </w:rPr>
              <w:t xml:space="preserve"> </w:t>
            </w:r>
            <w:r w:rsidRPr="00E25D5C">
              <w:rPr>
                <w:rFonts w:ascii="Times New Roman" w:hAnsi="Times New Roman" w:cs="Times New Roman"/>
                <w:spacing w:val="-2"/>
                <w:w w:val="105"/>
                <w:sz w:val="19"/>
                <w:lang w:val="ru-RU"/>
              </w:rPr>
              <w:t>к</w:t>
            </w:r>
            <w:r w:rsidRPr="00421FA2">
              <w:rPr>
                <w:rFonts w:ascii="Times New Roman" w:hAnsi="Times New Roman" w:cs="Times New Roman"/>
                <w:spacing w:val="-2"/>
                <w:w w:val="105"/>
                <w:sz w:val="19"/>
                <w:lang w:val="ru-RU"/>
              </w:rPr>
              <w:t>етоацидоз</w:t>
            </w:r>
            <w:r w:rsidRPr="00E25D5C">
              <w:rPr>
                <w:rFonts w:ascii="Times New Roman" w:hAnsi="Times New Roman" w:cs="Times New Roman"/>
                <w:spacing w:val="-2"/>
                <w:w w:val="105"/>
                <w:sz w:val="19"/>
                <w:vertAlign w:val="superscript"/>
                <w:lang w:val="ru-RU"/>
              </w:rPr>
              <w:t>2,3</w:t>
            </w:r>
          </w:p>
        </w:tc>
        <w:tc>
          <w:tcPr>
            <w:tcW w:w="1369" w:type="dxa"/>
          </w:tcPr>
          <w:p w14:paraId="43CD697D" w14:textId="77777777" w:rsidR="00C035FA" w:rsidRPr="00421FA2" w:rsidRDefault="00C035FA">
            <w:pPr>
              <w:pStyle w:val="TableParagraph"/>
              <w:rPr>
                <w:rFonts w:ascii="Times New Roman" w:hAnsi="Times New Roman" w:cs="Times New Roman"/>
                <w:lang w:val="ru-RU"/>
              </w:rPr>
            </w:pPr>
          </w:p>
        </w:tc>
        <w:tc>
          <w:tcPr>
            <w:tcW w:w="1451" w:type="dxa"/>
          </w:tcPr>
          <w:p w14:paraId="3A54B980" w14:textId="77777777" w:rsidR="00C035FA" w:rsidRPr="00421FA2" w:rsidRDefault="00C035FA">
            <w:pPr>
              <w:pStyle w:val="TableParagraph"/>
              <w:rPr>
                <w:rFonts w:ascii="Times New Roman" w:hAnsi="Times New Roman" w:cs="Times New Roman"/>
                <w:lang w:val="ru-RU"/>
              </w:rPr>
            </w:pPr>
          </w:p>
        </w:tc>
      </w:tr>
      <w:tr w:rsidR="00C035FA" w:rsidRPr="00485E09" w14:paraId="2718ECB3" w14:textId="77777777">
        <w:trPr>
          <w:trHeight w:val="20"/>
        </w:trPr>
        <w:tc>
          <w:tcPr>
            <w:tcW w:w="1699" w:type="dxa"/>
          </w:tcPr>
          <w:p w14:paraId="16DBE638" w14:textId="77777777" w:rsidR="00C035FA" w:rsidRPr="00E25D5C" w:rsidRDefault="008D5756">
            <w:pPr>
              <w:pStyle w:val="TableParagraph"/>
              <w:spacing w:line="259" w:lineRule="auto"/>
              <w:rPr>
                <w:rFonts w:ascii="Times New Roman" w:hAnsi="Times New Roman" w:cs="Times New Roman"/>
                <w:i/>
                <w:sz w:val="19"/>
                <w:lang w:val="ru-RU"/>
              </w:rPr>
            </w:pPr>
            <w:r w:rsidRPr="00E25D5C">
              <w:rPr>
                <w:rFonts w:ascii="Times New Roman" w:hAnsi="Times New Roman" w:cs="Times New Roman"/>
                <w:i/>
                <w:w w:val="105"/>
                <w:sz w:val="19"/>
                <w:lang w:val="ru-RU"/>
              </w:rPr>
              <w:t>Нарушения</w:t>
            </w:r>
            <w:r w:rsidRPr="00E25D5C">
              <w:rPr>
                <w:rFonts w:ascii="Times New Roman" w:hAnsi="Times New Roman" w:cs="Times New Roman"/>
                <w:i/>
                <w:spacing w:val="-10"/>
                <w:w w:val="105"/>
                <w:sz w:val="19"/>
                <w:lang w:val="ru-RU"/>
              </w:rPr>
              <w:t xml:space="preserve"> </w:t>
            </w:r>
            <w:r w:rsidRPr="00E25D5C">
              <w:rPr>
                <w:rFonts w:ascii="Times New Roman" w:hAnsi="Times New Roman" w:cs="Times New Roman"/>
                <w:i/>
                <w:w w:val="105"/>
                <w:sz w:val="19"/>
                <w:lang w:val="ru-RU"/>
              </w:rPr>
              <w:t xml:space="preserve">со </w:t>
            </w:r>
            <w:r w:rsidRPr="00E25D5C">
              <w:rPr>
                <w:rFonts w:ascii="Times New Roman" w:hAnsi="Times New Roman" w:cs="Times New Roman"/>
                <w:i/>
                <w:spacing w:val="-2"/>
                <w:w w:val="105"/>
                <w:sz w:val="19"/>
                <w:lang w:val="ru-RU"/>
              </w:rPr>
              <w:t>стороны желудочно- кишечного тракта</w:t>
            </w:r>
          </w:p>
        </w:tc>
        <w:tc>
          <w:tcPr>
            <w:tcW w:w="1556" w:type="dxa"/>
          </w:tcPr>
          <w:p w14:paraId="0D1BBCD3" w14:textId="77777777" w:rsidR="00C035FA" w:rsidRPr="00E25D5C" w:rsidRDefault="00C035FA">
            <w:pPr>
              <w:pStyle w:val="TableParagraph"/>
              <w:rPr>
                <w:rFonts w:ascii="Times New Roman" w:hAnsi="Times New Roman" w:cs="Times New Roman"/>
                <w:sz w:val="20"/>
                <w:lang w:val="ru-RU"/>
              </w:rPr>
            </w:pPr>
          </w:p>
        </w:tc>
        <w:tc>
          <w:tcPr>
            <w:tcW w:w="1709" w:type="dxa"/>
          </w:tcPr>
          <w:p w14:paraId="7C27B341" w14:textId="77777777" w:rsidR="00C035FA" w:rsidRPr="00421FA2" w:rsidRDefault="008D5756">
            <w:pPr>
              <w:pStyle w:val="TableParagraph"/>
              <w:rPr>
                <w:rFonts w:ascii="Times New Roman" w:hAnsi="Times New Roman" w:cs="Times New Roman"/>
                <w:sz w:val="19"/>
                <w:lang w:val="ru-RU"/>
              </w:rPr>
            </w:pPr>
            <w:r w:rsidRPr="00421FA2">
              <w:rPr>
                <w:rFonts w:ascii="Times New Roman" w:hAnsi="Times New Roman" w:cs="Times New Roman"/>
                <w:spacing w:val="-2"/>
                <w:w w:val="105"/>
                <w:sz w:val="19"/>
                <w:lang w:val="ru-RU"/>
              </w:rPr>
              <w:t>Запор</w:t>
            </w:r>
          </w:p>
        </w:tc>
        <w:tc>
          <w:tcPr>
            <w:tcW w:w="1560" w:type="dxa"/>
          </w:tcPr>
          <w:p w14:paraId="1A14C531" w14:textId="77777777" w:rsidR="00C035FA" w:rsidRPr="00421FA2" w:rsidRDefault="00C035FA">
            <w:pPr>
              <w:pStyle w:val="TableParagraph"/>
              <w:rPr>
                <w:rFonts w:ascii="Times New Roman" w:hAnsi="Times New Roman" w:cs="Times New Roman"/>
                <w:sz w:val="20"/>
                <w:lang w:val="ru-RU"/>
              </w:rPr>
            </w:pPr>
          </w:p>
        </w:tc>
        <w:tc>
          <w:tcPr>
            <w:tcW w:w="1369" w:type="dxa"/>
          </w:tcPr>
          <w:p w14:paraId="29DDB6F4" w14:textId="77777777" w:rsidR="00C035FA" w:rsidRPr="00421FA2" w:rsidRDefault="00C035FA">
            <w:pPr>
              <w:pStyle w:val="TableParagraph"/>
              <w:rPr>
                <w:rFonts w:ascii="Times New Roman" w:hAnsi="Times New Roman" w:cs="Times New Roman"/>
                <w:sz w:val="20"/>
                <w:lang w:val="ru-RU"/>
              </w:rPr>
            </w:pPr>
          </w:p>
        </w:tc>
        <w:tc>
          <w:tcPr>
            <w:tcW w:w="1451" w:type="dxa"/>
          </w:tcPr>
          <w:p w14:paraId="39C0736D" w14:textId="77777777" w:rsidR="00C035FA" w:rsidRPr="00421FA2" w:rsidRDefault="00C035FA">
            <w:pPr>
              <w:pStyle w:val="TableParagraph"/>
              <w:rPr>
                <w:rFonts w:ascii="Times New Roman" w:hAnsi="Times New Roman" w:cs="Times New Roman"/>
                <w:sz w:val="20"/>
                <w:lang w:val="ru-RU"/>
              </w:rPr>
            </w:pPr>
          </w:p>
        </w:tc>
      </w:tr>
      <w:tr w:rsidR="00C035FA" w:rsidRPr="00485E09" w14:paraId="59D9FDA3" w14:textId="77777777">
        <w:trPr>
          <w:trHeight w:val="20"/>
        </w:trPr>
        <w:tc>
          <w:tcPr>
            <w:tcW w:w="1699" w:type="dxa"/>
          </w:tcPr>
          <w:p w14:paraId="023D492D" w14:textId="77777777" w:rsidR="00C035FA" w:rsidRPr="00E25D5C" w:rsidRDefault="008D5756">
            <w:pPr>
              <w:pStyle w:val="TableParagraph"/>
              <w:spacing w:line="201" w:lineRule="exact"/>
              <w:rPr>
                <w:rFonts w:ascii="Times New Roman" w:hAnsi="Times New Roman" w:cs="Times New Roman"/>
                <w:i/>
                <w:sz w:val="19"/>
                <w:lang w:val="ru-RU"/>
              </w:rPr>
            </w:pPr>
            <w:r w:rsidRPr="00E25D5C">
              <w:rPr>
                <w:rFonts w:ascii="Times New Roman" w:hAnsi="Times New Roman" w:cs="Times New Roman"/>
                <w:i/>
                <w:sz w:val="19"/>
                <w:lang w:val="ru-RU"/>
              </w:rPr>
              <w:t>Нарушения</w:t>
            </w:r>
            <w:r w:rsidRPr="00E25D5C">
              <w:rPr>
                <w:rFonts w:ascii="Times New Roman" w:hAnsi="Times New Roman" w:cs="Times New Roman"/>
                <w:i/>
                <w:spacing w:val="44"/>
                <w:sz w:val="19"/>
                <w:lang w:val="ru-RU"/>
              </w:rPr>
              <w:t xml:space="preserve"> </w:t>
            </w:r>
            <w:r w:rsidRPr="00E25D5C">
              <w:rPr>
                <w:rFonts w:ascii="Times New Roman" w:hAnsi="Times New Roman" w:cs="Times New Roman"/>
                <w:i/>
                <w:spacing w:val="-5"/>
                <w:sz w:val="19"/>
                <w:lang w:val="ru-RU"/>
              </w:rPr>
              <w:t>со</w:t>
            </w:r>
          </w:p>
          <w:p w14:paraId="042CF507" w14:textId="77777777" w:rsidR="00C035FA" w:rsidRPr="00E25D5C" w:rsidRDefault="008D5756">
            <w:pPr>
              <w:pStyle w:val="TableParagraph"/>
              <w:spacing w:line="213" w:lineRule="exact"/>
              <w:rPr>
                <w:rFonts w:ascii="Times New Roman" w:hAnsi="Times New Roman" w:cs="Times New Roman"/>
                <w:i/>
                <w:sz w:val="19"/>
                <w:lang w:val="ru-RU"/>
              </w:rPr>
            </w:pPr>
            <w:r w:rsidRPr="00E25D5C">
              <w:rPr>
                <w:rFonts w:ascii="Times New Roman" w:hAnsi="Times New Roman" w:cs="Times New Roman"/>
                <w:i/>
                <w:w w:val="105"/>
                <w:sz w:val="19"/>
                <w:lang w:val="ru-RU"/>
              </w:rPr>
              <w:t>стороны</w:t>
            </w:r>
            <w:r w:rsidRPr="00E25D5C">
              <w:rPr>
                <w:rFonts w:ascii="Times New Roman" w:hAnsi="Times New Roman" w:cs="Times New Roman"/>
                <w:i/>
                <w:spacing w:val="-4"/>
                <w:w w:val="105"/>
                <w:sz w:val="19"/>
                <w:lang w:val="ru-RU"/>
              </w:rPr>
              <w:t xml:space="preserve"> </w:t>
            </w:r>
            <w:r w:rsidRPr="00E25D5C">
              <w:rPr>
                <w:rFonts w:ascii="Times New Roman" w:hAnsi="Times New Roman" w:cs="Times New Roman"/>
                <w:i/>
                <w:w w:val="105"/>
                <w:sz w:val="19"/>
                <w:lang w:val="ru-RU"/>
              </w:rPr>
              <w:t xml:space="preserve">кожи </w:t>
            </w:r>
            <w:r w:rsidRPr="00E25D5C">
              <w:rPr>
                <w:rFonts w:ascii="Times New Roman" w:hAnsi="Times New Roman" w:cs="Times New Roman"/>
                <w:i/>
                <w:spacing w:val="-10"/>
                <w:w w:val="105"/>
                <w:sz w:val="19"/>
                <w:lang w:val="ru-RU"/>
              </w:rPr>
              <w:t>и</w:t>
            </w:r>
          </w:p>
          <w:p w14:paraId="4BC0D16E" w14:textId="77777777" w:rsidR="00C035FA" w:rsidRPr="00E25D5C" w:rsidRDefault="008D5756">
            <w:pPr>
              <w:pStyle w:val="TableParagraph"/>
              <w:spacing w:line="196" w:lineRule="exact"/>
              <w:rPr>
                <w:rFonts w:ascii="Times New Roman" w:hAnsi="Times New Roman" w:cs="Times New Roman"/>
                <w:i/>
                <w:sz w:val="19"/>
                <w:lang w:val="ru-RU"/>
              </w:rPr>
            </w:pPr>
            <w:r w:rsidRPr="00E25D5C">
              <w:rPr>
                <w:rFonts w:ascii="Times New Roman" w:hAnsi="Times New Roman" w:cs="Times New Roman"/>
                <w:i/>
                <w:spacing w:val="-2"/>
                <w:w w:val="105"/>
                <w:sz w:val="19"/>
                <w:lang w:val="ru-RU"/>
              </w:rPr>
              <w:t>подкожных</w:t>
            </w:r>
          </w:p>
          <w:p w14:paraId="3F2F4929" w14:textId="77777777" w:rsidR="00C035FA" w:rsidRPr="00421FA2" w:rsidRDefault="008D5756">
            <w:pPr>
              <w:pStyle w:val="TableParagraph"/>
              <w:rPr>
                <w:rFonts w:ascii="Times New Roman" w:hAnsi="Times New Roman" w:cs="Times New Roman"/>
                <w:i/>
                <w:sz w:val="19"/>
                <w:lang w:val="ru-RU"/>
              </w:rPr>
            </w:pPr>
            <w:r w:rsidRPr="00421FA2">
              <w:rPr>
                <w:rFonts w:ascii="Times New Roman" w:hAnsi="Times New Roman" w:cs="Times New Roman"/>
                <w:i/>
                <w:spacing w:val="-2"/>
                <w:w w:val="105"/>
                <w:sz w:val="19"/>
                <w:lang w:val="ru-RU"/>
              </w:rPr>
              <w:t>тканеи</w:t>
            </w:r>
          </w:p>
        </w:tc>
        <w:tc>
          <w:tcPr>
            <w:tcW w:w="1556" w:type="dxa"/>
          </w:tcPr>
          <w:p w14:paraId="14167D25" w14:textId="77777777" w:rsidR="00C035FA" w:rsidRPr="00421FA2" w:rsidRDefault="00C035FA">
            <w:pPr>
              <w:pStyle w:val="TableParagraph"/>
              <w:rPr>
                <w:rFonts w:ascii="Times New Roman" w:hAnsi="Times New Roman" w:cs="Times New Roman"/>
                <w:sz w:val="20"/>
                <w:lang w:val="ru-RU"/>
              </w:rPr>
            </w:pPr>
          </w:p>
        </w:tc>
        <w:tc>
          <w:tcPr>
            <w:tcW w:w="1709" w:type="dxa"/>
          </w:tcPr>
          <w:p w14:paraId="3DCBA05A" w14:textId="77777777" w:rsidR="00C035FA" w:rsidRPr="00E25D5C" w:rsidRDefault="008D5756">
            <w:pPr>
              <w:pStyle w:val="TableParagraph"/>
              <w:spacing w:line="201" w:lineRule="exact"/>
              <w:rPr>
                <w:rFonts w:ascii="Times New Roman" w:hAnsi="Times New Roman" w:cs="Times New Roman"/>
                <w:sz w:val="19"/>
                <w:lang w:val="ru-RU"/>
              </w:rPr>
            </w:pPr>
            <w:r w:rsidRPr="00E25D5C">
              <w:rPr>
                <w:rFonts w:ascii="Times New Roman" w:hAnsi="Times New Roman" w:cs="Times New Roman"/>
                <w:w w:val="105"/>
                <w:sz w:val="19"/>
                <w:lang w:val="ru-RU"/>
              </w:rPr>
              <w:t>Зуд</w:t>
            </w:r>
            <w:r w:rsidRPr="00E25D5C">
              <w:rPr>
                <w:rFonts w:ascii="Times New Roman" w:hAnsi="Times New Roman" w:cs="Times New Roman"/>
                <w:spacing w:val="-7"/>
                <w:w w:val="105"/>
                <w:sz w:val="19"/>
                <w:lang w:val="ru-RU"/>
              </w:rPr>
              <w:t xml:space="preserve"> </w:t>
            </w:r>
            <w:r w:rsidRPr="00E25D5C">
              <w:rPr>
                <w:rFonts w:ascii="Times New Roman" w:hAnsi="Times New Roman" w:cs="Times New Roman"/>
                <w:spacing w:val="-2"/>
                <w:w w:val="105"/>
                <w:sz w:val="19"/>
                <w:lang w:val="ru-RU"/>
              </w:rPr>
              <w:t>(генерализо-</w:t>
            </w:r>
          </w:p>
          <w:p w14:paraId="47D3611B" w14:textId="77777777" w:rsidR="00C035FA" w:rsidRPr="00E25D5C" w:rsidRDefault="008D5756">
            <w:pPr>
              <w:pStyle w:val="TableParagraph"/>
              <w:spacing w:line="184"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ванный)</w:t>
            </w:r>
          </w:p>
          <w:p w14:paraId="13411C6E"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w w:val="105"/>
                <w:sz w:val="19"/>
                <w:lang w:val="ru-RU"/>
              </w:rPr>
              <w:t>Кожная</w:t>
            </w:r>
            <w:r w:rsidRPr="00E25D5C">
              <w:rPr>
                <w:rFonts w:ascii="Times New Roman" w:hAnsi="Times New Roman" w:cs="Times New Roman"/>
                <w:spacing w:val="-5"/>
                <w:w w:val="105"/>
                <w:sz w:val="19"/>
                <w:lang w:val="ru-RU"/>
              </w:rPr>
              <w:t xml:space="preserve"> </w:t>
            </w:r>
            <w:r w:rsidRPr="00E25D5C">
              <w:rPr>
                <w:rFonts w:ascii="Times New Roman" w:hAnsi="Times New Roman" w:cs="Times New Roman"/>
                <w:spacing w:val="-2"/>
                <w:w w:val="105"/>
                <w:sz w:val="19"/>
                <w:lang w:val="ru-RU"/>
              </w:rPr>
              <w:t>сыпь</w:t>
            </w:r>
            <w:r w:rsidRPr="00E25D5C">
              <w:rPr>
                <w:rFonts w:ascii="Times New Roman" w:hAnsi="Times New Roman" w:cs="Times New Roman"/>
                <w:spacing w:val="-2"/>
                <w:w w:val="105"/>
                <w:sz w:val="19"/>
                <w:vertAlign w:val="superscript"/>
                <w:lang w:val="ru-RU"/>
              </w:rPr>
              <w:t>2</w:t>
            </w:r>
          </w:p>
        </w:tc>
        <w:tc>
          <w:tcPr>
            <w:tcW w:w="1560" w:type="dxa"/>
          </w:tcPr>
          <w:p w14:paraId="43EC76B6" w14:textId="77777777" w:rsidR="00C035FA" w:rsidRPr="00421FA2" w:rsidRDefault="008D5756">
            <w:pPr>
              <w:pStyle w:val="TableParagraph"/>
              <w:spacing w:line="206"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Крапивница</w:t>
            </w:r>
            <w:r w:rsidRPr="00421FA2">
              <w:rPr>
                <w:rFonts w:ascii="Times New Roman" w:hAnsi="Times New Roman" w:cs="Times New Roman"/>
                <w:spacing w:val="-2"/>
                <w:w w:val="105"/>
                <w:sz w:val="19"/>
                <w:vertAlign w:val="superscript"/>
                <w:lang w:val="ru-RU"/>
              </w:rPr>
              <w:t>2</w:t>
            </w:r>
          </w:p>
          <w:p w14:paraId="6192FA48" w14:textId="77777777" w:rsidR="00C035FA" w:rsidRPr="00421FA2" w:rsidRDefault="008D5756">
            <w:pPr>
              <w:pStyle w:val="TableParagraph"/>
              <w:spacing w:line="217"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Ангионевро-</w:t>
            </w:r>
          </w:p>
          <w:p w14:paraId="5E989803" w14:textId="77777777" w:rsidR="00C035FA" w:rsidRPr="00421FA2" w:rsidRDefault="008D5756">
            <w:pPr>
              <w:pStyle w:val="TableParagraph"/>
              <w:spacing w:line="201" w:lineRule="exact"/>
              <w:rPr>
                <w:rFonts w:ascii="Times New Roman" w:hAnsi="Times New Roman" w:cs="Times New Roman"/>
                <w:sz w:val="19"/>
                <w:lang w:val="ru-RU"/>
              </w:rPr>
            </w:pPr>
            <w:r w:rsidRPr="00421FA2">
              <w:rPr>
                <w:rFonts w:ascii="Times New Roman" w:hAnsi="Times New Roman" w:cs="Times New Roman"/>
                <w:w w:val="105"/>
                <w:sz w:val="19"/>
                <w:lang w:val="ru-RU"/>
              </w:rPr>
              <w:t>тический</w:t>
            </w:r>
            <w:r w:rsidRPr="00421FA2">
              <w:rPr>
                <w:rFonts w:ascii="Times New Roman" w:hAnsi="Times New Roman" w:cs="Times New Roman"/>
                <w:spacing w:val="-1"/>
                <w:w w:val="105"/>
                <w:sz w:val="19"/>
                <w:lang w:val="ru-RU"/>
              </w:rPr>
              <w:t xml:space="preserve"> </w:t>
            </w:r>
            <w:r w:rsidRPr="00421FA2">
              <w:rPr>
                <w:rFonts w:ascii="Times New Roman" w:hAnsi="Times New Roman" w:cs="Times New Roman"/>
                <w:spacing w:val="-2"/>
                <w:w w:val="105"/>
                <w:sz w:val="19"/>
                <w:lang w:val="ru-RU"/>
              </w:rPr>
              <w:t>отек</w:t>
            </w:r>
            <w:r w:rsidRPr="00421FA2">
              <w:rPr>
                <w:rFonts w:ascii="Times New Roman" w:hAnsi="Times New Roman" w:cs="Times New Roman"/>
                <w:spacing w:val="-2"/>
                <w:w w:val="105"/>
                <w:sz w:val="19"/>
                <w:vertAlign w:val="superscript"/>
                <w:lang w:val="ru-RU"/>
              </w:rPr>
              <w:t>2</w:t>
            </w:r>
          </w:p>
        </w:tc>
        <w:tc>
          <w:tcPr>
            <w:tcW w:w="1369" w:type="dxa"/>
          </w:tcPr>
          <w:p w14:paraId="1F0C8E99" w14:textId="77777777" w:rsidR="00C035FA" w:rsidRPr="00421FA2" w:rsidRDefault="00C035FA">
            <w:pPr>
              <w:pStyle w:val="TableParagraph"/>
              <w:rPr>
                <w:rFonts w:ascii="Times New Roman" w:hAnsi="Times New Roman" w:cs="Times New Roman"/>
                <w:sz w:val="20"/>
                <w:lang w:val="ru-RU"/>
              </w:rPr>
            </w:pPr>
          </w:p>
        </w:tc>
        <w:tc>
          <w:tcPr>
            <w:tcW w:w="1451" w:type="dxa"/>
          </w:tcPr>
          <w:p w14:paraId="3FC73F73" w14:textId="77777777" w:rsidR="00C035FA" w:rsidRPr="00421FA2" w:rsidRDefault="00C035FA">
            <w:pPr>
              <w:pStyle w:val="TableParagraph"/>
              <w:rPr>
                <w:rFonts w:ascii="Times New Roman" w:hAnsi="Times New Roman" w:cs="Times New Roman"/>
                <w:sz w:val="20"/>
                <w:lang w:val="ru-RU"/>
              </w:rPr>
            </w:pPr>
          </w:p>
        </w:tc>
      </w:tr>
      <w:tr w:rsidR="00C035FA" w:rsidRPr="00485E09" w14:paraId="2EFB0DAE" w14:textId="77777777">
        <w:trPr>
          <w:trHeight w:val="20"/>
        </w:trPr>
        <w:tc>
          <w:tcPr>
            <w:tcW w:w="1699" w:type="dxa"/>
          </w:tcPr>
          <w:p w14:paraId="1AE42E68" w14:textId="77777777" w:rsidR="00C035FA" w:rsidRPr="00421FA2" w:rsidRDefault="008D5756">
            <w:pPr>
              <w:pStyle w:val="TableParagraph"/>
              <w:spacing w:line="201" w:lineRule="exact"/>
              <w:rPr>
                <w:rFonts w:ascii="Times New Roman" w:hAnsi="Times New Roman" w:cs="Times New Roman"/>
                <w:i/>
                <w:sz w:val="19"/>
                <w:lang w:val="ru-RU"/>
              </w:rPr>
            </w:pPr>
            <w:r w:rsidRPr="00421FA2">
              <w:rPr>
                <w:rFonts w:ascii="Times New Roman" w:hAnsi="Times New Roman" w:cs="Times New Roman"/>
                <w:i/>
                <w:w w:val="105"/>
                <w:sz w:val="19"/>
                <w:lang w:val="ru-RU"/>
              </w:rPr>
              <w:t>Нарушения</w:t>
            </w:r>
            <w:r w:rsidRPr="00421FA2">
              <w:rPr>
                <w:rFonts w:ascii="Times New Roman" w:hAnsi="Times New Roman" w:cs="Times New Roman"/>
                <w:i/>
                <w:spacing w:val="-11"/>
                <w:w w:val="105"/>
                <w:sz w:val="19"/>
                <w:lang w:val="ru-RU"/>
              </w:rPr>
              <w:t xml:space="preserve"> </w:t>
            </w:r>
            <w:r w:rsidRPr="00421FA2">
              <w:rPr>
                <w:rFonts w:ascii="Times New Roman" w:hAnsi="Times New Roman" w:cs="Times New Roman"/>
                <w:i/>
                <w:spacing w:val="-5"/>
                <w:w w:val="105"/>
                <w:sz w:val="19"/>
                <w:lang w:val="ru-RU"/>
              </w:rPr>
              <w:t>со</w:t>
            </w:r>
          </w:p>
          <w:p w14:paraId="3ED51D9A" w14:textId="77777777" w:rsidR="00C035FA" w:rsidRPr="00421FA2" w:rsidRDefault="008D5756">
            <w:pPr>
              <w:pStyle w:val="TableParagraph"/>
              <w:spacing w:line="200" w:lineRule="exact"/>
              <w:rPr>
                <w:rFonts w:ascii="Times New Roman" w:hAnsi="Times New Roman" w:cs="Times New Roman"/>
                <w:i/>
                <w:sz w:val="19"/>
                <w:lang w:val="ru-RU"/>
              </w:rPr>
            </w:pPr>
            <w:r w:rsidRPr="00421FA2">
              <w:rPr>
                <w:rFonts w:ascii="Times New Roman" w:hAnsi="Times New Roman" w:cs="Times New Roman"/>
                <w:i/>
                <w:w w:val="105"/>
                <w:sz w:val="19"/>
                <w:lang w:val="ru-RU"/>
              </w:rPr>
              <w:t>стороны</w:t>
            </w:r>
            <w:r w:rsidRPr="00421FA2">
              <w:rPr>
                <w:rFonts w:ascii="Times New Roman" w:hAnsi="Times New Roman" w:cs="Times New Roman"/>
                <w:i/>
                <w:spacing w:val="-2"/>
                <w:w w:val="105"/>
                <w:sz w:val="19"/>
                <w:lang w:val="ru-RU"/>
              </w:rPr>
              <w:t xml:space="preserve"> сосудов</w:t>
            </w:r>
          </w:p>
        </w:tc>
        <w:tc>
          <w:tcPr>
            <w:tcW w:w="1556" w:type="dxa"/>
          </w:tcPr>
          <w:p w14:paraId="10DD8446" w14:textId="77777777" w:rsidR="00C035FA" w:rsidRPr="00E25D5C" w:rsidRDefault="008D5756">
            <w:pPr>
              <w:pStyle w:val="TableParagraph"/>
              <w:spacing w:line="201"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Снижение объема</w:t>
            </w:r>
          </w:p>
          <w:p w14:paraId="1D28376A" w14:textId="77777777" w:rsidR="00C035FA" w:rsidRPr="00E25D5C" w:rsidRDefault="008D5756">
            <w:pPr>
              <w:pStyle w:val="TableParagraph"/>
              <w:spacing w:line="198" w:lineRule="exact"/>
              <w:rPr>
                <w:rFonts w:ascii="Times New Roman" w:hAnsi="Times New Roman" w:cs="Times New Roman"/>
                <w:sz w:val="19"/>
                <w:lang w:val="ru-RU"/>
              </w:rPr>
            </w:pPr>
            <w:r w:rsidRPr="00E25D5C">
              <w:rPr>
                <w:rFonts w:ascii="Times New Roman" w:hAnsi="Times New Roman" w:cs="Times New Roman"/>
                <w:spacing w:val="-2"/>
                <w:w w:val="105"/>
                <w:sz w:val="19"/>
                <w:lang w:val="ru-RU"/>
              </w:rPr>
              <w:t>циркулирую</w:t>
            </w:r>
            <w:r w:rsidRPr="00E25D5C">
              <w:rPr>
                <w:rFonts w:ascii="Times New Roman" w:hAnsi="Times New Roman" w:cs="Times New Roman"/>
                <w:sz w:val="19"/>
                <w:lang w:val="ru-RU"/>
              </w:rPr>
              <w:t>щей</w:t>
            </w:r>
            <w:r w:rsidRPr="00E25D5C">
              <w:rPr>
                <w:rFonts w:ascii="Times New Roman" w:hAnsi="Times New Roman" w:cs="Times New Roman"/>
                <w:spacing w:val="16"/>
                <w:sz w:val="19"/>
                <w:lang w:val="ru-RU"/>
              </w:rPr>
              <w:t xml:space="preserve"> </w:t>
            </w:r>
            <w:r w:rsidRPr="00E25D5C">
              <w:rPr>
                <w:rFonts w:ascii="Times New Roman" w:hAnsi="Times New Roman" w:cs="Times New Roman"/>
                <w:spacing w:val="-4"/>
                <w:sz w:val="19"/>
                <w:lang w:val="ru-RU"/>
              </w:rPr>
              <w:t xml:space="preserve">крови </w:t>
            </w:r>
            <w:r w:rsidRPr="00E25D5C">
              <w:rPr>
                <w:rFonts w:ascii="Times New Roman" w:hAnsi="Times New Roman" w:cs="Times New Roman"/>
                <w:spacing w:val="-2"/>
                <w:w w:val="120"/>
                <w:sz w:val="17"/>
                <w:lang w:val="ru-RU"/>
              </w:rPr>
              <w:t>(</w:t>
            </w:r>
            <w:r w:rsidRPr="00421FA2">
              <w:rPr>
                <w:rFonts w:ascii="Times New Roman" w:hAnsi="Times New Roman" w:cs="Times New Roman"/>
                <w:spacing w:val="-2"/>
                <w:w w:val="120"/>
                <w:sz w:val="17"/>
                <w:lang w:val="ru-RU"/>
              </w:rPr>
              <w:t>O</w:t>
            </w:r>
            <w:r w:rsidRPr="00E25D5C">
              <w:rPr>
                <w:rFonts w:ascii="Times New Roman" w:hAnsi="Times New Roman" w:cs="Times New Roman"/>
                <w:spacing w:val="-2"/>
                <w:w w:val="120"/>
                <w:sz w:val="17"/>
                <w:lang w:val="ru-RU"/>
              </w:rPr>
              <w:t>ЦК)</w:t>
            </w:r>
            <w:r w:rsidRPr="00E25D5C">
              <w:rPr>
                <w:rFonts w:ascii="Times New Roman" w:hAnsi="Times New Roman" w:cs="Times New Roman"/>
                <w:spacing w:val="-2"/>
                <w:w w:val="120"/>
                <w:sz w:val="17"/>
                <w:vertAlign w:val="superscript"/>
                <w:lang w:val="ru-RU"/>
              </w:rPr>
              <w:t>1</w:t>
            </w:r>
          </w:p>
        </w:tc>
        <w:tc>
          <w:tcPr>
            <w:tcW w:w="1709" w:type="dxa"/>
          </w:tcPr>
          <w:p w14:paraId="2AE2AA03" w14:textId="77777777" w:rsidR="00C035FA" w:rsidRPr="00E25D5C" w:rsidRDefault="00C035FA">
            <w:pPr>
              <w:pStyle w:val="TableParagraph"/>
              <w:rPr>
                <w:rFonts w:ascii="Times New Roman" w:hAnsi="Times New Roman" w:cs="Times New Roman"/>
                <w:sz w:val="20"/>
                <w:lang w:val="ru-RU"/>
              </w:rPr>
            </w:pPr>
          </w:p>
        </w:tc>
        <w:tc>
          <w:tcPr>
            <w:tcW w:w="1560" w:type="dxa"/>
          </w:tcPr>
          <w:p w14:paraId="54A0FA06" w14:textId="77777777" w:rsidR="00C035FA" w:rsidRPr="00E25D5C" w:rsidRDefault="00C035FA">
            <w:pPr>
              <w:pStyle w:val="TableParagraph"/>
              <w:rPr>
                <w:rFonts w:ascii="Times New Roman" w:hAnsi="Times New Roman" w:cs="Times New Roman"/>
                <w:sz w:val="20"/>
                <w:lang w:val="ru-RU"/>
              </w:rPr>
            </w:pPr>
          </w:p>
        </w:tc>
        <w:tc>
          <w:tcPr>
            <w:tcW w:w="1369" w:type="dxa"/>
          </w:tcPr>
          <w:p w14:paraId="3EA49637" w14:textId="77777777" w:rsidR="00C035FA" w:rsidRPr="00E25D5C" w:rsidRDefault="00C035FA">
            <w:pPr>
              <w:pStyle w:val="TableParagraph"/>
              <w:rPr>
                <w:rFonts w:ascii="Times New Roman" w:hAnsi="Times New Roman" w:cs="Times New Roman"/>
                <w:sz w:val="20"/>
                <w:lang w:val="ru-RU"/>
              </w:rPr>
            </w:pPr>
          </w:p>
        </w:tc>
        <w:tc>
          <w:tcPr>
            <w:tcW w:w="1451" w:type="dxa"/>
          </w:tcPr>
          <w:p w14:paraId="4B23943F" w14:textId="77777777" w:rsidR="00C035FA" w:rsidRPr="00E25D5C" w:rsidRDefault="00C035FA">
            <w:pPr>
              <w:pStyle w:val="TableParagraph"/>
              <w:rPr>
                <w:rFonts w:ascii="Times New Roman" w:hAnsi="Times New Roman" w:cs="Times New Roman"/>
                <w:sz w:val="20"/>
                <w:lang w:val="ru-RU"/>
              </w:rPr>
            </w:pPr>
          </w:p>
        </w:tc>
      </w:tr>
      <w:tr w:rsidR="00C035FA" w:rsidRPr="00485E09" w14:paraId="1CDD67C1" w14:textId="77777777">
        <w:trPr>
          <w:trHeight w:val="20"/>
        </w:trPr>
        <w:tc>
          <w:tcPr>
            <w:tcW w:w="1699" w:type="dxa"/>
          </w:tcPr>
          <w:p w14:paraId="7048890D" w14:textId="77777777" w:rsidR="00C035FA" w:rsidRPr="00E25D5C" w:rsidRDefault="008D5756">
            <w:pPr>
              <w:pStyle w:val="TableParagraph"/>
              <w:spacing w:line="206" w:lineRule="exact"/>
              <w:rPr>
                <w:rFonts w:ascii="Times New Roman" w:hAnsi="Times New Roman" w:cs="Times New Roman"/>
                <w:i/>
                <w:sz w:val="19"/>
                <w:lang w:val="ru-RU"/>
              </w:rPr>
            </w:pPr>
            <w:r w:rsidRPr="00E25D5C">
              <w:rPr>
                <w:rFonts w:ascii="Times New Roman" w:hAnsi="Times New Roman" w:cs="Times New Roman"/>
                <w:i/>
                <w:w w:val="105"/>
                <w:sz w:val="19"/>
                <w:lang w:val="ru-RU"/>
              </w:rPr>
              <w:t>Нарушения</w:t>
            </w:r>
            <w:r w:rsidRPr="00E25D5C">
              <w:rPr>
                <w:rFonts w:ascii="Times New Roman" w:hAnsi="Times New Roman" w:cs="Times New Roman"/>
                <w:i/>
                <w:spacing w:val="-11"/>
                <w:w w:val="105"/>
                <w:sz w:val="19"/>
                <w:lang w:val="ru-RU"/>
              </w:rPr>
              <w:t xml:space="preserve"> </w:t>
            </w:r>
            <w:r w:rsidRPr="00E25D5C">
              <w:rPr>
                <w:rFonts w:ascii="Times New Roman" w:hAnsi="Times New Roman" w:cs="Times New Roman"/>
                <w:i/>
                <w:spacing w:val="-5"/>
                <w:w w:val="105"/>
                <w:sz w:val="19"/>
                <w:lang w:val="ru-RU"/>
              </w:rPr>
              <w:t>со</w:t>
            </w:r>
          </w:p>
          <w:p w14:paraId="29BEA472" w14:textId="77777777" w:rsidR="00C035FA" w:rsidRPr="00E25D5C" w:rsidRDefault="008D5756">
            <w:pPr>
              <w:pStyle w:val="TableParagraph"/>
              <w:spacing w:line="198" w:lineRule="exact"/>
              <w:rPr>
                <w:rFonts w:ascii="Times New Roman" w:hAnsi="Times New Roman" w:cs="Times New Roman"/>
                <w:i/>
                <w:sz w:val="19"/>
                <w:lang w:val="ru-RU"/>
              </w:rPr>
            </w:pPr>
            <w:r w:rsidRPr="00E25D5C">
              <w:rPr>
                <w:rFonts w:ascii="Times New Roman" w:hAnsi="Times New Roman" w:cs="Times New Roman"/>
                <w:i/>
                <w:w w:val="105"/>
                <w:sz w:val="19"/>
                <w:lang w:val="ru-RU"/>
              </w:rPr>
              <w:t>стороны</w:t>
            </w:r>
            <w:r w:rsidRPr="00E25D5C">
              <w:rPr>
                <w:rFonts w:ascii="Times New Roman" w:hAnsi="Times New Roman" w:cs="Times New Roman"/>
                <w:i/>
                <w:spacing w:val="-5"/>
                <w:w w:val="105"/>
                <w:sz w:val="19"/>
                <w:lang w:val="ru-RU"/>
              </w:rPr>
              <w:t xml:space="preserve"> </w:t>
            </w:r>
            <w:r w:rsidRPr="00E25D5C">
              <w:rPr>
                <w:rFonts w:ascii="Times New Roman" w:hAnsi="Times New Roman" w:cs="Times New Roman"/>
                <w:i/>
                <w:w w:val="105"/>
                <w:sz w:val="19"/>
                <w:lang w:val="ru-RU"/>
              </w:rPr>
              <w:t>почек</w:t>
            </w:r>
            <w:r w:rsidRPr="00E25D5C">
              <w:rPr>
                <w:rFonts w:ascii="Times New Roman" w:hAnsi="Times New Roman" w:cs="Times New Roman"/>
                <w:i/>
                <w:spacing w:val="-2"/>
                <w:w w:val="105"/>
                <w:sz w:val="19"/>
                <w:lang w:val="ru-RU"/>
              </w:rPr>
              <w:t xml:space="preserve"> </w:t>
            </w:r>
            <w:r w:rsidRPr="00E25D5C">
              <w:rPr>
                <w:rFonts w:ascii="Times New Roman" w:hAnsi="Times New Roman" w:cs="Times New Roman"/>
                <w:i/>
                <w:spacing w:val="-10"/>
                <w:w w:val="105"/>
                <w:sz w:val="19"/>
                <w:lang w:val="ru-RU"/>
              </w:rPr>
              <w:t>и</w:t>
            </w:r>
          </w:p>
          <w:p w14:paraId="11B77279" w14:textId="77777777" w:rsidR="00C035FA" w:rsidRPr="00E25D5C" w:rsidRDefault="008D5756">
            <w:pPr>
              <w:pStyle w:val="TableParagraph"/>
              <w:spacing w:line="198" w:lineRule="exact"/>
              <w:rPr>
                <w:rFonts w:ascii="Times New Roman" w:hAnsi="Times New Roman" w:cs="Times New Roman"/>
                <w:i/>
                <w:sz w:val="19"/>
                <w:lang w:val="ru-RU"/>
              </w:rPr>
            </w:pPr>
            <w:r w:rsidRPr="00E25D5C">
              <w:rPr>
                <w:rFonts w:ascii="Times New Roman" w:hAnsi="Times New Roman" w:cs="Times New Roman"/>
                <w:i/>
                <w:spacing w:val="-2"/>
                <w:w w:val="105"/>
                <w:sz w:val="19"/>
                <w:lang w:val="ru-RU"/>
              </w:rPr>
              <w:t>мочевыводящих</w:t>
            </w:r>
          </w:p>
          <w:p w14:paraId="45AF4341" w14:textId="77777777" w:rsidR="00C035FA" w:rsidRPr="00421FA2" w:rsidRDefault="008D5756">
            <w:pPr>
              <w:pStyle w:val="TableParagraph"/>
              <w:spacing w:line="213" w:lineRule="exact"/>
              <w:rPr>
                <w:rFonts w:ascii="Times New Roman" w:hAnsi="Times New Roman" w:cs="Times New Roman"/>
                <w:i/>
                <w:sz w:val="19"/>
                <w:lang w:val="ru-RU"/>
              </w:rPr>
            </w:pPr>
            <w:r w:rsidRPr="00421FA2">
              <w:rPr>
                <w:rFonts w:ascii="Times New Roman" w:hAnsi="Times New Roman" w:cs="Times New Roman"/>
                <w:i/>
                <w:spacing w:val="-2"/>
                <w:w w:val="105"/>
                <w:sz w:val="19"/>
                <w:lang w:val="ru-RU"/>
              </w:rPr>
              <w:t>путей</w:t>
            </w:r>
          </w:p>
        </w:tc>
        <w:tc>
          <w:tcPr>
            <w:tcW w:w="1556" w:type="dxa"/>
          </w:tcPr>
          <w:p w14:paraId="6FB3F066" w14:textId="77777777" w:rsidR="00C035FA" w:rsidRPr="00421FA2" w:rsidRDefault="00C035FA">
            <w:pPr>
              <w:pStyle w:val="TableParagraph"/>
              <w:rPr>
                <w:rFonts w:ascii="Times New Roman" w:hAnsi="Times New Roman" w:cs="Times New Roman"/>
                <w:sz w:val="20"/>
                <w:lang w:val="ru-RU"/>
              </w:rPr>
            </w:pPr>
          </w:p>
        </w:tc>
        <w:tc>
          <w:tcPr>
            <w:tcW w:w="1709" w:type="dxa"/>
          </w:tcPr>
          <w:p w14:paraId="651A6673" w14:textId="77777777" w:rsidR="00C035FA" w:rsidRPr="00421FA2" w:rsidRDefault="008D5756">
            <w:pPr>
              <w:pStyle w:val="TableParagraph"/>
              <w:spacing w:line="201"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Увеличение</w:t>
            </w:r>
          </w:p>
          <w:p w14:paraId="40D92B1C" w14:textId="77777777" w:rsidR="00C035FA" w:rsidRPr="00421FA2" w:rsidRDefault="008D5756">
            <w:pPr>
              <w:pStyle w:val="TableParagraph"/>
              <w:spacing w:line="198"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мочевыделения</w:t>
            </w:r>
            <w:r w:rsidRPr="00421FA2">
              <w:rPr>
                <w:rFonts w:ascii="Times New Roman" w:hAnsi="Times New Roman" w:cs="Times New Roman"/>
                <w:spacing w:val="-2"/>
                <w:w w:val="105"/>
                <w:sz w:val="19"/>
                <w:vertAlign w:val="superscript"/>
                <w:lang w:val="ru-RU"/>
              </w:rPr>
              <w:t>1</w:t>
            </w:r>
          </w:p>
        </w:tc>
        <w:tc>
          <w:tcPr>
            <w:tcW w:w="1560" w:type="dxa"/>
          </w:tcPr>
          <w:p w14:paraId="6657A923" w14:textId="77777777" w:rsidR="00C035FA" w:rsidRPr="00421FA2" w:rsidRDefault="008D5756">
            <w:pPr>
              <w:pStyle w:val="TableParagraph"/>
              <w:spacing w:line="201"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Дизурия</w:t>
            </w:r>
          </w:p>
        </w:tc>
        <w:tc>
          <w:tcPr>
            <w:tcW w:w="1369" w:type="dxa"/>
          </w:tcPr>
          <w:p w14:paraId="4C0086FF" w14:textId="77777777" w:rsidR="00C035FA" w:rsidRPr="00421FA2" w:rsidRDefault="00C035FA">
            <w:pPr>
              <w:pStyle w:val="TableParagraph"/>
              <w:rPr>
                <w:rFonts w:ascii="Times New Roman" w:hAnsi="Times New Roman" w:cs="Times New Roman"/>
                <w:sz w:val="20"/>
                <w:lang w:val="ru-RU"/>
              </w:rPr>
            </w:pPr>
          </w:p>
        </w:tc>
        <w:tc>
          <w:tcPr>
            <w:tcW w:w="1451" w:type="dxa"/>
          </w:tcPr>
          <w:p w14:paraId="4B47B1F6" w14:textId="77777777" w:rsidR="00C035FA" w:rsidRPr="00421FA2" w:rsidRDefault="008D5756">
            <w:pPr>
              <w:pStyle w:val="TableParagraph"/>
              <w:spacing w:line="201"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Тубуло-</w:t>
            </w:r>
          </w:p>
          <w:p w14:paraId="18831598" w14:textId="77777777" w:rsidR="00C035FA" w:rsidRPr="00421FA2" w:rsidRDefault="008D5756">
            <w:pPr>
              <w:pStyle w:val="TableParagraph"/>
              <w:spacing w:line="198" w:lineRule="exact"/>
              <w:rPr>
                <w:rFonts w:ascii="Times New Roman" w:hAnsi="Times New Roman" w:cs="Times New Roman"/>
                <w:sz w:val="19"/>
                <w:lang w:val="ru-RU"/>
              </w:rPr>
            </w:pPr>
            <w:r w:rsidRPr="00421FA2">
              <w:rPr>
                <w:rFonts w:ascii="Times New Roman" w:hAnsi="Times New Roman" w:cs="Times New Roman"/>
                <w:spacing w:val="-2"/>
                <w:w w:val="105"/>
                <w:sz w:val="19"/>
                <w:lang w:val="ru-RU"/>
              </w:rPr>
              <w:t>интерсти-</w:t>
            </w:r>
          </w:p>
          <w:p w14:paraId="77E018EB" w14:textId="77777777" w:rsidR="00C035FA" w:rsidRPr="00421FA2" w:rsidRDefault="008D5756">
            <w:pPr>
              <w:pStyle w:val="TableParagraph"/>
              <w:spacing w:line="198" w:lineRule="exact"/>
              <w:rPr>
                <w:rFonts w:ascii="Times New Roman" w:hAnsi="Times New Roman" w:cs="Times New Roman"/>
                <w:sz w:val="19"/>
                <w:lang w:val="ru-RU"/>
              </w:rPr>
            </w:pPr>
            <w:r w:rsidRPr="00421FA2">
              <w:rPr>
                <w:rFonts w:ascii="Times New Roman" w:hAnsi="Times New Roman" w:cs="Times New Roman"/>
                <w:spacing w:val="-2"/>
                <w:sz w:val="19"/>
                <w:lang w:val="ru-RU"/>
              </w:rPr>
              <w:t>циальный</w:t>
            </w:r>
          </w:p>
          <w:p w14:paraId="6B28F21E" w14:textId="77777777" w:rsidR="00C035FA" w:rsidRPr="00421FA2" w:rsidRDefault="008D5756">
            <w:pPr>
              <w:pStyle w:val="TableParagraph"/>
              <w:spacing w:line="218" w:lineRule="exact"/>
              <w:rPr>
                <w:rFonts w:ascii="Times New Roman" w:hAnsi="Times New Roman" w:cs="Times New Roman"/>
                <w:sz w:val="19"/>
                <w:lang w:val="ru-RU"/>
              </w:rPr>
            </w:pPr>
            <w:r w:rsidRPr="00421FA2">
              <w:rPr>
                <w:rFonts w:ascii="Times New Roman" w:hAnsi="Times New Roman" w:cs="Times New Roman"/>
                <w:spacing w:val="-2"/>
                <w:sz w:val="19"/>
                <w:lang w:val="ru-RU"/>
              </w:rPr>
              <w:t>нефрит</w:t>
            </w:r>
          </w:p>
        </w:tc>
      </w:tr>
      <w:tr w:rsidR="00C035FA" w:rsidRPr="00485E09" w14:paraId="245386FF" w14:textId="77777777">
        <w:trPr>
          <w:trHeight w:val="20"/>
        </w:trPr>
        <w:tc>
          <w:tcPr>
            <w:tcW w:w="1699" w:type="dxa"/>
          </w:tcPr>
          <w:p w14:paraId="74E21E84" w14:textId="77777777" w:rsidR="00C035FA" w:rsidRPr="00E25D5C" w:rsidRDefault="008D5756">
            <w:pPr>
              <w:pStyle w:val="TableParagraph"/>
              <w:spacing w:line="256" w:lineRule="auto"/>
              <w:jc w:val="both"/>
              <w:rPr>
                <w:rFonts w:ascii="Times New Roman" w:hAnsi="Times New Roman" w:cs="Times New Roman"/>
                <w:i/>
                <w:sz w:val="19"/>
                <w:lang w:val="ru-RU"/>
              </w:rPr>
            </w:pPr>
            <w:r w:rsidRPr="00E25D5C">
              <w:rPr>
                <w:rFonts w:ascii="Times New Roman" w:hAnsi="Times New Roman" w:cs="Times New Roman"/>
                <w:i/>
                <w:w w:val="105"/>
                <w:sz w:val="19"/>
                <w:lang w:val="ru-RU"/>
              </w:rPr>
              <w:t>Лабораторные</w:t>
            </w:r>
            <w:r w:rsidRPr="00E25D5C">
              <w:rPr>
                <w:rFonts w:ascii="Times New Roman" w:hAnsi="Times New Roman" w:cs="Times New Roman"/>
                <w:i/>
                <w:spacing w:val="-13"/>
                <w:w w:val="105"/>
                <w:sz w:val="19"/>
                <w:lang w:val="ru-RU"/>
              </w:rPr>
              <w:t xml:space="preserve"> </w:t>
            </w:r>
            <w:r w:rsidRPr="00E25D5C">
              <w:rPr>
                <w:rFonts w:ascii="Times New Roman" w:hAnsi="Times New Roman" w:cs="Times New Roman"/>
                <w:i/>
                <w:w w:val="105"/>
                <w:sz w:val="19"/>
                <w:lang w:val="ru-RU"/>
              </w:rPr>
              <w:t xml:space="preserve">и </w:t>
            </w:r>
            <w:r w:rsidRPr="00E25D5C">
              <w:rPr>
                <w:rFonts w:ascii="Times New Roman" w:hAnsi="Times New Roman" w:cs="Times New Roman"/>
                <w:i/>
                <w:spacing w:val="-2"/>
                <w:w w:val="105"/>
                <w:sz w:val="19"/>
                <w:lang w:val="ru-RU"/>
              </w:rPr>
              <w:t>инструментальные</w:t>
            </w:r>
            <w:r w:rsidRPr="00E25D5C">
              <w:rPr>
                <w:rFonts w:ascii="Times New Roman" w:hAnsi="Times New Roman" w:cs="Times New Roman"/>
                <w:i/>
                <w:w w:val="105"/>
                <w:sz w:val="19"/>
                <w:lang w:val="ru-RU"/>
              </w:rPr>
              <w:t xml:space="preserve"> данные</w:t>
            </w:r>
          </w:p>
        </w:tc>
        <w:tc>
          <w:tcPr>
            <w:tcW w:w="1556" w:type="dxa"/>
          </w:tcPr>
          <w:p w14:paraId="21B9B221" w14:textId="77777777" w:rsidR="00C035FA" w:rsidRPr="00E25D5C" w:rsidRDefault="00C035FA">
            <w:pPr>
              <w:pStyle w:val="TableParagraph"/>
              <w:rPr>
                <w:rFonts w:ascii="Times New Roman" w:hAnsi="Times New Roman" w:cs="Times New Roman"/>
                <w:sz w:val="20"/>
                <w:lang w:val="ru-RU"/>
              </w:rPr>
            </w:pPr>
          </w:p>
        </w:tc>
        <w:tc>
          <w:tcPr>
            <w:tcW w:w="1709" w:type="dxa"/>
          </w:tcPr>
          <w:p w14:paraId="6BF35F59" w14:textId="77777777" w:rsidR="00C035FA" w:rsidRPr="00E25D5C" w:rsidRDefault="008D5756">
            <w:pPr>
              <w:pStyle w:val="TableParagraph"/>
              <w:spacing w:line="256" w:lineRule="auto"/>
              <w:rPr>
                <w:rFonts w:ascii="Times New Roman" w:hAnsi="Times New Roman" w:cs="Times New Roman"/>
                <w:sz w:val="19"/>
                <w:lang w:val="ru-RU"/>
              </w:rPr>
            </w:pPr>
            <w:r w:rsidRPr="00E25D5C">
              <w:rPr>
                <w:rFonts w:ascii="Times New Roman" w:hAnsi="Times New Roman" w:cs="Times New Roman"/>
                <w:spacing w:val="-2"/>
                <w:w w:val="105"/>
                <w:sz w:val="19"/>
                <w:lang w:val="ru-RU"/>
              </w:rPr>
              <w:t xml:space="preserve">Повышение </w:t>
            </w:r>
            <w:r w:rsidRPr="00E25D5C">
              <w:rPr>
                <w:rFonts w:ascii="Times New Roman" w:hAnsi="Times New Roman" w:cs="Times New Roman"/>
                <w:spacing w:val="-2"/>
                <w:sz w:val="19"/>
                <w:lang w:val="ru-RU"/>
              </w:rPr>
              <w:t xml:space="preserve">концентрации </w:t>
            </w:r>
            <w:r w:rsidRPr="00E25D5C">
              <w:rPr>
                <w:rFonts w:ascii="Times New Roman" w:hAnsi="Times New Roman" w:cs="Times New Roman"/>
                <w:w w:val="105"/>
                <w:sz w:val="19"/>
                <w:lang w:val="ru-RU"/>
              </w:rPr>
              <w:t>липидов в плазме крови</w:t>
            </w:r>
          </w:p>
        </w:tc>
        <w:tc>
          <w:tcPr>
            <w:tcW w:w="1560" w:type="dxa"/>
          </w:tcPr>
          <w:p w14:paraId="729DBE7C" w14:textId="77777777" w:rsidR="00C035FA" w:rsidRPr="00E25D5C" w:rsidRDefault="008D5756">
            <w:pPr>
              <w:pStyle w:val="TableParagraph"/>
              <w:spacing w:line="295" w:lineRule="auto"/>
              <w:rPr>
                <w:rFonts w:ascii="Times New Roman" w:hAnsi="Times New Roman" w:cs="Times New Roman"/>
                <w:sz w:val="19"/>
                <w:lang w:val="ru-RU"/>
              </w:rPr>
            </w:pPr>
            <w:r w:rsidRPr="00E25D5C">
              <w:rPr>
                <w:rFonts w:ascii="Times New Roman" w:hAnsi="Times New Roman" w:cs="Times New Roman"/>
                <w:spacing w:val="-2"/>
                <w:w w:val="105"/>
                <w:sz w:val="19"/>
                <w:lang w:val="ru-RU"/>
              </w:rPr>
              <w:t>Снижение скорости клубочковой</w:t>
            </w:r>
          </w:p>
          <w:p w14:paraId="28A17D48"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фильтрации</w:t>
            </w:r>
            <w:r w:rsidRPr="00E25D5C">
              <w:rPr>
                <w:rFonts w:ascii="Times New Roman" w:hAnsi="Times New Roman" w:cs="Times New Roman"/>
                <w:spacing w:val="-2"/>
                <w:w w:val="105"/>
                <w:sz w:val="19"/>
                <w:vertAlign w:val="superscript"/>
                <w:lang w:val="ru-RU"/>
              </w:rPr>
              <w:t>1</w:t>
            </w:r>
          </w:p>
          <w:p w14:paraId="564FEBBA"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Повышение</w:t>
            </w:r>
          </w:p>
          <w:p w14:paraId="53131DBA"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концентрации</w:t>
            </w:r>
          </w:p>
          <w:p w14:paraId="1F685CA3"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креатинина</w:t>
            </w:r>
            <w:r w:rsidRPr="00E25D5C">
              <w:rPr>
                <w:rFonts w:ascii="Times New Roman" w:hAnsi="Times New Roman" w:cs="Times New Roman"/>
                <w:spacing w:val="12"/>
                <w:w w:val="105"/>
                <w:sz w:val="19"/>
                <w:lang w:val="ru-RU"/>
              </w:rPr>
              <w:t xml:space="preserve"> </w:t>
            </w:r>
            <w:r w:rsidRPr="00E25D5C">
              <w:rPr>
                <w:rFonts w:ascii="Times New Roman" w:hAnsi="Times New Roman" w:cs="Times New Roman"/>
                <w:spacing w:val="-10"/>
                <w:w w:val="105"/>
                <w:sz w:val="19"/>
                <w:lang w:val="ru-RU"/>
              </w:rPr>
              <w:t>в</w:t>
            </w:r>
          </w:p>
          <w:p w14:paraId="01B69A8E"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w w:val="105"/>
                <w:sz w:val="19"/>
                <w:lang w:val="ru-RU"/>
              </w:rPr>
              <w:t>плазме</w:t>
            </w:r>
            <w:r w:rsidRPr="00E25D5C">
              <w:rPr>
                <w:rFonts w:ascii="Times New Roman" w:hAnsi="Times New Roman" w:cs="Times New Roman"/>
                <w:spacing w:val="-5"/>
                <w:w w:val="105"/>
                <w:sz w:val="19"/>
                <w:lang w:val="ru-RU"/>
              </w:rPr>
              <w:t xml:space="preserve"> </w:t>
            </w:r>
            <w:r w:rsidRPr="00E25D5C">
              <w:rPr>
                <w:rFonts w:ascii="Times New Roman" w:hAnsi="Times New Roman" w:cs="Times New Roman"/>
                <w:spacing w:val="-2"/>
                <w:w w:val="105"/>
                <w:sz w:val="19"/>
                <w:lang w:val="ru-RU"/>
              </w:rPr>
              <w:t>крови</w:t>
            </w:r>
            <w:r w:rsidRPr="00E25D5C">
              <w:rPr>
                <w:rFonts w:ascii="Times New Roman" w:hAnsi="Times New Roman" w:cs="Times New Roman"/>
                <w:spacing w:val="-2"/>
                <w:w w:val="105"/>
                <w:sz w:val="19"/>
                <w:vertAlign w:val="superscript"/>
                <w:lang w:val="ru-RU"/>
              </w:rPr>
              <w:t>1</w:t>
            </w:r>
          </w:p>
          <w:p w14:paraId="5553FC0C"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Повышение</w:t>
            </w:r>
          </w:p>
          <w:p w14:paraId="11F936A0" w14:textId="77777777" w:rsidR="00C035FA" w:rsidRPr="00E25D5C" w:rsidRDefault="008D5756">
            <w:pPr>
              <w:pStyle w:val="TableParagraph"/>
              <w:rPr>
                <w:rFonts w:ascii="Times New Roman" w:hAnsi="Times New Roman" w:cs="Times New Roman"/>
                <w:sz w:val="19"/>
                <w:lang w:val="ru-RU"/>
              </w:rPr>
            </w:pPr>
            <w:r w:rsidRPr="00E25D5C">
              <w:rPr>
                <w:rFonts w:ascii="Times New Roman" w:hAnsi="Times New Roman" w:cs="Times New Roman"/>
                <w:spacing w:val="-2"/>
                <w:w w:val="105"/>
                <w:sz w:val="19"/>
                <w:lang w:val="ru-RU"/>
              </w:rPr>
              <w:t>гематокрита</w:t>
            </w:r>
          </w:p>
        </w:tc>
        <w:tc>
          <w:tcPr>
            <w:tcW w:w="1369" w:type="dxa"/>
          </w:tcPr>
          <w:p w14:paraId="20B14F93" w14:textId="77777777" w:rsidR="00C035FA" w:rsidRPr="00E25D5C" w:rsidRDefault="00C035FA">
            <w:pPr>
              <w:pStyle w:val="TableParagraph"/>
              <w:rPr>
                <w:rFonts w:ascii="Times New Roman" w:hAnsi="Times New Roman" w:cs="Times New Roman"/>
                <w:sz w:val="20"/>
                <w:lang w:val="ru-RU"/>
              </w:rPr>
            </w:pPr>
          </w:p>
        </w:tc>
        <w:tc>
          <w:tcPr>
            <w:tcW w:w="1451" w:type="dxa"/>
          </w:tcPr>
          <w:p w14:paraId="4D467DC3" w14:textId="77777777" w:rsidR="00C035FA" w:rsidRPr="00E25D5C" w:rsidRDefault="00C035FA">
            <w:pPr>
              <w:pStyle w:val="TableParagraph"/>
              <w:rPr>
                <w:rFonts w:ascii="Times New Roman" w:hAnsi="Times New Roman" w:cs="Times New Roman"/>
                <w:sz w:val="20"/>
                <w:lang w:val="ru-RU"/>
              </w:rPr>
            </w:pPr>
          </w:p>
        </w:tc>
      </w:tr>
      <w:tr w:rsidR="00C035FA" w:rsidRPr="00485E09" w14:paraId="64DE5278" w14:textId="77777777">
        <w:trPr>
          <w:trHeight w:val="20"/>
        </w:trPr>
        <w:tc>
          <w:tcPr>
            <w:tcW w:w="9344" w:type="dxa"/>
            <w:gridSpan w:val="6"/>
          </w:tcPr>
          <w:p w14:paraId="336EA05B" w14:textId="77777777" w:rsidR="00C035FA" w:rsidRPr="00E25D5C" w:rsidRDefault="008D5756">
            <w:pPr>
              <w:pStyle w:val="BodyText"/>
              <w:spacing w:after="0" w:line="240" w:lineRule="auto"/>
              <w:ind w:left="142"/>
              <w:rPr>
                <w:rFonts w:eastAsiaTheme="minorHAnsi"/>
                <w:sz w:val="20"/>
                <w:lang w:val="ru-RU"/>
              </w:rPr>
            </w:pPr>
            <w:r w:rsidRPr="00421FA2">
              <w:rPr>
                <w:rFonts w:eastAsiaTheme="minorHAnsi"/>
                <w:b/>
                <w:bCs/>
                <w:sz w:val="20"/>
                <w:lang w:val="ru-RU"/>
              </w:rPr>
              <w:t>Примечание:</w:t>
            </w:r>
            <w:r w:rsidRPr="00421FA2">
              <w:rPr>
                <w:rFonts w:eastAsiaTheme="minorHAnsi"/>
                <w:sz w:val="20"/>
                <w:lang w:val="ru-RU"/>
              </w:rPr>
              <w:br/>
            </w:r>
            <w:r w:rsidRPr="00421FA2">
              <w:rPr>
                <w:rFonts w:eastAsiaTheme="minorHAnsi"/>
                <w:w w:val="105"/>
                <w:sz w:val="20"/>
                <w:vertAlign w:val="superscript"/>
                <w:lang w:val="ru-RU"/>
              </w:rPr>
              <w:t>1</w:t>
            </w:r>
            <w:r w:rsidRPr="00421FA2">
              <w:rPr>
                <w:rFonts w:eastAsiaTheme="minorHAnsi"/>
                <w:w w:val="105"/>
                <w:sz w:val="20"/>
                <w:lang w:val="ru-RU"/>
              </w:rPr>
              <w:t xml:space="preserve"> Дополнительная</w:t>
            </w:r>
            <w:r w:rsidRPr="00421FA2">
              <w:rPr>
                <w:rFonts w:eastAsiaTheme="minorHAnsi"/>
                <w:spacing w:val="-16"/>
                <w:w w:val="105"/>
                <w:sz w:val="20"/>
                <w:lang w:val="ru-RU"/>
              </w:rPr>
              <w:t xml:space="preserve"> </w:t>
            </w:r>
            <w:r w:rsidRPr="00421FA2">
              <w:rPr>
                <w:rFonts w:eastAsiaTheme="minorHAnsi"/>
                <w:w w:val="105"/>
                <w:sz w:val="20"/>
                <w:lang w:val="ru-RU"/>
              </w:rPr>
              <w:t>информация</w:t>
            </w:r>
            <w:r w:rsidRPr="00421FA2">
              <w:rPr>
                <w:rFonts w:eastAsiaTheme="minorHAnsi"/>
                <w:spacing w:val="-4"/>
                <w:w w:val="105"/>
                <w:sz w:val="20"/>
                <w:lang w:val="ru-RU"/>
              </w:rPr>
              <w:t xml:space="preserve"> </w:t>
            </w:r>
            <w:r w:rsidRPr="00421FA2">
              <w:rPr>
                <w:rFonts w:eastAsiaTheme="minorHAnsi"/>
                <w:w w:val="105"/>
                <w:sz w:val="20"/>
                <w:lang w:val="ru-RU"/>
              </w:rPr>
              <w:t>приведена</w:t>
            </w:r>
            <w:r w:rsidRPr="00421FA2">
              <w:rPr>
                <w:rFonts w:eastAsiaTheme="minorHAnsi"/>
                <w:spacing w:val="-7"/>
                <w:w w:val="105"/>
                <w:sz w:val="20"/>
                <w:lang w:val="ru-RU"/>
              </w:rPr>
              <w:t xml:space="preserve"> </w:t>
            </w:r>
            <w:r w:rsidRPr="00421FA2">
              <w:rPr>
                <w:rFonts w:eastAsiaTheme="minorHAnsi"/>
                <w:w w:val="105"/>
                <w:sz w:val="20"/>
                <w:lang w:val="ru-RU"/>
              </w:rPr>
              <w:t>в</w:t>
            </w:r>
            <w:r w:rsidRPr="00421FA2">
              <w:rPr>
                <w:rFonts w:eastAsiaTheme="minorHAnsi"/>
                <w:spacing w:val="-15"/>
                <w:w w:val="105"/>
                <w:sz w:val="20"/>
                <w:lang w:val="ru-RU"/>
              </w:rPr>
              <w:t xml:space="preserve"> </w:t>
            </w:r>
            <w:r w:rsidRPr="00421FA2">
              <w:rPr>
                <w:rFonts w:eastAsiaTheme="minorHAnsi"/>
                <w:w w:val="105"/>
                <w:sz w:val="20"/>
                <w:lang w:val="ru-RU"/>
              </w:rPr>
              <w:t>подразделах</w:t>
            </w:r>
            <w:r w:rsidRPr="00421FA2">
              <w:rPr>
                <w:rFonts w:eastAsiaTheme="minorHAnsi"/>
                <w:spacing w:val="-12"/>
                <w:w w:val="105"/>
                <w:sz w:val="20"/>
                <w:lang w:val="ru-RU"/>
              </w:rPr>
              <w:t xml:space="preserve"> </w:t>
            </w:r>
            <w:r w:rsidRPr="00421FA2">
              <w:rPr>
                <w:rFonts w:eastAsiaTheme="minorHAnsi"/>
                <w:spacing w:val="-4"/>
                <w:w w:val="105"/>
                <w:sz w:val="20"/>
                <w:lang w:val="ru-RU"/>
              </w:rPr>
              <w:t>ниже</w:t>
            </w:r>
          </w:p>
          <w:p w14:paraId="360A93FB" w14:textId="77777777" w:rsidR="00C035FA" w:rsidRPr="00E25D5C" w:rsidRDefault="008D5756">
            <w:pPr>
              <w:pStyle w:val="BodyText"/>
              <w:tabs>
                <w:tab w:val="left" w:pos="765"/>
              </w:tabs>
              <w:spacing w:after="0" w:line="240" w:lineRule="auto"/>
              <w:ind w:left="142"/>
              <w:rPr>
                <w:rFonts w:eastAsiaTheme="minorHAnsi"/>
                <w:sz w:val="20"/>
                <w:lang w:val="ru-RU"/>
              </w:rPr>
            </w:pPr>
            <w:r w:rsidRPr="00421FA2">
              <w:rPr>
                <w:rFonts w:eastAsiaTheme="minorHAnsi"/>
                <w:w w:val="105"/>
                <w:sz w:val="20"/>
                <w:vertAlign w:val="superscript"/>
                <w:lang w:val="ru-RU"/>
              </w:rPr>
              <w:t xml:space="preserve">2 </w:t>
            </w:r>
            <w:r w:rsidRPr="00421FA2">
              <w:rPr>
                <w:rFonts w:eastAsiaTheme="minorHAnsi"/>
                <w:w w:val="105"/>
                <w:sz w:val="20"/>
                <w:lang w:val="ru-RU"/>
              </w:rPr>
              <w:t>На</w:t>
            </w:r>
            <w:r w:rsidRPr="00421FA2">
              <w:rPr>
                <w:rFonts w:eastAsiaTheme="minorHAnsi"/>
                <w:spacing w:val="-14"/>
                <w:w w:val="105"/>
                <w:sz w:val="20"/>
                <w:lang w:val="ru-RU"/>
              </w:rPr>
              <w:t xml:space="preserve"> </w:t>
            </w:r>
            <w:r w:rsidRPr="00421FA2">
              <w:rPr>
                <w:rFonts w:eastAsiaTheme="minorHAnsi"/>
                <w:w w:val="105"/>
                <w:sz w:val="20"/>
                <w:lang w:val="ru-RU"/>
              </w:rPr>
              <w:t>основании</w:t>
            </w:r>
            <w:r w:rsidRPr="00421FA2">
              <w:rPr>
                <w:rFonts w:eastAsiaTheme="minorHAnsi"/>
                <w:spacing w:val="-11"/>
                <w:w w:val="105"/>
                <w:sz w:val="20"/>
                <w:lang w:val="ru-RU"/>
              </w:rPr>
              <w:t xml:space="preserve"> </w:t>
            </w:r>
            <w:r w:rsidRPr="00421FA2">
              <w:rPr>
                <w:rFonts w:eastAsiaTheme="minorHAnsi"/>
                <w:w w:val="105"/>
                <w:sz w:val="20"/>
                <w:lang w:val="ru-RU"/>
              </w:rPr>
              <w:t>данных</w:t>
            </w:r>
            <w:r w:rsidRPr="00421FA2">
              <w:rPr>
                <w:rFonts w:eastAsiaTheme="minorHAnsi"/>
                <w:spacing w:val="-2"/>
                <w:w w:val="105"/>
                <w:sz w:val="20"/>
                <w:lang w:val="ru-RU"/>
              </w:rPr>
              <w:t xml:space="preserve"> </w:t>
            </w:r>
            <w:r w:rsidRPr="00421FA2">
              <w:rPr>
                <w:rFonts w:eastAsiaTheme="minorHAnsi"/>
                <w:w w:val="105"/>
                <w:sz w:val="20"/>
                <w:lang w:val="ru-RU"/>
              </w:rPr>
              <w:t>пострегистрационного</w:t>
            </w:r>
            <w:r w:rsidRPr="00421FA2">
              <w:rPr>
                <w:rFonts w:eastAsiaTheme="minorHAnsi"/>
                <w:spacing w:val="-13"/>
                <w:w w:val="105"/>
                <w:sz w:val="20"/>
                <w:lang w:val="ru-RU"/>
              </w:rPr>
              <w:t xml:space="preserve"> </w:t>
            </w:r>
            <w:r w:rsidRPr="00421FA2">
              <w:rPr>
                <w:rFonts w:eastAsiaTheme="minorHAnsi"/>
                <w:spacing w:val="-2"/>
                <w:w w:val="105"/>
                <w:sz w:val="20"/>
                <w:lang w:val="ru-RU"/>
              </w:rPr>
              <w:t>применения</w:t>
            </w:r>
          </w:p>
          <w:p w14:paraId="4EDBE49E" w14:textId="77777777" w:rsidR="00C035FA" w:rsidRPr="00E25D5C" w:rsidRDefault="008D5756">
            <w:pPr>
              <w:pStyle w:val="BodyText"/>
              <w:tabs>
                <w:tab w:val="left" w:pos="765"/>
              </w:tabs>
              <w:spacing w:after="0" w:line="240" w:lineRule="auto"/>
              <w:ind w:left="142"/>
              <w:rPr>
                <w:rFonts w:eastAsiaTheme="minorHAnsi"/>
                <w:sz w:val="20"/>
                <w:lang w:val="ru-RU"/>
              </w:rPr>
            </w:pPr>
            <w:r w:rsidRPr="00421FA2">
              <w:rPr>
                <w:rFonts w:eastAsiaTheme="minorHAnsi"/>
                <w:w w:val="105"/>
                <w:sz w:val="20"/>
                <w:vertAlign w:val="superscript"/>
                <w:lang w:val="ru-RU"/>
              </w:rPr>
              <w:t xml:space="preserve">3 </w:t>
            </w:r>
            <w:r w:rsidRPr="00421FA2">
              <w:rPr>
                <w:rFonts w:eastAsiaTheme="minorHAnsi"/>
                <w:w w:val="105"/>
                <w:sz w:val="20"/>
                <w:lang w:val="ru-RU"/>
              </w:rPr>
              <w:t>Наблюдается</w:t>
            </w:r>
            <w:r w:rsidRPr="00421FA2">
              <w:rPr>
                <w:rFonts w:eastAsiaTheme="minorHAnsi"/>
                <w:spacing w:val="-6"/>
                <w:w w:val="105"/>
                <w:sz w:val="20"/>
                <w:lang w:val="ru-RU"/>
              </w:rPr>
              <w:t xml:space="preserve"> </w:t>
            </w:r>
            <w:r w:rsidRPr="00421FA2">
              <w:rPr>
                <w:rFonts w:eastAsiaTheme="minorHAnsi"/>
                <w:w w:val="105"/>
                <w:sz w:val="20"/>
                <w:lang w:val="ru-RU"/>
              </w:rPr>
              <w:t>у</w:t>
            </w:r>
            <w:r w:rsidRPr="00421FA2">
              <w:rPr>
                <w:rFonts w:eastAsiaTheme="minorHAnsi"/>
                <w:spacing w:val="-7"/>
                <w:w w:val="105"/>
                <w:sz w:val="20"/>
                <w:lang w:val="ru-RU"/>
              </w:rPr>
              <w:t xml:space="preserve"> </w:t>
            </w:r>
            <w:r w:rsidRPr="00421FA2">
              <w:rPr>
                <w:rFonts w:eastAsiaTheme="minorHAnsi"/>
                <w:w w:val="105"/>
                <w:sz w:val="20"/>
                <w:lang w:val="ru-RU"/>
              </w:rPr>
              <w:t>пациентов</w:t>
            </w:r>
            <w:r w:rsidRPr="00421FA2">
              <w:rPr>
                <w:rFonts w:eastAsiaTheme="minorHAnsi"/>
                <w:spacing w:val="-2"/>
                <w:w w:val="105"/>
                <w:sz w:val="20"/>
                <w:lang w:val="ru-RU"/>
              </w:rPr>
              <w:t xml:space="preserve"> </w:t>
            </w:r>
            <w:r w:rsidRPr="00421FA2">
              <w:rPr>
                <w:rFonts w:eastAsiaTheme="minorHAnsi"/>
                <w:w w:val="105"/>
                <w:sz w:val="20"/>
                <w:lang w:val="ru-RU"/>
              </w:rPr>
              <w:t>с</w:t>
            </w:r>
            <w:r w:rsidRPr="00421FA2">
              <w:rPr>
                <w:rFonts w:eastAsiaTheme="minorHAnsi"/>
                <w:spacing w:val="-11"/>
                <w:w w:val="105"/>
                <w:sz w:val="20"/>
                <w:lang w:val="ru-RU"/>
              </w:rPr>
              <w:t xml:space="preserve"> </w:t>
            </w:r>
            <w:r w:rsidRPr="00421FA2">
              <w:rPr>
                <w:rFonts w:eastAsiaTheme="minorHAnsi"/>
                <w:w w:val="105"/>
                <w:sz w:val="20"/>
                <w:lang w:val="ru-RU"/>
              </w:rPr>
              <w:t>СД</w:t>
            </w:r>
            <w:r w:rsidRPr="00421FA2">
              <w:rPr>
                <w:rFonts w:eastAsiaTheme="minorHAnsi"/>
                <w:spacing w:val="-9"/>
                <w:w w:val="105"/>
                <w:sz w:val="20"/>
                <w:lang w:val="ru-RU"/>
              </w:rPr>
              <w:t xml:space="preserve"> </w:t>
            </w:r>
            <w:r w:rsidRPr="00421FA2">
              <w:rPr>
                <w:rFonts w:eastAsiaTheme="minorHAnsi"/>
                <w:spacing w:val="-10"/>
                <w:w w:val="105"/>
                <w:sz w:val="20"/>
                <w:lang w:val="ru-RU"/>
              </w:rPr>
              <w:t>2</w:t>
            </w:r>
          </w:p>
        </w:tc>
      </w:tr>
    </w:tbl>
    <w:p w14:paraId="20542910" w14:textId="77777777" w:rsidR="00485E09" w:rsidRDefault="00485E09" w:rsidP="00485E09">
      <w:pPr>
        <w:spacing w:after="0" w:line="240" w:lineRule="auto"/>
        <w:rPr>
          <w:b/>
          <w:i/>
        </w:rPr>
      </w:pPr>
    </w:p>
    <w:p w14:paraId="400EB3F7" w14:textId="2F105330" w:rsidR="00C035FA" w:rsidRPr="00007FC4" w:rsidRDefault="008D5756" w:rsidP="00485E09">
      <w:pPr>
        <w:spacing w:after="0" w:line="240" w:lineRule="auto"/>
        <w:rPr>
          <w:b/>
        </w:rPr>
      </w:pPr>
      <w:r w:rsidRPr="00007FC4">
        <w:rPr>
          <w:b/>
        </w:rPr>
        <w:t>Описание отдельных нежелательных реакций</w:t>
      </w:r>
    </w:p>
    <w:p w14:paraId="771EEB5F" w14:textId="77777777" w:rsidR="00485E09" w:rsidRDefault="00485E09" w:rsidP="000C7F59">
      <w:pPr>
        <w:spacing w:after="0" w:line="240" w:lineRule="auto"/>
        <w:ind w:firstLine="709"/>
        <w:rPr>
          <w:i/>
          <w:color w:val="000000" w:themeColor="text1"/>
          <w:spacing w:val="-2"/>
          <w:w w:val="105"/>
        </w:rPr>
      </w:pPr>
    </w:p>
    <w:p w14:paraId="0F1AD390" w14:textId="10891CB4" w:rsidR="00C035FA" w:rsidRPr="00007FC4" w:rsidRDefault="008D5756" w:rsidP="000C7F59">
      <w:pPr>
        <w:spacing w:after="0" w:line="240" w:lineRule="auto"/>
        <w:ind w:firstLine="709"/>
        <w:rPr>
          <w:rFonts w:eastAsia="Times New Roman"/>
          <w:b/>
          <w:i/>
          <w:color w:val="000000" w:themeColor="text1"/>
          <w:lang w:eastAsia="ru-RU"/>
        </w:rPr>
      </w:pPr>
      <w:r w:rsidRPr="00007FC4">
        <w:rPr>
          <w:rFonts w:eastAsia="Times New Roman"/>
          <w:b/>
          <w:i/>
          <w:color w:val="000000" w:themeColor="text1"/>
          <w:lang w:eastAsia="ru-RU"/>
        </w:rPr>
        <w:t>Гипогликемия</w:t>
      </w:r>
    </w:p>
    <w:p w14:paraId="13330412" w14:textId="554C2A61" w:rsidR="00C035FA" w:rsidRDefault="008D5756" w:rsidP="000C7F59">
      <w:pPr>
        <w:spacing w:after="0" w:line="240" w:lineRule="auto"/>
        <w:ind w:right="199" w:firstLine="709"/>
        <w:rPr>
          <w:rFonts w:eastAsia="Times New Roman"/>
          <w:color w:val="000000" w:themeColor="text1"/>
          <w:lang w:eastAsia="ru-RU"/>
        </w:rPr>
      </w:pPr>
      <w:r>
        <w:rPr>
          <w:rFonts w:eastAsia="Times New Roman"/>
          <w:color w:val="000000" w:themeColor="text1"/>
          <w:lang w:eastAsia="ru-RU"/>
        </w:rPr>
        <w:t xml:space="preserve">Частота гипогликемии зависела от применявшейся сопутствующей терапии и </w:t>
      </w:r>
      <w:r w:rsidR="00E25D5C">
        <w:rPr>
          <w:rFonts w:eastAsia="Times New Roman"/>
          <w:color w:val="000000" w:themeColor="text1"/>
          <w:lang w:eastAsia="ru-RU"/>
        </w:rPr>
        <w:t xml:space="preserve">была </w:t>
      </w:r>
      <w:r>
        <w:rPr>
          <w:rFonts w:eastAsia="Times New Roman"/>
          <w:color w:val="000000" w:themeColor="text1"/>
          <w:lang w:eastAsia="ru-RU"/>
        </w:rPr>
        <w:t xml:space="preserve">сходной у пациентов, принимавших эмпаглифлозин и плацебо в виде монотерапии, в </w:t>
      </w:r>
      <w:r>
        <w:rPr>
          <w:rFonts w:eastAsia="Times New Roman"/>
          <w:color w:val="000000" w:themeColor="text1"/>
          <w:lang w:eastAsia="ru-RU"/>
        </w:rPr>
        <w:lastRenderedPageBreak/>
        <w:t>дополнение к метформину, к пиоглитазону с метформином и без, в дополнение к линаглиптину и метформину, а также в качестве дополнения к стандартному лечению и при применении эмпаглифлозина в комбинации с метформином у пациентов, ранее не получавших медикаментозного лечения, по сравнению с пациентами, получавшими эмпаглифлозин и метформин в виде монопрепаратов. Повышенная частота гипогликемии наблюдалась после применения эмпаглифлозина в дополнение к метформину и препарату сульфонилмочевины (эмпаглифлозин 10 мг: 16,1 %, эмпаглифлозин 25 мг: 11,5 %, плацебо: 8,4 %), в дополнение к базальному инсулину с метформином и без метформина, с препаратом сульфонилмочевины и без (эмпаглифлозин 10 мг: 19,5 %, эмпаглифлозин 25 мг: 28,4 %, плацебо: 20,6 % в течение 18 недель лечения, когда коррекция дозы инсулина не допускалась; эмпаглифлозин 10 мг и 25 мг: 36,1 %, плацебо 35,3 % в 78-недельном исследовании), и в дополнение к инсулину в режиме многократных инъекций с метформином и без (эмпаглифлозин 10 мг: 39,8 %, эмпаглифлозин 25 мг: 41,3 %, плацебо: 37,2 % в течение 18 недель лечения, когда коррекция дозы инсулина не допускалась; эмпаглифлозин 10 мг: 51,1 %, эмпаглифлозин 25 мг: 57,7 %, плацебо: 58 % в 52-недельном исследовании). В исследованиях ХСН EMPEROR была отмечена схожая частота развития гипогликемии при применении препарата в дополнение к производным сульфонилмочевины или инсулину (эмпаглифлозин 10 мг: 6,5 %, плацебо: 6,7 %).</w:t>
      </w:r>
    </w:p>
    <w:p w14:paraId="086EA55F" w14:textId="77777777" w:rsidR="002604EF" w:rsidRDefault="002604EF" w:rsidP="000C7F59">
      <w:pPr>
        <w:spacing w:after="0" w:line="240" w:lineRule="auto"/>
        <w:ind w:firstLine="709"/>
        <w:rPr>
          <w:i/>
          <w:color w:val="000000" w:themeColor="text1"/>
          <w:w w:val="105"/>
        </w:rPr>
      </w:pPr>
    </w:p>
    <w:p w14:paraId="272FE854" w14:textId="52C270CF" w:rsidR="00C035FA" w:rsidRPr="00007FC4" w:rsidRDefault="008D5756" w:rsidP="000C7F59">
      <w:pPr>
        <w:spacing w:after="0" w:line="240" w:lineRule="auto"/>
        <w:ind w:firstLine="709"/>
        <w:rPr>
          <w:b/>
          <w:i/>
          <w:color w:val="000000" w:themeColor="text1"/>
        </w:rPr>
      </w:pPr>
      <w:r w:rsidRPr="00007FC4">
        <w:rPr>
          <w:b/>
          <w:i/>
          <w:color w:val="000000" w:themeColor="text1"/>
          <w:w w:val="105"/>
        </w:rPr>
        <w:t>Тяжелая</w:t>
      </w:r>
      <w:r w:rsidRPr="00007FC4">
        <w:rPr>
          <w:b/>
          <w:i/>
          <w:color w:val="000000" w:themeColor="text1"/>
          <w:spacing w:val="-15"/>
          <w:w w:val="105"/>
        </w:rPr>
        <w:t xml:space="preserve"> </w:t>
      </w:r>
      <w:r w:rsidRPr="00007FC4">
        <w:rPr>
          <w:b/>
          <w:i/>
          <w:color w:val="000000" w:themeColor="text1"/>
          <w:w w:val="105"/>
        </w:rPr>
        <w:t>гипогликемия</w:t>
      </w:r>
      <w:r w:rsidRPr="00007FC4">
        <w:rPr>
          <w:b/>
          <w:i/>
          <w:color w:val="000000" w:themeColor="text1"/>
          <w:spacing w:val="-15"/>
          <w:w w:val="105"/>
        </w:rPr>
        <w:t xml:space="preserve"> </w:t>
      </w:r>
      <w:r w:rsidRPr="00007FC4">
        <w:rPr>
          <w:b/>
          <w:i/>
          <w:color w:val="000000" w:themeColor="text1"/>
          <w:w w:val="105"/>
        </w:rPr>
        <w:t>(состояние,</w:t>
      </w:r>
      <w:r w:rsidRPr="00007FC4">
        <w:rPr>
          <w:b/>
          <w:i/>
          <w:color w:val="000000" w:themeColor="text1"/>
          <w:spacing w:val="-12"/>
          <w:w w:val="105"/>
        </w:rPr>
        <w:t xml:space="preserve"> </w:t>
      </w:r>
      <w:r w:rsidRPr="00007FC4">
        <w:rPr>
          <w:b/>
          <w:i/>
          <w:color w:val="000000" w:themeColor="text1"/>
          <w:w w:val="105"/>
        </w:rPr>
        <w:t>требующее</w:t>
      </w:r>
      <w:r w:rsidRPr="00007FC4">
        <w:rPr>
          <w:b/>
          <w:i/>
          <w:color w:val="000000" w:themeColor="text1"/>
          <w:spacing w:val="-2"/>
          <w:w w:val="105"/>
        </w:rPr>
        <w:t xml:space="preserve"> </w:t>
      </w:r>
      <w:r w:rsidRPr="00007FC4">
        <w:rPr>
          <w:b/>
          <w:i/>
          <w:color w:val="000000" w:themeColor="text1"/>
          <w:w w:val="105"/>
        </w:rPr>
        <w:t>медицинского</w:t>
      </w:r>
      <w:r w:rsidRPr="00007FC4">
        <w:rPr>
          <w:b/>
          <w:i/>
          <w:color w:val="000000" w:themeColor="text1"/>
          <w:spacing w:val="-15"/>
          <w:w w:val="105"/>
        </w:rPr>
        <w:t xml:space="preserve"> </w:t>
      </w:r>
      <w:r w:rsidRPr="00007FC4">
        <w:rPr>
          <w:b/>
          <w:i/>
          <w:color w:val="000000" w:themeColor="text1"/>
          <w:spacing w:val="-2"/>
          <w:w w:val="105"/>
        </w:rPr>
        <w:t>вмешательства)</w:t>
      </w:r>
    </w:p>
    <w:p w14:paraId="73F0A46C" w14:textId="77777777" w:rsidR="00C035FA" w:rsidRDefault="008D5756" w:rsidP="000C7F59">
      <w:pPr>
        <w:spacing w:after="0" w:line="240" w:lineRule="auto"/>
        <w:ind w:right="173" w:firstLine="709"/>
        <w:rPr>
          <w:rFonts w:eastAsia="Times New Roman"/>
          <w:color w:val="000000" w:themeColor="text1"/>
          <w:lang w:eastAsia="ru-RU"/>
        </w:rPr>
      </w:pPr>
      <w:r>
        <w:rPr>
          <w:rFonts w:eastAsia="Times New Roman"/>
          <w:color w:val="000000" w:themeColor="text1"/>
          <w:lang w:eastAsia="ru-RU"/>
        </w:rPr>
        <w:t>Роста числа случаев развития тяжелой гипогликемии не наблюдалось при терапии эмпаглифлозином по сравнению с плацебо в качестве монотерапии, в дополнение к метформину, в дополнение к метформину и производным сульфонилмочевины, пиоглитазону с метформином или без, в дополнение к линаглиптину и метформину, в дополнение к стандартной терапии и при комбинации эмпаглифлозина с метформином у пациентов, ранее не получавших терапии, по сравнению с пациентами, получавшими эмпаглифлозин и метформин в виде монопрепаратов. Повышенная частота тяжелой гипогликемии наблюдалась после применения эмпаглифлозина в дополнение к базальному инсулину с метформином и без, с препаратом сульфонилмочевины и без (эмпаглифлозин 10 мг: 0 %, эмпаглифлозин 25 мг: 1,3 %, плацебо: 0 % в течение 18-недельного лечения, когда коррекция дозы инсулина не допускалась; эмпаглифлозин 10 мг: 0%, эмпаглифлозин 25 мг: 1,3 %, плацебо: 0 % в 78-недельном исследовании), и в дополнение к инсулину в режиме многократных инъекций (MDI) с метформином и без метформина (эмпаглифлозин 10 мг: 0,5 %, эмпаглифлозин 25 мг: 0,5 %, плацебо: 0,5 % в течение 18-недельного лечения, когда коррекция дозы инсулина не допускалась; эмпаглифлозин 10 мг: 1,6 %, эмпаглифлозин 25 мг: 0,5 %, плацебо: 1,6 % в 52-недельном исследовании). В исследованиях ХСН EMPEROR, тяжелая гипогликемия наблюдалась с одинаковой частотой у пациентов с СД, которые получали эмпаглифлозин и плацебо в качестве дополнения к производным сульфонилмочевины или инсулину (эмпаглифлозин 10 мг: 2,2 %, плацебо: 1,9 %).</w:t>
      </w:r>
    </w:p>
    <w:p w14:paraId="5CAA8124" w14:textId="77777777" w:rsidR="002604EF" w:rsidRDefault="002604EF" w:rsidP="000C7F59">
      <w:pPr>
        <w:pStyle w:val="BodyText"/>
        <w:spacing w:after="0" w:line="240" w:lineRule="auto"/>
        <w:ind w:right="200" w:firstLine="709"/>
        <w:rPr>
          <w:i/>
          <w:color w:val="000000" w:themeColor="text1"/>
          <w:w w:val="105"/>
        </w:rPr>
      </w:pPr>
    </w:p>
    <w:p w14:paraId="71E0AF21" w14:textId="17CADDC5" w:rsidR="00C035FA" w:rsidRPr="00007FC4" w:rsidRDefault="008D5756" w:rsidP="000C7F59">
      <w:pPr>
        <w:pStyle w:val="BodyText"/>
        <w:spacing w:after="0" w:line="240" w:lineRule="auto"/>
        <w:ind w:right="200" w:firstLine="709"/>
        <w:rPr>
          <w:b/>
          <w:i/>
          <w:color w:val="000000" w:themeColor="text1"/>
          <w:w w:val="105"/>
        </w:rPr>
      </w:pPr>
      <w:r w:rsidRPr="00007FC4">
        <w:rPr>
          <w:b/>
          <w:i/>
          <w:color w:val="000000" w:themeColor="text1"/>
          <w:w w:val="105"/>
        </w:rPr>
        <w:t xml:space="preserve">Кандидозный вульвовагинит, вульвовагинит, баланит и другие генитальные инфекции </w:t>
      </w:r>
    </w:p>
    <w:p w14:paraId="53AB7468" w14:textId="77777777" w:rsidR="00C035FA" w:rsidRDefault="008D5756" w:rsidP="000C7F59">
      <w:pPr>
        <w:pStyle w:val="BodyText"/>
        <w:spacing w:after="0" w:line="240" w:lineRule="auto"/>
        <w:ind w:right="200" w:firstLine="709"/>
        <w:rPr>
          <w:rFonts w:eastAsia="Times New Roman"/>
          <w:color w:val="000000" w:themeColor="text1"/>
          <w:lang w:eastAsia="ru-RU"/>
        </w:rPr>
      </w:pPr>
      <w:r>
        <w:rPr>
          <w:rFonts w:eastAsia="Times New Roman"/>
          <w:color w:val="000000" w:themeColor="text1"/>
          <w:lang w:eastAsia="ru-RU"/>
        </w:rPr>
        <w:t xml:space="preserve">Кандидозный вульвовагинит, вульвовагинит, баланит и другие генитальные инфекции наблюдались чаще у пациентов, получавших эмпаглифлозин (эмпаглифлозин 10 мг: 4,0 %, эмпаглифлозин 25 мг: 3,9 %) по сравнению с группой плацебо (1,0 %). Такие инфекции чаще отмечались у женщин, получавших эмпаглифлозин, по сравнению с </w:t>
      </w:r>
      <w:r>
        <w:rPr>
          <w:rFonts w:eastAsia="Times New Roman"/>
          <w:color w:val="000000" w:themeColor="text1"/>
          <w:lang w:eastAsia="ru-RU"/>
        </w:rPr>
        <w:lastRenderedPageBreak/>
        <w:t>группой плацебо, а различие в частоте у мужчин было менее выраженным. Генитальные инфекции носили слабовыраженный или умеренный характер. В исследованиях ХСН EMPEROR частота таких инфекций была выше у пациентов с СД (эмпаглифлозин 1О мг: 2,3 %; плацебо: 0,8 %), по сравнению с группой пациентов без СД (эмпаглифлозин 10 мг: 1,7 %, плацебо: 0,7 %) при терапии эмпаглифлозином в сравнении с плацебо.</w:t>
      </w:r>
    </w:p>
    <w:p w14:paraId="0B9ECFD3" w14:textId="77777777" w:rsidR="002604EF" w:rsidRDefault="002604EF" w:rsidP="000C7F59">
      <w:pPr>
        <w:spacing w:after="0" w:line="240" w:lineRule="auto"/>
        <w:ind w:firstLine="709"/>
        <w:rPr>
          <w:i/>
          <w:color w:val="000000" w:themeColor="text1"/>
        </w:rPr>
      </w:pPr>
    </w:p>
    <w:p w14:paraId="739D9784" w14:textId="14293339" w:rsidR="00C035FA" w:rsidRPr="00007FC4" w:rsidRDefault="008D5756" w:rsidP="000C7F59">
      <w:pPr>
        <w:spacing w:after="0" w:line="240" w:lineRule="auto"/>
        <w:ind w:firstLine="709"/>
        <w:rPr>
          <w:b/>
          <w:i/>
          <w:color w:val="000000" w:themeColor="text1"/>
        </w:rPr>
      </w:pPr>
      <w:r w:rsidRPr="00007FC4">
        <w:rPr>
          <w:b/>
          <w:i/>
          <w:color w:val="000000" w:themeColor="text1"/>
        </w:rPr>
        <w:t>Увеличение</w:t>
      </w:r>
      <w:r w:rsidRPr="00007FC4">
        <w:rPr>
          <w:b/>
          <w:i/>
          <w:color w:val="000000" w:themeColor="text1"/>
          <w:spacing w:val="49"/>
        </w:rPr>
        <w:t xml:space="preserve"> </w:t>
      </w:r>
      <w:r w:rsidRPr="00007FC4">
        <w:rPr>
          <w:b/>
          <w:i/>
          <w:color w:val="000000" w:themeColor="text1"/>
          <w:spacing w:val="-2"/>
        </w:rPr>
        <w:t>мочевыделения</w:t>
      </w:r>
    </w:p>
    <w:p w14:paraId="7FCA85B4" w14:textId="0C2B3FB6" w:rsidR="00C035FA" w:rsidRDefault="008D5756" w:rsidP="000C7F59">
      <w:pPr>
        <w:pStyle w:val="BodyText"/>
        <w:spacing w:after="0" w:line="240" w:lineRule="auto"/>
        <w:ind w:right="200" w:firstLine="709"/>
        <w:rPr>
          <w:rFonts w:eastAsia="Times New Roman"/>
          <w:color w:val="000000" w:themeColor="text1"/>
          <w:lang w:eastAsia="ru-RU"/>
        </w:rPr>
      </w:pPr>
      <w:r>
        <w:rPr>
          <w:rFonts w:eastAsia="Times New Roman"/>
          <w:color w:val="000000" w:themeColor="text1"/>
          <w:lang w:eastAsia="ru-RU"/>
        </w:rPr>
        <w:t xml:space="preserve">Увеличение мочевыделения (включая такие симптомы, как поллакиурия, полиурия, никтурия) наблюдалось чаще у пациентов, применявших эмпаглифлозин (в дозе 10 мг: 3,5 %, в дозе 25 мг: 3,3 %), по сравнению с группой плацебо (1,4 %). Увеличение мочевыделения бьmо в основном легкой или средней интенсивности. Частота развития никтурии была сопоставима в группе пациентов, принимавших плацебо и в группе пациентов, принимавших эмпаглифлозин </w:t>
      </w:r>
      <w:r w:rsidR="00485E09">
        <w:rPr>
          <w:rFonts w:eastAsia="Times New Roman"/>
          <w:color w:val="000000" w:themeColor="text1"/>
          <w:lang w:eastAsia="ru-RU"/>
        </w:rPr>
        <w:t>(&lt;1</w:t>
      </w:r>
      <w:r>
        <w:rPr>
          <w:rFonts w:eastAsia="Times New Roman"/>
          <w:color w:val="000000" w:themeColor="text1"/>
          <w:lang w:eastAsia="ru-RU"/>
        </w:rPr>
        <w:t xml:space="preserve"> %). В исследованиях ХСН EMPEROR, увеличение мочевьщеления наблюдалось с одинаковой частотой у пациентов, получавших эмпаглифлозин и в группе плацебо (эмпаглифлозин 10 мг: 0,9 %, плацебо: 0,5 %).</w:t>
      </w:r>
    </w:p>
    <w:p w14:paraId="7237F192" w14:textId="77777777" w:rsidR="00007FC4" w:rsidRDefault="00007FC4" w:rsidP="000C7F59">
      <w:pPr>
        <w:pStyle w:val="BodyText"/>
        <w:spacing w:after="0" w:line="240" w:lineRule="auto"/>
        <w:ind w:right="200" w:firstLine="709"/>
        <w:rPr>
          <w:rFonts w:eastAsia="Times New Roman"/>
          <w:color w:val="000000" w:themeColor="text1"/>
          <w:lang w:eastAsia="ru-RU"/>
        </w:rPr>
      </w:pPr>
    </w:p>
    <w:p w14:paraId="17785A2E" w14:textId="77777777" w:rsidR="00C035FA" w:rsidRPr="00007FC4" w:rsidRDefault="008D5756" w:rsidP="000C7F59">
      <w:pPr>
        <w:spacing w:after="0" w:line="240" w:lineRule="auto"/>
        <w:ind w:firstLine="709"/>
        <w:rPr>
          <w:b/>
          <w:i/>
          <w:color w:val="000000" w:themeColor="text1"/>
        </w:rPr>
      </w:pPr>
      <w:r w:rsidRPr="00007FC4">
        <w:rPr>
          <w:b/>
          <w:i/>
          <w:color w:val="000000" w:themeColor="text1"/>
          <w:w w:val="105"/>
        </w:rPr>
        <w:t>Инфекции</w:t>
      </w:r>
      <w:r w:rsidRPr="00007FC4">
        <w:rPr>
          <w:b/>
          <w:i/>
          <w:color w:val="000000" w:themeColor="text1"/>
          <w:spacing w:val="-6"/>
          <w:w w:val="105"/>
        </w:rPr>
        <w:t xml:space="preserve"> </w:t>
      </w:r>
      <w:r w:rsidRPr="00007FC4">
        <w:rPr>
          <w:b/>
          <w:i/>
          <w:color w:val="000000" w:themeColor="text1"/>
          <w:w w:val="105"/>
        </w:rPr>
        <w:t>мочевыводящих</w:t>
      </w:r>
      <w:r w:rsidRPr="00007FC4">
        <w:rPr>
          <w:b/>
          <w:i/>
          <w:color w:val="000000" w:themeColor="text1"/>
          <w:spacing w:val="-15"/>
          <w:w w:val="105"/>
        </w:rPr>
        <w:t xml:space="preserve"> </w:t>
      </w:r>
      <w:r w:rsidRPr="00007FC4">
        <w:rPr>
          <w:b/>
          <w:i/>
          <w:color w:val="000000" w:themeColor="text1"/>
          <w:spacing w:val="-2"/>
          <w:w w:val="105"/>
        </w:rPr>
        <w:t>путей</w:t>
      </w:r>
    </w:p>
    <w:p w14:paraId="7F286010" w14:textId="1AFE06E1" w:rsidR="00C035FA" w:rsidRDefault="008D5756" w:rsidP="000C7F59">
      <w:pPr>
        <w:pStyle w:val="BodyText"/>
        <w:spacing w:after="0" w:line="240" w:lineRule="auto"/>
        <w:ind w:right="200" w:firstLine="709"/>
        <w:rPr>
          <w:rFonts w:eastAsia="Times New Roman"/>
          <w:color w:val="000000" w:themeColor="text1"/>
          <w:lang w:eastAsia="ru-RU"/>
        </w:rPr>
      </w:pPr>
      <w:r>
        <w:rPr>
          <w:rFonts w:eastAsia="Times New Roman"/>
          <w:color w:val="000000" w:themeColor="text1"/>
          <w:lang w:eastAsia="ru-RU"/>
        </w:rPr>
        <w:t xml:space="preserve">Общая частота развития инфекций </w:t>
      </w:r>
      <w:r w:rsidR="00E25D5C">
        <w:rPr>
          <w:rFonts w:eastAsia="Times New Roman"/>
          <w:color w:val="000000" w:themeColor="text1"/>
          <w:lang w:eastAsia="ru-RU"/>
        </w:rPr>
        <w:t xml:space="preserve">мочевыводящих </w:t>
      </w:r>
      <w:r>
        <w:rPr>
          <w:rFonts w:eastAsia="Times New Roman"/>
          <w:color w:val="000000" w:themeColor="text1"/>
          <w:lang w:eastAsia="ru-RU"/>
        </w:rPr>
        <w:t xml:space="preserve">путей, зарегистрированных как нежелательные явления, </w:t>
      </w:r>
      <w:r w:rsidR="00E25D5C">
        <w:rPr>
          <w:rFonts w:eastAsia="Times New Roman"/>
          <w:color w:val="000000" w:themeColor="text1"/>
          <w:lang w:eastAsia="ru-RU"/>
        </w:rPr>
        <w:t xml:space="preserve">была </w:t>
      </w:r>
      <w:r>
        <w:rPr>
          <w:rFonts w:eastAsia="Times New Roman"/>
          <w:color w:val="000000" w:themeColor="text1"/>
          <w:lang w:eastAsia="ru-RU"/>
        </w:rPr>
        <w:t xml:space="preserve">сходной у пациентов, получавших эмпаглифлозин 25 мг и плацебо (7,0 % и 7,2 %, соответственно), но выше у пациентов, получавших эмпаглифлозин 10 мг (8,8 %). </w:t>
      </w:r>
      <w:r w:rsidR="00485E09">
        <w:rPr>
          <w:rFonts w:eastAsia="Times New Roman"/>
          <w:color w:val="000000" w:themeColor="text1"/>
          <w:lang w:eastAsia="ru-RU"/>
        </w:rPr>
        <w:t>Также,</w:t>
      </w:r>
      <w:r>
        <w:rPr>
          <w:rFonts w:eastAsia="Times New Roman"/>
          <w:color w:val="000000" w:themeColor="text1"/>
          <w:lang w:eastAsia="ru-RU"/>
        </w:rPr>
        <w:t xml:space="preserve"> как и в случае применения плацебо, инфекции </w:t>
      </w:r>
      <w:r w:rsidR="00E25D5C">
        <w:rPr>
          <w:rFonts w:eastAsia="Times New Roman"/>
          <w:color w:val="000000" w:themeColor="text1"/>
          <w:lang w:eastAsia="ru-RU"/>
        </w:rPr>
        <w:t xml:space="preserve">мочевыводящих </w:t>
      </w:r>
      <w:r>
        <w:rPr>
          <w:rFonts w:eastAsia="Times New Roman"/>
          <w:color w:val="000000" w:themeColor="text1"/>
          <w:lang w:eastAsia="ru-RU"/>
        </w:rPr>
        <w:t xml:space="preserve">путей чаще отмечались у пациентов, получавших эмпаглифлозин, с хроническими или рецидивирующими инфекциями мочевыводящих путей в анамнезе. Интенсивность (легкая, умеренная, тяжелая) инфекций </w:t>
      </w:r>
      <w:r w:rsidR="00E25D5C">
        <w:rPr>
          <w:rFonts w:eastAsia="Times New Roman"/>
          <w:color w:val="000000" w:themeColor="text1"/>
          <w:lang w:eastAsia="ru-RU"/>
        </w:rPr>
        <w:t xml:space="preserve">мочевыводящих </w:t>
      </w:r>
      <w:r>
        <w:rPr>
          <w:rFonts w:eastAsia="Times New Roman"/>
          <w:color w:val="000000" w:themeColor="text1"/>
          <w:lang w:eastAsia="ru-RU"/>
        </w:rPr>
        <w:t xml:space="preserve">путей </w:t>
      </w:r>
      <w:r w:rsidR="00E25D5C">
        <w:rPr>
          <w:rFonts w:eastAsia="Times New Roman"/>
          <w:color w:val="000000" w:themeColor="text1"/>
          <w:lang w:eastAsia="ru-RU"/>
        </w:rPr>
        <w:t xml:space="preserve">была </w:t>
      </w:r>
      <w:r>
        <w:rPr>
          <w:rFonts w:eastAsia="Times New Roman"/>
          <w:color w:val="000000" w:themeColor="text1"/>
          <w:lang w:eastAsia="ru-RU"/>
        </w:rPr>
        <w:t xml:space="preserve">сходной у пациентов, принимающих эмпаглифлозин и плацебо. Инфекции </w:t>
      </w:r>
      <w:r w:rsidR="00E25D5C">
        <w:rPr>
          <w:rFonts w:eastAsia="Times New Roman"/>
          <w:color w:val="000000" w:themeColor="text1"/>
          <w:lang w:eastAsia="ru-RU"/>
        </w:rPr>
        <w:t xml:space="preserve">мочевыводящих </w:t>
      </w:r>
      <w:r>
        <w:rPr>
          <w:rFonts w:eastAsia="Times New Roman"/>
          <w:color w:val="000000" w:themeColor="text1"/>
          <w:lang w:eastAsia="ru-RU"/>
        </w:rPr>
        <w:t>путей чаще отмечались у женщин, получавших эмпаглифлозин, по сравнению с группой плацебо; различий с плацебо в группе мужчин выявлено не было.</w:t>
      </w:r>
    </w:p>
    <w:p w14:paraId="6130CE40" w14:textId="77777777" w:rsidR="002604EF" w:rsidRDefault="002604EF" w:rsidP="000C7F59">
      <w:pPr>
        <w:spacing w:after="0" w:line="240" w:lineRule="auto"/>
        <w:ind w:firstLine="709"/>
        <w:rPr>
          <w:i/>
          <w:color w:val="000000" w:themeColor="text1"/>
          <w:w w:val="105"/>
        </w:rPr>
      </w:pPr>
    </w:p>
    <w:p w14:paraId="4AFA3F59" w14:textId="66979B61" w:rsidR="00C035FA" w:rsidRPr="00007FC4" w:rsidRDefault="008D5756" w:rsidP="000C7F59">
      <w:pPr>
        <w:spacing w:after="0" w:line="240" w:lineRule="auto"/>
        <w:ind w:firstLine="709"/>
        <w:rPr>
          <w:b/>
          <w:i/>
          <w:color w:val="000000" w:themeColor="text1"/>
        </w:rPr>
      </w:pPr>
      <w:r w:rsidRPr="00007FC4">
        <w:rPr>
          <w:b/>
          <w:i/>
          <w:color w:val="000000" w:themeColor="text1"/>
          <w:w w:val="105"/>
        </w:rPr>
        <w:t>Снижение</w:t>
      </w:r>
      <w:r w:rsidRPr="00007FC4">
        <w:rPr>
          <w:b/>
          <w:i/>
          <w:color w:val="000000" w:themeColor="text1"/>
          <w:spacing w:val="-2"/>
          <w:w w:val="105"/>
        </w:rPr>
        <w:t xml:space="preserve"> </w:t>
      </w:r>
      <w:r w:rsidRPr="00007FC4">
        <w:rPr>
          <w:b/>
          <w:i/>
          <w:color w:val="000000" w:themeColor="text1"/>
          <w:w w:val="105"/>
        </w:rPr>
        <w:t>объема</w:t>
      </w:r>
      <w:r w:rsidRPr="00007FC4">
        <w:rPr>
          <w:b/>
          <w:i/>
          <w:color w:val="000000" w:themeColor="text1"/>
          <w:spacing w:val="-10"/>
          <w:w w:val="105"/>
        </w:rPr>
        <w:t xml:space="preserve"> </w:t>
      </w:r>
      <w:r w:rsidRPr="00007FC4">
        <w:rPr>
          <w:b/>
          <w:i/>
          <w:color w:val="000000" w:themeColor="text1"/>
          <w:w w:val="105"/>
        </w:rPr>
        <w:t>циркулирующей</w:t>
      </w:r>
      <w:r w:rsidRPr="00007FC4">
        <w:rPr>
          <w:b/>
          <w:i/>
          <w:color w:val="000000" w:themeColor="text1"/>
          <w:spacing w:val="-15"/>
          <w:w w:val="105"/>
        </w:rPr>
        <w:t xml:space="preserve"> </w:t>
      </w:r>
      <w:r w:rsidRPr="00007FC4">
        <w:rPr>
          <w:b/>
          <w:i/>
          <w:color w:val="000000" w:themeColor="text1"/>
          <w:spacing w:val="-2"/>
          <w:w w:val="105"/>
        </w:rPr>
        <w:t>крови</w:t>
      </w:r>
    </w:p>
    <w:p w14:paraId="7D5D04C8" w14:textId="77777777" w:rsidR="00C035FA" w:rsidRDefault="008D5756" w:rsidP="000C7F59">
      <w:pPr>
        <w:pStyle w:val="BodyText"/>
        <w:spacing w:after="0" w:line="240" w:lineRule="auto"/>
        <w:ind w:right="186" w:firstLine="709"/>
        <w:rPr>
          <w:rFonts w:eastAsia="Times New Roman"/>
          <w:color w:val="000000" w:themeColor="text1"/>
          <w:lang w:eastAsia="ru-RU"/>
        </w:rPr>
      </w:pPr>
      <w:r>
        <w:rPr>
          <w:rFonts w:eastAsia="Times New Roman"/>
          <w:color w:val="000000" w:themeColor="text1"/>
          <w:lang w:eastAsia="ru-RU"/>
        </w:rPr>
        <w:t>Общая частота снижения ОЦК (включая снижение АД (в амбулаторных условиях), снижение систолического АД, обезвоживание, артериальную гипотензию, гиповолемию, ортостатическую гипотензию и обморок) была сходной в случае применения эмпаглифлозина (в дозе 10 мг: 0,6 %, в дозе 25 мг: 0,4 %) и плацебо (0,3 %). Частота развития гиповолемии повышалась у пациентов старше 75 лет, получавших эмпаглифлозин 10 мг (2,3 %) или эмпаглифлозин 25 мг (4,3 %) по сравнению с плацебо (2,1 %).</w:t>
      </w:r>
    </w:p>
    <w:p w14:paraId="50E0A977" w14:textId="77777777" w:rsidR="002604EF" w:rsidRDefault="002604EF" w:rsidP="000C7F59">
      <w:pPr>
        <w:spacing w:after="0" w:line="240" w:lineRule="auto"/>
        <w:ind w:right="170" w:firstLine="709"/>
        <w:rPr>
          <w:i/>
          <w:color w:val="000000" w:themeColor="text1"/>
          <w:w w:val="105"/>
        </w:rPr>
      </w:pPr>
    </w:p>
    <w:p w14:paraId="748D697C" w14:textId="28654A50" w:rsidR="00C035FA" w:rsidRPr="00007FC4" w:rsidRDefault="008D5756" w:rsidP="000C7F59">
      <w:pPr>
        <w:spacing w:after="0" w:line="240" w:lineRule="auto"/>
        <w:ind w:right="170" w:firstLine="709"/>
        <w:rPr>
          <w:b/>
          <w:i/>
          <w:color w:val="000000" w:themeColor="text1"/>
        </w:rPr>
      </w:pPr>
      <w:r w:rsidRPr="00007FC4">
        <w:rPr>
          <w:b/>
          <w:i/>
          <w:color w:val="000000" w:themeColor="text1"/>
          <w:w w:val="105"/>
        </w:rPr>
        <w:t>Снижение скорости клубочковой фильтрации и</w:t>
      </w:r>
      <w:r w:rsidRPr="00007FC4">
        <w:rPr>
          <w:b/>
          <w:i/>
          <w:color w:val="000000" w:themeColor="text1"/>
          <w:spacing w:val="-4"/>
          <w:w w:val="105"/>
        </w:rPr>
        <w:t xml:space="preserve"> </w:t>
      </w:r>
      <w:r w:rsidRPr="00007FC4">
        <w:rPr>
          <w:b/>
          <w:i/>
          <w:color w:val="000000" w:themeColor="text1"/>
          <w:w w:val="105"/>
        </w:rPr>
        <w:t>повышение концентрации креатинина в плазме крови</w:t>
      </w:r>
    </w:p>
    <w:p w14:paraId="7014AB90" w14:textId="62B531A5" w:rsidR="00C035FA" w:rsidRDefault="008D5756" w:rsidP="000C7F59">
      <w:pPr>
        <w:pStyle w:val="BodyText"/>
        <w:spacing w:after="0" w:line="240" w:lineRule="auto"/>
        <w:ind w:right="186" w:firstLine="709"/>
        <w:rPr>
          <w:rFonts w:eastAsia="Times New Roman"/>
          <w:color w:val="000000" w:themeColor="text1"/>
          <w:lang w:eastAsia="ru-RU"/>
        </w:rPr>
      </w:pPr>
      <w:r>
        <w:rPr>
          <w:rFonts w:eastAsia="Times New Roman"/>
          <w:color w:val="000000" w:themeColor="text1"/>
          <w:lang w:eastAsia="ru-RU"/>
        </w:rPr>
        <w:t>Общая частота пов</w:t>
      </w:r>
      <w:r w:rsidR="00E25D5C">
        <w:rPr>
          <w:rFonts w:eastAsia="Times New Roman"/>
          <w:color w:val="000000" w:themeColor="text1"/>
          <w:lang w:eastAsia="ru-RU"/>
        </w:rPr>
        <w:t>ыш</w:t>
      </w:r>
      <w:r>
        <w:rPr>
          <w:rFonts w:eastAsia="Times New Roman"/>
          <w:color w:val="000000" w:themeColor="text1"/>
          <w:lang w:eastAsia="ru-RU"/>
        </w:rPr>
        <w:t>ения концентрации креатинина в плазме крови и снижения СКФ у пациентов была схожа для эмпаглифлозина и плацебо (</w:t>
      </w:r>
      <w:r w:rsidR="00E25D5C">
        <w:rPr>
          <w:rFonts w:eastAsia="Times New Roman"/>
          <w:color w:val="000000" w:themeColor="text1"/>
          <w:lang w:eastAsia="ru-RU"/>
        </w:rPr>
        <w:t xml:space="preserve">повышение </w:t>
      </w:r>
      <w:r>
        <w:rPr>
          <w:rFonts w:eastAsia="Times New Roman"/>
          <w:color w:val="000000" w:themeColor="text1"/>
          <w:lang w:eastAsia="ru-RU"/>
        </w:rPr>
        <w:t xml:space="preserve">концентрации креатинина в плазме крови: эмпаглифлозин 10 мг 0,6 %, эмпаглифлозин 25 мг 0,1 %, плацебо 0,5 %; снижение СКФ: эмпаглифлозин 10 мг 0,1 %, эмпаглифлозин 25 мг 0%, плацебо 0,3 %). Начальное повышение концентрации креатинина и начальное снижение СКФ у пациентов, получавших эмпаглифлозин, были в целом кратковременными при непрерывном лечении или обратимыми после отмены лечения. Соответственно, в исследовании EMPA-REG OUTCOME, у пациентов, получавших эмпаглифлозин, </w:t>
      </w:r>
      <w:r>
        <w:rPr>
          <w:rFonts w:eastAsia="Times New Roman"/>
          <w:color w:val="000000" w:themeColor="text1"/>
          <w:lang w:eastAsia="ru-RU"/>
        </w:rPr>
        <w:lastRenderedPageBreak/>
        <w:t xml:space="preserve">первоначально отмечалось снижение СКФ (среднее изменение: 3 мл/мин/1,73 м2). Затем СКФ сохранялась на одном уровне при продолжении лечения. Средняя СКФ возвращалась к исходным уровням после отмены терапии, </w:t>
      </w:r>
      <w:r w:rsidR="00E25D5C">
        <w:rPr>
          <w:rFonts w:eastAsia="Times New Roman"/>
          <w:color w:val="000000" w:themeColor="text1"/>
          <w:lang w:eastAsia="ru-RU"/>
        </w:rPr>
        <w:t xml:space="preserve">указывая </w:t>
      </w:r>
      <w:r>
        <w:rPr>
          <w:rFonts w:eastAsia="Times New Roman"/>
          <w:color w:val="000000" w:themeColor="text1"/>
          <w:lang w:eastAsia="ru-RU"/>
        </w:rPr>
        <w:t>на то, что острые гемодинамические изменения могут играть роль в данных изменениях функции почек.</w:t>
      </w:r>
    </w:p>
    <w:p w14:paraId="79780FC4" w14:textId="77777777" w:rsidR="002604EF" w:rsidRDefault="002604EF" w:rsidP="000C7F59">
      <w:pPr>
        <w:spacing w:after="0" w:line="240" w:lineRule="auto"/>
        <w:ind w:firstLine="709"/>
        <w:rPr>
          <w:i/>
          <w:color w:val="000000" w:themeColor="text1"/>
          <w:w w:val="105"/>
        </w:rPr>
      </w:pPr>
    </w:p>
    <w:p w14:paraId="64069458" w14:textId="55D2223B" w:rsidR="00C035FA" w:rsidRPr="00007FC4" w:rsidRDefault="008D5756" w:rsidP="000C7F59">
      <w:pPr>
        <w:spacing w:after="0" w:line="240" w:lineRule="auto"/>
        <w:ind w:firstLine="709"/>
        <w:rPr>
          <w:b/>
          <w:i/>
          <w:color w:val="000000" w:themeColor="text1"/>
        </w:rPr>
      </w:pPr>
      <w:r w:rsidRPr="00007FC4">
        <w:rPr>
          <w:b/>
          <w:i/>
          <w:color w:val="000000" w:themeColor="text1"/>
          <w:w w:val="105"/>
        </w:rPr>
        <w:t>Повышение</w:t>
      </w:r>
      <w:r w:rsidRPr="00007FC4">
        <w:rPr>
          <w:b/>
          <w:i/>
          <w:color w:val="000000" w:themeColor="text1"/>
          <w:spacing w:val="-13"/>
          <w:w w:val="105"/>
        </w:rPr>
        <w:t xml:space="preserve"> </w:t>
      </w:r>
      <w:r w:rsidRPr="00007FC4">
        <w:rPr>
          <w:b/>
          <w:i/>
          <w:color w:val="000000" w:themeColor="text1"/>
          <w:w w:val="105"/>
        </w:rPr>
        <w:t>концентрации</w:t>
      </w:r>
      <w:r w:rsidRPr="00007FC4">
        <w:rPr>
          <w:b/>
          <w:i/>
          <w:color w:val="000000" w:themeColor="text1"/>
          <w:spacing w:val="-3"/>
          <w:w w:val="105"/>
        </w:rPr>
        <w:t xml:space="preserve"> </w:t>
      </w:r>
      <w:r w:rsidRPr="00007FC4">
        <w:rPr>
          <w:b/>
          <w:i/>
          <w:color w:val="000000" w:themeColor="text1"/>
          <w:w w:val="105"/>
        </w:rPr>
        <w:t>липидов</w:t>
      </w:r>
      <w:r w:rsidRPr="00007FC4">
        <w:rPr>
          <w:b/>
          <w:i/>
          <w:color w:val="000000" w:themeColor="text1"/>
          <w:spacing w:val="-12"/>
          <w:w w:val="105"/>
        </w:rPr>
        <w:t xml:space="preserve"> </w:t>
      </w:r>
      <w:r w:rsidRPr="00007FC4">
        <w:rPr>
          <w:b/>
          <w:i/>
          <w:color w:val="000000" w:themeColor="text1"/>
          <w:w w:val="105"/>
        </w:rPr>
        <w:t>в</w:t>
      </w:r>
      <w:r w:rsidRPr="00007FC4">
        <w:rPr>
          <w:b/>
          <w:i/>
          <w:color w:val="000000" w:themeColor="text1"/>
          <w:spacing w:val="-11"/>
          <w:w w:val="105"/>
        </w:rPr>
        <w:t xml:space="preserve"> </w:t>
      </w:r>
      <w:r w:rsidRPr="00007FC4">
        <w:rPr>
          <w:b/>
          <w:i/>
          <w:color w:val="000000" w:themeColor="text1"/>
          <w:w w:val="105"/>
        </w:rPr>
        <w:t xml:space="preserve">сыворотке </w:t>
      </w:r>
      <w:r w:rsidRPr="00007FC4">
        <w:rPr>
          <w:b/>
          <w:i/>
          <w:color w:val="000000" w:themeColor="text1"/>
          <w:spacing w:val="-2"/>
          <w:w w:val="105"/>
        </w:rPr>
        <w:t>крови</w:t>
      </w:r>
    </w:p>
    <w:p w14:paraId="6B75D67F" w14:textId="77777777" w:rsidR="00C035FA" w:rsidRDefault="008D5756" w:rsidP="000C7F59">
      <w:pPr>
        <w:pStyle w:val="BodyText"/>
        <w:spacing w:after="0" w:line="240" w:lineRule="auto"/>
        <w:ind w:right="136" w:firstLine="709"/>
        <w:rPr>
          <w:rFonts w:eastAsia="Times New Roman"/>
          <w:color w:val="000000" w:themeColor="text1"/>
          <w:lang w:eastAsia="ru-RU"/>
        </w:rPr>
      </w:pPr>
      <w:r>
        <w:rPr>
          <w:rFonts w:eastAsia="Times New Roman"/>
          <w:color w:val="000000" w:themeColor="text1"/>
          <w:lang w:eastAsia="ru-RU"/>
        </w:rPr>
        <w:t>Средний процент увеличения по сравнению с исходным уровнем при применении эмпаглифлозина 10 мг и 25 мг по сравнению с плацебо, соответственно, составлял: общий холестерин - 4,9 % и 5,7 % по сравнению с 3,5 %; холестерин ЛПВП - 3,3 % и 3,6 % по сравнению с 0,4 %; холестерин ЛПНП- 9,5 % и 10,0 % по сравнению с 7,5 %; триглицериды -9,2 % и 9,9 % по сравнению с 10,5 %.</w:t>
      </w:r>
    </w:p>
    <w:p w14:paraId="595F320A" w14:textId="77777777" w:rsidR="002604EF" w:rsidRDefault="002604EF" w:rsidP="000C7F59">
      <w:pPr>
        <w:spacing w:after="0" w:line="240" w:lineRule="auto"/>
        <w:ind w:firstLine="709"/>
        <w:rPr>
          <w:i/>
          <w:color w:val="000000" w:themeColor="text1"/>
        </w:rPr>
      </w:pPr>
    </w:p>
    <w:p w14:paraId="22B2C0DF" w14:textId="3A93F65D" w:rsidR="00C035FA" w:rsidRPr="00007FC4" w:rsidRDefault="008D5756" w:rsidP="000C7F59">
      <w:pPr>
        <w:spacing w:after="0" w:line="240" w:lineRule="auto"/>
        <w:ind w:firstLine="709"/>
        <w:rPr>
          <w:b/>
          <w:i/>
          <w:color w:val="000000" w:themeColor="text1"/>
        </w:rPr>
      </w:pPr>
      <w:r w:rsidRPr="00007FC4">
        <w:rPr>
          <w:b/>
          <w:i/>
          <w:color w:val="000000" w:themeColor="text1"/>
        </w:rPr>
        <w:t>Увеличение</w:t>
      </w:r>
      <w:r w:rsidRPr="00007FC4">
        <w:rPr>
          <w:b/>
          <w:i/>
          <w:color w:val="000000" w:themeColor="text1"/>
          <w:spacing w:val="45"/>
          <w:w w:val="105"/>
        </w:rPr>
        <w:t xml:space="preserve"> </w:t>
      </w:r>
      <w:r w:rsidRPr="00007FC4">
        <w:rPr>
          <w:b/>
          <w:i/>
          <w:color w:val="000000" w:themeColor="text1"/>
          <w:spacing w:val="-2"/>
          <w:w w:val="105"/>
        </w:rPr>
        <w:t>гематокрита</w:t>
      </w:r>
    </w:p>
    <w:p w14:paraId="3E9DF2DE" w14:textId="024BB3F8" w:rsidR="00C035FA" w:rsidRDefault="008D5756" w:rsidP="000C7F59">
      <w:pPr>
        <w:pStyle w:val="BodyText"/>
        <w:spacing w:after="0" w:line="240" w:lineRule="auto"/>
        <w:ind w:right="136" w:firstLine="709"/>
        <w:rPr>
          <w:rFonts w:eastAsia="Times New Roman"/>
          <w:color w:val="000000" w:themeColor="text1"/>
          <w:lang w:eastAsia="ru-RU"/>
        </w:rPr>
      </w:pPr>
      <w:r>
        <w:rPr>
          <w:rFonts w:eastAsia="Times New Roman"/>
          <w:color w:val="000000" w:themeColor="text1"/>
          <w:lang w:eastAsia="ru-RU"/>
        </w:rPr>
        <w:t>Средние изменения гематокрита относительно исходного уровня составляли 3,4 % и 3,6 % при применении эмпаглифлозина в дозе 10 мг и 25 мг, соответственно, по сравнению с 0,1 % в случае плацебо. В исследовании EМPA-REG OUTCOME значения гематокрита возвращались к исходным в течение периода наблюдения продолжительностью 30 дней после прекращения лечения.</w:t>
      </w:r>
    </w:p>
    <w:p w14:paraId="198E3760" w14:textId="77777777" w:rsidR="00C035FA" w:rsidRDefault="00C035FA">
      <w:pPr>
        <w:spacing w:after="0"/>
        <w:rPr>
          <w:color w:val="000000" w:themeColor="text1"/>
          <w:highlight w:val="yellow"/>
        </w:rPr>
      </w:pPr>
    </w:p>
    <w:p w14:paraId="281E0848" w14:textId="77777777" w:rsidR="00C035FA" w:rsidRDefault="008D5756">
      <w:pPr>
        <w:pStyle w:val="Heading3"/>
        <w:tabs>
          <w:tab w:val="left" w:pos="8647"/>
        </w:tabs>
        <w:spacing w:before="0" w:after="0" w:line="240" w:lineRule="auto"/>
        <w:rPr>
          <w:rFonts w:ascii="Times New Roman" w:hAnsi="Times New Roman"/>
          <w:color w:val="000000" w:themeColor="text1"/>
        </w:rPr>
      </w:pPr>
      <w:bookmarkStart w:id="204" w:name="_Toc139366905"/>
      <w:r>
        <w:rPr>
          <w:rFonts w:ascii="Times New Roman" w:hAnsi="Times New Roman"/>
          <w:color w:val="000000" w:themeColor="text1"/>
        </w:rPr>
        <w:t>5.3.6. Передозировка</w:t>
      </w:r>
      <w:bookmarkEnd w:id="204"/>
    </w:p>
    <w:p w14:paraId="5267484D" w14:textId="77777777" w:rsidR="002604EF" w:rsidRDefault="002604EF">
      <w:pPr>
        <w:spacing w:after="0" w:line="240" w:lineRule="auto"/>
        <w:rPr>
          <w:i/>
          <w:color w:val="000000" w:themeColor="text1"/>
          <w:spacing w:val="-2"/>
          <w:w w:val="105"/>
        </w:rPr>
      </w:pPr>
    </w:p>
    <w:p w14:paraId="23307332" w14:textId="340F84D2" w:rsidR="00C035FA" w:rsidRPr="00485E09" w:rsidRDefault="008D5756" w:rsidP="00485E09">
      <w:pPr>
        <w:spacing w:after="0" w:line="240" w:lineRule="auto"/>
        <w:rPr>
          <w:b/>
          <w:color w:val="000000" w:themeColor="text1"/>
        </w:rPr>
      </w:pPr>
      <w:r w:rsidRPr="00485E09">
        <w:rPr>
          <w:b/>
          <w:color w:val="000000" w:themeColor="text1"/>
          <w:spacing w:val="-2"/>
          <w:w w:val="105"/>
        </w:rPr>
        <w:t>Симптомы</w:t>
      </w:r>
    </w:p>
    <w:p w14:paraId="7E95F4CA" w14:textId="77777777" w:rsidR="00485E09" w:rsidRDefault="00485E09">
      <w:pPr>
        <w:pStyle w:val="BodyText"/>
        <w:spacing w:after="0" w:line="240" w:lineRule="auto"/>
        <w:ind w:right="116" w:firstLine="709"/>
        <w:rPr>
          <w:color w:val="000000" w:themeColor="text1"/>
          <w:w w:val="105"/>
        </w:rPr>
      </w:pPr>
    </w:p>
    <w:p w14:paraId="14C0121E" w14:textId="6588AB79" w:rsidR="00C035FA" w:rsidRDefault="008D5756">
      <w:pPr>
        <w:pStyle w:val="BodyText"/>
        <w:spacing w:after="0" w:line="240" w:lineRule="auto"/>
        <w:ind w:right="116" w:firstLine="709"/>
        <w:rPr>
          <w:color w:val="000000" w:themeColor="text1"/>
          <w:w w:val="105"/>
        </w:rPr>
      </w:pPr>
      <w:r>
        <w:rPr>
          <w:color w:val="000000" w:themeColor="text1"/>
          <w:w w:val="105"/>
        </w:rPr>
        <w:t>Во время проведения контролируемых клинических исследований однократные дозы эмпаглифлозина, достигавшие 800</w:t>
      </w:r>
      <w:r>
        <w:rPr>
          <w:color w:val="000000" w:themeColor="text1"/>
          <w:spacing w:val="-9"/>
          <w:w w:val="105"/>
        </w:rPr>
        <w:t xml:space="preserve"> </w:t>
      </w:r>
      <w:r>
        <w:rPr>
          <w:color w:val="000000" w:themeColor="text1"/>
          <w:w w:val="105"/>
        </w:rPr>
        <w:t>мг у здоровых добровольцев, и многократные дозы, достигавшие 100</w:t>
      </w:r>
      <w:r>
        <w:rPr>
          <w:color w:val="000000" w:themeColor="text1"/>
          <w:spacing w:val="-6"/>
          <w:w w:val="105"/>
        </w:rPr>
        <w:t xml:space="preserve"> </w:t>
      </w:r>
      <w:r>
        <w:rPr>
          <w:color w:val="000000" w:themeColor="text1"/>
          <w:w w:val="105"/>
        </w:rPr>
        <w:t>мг у пациентов с СД</w:t>
      </w:r>
      <w:r>
        <w:rPr>
          <w:color w:val="000000" w:themeColor="text1"/>
          <w:spacing w:val="-6"/>
          <w:w w:val="105"/>
        </w:rPr>
        <w:t xml:space="preserve"> </w:t>
      </w:r>
      <w:r>
        <w:rPr>
          <w:color w:val="000000" w:themeColor="text1"/>
          <w:w w:val="105"/>
        </w:rPr>
        <w:t>2, не проявляли токсичность. Наблюдавшееся увеличение объема мочи не</w:t>
      </w:r>
      <w:r>
        <w:rPr>
          <w:color w:val="000000" w:themeColor="text1"/>
          <w:spacing w:val="-1"/>
          <w:w w:val="105"/>
        </w:rPr>
        <w:t xml:space="preserve"> </w:t>
      </w:r>
      <w:r>
        <w:rPr>
          <w:color w:val="000000" w:themeColor="text1"/>
          <w:w w:val="105"/>
        </w:rPr>
        <w:t>зависело от</w:t>
      </w:r>
      <w:r>
        <w:rPr>
          <w:color w:val="000000" w:themeColor="text1"/>
          <w:spacing w:val="-1"/>
          <w:w w:val="105"/>
        </w:rPr>
        <w:t xml:space="preserve"> </w:t>
      </w:r>
      <w:r>
        <w:rPr>
          <w:color w:val="000000" w:themeColor="text1"/>
          <w:w w:val="105"/>
        </w:rPr>
        <w:t>величины дозы и не</w:t>
      </w:r>
      <w:r>
        <w:rPr>
          <w:color w:val="000000" w:themeColor="text1"/>
          <w:spacing w:val="-1"/>
          <w:w w:val="105"/>
        </w:rPr>
        <w:t xml:space="preserve"> </w:t>
      </w:r>
      <w:r>
        <w:rPr>
          <w:color w:val="000000" w:themeColor="text1"/>
          <w:w w:val="105"/>
        </w:rPr>
        <w:t>было клинически значимым. Данные</w:t>
      </w:r>
      <w:r>
        <w:rPr>
          <w:color w:val="000000" w:themeColor="text1"/>
          <w:spacing w:val="-16"/>
          <w:w w:val="105"/>
        </w:rPr>
        <w:t xml:space="preserve"> </w:t>
      </w:r>
      <w:r>
        <w:rPr>
          <w:color w:val="000000" w:themeColor="text1"/>
          <w:w w:val="105"/>
        </w:rPr>
        <w:t>о</w:t>
      </w:r>
      <w:r>
        <w:rPr>
          <w:color w:val="000000" w:themeColor="text1"/>
          <w:spacing w:val="-15"/>
          <w:w w:val="105"/>
        </w:rPr>
        <w:t xml:space="preserve"> </w:t>
      </w:r>
      <w:r>
        <w:rPr>
          <w:color w:val="000000" w:themeColor="text1"/>
          <w:w w:val="105"/>
        </w:rPr>
        <w:t>применении</w:t>
      </w:r>
      <w:r>
        <w:rPr>
          <w:color w:val="000000" w:themeColor="text1"/>
          <w:spacing w:val="-15"/>
          <w:w w:val="105"/>
        </w:rPr>
        <w:t xml:space="preserve"> </w:t>
      </w:r>
      <w:r>
        <w:rPr>
          <w:color w:val="000000" w:themeColor="text1"/>
          <w:w w:val="105"/>
        </w:rPr>
        <w:t>у</w:t>
      </w:r>
      <w:r>
        <w:rPr>
          <w:color w:val="000000" w:themeColor="text1"/>
          <w:spacing w:val="-15"/>
          <w:w w:val="105"/>
        </w:rPr>
        <w:t xml:space="preserve"> </w:t>
      </w:r>
      <w:r>
        <w:rPr>
          <w:color w:val="000000" w:themeColor="text1"/>
          <w:w w:val="105"/>
        </w:rPr>
        <w:t>человека</w:t>
      </w:r>
      <w:r>
        <w:rPr>
          <w:color w:val="000000" w:themeColor="text1"/>
          <w:spacing w:val="-15"/>
          <w:w w:val="105"/>
        </w:rPr>
        <w:t xml:space="preserve"> </w:t>
      </w:r>
      <w:r>
        <w:rPr>
          <w:color w:val="000000" w:themeColor="text1"/>
          <w:w w:val="105"/>
        </w:rPr>
        <w:t>доз</w:t>
      </w:r>
      <w:r>
        <w:rPr>
          <w:color w:val="000000" w:themeColor="text1"/>
          <w:spacing w:val="-15"/>
          <w:w w:val="105"/>
        </w:rPr>
        <w:t xml:space="preserve"> </w:t>
      </w:r>
      <w:r>
        <w:rPr>
          <w:color w:val="000000" w:themeColor="text1"/>
          <w:w w:val="105"/>
        </w:rPr>
        <w:t>эмпаглифлозина,</w:t>
      </w:r>
      <w:r>
        <w:rPr>
          <w:color w:val="000000" w:themeColor="text1"/>
          <w:spacing w:val="-15"/>
          <w:w w:val="105"/>
        </w:rPr>
        <w:t xml:space="preserve"> </w:t>
      </w:r>
      <w:r w:rsidR="00E25D5C">
        <w:rPr>
          <w:color w:val="000000" w:themeColor="text1"/>
          <w:w w:val="105"/>
        </w:rPr>
        <w:t>превышающих</w:t>
      </w:r>
      <w:r w:rsidR="00E25D5C">
        <w:rPr>
          <w:color w:val="000000" w:themeColor="text1"/>
          <w:spacing w:val="-15"/>
          <w:w w:val="105"/>
        </w:rPr>
        <w:t xml:space="preserve"> </w:t>
      </w:r>
      <w:r>
        <w:rPr>
          <w:color w:val="000000" w:themeColor="text1"/>
          <w:w w:val="105"/>
        </w:rPr>
        <w:t>800</w:t>
      </w:r>
      <w:r>
        <w:rPr>
          <w:color w:val="000000" w:themeColor="text1"/>
          <w:spacing w:val="-15"/>
          <w:w w:val="105"/>
        </w:rPr>
        <w:t xml:space="preserve"> </w:t>
      </w:r>
      <w:r>
        <w:rPr>
          <w:color w:val="000000" w:themeColor="text1"/>
          <w:w w:val="105"/>
        </w:rPr>
        <w:t>мг,</w:t>
      </w:r>
      <w:r>
        <w:rPr>
          <w:color w:val="000000" w:themeColor="text1"/>
          <w:spacing w:val="-15"/>
          <w:w w:val="105"/>
        </w:rPr>
        <w:t xml:space="preserve"> </w:t>
      </w:r>
      <w:r>
        <w:rPr>
          <w:color w:val="000000" w:themeColor="text1"/>
          <w:w w:val="105"/>
        </w:rPr>
        <w:t xml:space="preserve">отсутствуют. </w:t>
      </w:r>
    </w:p>
    <w:p w14:paraId="3D49F89D" w14:textId="77777777" w:rsidR="002604EF" w:rsidRDefault="002604EF" w:rsidP="000C7F59">
      <w:pPr>
        <w:pStyle w:val="BodyText"/>
        <w:spacing w:after="0" w:line="240" w:lineRule="auto"/>
        <w:ind w:right="116" w:firstLine="709"/>
        <w:rPr>
          <w:i/>
          <w:color w:val="000000" w:themeColor="text1"/>
          <w:spacing w:val="-2"/>
          <w:w w:val="105"/>
        </w:rPr>
      </w:pPr>
    </w:p>
    <w:p w14:paraId="2783D148" w14:textId="5F4D8DE8" w:rsidR="00C035FA" w:rsidRPr="00485E09" w:rsidRDefault="008D5756" w:rsidP="00485E09">
      <w:pPr>
        <w:pStyle w:val="BodyText"/>
        <w:spacing w:after="0" w:line="240" w:lineRule="auto"/>
        <w:ind w:right="116"/>
        <w:rPr>
          <w:b/>
          <w:color w:val="000000" w:themeColor="text1"/>
        </w:rPr>
      </w:pPr>
      <w:r w:rsidRPr="00485E09">
        <w:rPr>
          <w:b/>
          <w:color w:val="000000" w:themeColor="text1"/>
          <w:spacing w:val="-2"/>
          <w:w w:val="105"/>
        </w:rPr>
        <w:t>Лечение</w:t>
      </w:r>
    </w:p>
    <w:p w14:paraId="0B8A8985" w14:textId="77777777" w:rsidR="00485E09" w:rsidRDefault="00485E09" w:rsidP="000C7F59">
      <w:pPr>
        <w:pStyle w:val="BodyText"/>
        <w:spacing w:after="0" w:line="240" w:lineRule="auto"/>
        <w:ind w:right="155" w:firstLine="709"/>
        <w:rPr>
          <w:color w:val="000000" w:themeColor="text1"/>
          <w:w w:val="105"/>
        </w:rPr>
      </w:pPr>
    </w:p>
    <w:p w14:paraId="07007C78" w14:textId="584288E4" w:rsidR="00C035FA" w:rsidRDefault="008D5756" w:rsidP="000C7F59">
      <w:pPr>
        <w:pStyle w:val="BodyText"/>
        <w:spacing w:after="0" w:line="240" w:lineRule="auto"/>
        <w:ind w:right="155" w:firstLine="709"/>
        <w:rPr>
          <w:color w:val="000000" w:themeColor="text1"/>
        </w:rPr>
      </w:pPr>
      <w:r>
        <w:rPr>
          <w:color w:val="000000" w:themeColor="text1"/>
          <w:w w:val="105"/>
        </w:rPr>
        <w:t>В случае передозировки лечение должно проводиться соответственно клиническому состоянию пациента. Выведение эмпаглифлозина</w:t>
      </w:r>
      <w:r>
        <w:rPr>
          <w:color w:val="000000" w:themeColor="text1"/>
          <w:spacing w:val="-2"/>
          <w:w w:val="105"/>
        </w:rPr>
        <w:t xml:space="preserve"> </w:t>
      </w:r>
      <w:r>
        <w:rPr>
          <w:color w:val="000000" w:themeColor="text1"/>
          <w:w w:val="105"/>
        </w:rPr>
        <w:t>с</w:t>
      </w:r>
      <w:r>
        <w:rPr>
          <w:color w:val="000000" w:themeColor="text1"/>
          <w:spacing w:val="-6"/>
          <w:w w:val="105"/>
        </w:rPr>
        <w:t xml:space="preserve"> </w:t>
      </w:r>
      <w:r>
        <w:rPr>
          <w:color w:val="000000" w:themeColor="text1"/>
          <w:w w:val="105"/>
        </w:rPr>
        <w:t>помощью гемодиализа не</w:t>
      </w:r>
      <w:r>
        <w:rPr>
          <w:color w:val="000000" w:themeColor="text1"/>
          <w:spacing w:val="-2"/>
          <w:w w:val="105"/>
        </w:rPr>
        <w:t xml:space="preserve"> </w:t>
      </w:r>
      <w:r>
        <w:rPr>
          <w:color w:val="000000" w:themeColor="text1"/>
          <w:w w:val="105"/>
        </w:rPr>
        <w:t>изучалось.</w:t>
      </w:r>
    </w:p>
    <w:p w14:paraId="38B3BBBF" w14:textId="77777777" w:rsidR="00C035FA" w:rsidRDefault="008D5756">
      <w:pPr>
        <w:pStyle w:val="Heading3"/>
        <w:tabs>
          <w:tab w:val="left" w:pos="8647"/>
        </w:tabs>
        <w:spacing w:after="240" w:line="240" w:lineRule="auto"/>
        <w:rPr>
          <w:rFonts w:ascii="Times New Roman" w:hAnsi="Times New Roman"/>
          <w:color w:val="000000" w:themeColor="text1"/>
        </w:rPr>
      </w:pPr>
      <w:bookmarkStart w:id="205" w:name="_Toc139366906"/>
      <w:r>
        <w:rPr>
          <w:rFonts w:ascii="Times New Roman" w:hAnsi="Times New Roman"/>
          <w:color w:val="000000" w:themeColor="text1"/>
        </w:rPr>
        <w:t xml:space="preserve">5.3.7. </w:t>
      </w:r>
      <w:r>
        <w:rPr>
          <w:rFonts w:ascii="Times New Roman" w:eastAsia="Courier New" w:hAnsi="Times New Roman"/>
          <w:szCs w:val="24"/>
          <w:lang w:eastAsia="ru-RU" w:bidi="ru-RU"/>
        </w:rPr>
        <w:t>Взаимодействие с другими лекарственными средствами</w:t>
      </w:r>
      <w:bookmarkEnd w:id="205"/>
    </w:p>
    <w:p w14:paraId="6236520C" w14:textId="77777777" w:rsidR="00C035FA" w:rsidRDefault="008D5756" w:rsidP="00485E09">
      <w:pPr>
        <w:tabs>
          <w:tab w:val="left" w:pos="8647"/>
        </w:tabs>
        <w:spacing w:after="0" w:line="240" w:lineRule="auto"/>
        <w:rPr>
          <w:b/>
        </w:rPr>
      </w:pPr>
      <w:bookmarkStart w:id="206" w:name="bookmark6"/>
      <w:bookmarkEnd w:id="203"/>
      <w:r>
        <w:rPr>
          <w:b/>
        </w:rPr>
        <w:t>Фармакодинамическое взаимодействие</w:t>
      </w:r>
    </w:p>
    <w:p w14:paraId="20B43C58" w14:textId="77777777" w:rsidR="002604EF" w:rsidRDefault="002604EF">
      <w:pPr>
        <w:tabs>
          <w:tab w:val="left" w:pos="8647"/>
        </w:tabs>
        <w:spacing w:after="0" w:line="240" w:lineRule="auto"/>
        <w:ind w:left="17" w:hanging="17"/>
      </w:pPr>
    </w:p>
    <w:p w14:paraId="58F67105" w14:textId="59D37820" w:rsidR="00C035FA" w:rsidRPr="002604EF" w:rsidRDefault="008D5756" w:rsidP="000C7F59">
      <w:pPr>
        <w:tabs>
          <w:tab w:val="left" w:pos="8647"/>
        </w:tabs>
        <w:spacing w:after="0" w:line="240" w:lineRule="auto"/>
        <w:ind w:left="17" w:firstLine="692"/>
        <w:rPr>
          <w:i/>
          <w:iCs/>
        </w:rPr>
      </w:pPr>
      <w:r w:rsidRPr="002604EF">
        <w:rPr>
          <w:i/>
          <w:iCs/>
        </w:rPr>
        <w:t>Диуретики</w:t>
      </w:r>
    </w:p>
    <w:p w14:paraId="015AC4C8" w14:textId="77777777" w:rsidR="00C035FA" w:rsidRDefault="008D5756" w:rsidP="000C7F59">
      <w:pPr>
        <w:tabs>
          <w:tab w:val="left" w:pos="8647"/>
        </w:tabs>
        <w:spacing w:after="0" w:line="240" w:lineRule="auto"/>
        <w:ind w:left="17" w:firstLine="692"/>
      </w:pPr>
      <w:r>
        <w:t>Эмпаглифлозин может усиливать диуретический эффект тиазидных и «петлевых» диуретиков, что в свою очередь может увеличить риск развития дегидратации и артериальной гипотензии.</w:t>
      </w:r>
    </w:p>
    <w:p w14:paraId="4D6275F2" w14:textId="77777777" w:rsidR="002604EF" w:rsidRDefault="002604EF" w:rsidP="000C7F59">
      <w:pPr>
        <w:tabs>
          <w:tab w:val="left" w:pos="8647"/>
        </w:tabs>
        <w:spacing w:after="0" w:line="240" w:lineRule="auto"/>
        <w:ind w:left="17" w:firstLine="692"/>
      </w:pPr>
    </w:p>
    <w:p w14:paraId="123BD8B8" w14:textId="3D7BB1D8" w:rsidR="00C035FA" w:rsidRPr="002604EF" w:rsidRDefault="008D5756" w:rsidP="000C7F59">
      <w:pPr>
        <w:tabs>
          <w:tab w:val="left" w:pos="8647"/>
        </w:tabs>
        <w:spacing w:after="0" w:line="240" w:lineRule="auto"/>
        <w:ind w:left="17" w:firstLine="692"/>
        <w:rPr>
          <w:i/>
          <w:iCs/>
        </w:rPr>
      </w:pPr>
      <w:r w:rsidRPr="002604EF">
        <w:rPr>
          <w:i/>
          <w:iCs/>
        </w:rPr>
        <w:t>Инсулин и препараты, повышающие секрецию инсулина</w:t>
      </w:r>
    </w:p>
    <w:p w14:paraId="0728BF52" w14:textId="208E3EA1" w:rsidR="002604EF" w:rsidRPr="002604EF" w:rsidRDefault="008D5756" w:rsidP="000C7F59">
      <w:pPr>
        <w:tabs>
          <w:tab w:val="left" w:pos="8647"/>
        </w:tabs>
        <w:spacing w:after="0" w:line="240" w:lineRule="auto"/>
        <w:ind w:left="17" w:firstLine="692"/>
      </w:pPr>
      <w:r>
        <w:t xml:space="preserve">Инсулин и препараты, усиливающие его секрецию, такие как производные сульфонилмочевины, могут увеличивать риск гипогликемии. Поэтому снижение дозы </w:t>
      </w:r>
      <w:r>
        <w:lastRenderedPageBreak/>
        <w:t>инсулина или препаратов, усиливающих его секрецию, может потребоваться во избежание риска развития гипогликемии при одновременном применении с эмпаглифлозином</w:t>
      </w:r>
      <w:r w:rsidR="002604EF" w:rsidRPr="002604EF">
        <w:t>.</w:t>
      </w:r>
    </w:p>
    <w:p w14:paraId="1CF5B6D5" w14:textId="41405494" w:rsidR="00C035FA" w:rsidRDefault="00C035FA">
      <w:pPr>
        <w:tabs>
          <w:tab w:val="left" w:pos="8647"/>
        </w:tabs>
        <w:spacing w:after="0" w:line="240" w:lineRule="auto"/>
        <w:ind w:left="17" w:hanging="17"/>
      </w:pPr>
    </w:p>
    <w:p w14:paraId="1973B9E6" w14:textId="77777777" w:rsidR="00C035FA" w:rsidRDefault="008D5756" w:rsidP="002E566D">
      <w:pPr>
        <w:tabs>
          <w:tab w:val="left" w:pos="8647"/>
        </w:tabs>
        <w:spacing w:after="0" w:line="240" w:lineRule="auto"/>
        <w:rPr>
          <w:b/>
        </w:rPr>
      </w:pPr>
      <w:r>
        <w:rPr>
          <w:b/>
        </w:rPr>
        <w:t>Фармакокинетическое взаимодействие</w:t>
      </w:r>
    </w:p>
    <w:p w14:paraId="48A618DF" w14:textId="77777777" w:rsidR="002604EF" w:rsidRDefault="002604EF">
      <w:pPr>
        <w:spacing w:after="0" w:line="240" w:lineRule="auto"/>
        <w:rPr>
          <w:i/>
          <w:color w:val="000000" w:themeColor="text1"/>
          <w:w w:val="105"/>
          <w:u w:val="thick" w:color="444242"/>
        </w:rPr>
      </w:pPr>
    </w:p>
    <w:p w14:paraId="07AF6458" w14:textId="0C0576AA" w:rsidR="00C035FA" w:rsidRPr="00007FC4" w:rsidRDefault="008D5756" w:rsidP="002E566D">
      <w:pPr>
        <w:spacing w:after="0" w:line="240" w:lineRule="auto"/>
        <w:rPr>
          <w:b/>
          <w:i/>
          <w:color w:val="000000" w:themeColor="text1"/>
          <w:spacing w:val="-2"/>
          <w:w w:val="105"/>
        </w:rPr>
      </w:pPr>
      <w:r w:rsidRPr="00007FC4">
        <w:rPr>
          <w:b/>
          <w:i/>
          <w:color w:val="000000" w:themeColor="text1"/>
          <w:w w:val="105"/>
        </w:rPr>
        <w:t>Влияние</w:t>
      </w:r>
      <w:r w:rsidRPr="00007FC4">
        <w:rPr>
          <w:b/>
          <w:i/>
          <w:color w:val="000000" w:themeColor="text1"/>
          <w:spacing w:val="-9"/>
          <w:w w:val="105"/>
        </w:rPr>
        <w:t xml:space="preserve"> </w:t>
      </w:r>
      <w:r w:rsidRPr="00007FC4">
        <w:rPr>
          <w:b/>
          <w:i/>
          <w:color w:val="000000" w:themeColor="text1"/>
          <w:w w:val="105"/>
        </w:rPr>
        <w:t>других</w:t>
      </w:r>
      <w:r w:rsidRPr="00007FC4">
        <w:rPr>
          <w:b/>
          <w:i/>
          <w:color w:val="000000" w:themeColor="text1"/>
          <w:spacing w:val="-12"/>
          <w:w w:val="105"/>
        </w:rPr>
        <w:t xml:space="preserve"> </w:t>
      </w:r>
      <w:r w:rsidRPr="00007FC4">
        <w:rPr>
          <w:b/>
          <w:i/>
          <w:color w:val="000000" w:themeColor="text1"/>
          <w:w w:val="105"/>
        </w:rPr>
        <w:t>лекарственных препаратов</w:t>
      </w:r>
      <w:r w:rsidRPr="00007FC4">
        <w:rPr>
          <w:b/>
          <w:i/>
          <w:color w:val="000000" w:themeColor="text1"/>
          <w:spacing w:val="-3"/>
          <w:w w:val="105"/>
        </w:rPr>
        <w:t xml:space="preserve"> </w:t>
      </w:r>
      <w:r w:rsidRPr="00007FC4">
        <w:rPr>
          <w:b/>
          <w:i/>
          <w:color w:val="000000" w:themeColor="text1"/>
          <w:w w:val="105"/>
        </w:rPr>
        <w:t>на</w:t>
      </w:r>
      <w:r w:rsidRPr="00007FC4">
        <w:rPr>
          <w:b/>
          <w:i/>
          <w:color w:val="000000" w:themeColor="text1"/>
          <w:spacing w:val="-14"/>
          <w:w w:val="105"/>
        </w:rPr>
        <w:t xml:space="preserve"> </w:t>
      </w:r>
      <w:r w:rsidRPr="00007FC4">
        <w:rPr>
          <w:b/>
          <w:i/>
          <w:color w:val="000000" w:themeColor="text1"/>
          <w:spacing w:val="-2"/>
          <w:w w:val="105"/>
        </w:rPr>
        <w:t>эмпаглифлозин</w:t>
      </w:r>
    </w:p>
    <w:p w14:paraId="6AC23C18" w14:textId="77777777" w:rsidR="00007FC4" w:rsidRDefault="00007FC4" w:rsidP="00E25D5C">
      <w:pPr>
        <w:spacing w:after="0" w:line="240" w:lineRule="auto"/>
        <w:ind w:firstLine="709"/>
      </w:pPr>
    </w:p>
    <w:p w14:paraId="507C0D52" w14:textId="10DF8A1D" w:rsidR="00E25D5C" w:rsidRDefault="00E25D5C" w:rsidP="00E25D5C">
      <w:pPr>
        <w:spacing w:after="0" w:line="240" w:lineRule="auto"/>
        <w:ind w:firstLine="709"/>
      </w:pPr>
      <w:r>
        <w:t xml:space="preserve">Данные </w:t>
      </w:r>
      <w:r w:rsidRPr="000C7F59">
        <w:rPr>
          <w:i/>
          <w:iCs/>
        </w:rPr>
        <w:t>in vitro</w:t>
      </w:r>
      <w:r>
        <w:t xml:space="preserve"> указывают на то, что основным путем метаболизма эмпаглифлозина у человека является глюкуронидация с участием уридин-5'-дифосфо­ глюкуронозилтрансфераз UGT2B7, UGT1AЗ, UGT1A8 и UGT1A9. Эмпаглифлозин является субстратом для органических анионных переносчиков: ОАТЗ, OATP1B1 и ОАТР1ВЗ, но не является субстратом для органических анионных переносчиков 1 (OAT1) и органических катионных переносчиков 2 (ОСТ2). Эмпаглифлозин является субстратом для гликопротеина Р (P-gp) и белка, определяющего резистентность рака молочной железы (BCRP). Одновременное применение эмпаглифлозина с пробенецидом, ингибитором ферментов UGT и ОАТЗ, приводило к увеличению на 26 % максимальных концентраций эмпаглифлозина в плазме крови (С</w:t>
      </w:r>
      <w:r>
        <w:rPr>
          <w:lang w:val="en-US"/>
        </w:rPr>
        <w:t>m</w:t>
      </w:r>
      <w:r>
        <w:t>ах) и увеличению на 53 % площади под кривой «концентрация-время» (AUC). Данные изменения не считались клинически значимыми. Влияние индукции UGT (например, индукция рифампицином или фенитоином) на эмпаглифлозин не изучалось. Одновременное применение известных индукторов ферментов UGT не рекомендовано в связи с потенциальным риском снижения эффективности. Если необходимо одновременное применение индуктора данных ферментов UGT, следует контролировать концентрацию глюкозы в крови для оценки ответа на эмпаглифлозин.</w:t>
      </w:r>
    </w:p>
    <w:p w14:paraId="4217E83E" w14:textId="77777777" w:rsidR="00E25D5C" w:rsidRDefault="00E25D5C" w:rsidP="00E25D5C">
      <w:pPr>
        <w:spacing w:after="0" w:line="240" w:lineRule="auto"/>
        <w:ind w:firstLine="709"/>
      </w:pPr>
      <w:r>
        <w:t xml:space="preserve">Исследование взаимодействия с гемфиброзилом, ингибитором переносчиков ОАТЗ и ОАTP1B1/1В3 </w:t>
      </w:r>
      <w:r w:rsidRPr="000C7F59">
        <w:rPr>
          <w:i/>
          <w:iCs/>
        </w:rPr>
        <w:t>in vitro</w:t>
      </w:r>
      <w:r>
        <w:t>, показало, что С</w:t>
      </w:r>
      <w:r>
        <w:rPr>
          <w:lang w:val="en-US"/>
        </w:rPr>
        <w:t>m</w:t>
      </w:r>
      <w:r>
        <w:t>ах эмпаглифлозина повышалась на 15 %, а AUC - на 59 % после одновременного применения препаратов. Данные изменения не считались клинически значимыми.</w:t>
      </w:r>
    </w:p>
    <w:p w14:paraId="2A356A1E" w14:textId="77777777" w:rsidR="00E25D5C" w:rsidRDefault="00E25D5C" w:rsidP="00E25D5C">
      <w:pPr>
        <w:spacing w:after="0" w:line="240" w:lineRule="auto"/>
        <w:ind w:firstLine="709"/>
      </w:pPr>
      <w:r>
        <w:t>Подавление переносчиков OATP1B1/1B3 при одновременном применении рифампицина приводило к увеличению на 75 % С</w:t>
      </w:r>
      <w:r>
        <w:rPr>
          <w:lang w:val="en-US"/>
        </w:rPr>
        <w:t>m</w:t>
      </w:r>
      <w:r>
        <w:t>ах и увеличению на 35 % AUC эмпаглифлозина. Данные изменения не считались клинически значимыми.</w:t>
      </w:r>
    </w:p>
    <w:p w14:paraId="5E34C156" w14:textId="77777777" w:rsidR="00E25D5C" w:rsidRDefault="00E25D5C" w:rsidP="00E25D5C">
      <w:pPr>
        <w:spacing w:after="0" w:line="240" w:lineRule="auto"/>
        <w:ind w:firstLine="709"/>
      </w:pPr>
      <w:r>
        <w:t>Экспозиция эмпаглифлозина была одинаковой как при одновременном применении верапамила, ингибитора P-gp, так и без, указывая на то, что подавление P-gp не оказывает клинически значимого воздействия на эмпаглифлозин.</w:t>
      </w:r>
    </w:p>
    <w:p w14:paraId="7B12423C" w14:textId="7EB36BC5" w:rsidR="00C035FA" w:rsidRDefault="00E25D5C" w:rsidP="000C7F59">
      <w:pPr>
        <w:spacing w:after="0" w:line="240" w:lineRule="auto"/>
        <w:ind w:firstLine="709"/>
      </w:pPr>
      <w:r>
        <w:t>По результатам исследований взаимодействия, фармакокинетика эмпаглифлозина не изменялась при одновременном применении метформина, глимепирида, пиоглитазона, ситаглиптина, линаглиптина, варфарина, верапамила, рамиприла, симвастатина, торасемида и гидрохлоротиазида</w:t>
      </w:r>
      <w:r w:rsidR="008D5756">
        <w:t>.</w:t>
      </w:r>
    </w:p>
    <w:p w14:paraId="6A51F315" w14:textId="77777777" w:rsidR="002604EF" w:rsidRDefault="002604EF" w:rsidP="000C7F59">
      <w:pPr>
        <w:spacing w:after="0" w:line="240" w:lineRule="auto"/>
        <w:ind w:firstLine="709"/>
        <w:rPr>
          <w:i/>
        </w:rPr>
      </w:pPr>
    </w:p>
    <w:p w14:paraId="0683F41B" w14:textId="2714F6EF" w:rsidR="00C035FA" w:rsidRPr="00007FC4" w:rsidRDefault="008D5756" w:rsidP="002E566D">
      <w:pPr>
        <w:spacing w:after="0" w:line="240" w:lineRule="auto"/>
        <w:rPr>
          <w:b/>
          <w:i/>
          <w:color w:val="000000" w:themeColor="text1"/>
          <w:w w:val="105"/>
        </w:rPr>
      </w:pPr>
      <w:r w:rsidRPr="00007FC4">
        <w:rPr>
          <w:b/>
          <w:i/>
          <w:color w:val="000000" w:themeColor="text1"/>
          <w:w w:val="105"/>
        </w:rPr>
        <w:t>Влияние эмпаглифлозина на другие лекарственные средства</w:t>
      </w:r>
    </w:p>
    <w:p w14:paraId="57A5734B" w14:textId="77777777" w:rsidR="002E566D" w:rsidRDefault="002E566D" w:rsidP="000C7F59">
      <w:pPr>
        <w:spacing w:after="0" w:line="240" w:lineRule="auto"/>
        <w:ind w:firstLine="709"/>
      </w:pPr>
    </w:p>
    <w:p w14:paraId="7D668447" w14:textId="77777777" w:rsidR="00E25D5C" w:rsidRDefault="00E25D5C" w:rsidP="00E25D5C">
      <w:pPr>
        <w:spacing w:after="0" w:line="240" w:lineRule="auto"/>
        <w:ind w:firstLine="709"/>
      </w:pPr>
      <w:r>
        <w:t>Эмпаглифлозин может усиливать вьmедение лития почками, и концентрация лития в крови может снижаться. Концентрацию лития в сьmоротке крови следует контролировать чаще после начала терапии эмпаглифлозином и изменений дозы. Для контроля концентрации лития следует направить пациента к врачу, имеющему опыт в назначении препаратов лития.</w:t>
      </w:r>
    </w:p>
    <w:p w14:paraId="60ED9419" w14:textId="77777777" w:rsidR="00E25D5C" w:rsidRDefault="00E25D5C" w:rsidP="00E25D5C">
      <w:pPr>
        <w:spacing w:after="0" w:line="240" w:lineRule="auto"/>
        <w:ind w:firstLine="709"/>
      </w:pPr>
      <w:r>
        <w:t xml:space="preserve">Согласно результатам исследований </w:t>
      </w:r>
      <w:r w:rsidRPr="001B443B">
        <w:rPr>
          <w:i/>
        </w:rPr>
        <w:t>in vitro</w:t>
      </w:r>
      <w:r>
        <w:t>, эмпаглифлозин не подавляет, не инактивирует и не индуцирует изоформы С</w:t>
      </w:r>
      <w:r>
        <w:rPr>
          <w:lang w:val="en-US"/>
        </w:rPr>
        <w:t>Y</w:t>
      </w:r>
      <w:r>
        <w:t xml:space="preserve">Р450. Эмпаглифлозин не ингибирует UGT1A1, </w:t>
      </w:r>
      <w:r>
        <w:lastRenderedPageBreak/>
        <w:t>UGT1AЗ, UGT1A8, UGT1A9 или UGT2B7. Лекарственные взаимодействия с участием основных изоформ С</w:t>
      </w:r>
      <w:r>
        <w:rPr>
          <w:lang w:val="en-US"/>
        </w:rPr>
        <w:t>Y</w:t>
      </w:r>
      <w:r>
        <w:t>Р450 и UGT между эмпаглифлозином и одновременно применяемыми субстратами данных ферментов считаются маловероятными.</w:t>
      </w:r>
    </w:p>
    <w:p w14:paraId="15576A1D" w14:textId="77777777" w:rsidR="00E25D5C" w:rsidRDefault="00E25D5C" w:rsidP="00E25D5C">
      <w:pPr>
        <w:spacing w:after="0" w:line="240" w:lineRule="auto"/>
        <w:ind w:firstLine="709"/>
      </w:pPr>
      <w:r>
        <w:t xml:space="preserve">Эмпаглифлозин в терапевтических дозах не подавляет P-gp. По данным исследований </w:t>
      </w:r>
      <w:r w:rsidRPr="001B443B">
        <w:rPr>
          <w:i/>
        </w:rPr>
        <w:t>in vitro</w:t>
      </w:r>
      <w:r>
        <w:t>, эмпаглифлозин, вероятно, не вызывает взаимодействия с действующими веществами, которые являются субстратами P-gp. Одновременное применение дигоксина, субстрата P-gp, с эмпаглифлозином приводило к повышению AUC на 6 % и повышению Cmax дигоксина на 14 %. Данные изменения не считались клинически значимыми.</w:t>
      </w:r>
    </w:p>
    <w:p w14:paraId="558E84A5" w14:textId="77777777" w:rsidR="00E25D5C" w:rsidRDefault="00E25D5C" w:rsidP="00E25D5C">
      <w:pPr>
        <w:spacing w:after="0" w:line="240" w:lineRule="auto"/>
        <w:ind w:firstLine="709"/>
      </w:pPr>
      <w:r>
        <w:t xml:space="preserve">Эмпаглифлозин не подавляет такие переносчики, как ОАТЗ, OATP1B1 и ОАТР1ВЗ, </w:t>
      </w:r>
      <w:r w:rsidRPr="001B443B">
        <w:rPr>
          <w:i/>
        </w:rPr>
        <w:t>in vitro</w:t>
      </w:r>
      <w:r>
        <w:t xml:space="preserve"> в клинически значимых концентрациях в плазме крови, и, следовательно, лекарственные взаимодействия с субстратами данных переносчиков маловероятны.</w:t>
      </w:r>
    </w:p>
    <w:p w14:paraId="3183E43E" w14:textId="6FB469F1" w:rsidR="00C035FA" w:rsidRDefault="00E25D5C" w:rsidP="000C7F59">
      <w:pPr>
        <w:spacing w:after="0" w:line="240" w:lineRule="auto"/>
        <w:ind w:firstLine="709"/>
      </w:pPr>
      <w:r>
        <w:t>Исследования взаимодействий, проведенные с участием здоровых добровольцев, указывают на то, что эмпаглифлозин не оказывает клинически значимого влияния на фармакокинетику метформина, глимепирида, пиоглитазона, ситаглиптина, линаглиптина, симвастатина, варфарина, рамиприла, дигоксина, диуретиков и пероральных контрацептивов</w:t>
      </w:r>
      <w:r w:rsidR="008D5756">
        <w:t>.</w:t>
      </w:r>
    </w:p>
    <w:p w14:paraId="2BD7F36B" w14:textId="77777777" w:rsidR="00C035FA" w:rsidRDefault="00C035FA">
      <w:pPr>
        <w:spacing w:after="0" w:line="240" w:lineRule="auto"/>
      </w:pPr>
    </w:p>
    <w:p w14:paraId="16A221FF" w14:textId="5BEBF5AC" w:rsidR="00C035FA" w:rsidRDefault="008D5756">
      <w:pPr>
        <w:pStyle w:val="Heading3"/>
        <w:tabs>
          <w:tab w:val="left" w:pos="8647"/>
        </w:tabs>
        <w:spacing w:before="0" w:after="0" w:line="240" w:lineRule="auto"/>
        <w:rPr>
          <w:rFonts w:ascii="Times New Roman" w:hAnsi="Times New Roman"/>
          <w:color w:val="000000" w:themeColor="text1"/>
        </w:rPr>
      </w:pPr>
      <w:bookmarkStart w:id="207" w:name="_Toc139366907"/>
      <w:bookmarkEnd w:id="206"/>
      <w:r>
        <w:rPr>
          <w:rFonts w:ascii="Times New Roman" w:hAnsi="Times New Roman"/>
          <w:color w:val="000000" w:themeColor="text1"/>
        </w:rPr>
        <w:t xml:space="preserve">5.3.8. </w:t>
      </w:r>
      <w:r>
        <w:rPr>
          <w:rFonts w:ascii="Times New Roman" w:eastAsia="Courier New" w:hAnsi="Times New Roman"/>
          <w:szCs w:val="24"/>
          <w:lang w:eastAsia="ru-RU" w:bidi="ru-RU"/>
        </w:rPr>
        <w:t>Особые указания</w:t>
      </w:r>
      <w:bookmarkEnd w:id="207"/>
    </w:p>
    <w:p w14:paraId="1A41BBD8" w14:textId="77777777" w:rsidR="002604EF" w:rsidRDefault="002604EF">
      <w:pPr>
        <w:spacing w:after="0" w:line="240" w:lineRule="auto"/>
        <w:rPr>
          <w:i/>
          <w:color w:val="000000" w:themeColor="text1"/>
          <w:spacing w:val="-2"/>
          <w:w w:val="105"/>
        </w:rPr>
      </w:pPr>
      <w:bookmarkStart w:id="208" w:name="_Toc81410160"/>
    </w:p>
    <w:p w14:paraId="64FEEA1C" w14:textId="64E758AC" w:rsidR="00C035FA" w:rsidRDefault="008D5756" w:rsidP="000C7F59">
      <w:pPr>
        <w:spacing w:after="0" w:line="240" w:lineRule="auto"/>
        <w:ind w:firstLine="709"/>
        <w:rPr>
          <w:i/>
          <w:color w:val="000000" w:themeColor="text1"/>
        </w:rPr>
      </w:pPr>
      <w:r>
        <w:rPr>
          <w:i/>
          <w:color w:val="000000" w:themeColor="text1"/>
          <w:spacing w:val="-2"/>
          <w:w w:val="105"/>
        </w:rPr>
        <w:t>Кетоацидоз</w:t>
      </w:r>
    </w:p>
    <w:p w14:paraId="22681009" w14:textId="77777777" w:rsidR="00C035FA" w:rsidRDefault="008D5756" w:rsidP="000C7F59">
      <w:pPr>
        <w:spacing w:after="0" w:line="240" w:lineRule="auto"/>
        <w:ind w:firstLine="709"/>
        <w:rPr>
          <w:color w:val="000000" w:themeColor="text1"/>
        </w:rPr>
      </w:pPr>
      <w:r>
        <w:rPr>
          <w:color w:val="000000" w:themeColor="text1"/>
        </w:rPr>
        <w:t>Редкие</w:t>
      </w:r>
      <w:r>
        <w:rPr>
          <w:color w:val="000000" w:themeColor="text1"/>
          <w:spacing w:val="40"/>
        </w:rPr>
        <w:t xml:space="preserve"> </w:t>
      </w:r>
      <w:r>
        <w:rPr>
          <w:color w:val="000000" w:themeColor="text1"/>
        </w:rPr>
        <w:t>случаи</w:t>
      </w:r>
      <w:r>
        <w:rPr>
          <w:color w:val="000000" w:themeColor="text1"/>
          <w:spacing w:val="40"/>
        </w:rPr>
        <w:t xml:space="preserve"> </w:t>
      </w:r>
      <w:r>
        <w:rPr>
          <w:color w:val="000000" w:themeColor="text1"/>
        </w:rPr>
        <w:t>кетоацидоза,</w:t>
      </w:r>
      <w:r>
        <w:rPr>
          <w:color w:val="000000" w:themeColor="text1"/>
          <w:spacing w:val="38"/>
        </w:rPr>
        <w:t xml:space="preserve"> </w:t>
      </w:r>
      <w:r>
        <w:rPr>
          <w:color w:val="000000" w:themeColor="text1"/>
        </w:rPr>
        <w:t>в</w:t>
      </w:r>
      <w:r>
        <w:rPr>
          <w:color w:val="000000" w:themeColor="text1"/>
          <w:spacing w:val="40"/>
        </w:rPr>
        <w:t xml:space="preserve"> </w:t>
      </w:r>
      <w:r>
        <w:rPr>
          <w:color w:val="000000" w:themeColor="text1"/>
        </w:rPr>
        <w:t>том</w:t>
      </w:r>
      <w:r>
        <w:rPr>
          <w:color w:val="000000" w:themeColor="text1"/>
          <w:spacing w:val="40"/>
        </w:rPr>
        <w:t xml:space="preserve"> </w:t>
      </w:r>
      <w:r>
        <w:rPr>
          <w:color w:val="000000" w:themeColor="text1"/>
        </w:rPr>
        <w:t>числе</w:t>
      </w:r>
      <w:r>
        <w:rPr>
          <w:color w:val="000000" w:themeColor="text1"/>
          <w:spacing w:val="40"/>
        </w:rPr>
        <w:t xml:space="preserve"> </w:t>
      </w:r>
      <w:r>
        <w:rPr>
          <w:color w:val="000000" w:themeColor="text1"/>
        </w:rPr>
        <w:t>опасного</w:t>
      </w:r>
      <w:r>
        <w:rPr>
          <w:color w:val="000000" w:themeColor="text1"/>
          <w:spacing w:val="40"/>
        </w:rPr>
        <w:t xml:space="preserve"> </w:t>
      </w:r>
      <w:r>
        <w:rPr>
          <w:color w:val="000000" w:themeColor="text1"/>
        </w:rPr>
        <w:t>для</w:t>
      </w:r>
      <w:r>
        <w:rPr>
          <w:color w:val="000000" w:themeColor="text1"/>
          <w:spacing w:val="40"/>
        </w:rPr>
        <w:t xml:space="preserve"> </w:t>
      </w:r>
      <w:r>
        <w:rPr>
          <w:color w:val="000000" w:themeColor="text1"/>
        </w:rPr>
        <w:t>жизни</w:t>
      </w:r>
      <w:r>
        <w:rPr>
          <w:color w:val="000000" w:themeColor="text1"/>
          <w:spacing w:val="40"/>
        </w:rPr>
        <w:t xml:space="preserve"> </w:t>
      </w:r>
      <w:r>
        <w:rPr>
          <w:color w:val="000000" w:themeColor="text1"/>
        </w:rPr>
        <w:t>и</w:t>
      </w:r>
      <w:r>
        <w:rPr>
          <w:color w:val="000000" w:themeColor="text1"/>
          <w:spacing w:val="40"/>
        </w:rPr>
        <w:t xml:space="preserve"> </w:t>
      </w:r>
      <w:r>
        <w:rPr>
          <w:color w:val="000000" w:themeColor="text1"/>
        </w:rPr>
        <w:t>с</w:t>
      </w:r>
      <w:r>
        <w:rPr>
          <w:color w:val="000000" w:themeColor="text1"/>
          <w:spacing w:val="40"/>
        </w:rPr>
        <w:t xml:space="preserve"> </w:t>
      </w:r>
      <w:r>
        <w:rPr>
          <w:color w:val="000000" w:themeColor="text1"/>
        </w:rPr>
        <w:t>летальным</w:t>
      </w:r>
      <w:r>
        <w:rPr>
          <w:color w:val="000000" w:themeColor="text1"/>
          <w:spacing w:val="40"/>
        </w:rPr>
        <w:t xml:space="preserve"> </w:t>
      </w:r>
      <w:r>
        <w:rPr>
          <w:color w:val="000000" w:themeColor="text1"/>
        </w:rPr>
        <w:t>исходом, отмечались</w:t>
      </w:r>
      <w:r>
        <w:rPr>
          <w:color w:val="000000" w:themeColor="text1"/>
          <w:spacing w:val="16"/>
        </w:rPr>
        <w:t xml:space="preserve"> </w:t>
      </w:r>
      <w:r>
        <w:rPr>
          <w:color w:val="000000" w:themeColor="text1"/>
        </w:rPr>
        <w:t>у пациентов</w:t>
      </w:r>
      <w:r>
        <w:rPr>
          <w:color w:val="000000" w:themeColor="text1"/>
          <w:spacing w:val="9"/>
        </w:rPr>
        <w:t xml:space="preserve"> </w:t>
      </w:r>
      <w:r>
        <w:rPr>
          <w:color w:val="000000" w:themeColor="text1"/>
        </w:rPr>
        <w:t>с</w:t>
      </w:r>
      <w:r>
        <w:rPr>
          <w:color w:val="000000" w:themeColor="text1"/>
          <w:spacing w:val="-9"/>
        </w:rPr>
        <w:t xml:space="preserve"> </w:t>
      </w:r>
      <w:r>
        <w:rPr>
          <w:color w:val="000000" w:themeColor="text1"/>
        </w:rPr>
        <w:t>СД,</w:t>
      </w:r>
      <w:r>
        <w:rPr>
          <w:color w:val="000000" w:themeColor="text1"/>
          <w:spacing w:val="-4"/>
        </w:rPr>
        <w:t xml:space="preserve"> </w:t>
      </w:r>
      <w:r>
        <w:rPr>
          <w:color w:val="000000" w:themeColor="text1"/>
        </w:rPr>
        <w:t>получающих</w:t>
      </w:r>
      <w:r>
        <w:rPr>
          <w:color w:val="000000" w:themeColor="text1"/>
          <w:spacing w:val="18"/>
        </w:rPr>
        <w:t xml:space="preserve"> </w:t>
      </w:r>
      <w:r>
        <w:rPr>
          <w:color w:val="000000" w:themeColor="text1"/>
        </w:rPr>
        <w:t>ингибиторы</w:t>
      </w:r>
      <w:r>
        <w:rPr>
          <w:color w:val="000000" w:themeColor="text1"/>
          <w:spacing w:val="6"/>
        </w:rPr>
        <w:t xml:space="preserve"> </w:t>
      </w:r>
      <w:r>
        <w:rPr>
          <w:color w:val="000000" w:themeColor="text1"/>
        </w:rPr>
        <w:t>SGLТ</w:t>
      </w:r>
      <w:r>
        <w:rPr>
          <w:color w:val="000000" w:themeColor="text1"/>
          <w:spacing w:val="-11"/>
        </w:rPr>
        <w:t xml:space="preserve"> </w:t>
      </w:r>
      <w:r>
        <w:rPr>
          <w:color w:val="000000" w:themeColor="text1"/>
        </w:rPr>
        <w:t>2,</w:t>
      </w:r>
      <w:r>
        <w:rPr>
          <w:color w:val="000000" w:themeColor="text1"/>
          <w:spacing w:val="-12"/>
        </w:rPr>
        <w:t xml:space="preserve"> </w:t>
      </w:r>
      <w:r>
        <w:rPr>
          <w:color w:val="000000" w:themeColor="text1"/>
        </w:rPr>
        <w:t>включая</w:t>
      </w:r>
      <w:r>
        <w:rPr>
          <w:color w:val="000000" w:themeColor="text1"/>
          <w:spacing w:val="8"/>
        </w:rPr>
        <w:t xml:space="preserve"> </w:t>
      </w:r>
      <w:r>
        <w:rPr>
          <w:color w:val="000000" w:themeColor="text1"/>
          <w:spacing w:val="-2"/>
        </w:rPr>
        <w:t>эмпаглифлозин.</w:t>
      </w:r>
    </w:p>
    <w:p w14:paraId="0D3BF746" w14:textId="77777777" w:rsidR="00C035FA" w:rsidRDefault="008D5756" w:rsidP="000C7F59">
      <w:pPr>
        <w:pStyle w:val="BodyText"/>
        <w:spacing w:after="0" w:line="240" w:lineRule="auto"/>
        <w:ind w:firstLine="709"/>
        <w:rPr>
          <w:color w:val="000000" w:themeColor="text1"/>
        </w:rPr>
      </w:pPr>
      <w:r>
        <w:rPr>
          <w:color w:val="000000" w:themeColor="text1"/>
          <w:w w:val="105"/>
        </w:rPr>
        <w:t>В некоторых из этих случаев проявления были атипичными и выражались в умеренном повышении концентрации глюкозы в крови (ниже 14</w:t>
      </w:r>
      <w:r>
        <w:rPr>
          <w:color w:val="000000" w:themeColor="text1"/>
          <w:spacing w:val="-14"/>
          <w:w w:val="105"/>
        </w:rPr>
        <w:t xml:space="preserve"> </w:t>
      </w:r>
      <w:r>
        <w:rPr>
          <w:color w:val="000000" w:themeColor="text1"/>
          <w:w w:val="105"/>
        </w:rPr>
        <w:t>ммоль/л (250</w:t>
      </w:r>
      <w:r>
        <w:rPr>
          <w:color w:val="000000" w:themeColor="text1"/>
          <w:spacing w:val="-10"/>
          <w:w w:val="105"/>
        </w:rPr>
        <w:t xml:space="preserve"> </w:t>
      </w:r>
      <w:r>
        <w:rPr>
          <w:color w:val="000000" w:themeColor="text1"/>
          <w:w w:val="105"/>
        </w:rPr>
        <w:t>мг/дл)). Неизвестно, будет</w:t>
      </w:r>
      <w:r>
        <w:rPr>
          <w:color w:val="000000" w:themeColor="text1"/>
          <w:spacing w:val="-6"/>
          <w:w w:val="105"/>
        </w:rPr>
        <w:t xml:space="preserve"> </w:t>
      </w:r>
      <w:r>
        <w:rPr>
          <w:color w:val="000000" w:themeColor="text1"/>
          <w:w w:val="105"/>
        </w:rPr>
        <w:t>ли</w:t>
      </w:r>
      <w:r>
        <w:rPr>
          <w:color w:val="000000" w:themeColor="text1"/>
          <w:spacing w:val="-5"/>
          <w:w w:val="105"/>
        </w:rPr>
        <w:t xml:space="preserve"> </w:t>
      </w:r>
      <w:r>
        <w:rPr>
          <w:color w:val="000000" w:themeColor="text1"/>
          <w:w w:val="105"/>
        </w:rPr>
        <w:t>возникновение кетоацидоза</w:t>
      </w:r>
      <w:r>
        <w:rPr>
          <w:color w:val="000000" w:themeColor="text1"/>
          <w:spacing w:val="-8"/>
          <w:w w:val="105"/>
        </w:rPr>
        <w:t xml:space="preserve"> </w:t>
      </w:r>
      <w:r>
        <w:rPr>
          <w:color w:val="000000" w:themeColor="text1"/>
          <w:w w:val="105"/>
        </w:rPr>
        <w:t>более</w:t>
      </w:r>
      <w:r>
        <w:rPr>
          <w:color w:val="000000" w:themeColor="text1"/>
          <w:spacing w:val="-5"/>
          <w:w w:val="105"/>
        </w:rPr>
        <w:t xml:space="preserve"> </w:t>
      </w:r>
      <w:r>
        <w:rPr>
          <w:color w:val="000000" w:themeColor="text1"/>
          <w:w w:val="105"/>
        </w:rPr>
        <w:t>вероятным при</w:t>
      </w:r>
      <w:r>
        <w:rPr>
          <w:color w:val="000000" w:themeColor="text1"/>
          <w:spacing w:val="-9"/>
          <w:w w:val="105"/>
        </w:rPr>
        <w:t xml:space="preserve"> </w:t>
      </w:r>
      <w:r>
        <w:rPr>
          <w:color w:val="000000" w:themeColor="text1"/>
          <w:w w:val="105"/>
        </w:rPr>
        <w:t>применении более</w:t>
      </w:r>
      <w:r>
        <w:rPr>
          <w:color w:val="000000" w:themeColor="text1"/>
          <w:spacing w:val="-9"/>
          <w:w w:val="105"/>
        </w:rPr>
        <w:t xml:space="preserve"> </w:t>
      </w:r>
      <w:r>
        <w:rPr>
          <w:color w:val="000000" w:themeColor="text1"/>
          <w:w w:val="105"/>
        </w:rPr>
        <w:t>высоких</w:t>
      </w:r>
      <w:r>
        <w:rPr>
          <w:color w:val="000000" w:themeColor="text1"/>
          <w:spacing w:val="-3"/>
          <w:w w:val="105"/>
        </w:rPr>
        <w:t xml:space="preserve"> </w:t>
      </w:r>
      <w:r>
        <w:rPr>
          <w:color w:val="000000" w:themeColor="text1"/>
          <w:w w:val="105"/>
        </w:rPr>
        <w:t xml:space="preserve">доз </w:t>
      </w:r>
      <w:r>
        <w:rPr>
          <w:color w:val="000000" w:themeColor="text1"/>
          <w:spacing w:val="-2"/>
          <w:w w:val="105"/>
        </w:rPr>
        <w:t>эмпаглифлозина.</w:t>
      </w:r>
    </w:p>
    <w:p w14:paraId="5089EF47" w14:textId="778907BB" w:rsidR="00C035FA" w:rsidRDefault="008D5756" w:rsidP="000C7F59">
      <w:pPr>
        <w:pStyle w:val="BodyText"/>
        <w:spacing w:after="0" w:line="240" w:lineRule="auto"/>
        <w:ind w:firstLine="709"/>
        <w:rPr>
          <w:color w:val="000000" w:themeColor="text1"/>
        </w:rPr>
      </w:pPr>
      <w:r>
        <w:rPr>
          <w:color w:val="000000" w:themeColor="text1"/>
          <w:w w:val="105"/>
        </w:rPr>
        <w:t>Риск</w:t>
      </w:r>
      <w:r>
        <w:rPr>
          <w:color w:val="000000" w:themeColor="text1"/>
          <w:spacing w:val="65"/>
          <w:w w:val="150"/>
        </w:rPr>
        <w:t xml:space="preserve"> </w:t>
      </w:r>
      <w:r>
        <w:rPr>
          <w:color w:val="000000" w:themeColor="text1"/>
          <w:w w:val="105"/>
        </w:rPr>
        <w:t>кетоацидоза</w:t>
      </w:r>
      <w:r>
        <w:rPr>
          <w:color w:val="000000" w:themeColor="text1"/>
          <w:spacing w:val="72"/>
          <w:w w:val="150"/>
        </w:rPr>
        <w:t xml:space="preserve"> </w:t>
      </w:r>
      <w:r>
        <w:rPr>
          <w:color w:val="000000" w:themeColor="text1"/>
          <w:w w:val="105"/>
        </w:rPr>
        <w:t>должен</w:t>
      </w:r>
      <w:r>
        <w:rPr>
          <w:color w:val="000000" w:themeColor="text1"/>
          <w:spacing w:val="71"/>
          <w:w w:val="150"/>
        </w:rPr>
        <w:t xml:space="preserve"> </w:t>
      </w:r>
      <w:r w:rsidR="002E566D">
        <w:rPr>
          <w:color w:val="000000" w:themeColor="text1"/>
          <w:w w:val="105"/>
        </w:rPr>
        <w:t>учитываться</w:t>
      </w:r>
      <w:r w:rsidR="002E566D">
        <w:rPr>
          <w:color w:val="000000" w:themeColor="text1"/>
          <w:spacing w:val="23"/>
          <w:w w:val="105"/>
        </w:rPr>
        <w:t xml:space="preserve"> в</w:t>
      </w:r>
      <w:r>
        <w:rPr>
          <w:color w:val="000000" w:themeColor="text1"/>
          <w:spacing w:val="79"/>
          <w:w w:val="105"/>
        </w:rPr>
        <w:t xml:space="preserve"> </w:t>
      </w:r>
      <w:r>
        <w:rPr>
          <w:color w:val="000000" w:themeColor="text1"/>
          <w:w w:val="105"/>
        </w:rPr>
        <w:t>случае</w:t>
      </w:r>
      <w:r>
        <w:rPr>
          <w:color w:val="000000" w:themeColor="text1"/>
          <w:spacing w:val="63"/>
          <w:w w:val="150"/>
        </w:rPr>
        <w:t xml:space="preserve"> </w:t>
      </w:r>
      <w:r>
        <w:rPr>
          <w:color w:val="000000" w:themeColor="text1"/>
          <w:w w:val="105"/>
        </w:rPr>
        <w:t>появления</w:t>
      </w:r>
      <w:r>
        <w:rPr>
          <w:color w:val="000000" w:themeColor="text1"/>
          <w:spacing w:val="74"/>
          <w:w w:val="150"/>
        </w:rPr>
        <w:t xml:space="preserve"> </w:t>
      </w:r>
      <w:r>
        <w:rPr>
          <w:color w:val="000000" w:themeColor="text1"/>
          <w:w w:val="105"/>
        </w:rPr>
        <w:t>таких</w:t>
      </w:r>
      <w:r>
        <w:rPr>
          <w:color w:val="000000" w:themeColor="text1"/>
          <w:spacing w:val="67"/>
          <w:w w:val="150"/>
        </w:rPr>
        <w:t xml:space="preserve"> </w:t>
      </w:r>
      <w:r>
        <w:rPr>
          <w:color w:val="000000" w:themeColor="text1"/>
          <w:spacing w:val="-2"/>
          <w:w w:val="105"/>
        </w:rPr>
        <w:t xml:space="preserve">неспецифических </w:t>
      </w:r>
      <w:r>
        <w:rPr>
          <w:color w:val="000000" w:themeColor="text1"/>
          <w:w w:val="105"/>
        </w:rPr>
        <w:t>симптомов, как тошнота, рвота, отсутствие аппетита, боль в животе, выраженная жажда, затруднение дыхания, дезориентация,</w:t>
      </w:r>
      <w:r>
        <w:rPr>
          <w:color w:val="000000" w:themeColor="text1"/>
          <w:spacing w:val="-3"/>
          <w:w w:val="105"/>
        </w:rPr>
        <w:t xml:space="preserve"> </w:t>
      </w:r>
      <w:r>
        <w:rPr>
          <w:color w:val="000000" w:themeColor="text1"/>
          <w:w w:val="105"/>
        </w:rPr>
        <w:t>необычная утомляемость или сонливость.</w:t>
      </w:r>
    </w:p>
    <w:p w14:paraId="56AD4F22" w14:textId="77777777" w:rsidR="00C035FA" w:rsidRDefault="008D5756" w:rsidP="000C7F59">
      <w:pPr>
        <w:pStyle w:val="BodyText"/>
        <w:spacing w:after="0" w:line="240" w:lineRule="auto"/>
        <w:ind w:firstLine="709"/>
        <w:rPr>
          <w:color w:val="000000" w:themeColor="text1"/>
        </w:rPr>
      </w:pPr>
      <w:r>
        <w:rPr>
          <w:color w:val="000000" w:themeColor="text1"/>
          <w:w w:val="105"/>
        </w:rPr>
        <w:t xml:space="preserve">При появлении таких симптомов пациент должен быть незамедлительно обследован на предмет кетоацидоза, независимо от показателей концентрации глюкозы в крови. При </w:t>
      </w:r>
      <w:r>
        <w:rPr>
          <w:color w:val="000000" w:themeColor="text1"/>
          <w:spacing w:val="-2"/>
          <w:w w:val="105"/>
        </w:rPr>
        <w:t>диагностированном</w:t>
      </w:r>
      <w:r>
        <w:rPr>
          <w:color w:val="000000" w:themeColor="text1"/>
          <w:spacing w:val="-14"/>
          <w:w w:val="105"/>
        </w:rPr>
        <w:t xml:space="preserve"> </w:t>
      </w:r>
      <w:r>
        <w:rPr>
          <w:color w:val="000000" w:themeColor="text1"/>
          <w:spacing w:val="-2"/>
          <w:w w:val="105"/>
        </w:rPr>
        <w:t>кетоацидозе или</w:t>
      </w:r>
      <w:r>
        <w:rPr>
          <w:color w:val="000000" w:themeColor="text1"/>
          <w:spacing w:val="-4"/>
          <w:w w:val="105"/>
        </w:rPr>
        <w:t xml:space="preserve"> </w:t>
      </w:r>
      <w:r>
        <w:rPr>
          <w:color w:val="000000" w:themeColor="text1"/>
          <w:spacing w:val="-2"/>
          <w:w w:val="105"/>
        </w:rPr>
        <w:t>подозрении</w:t>
      </w:r>
      <w:r>
        <w:rPr>
          <w:color w:val="000000" w:themeColor="text1"/>
          <w:spacing w:val="13"/>
          <w:w w:val="105"/>
        </w:rPr>
        <w:t xml:space="preserve"> </w:t>
      </w:r>
      <w:r>
        <w:rPr>
          <w:color w:val="000000" w:themeColor="text1"/>
          <w:spacing w:val="-2"/>
          <w:w w:val="105"/>
        </w:rPr>
        <w:t>на</w:t>
      </w:r>
      <w:r>
        <w:rPr>
          <w:color w:val="000000" w:themeColor="text1"/>
          <w:spacing w:val="-14"/>
          <w:w w:val="105"/>
        </w:rPr>
        <w:t xml:space="preserve"> </w:t>
      </w:r>
      <w:r>
        <w:rPr>
          <w:color w:val="000000" w:themeColor="text1"/>
          <w:spacing w:val="-2"/>
          <w:w w:val="105"/>
        </w:rPr>
        <w:t>него</w:t>
      </w:r>
      <w:r>
        <w:rPr>
          <w:color w:val="000000" w:themeColor="text1"/>
          <w:spacing w:val="-9"/>
          <w:w w:val="105"/>
        </w:rPr>
        <w:t xml:space="preserve"> </w:t>
      </w:r>
      <w:r>
        <w:rPr>
          <w:color w:val="000000" w:themeColor="text1"/>
          <w:spacing w:val="-2"/>
          <w:w w:val="105"/>
        </w:rPr>
        <w:t>терапия эмпаглифлозином</w:t>
      </w:r>
      <w:r>
        <w:rPr>
          <w:color w:val="000000" w:themeColor="text1"/>
          <w:spacing w:val="-13"/>
          <w:w w:val="105"/>
        </w:rPr>
        <w:t xml:space="preserve"> </w:t>
      </w:r>
      <w:r>
        <w:rPr>
          <w:color w:val="000000" w:themeColor="text1"/>
          <w:spacing w:val="-2"/>
          <w:w w:val="105"/>
        </w:rPr>
        <w:t xml:space="preserve">должна </w:t>
      </w:r>
      <w:r>
        <w:rPr>
          <w:color w:val="000000" w:themeColor="text1"/>
          <w:w w:val="105"/>
        </w:rPr>
        <w:t>быть немедленно прекращена.</w:t>
      </w:r>
    </w:p>
    <w:p w14:paraId="51C1AB1C" w14:textId="77777777" w:rsidR="00C035FA" w:rsidRDefault="008D5756" w:rsidP="000C7F59">
      <w:pPr>
        <w:pStyle w:val="BodyText"/>
        <w:spacing w:after="0" w:line="240" w:lineRule="auto"/>
        <w:ind w:firstLine="709"/>
        <w:rPr>
          <w:color w:val="000000" w:themeColor="text1"/>
        </w:rPr>
      </w:pPr>
      <w:r>
        <w:rPr>
          <w:color w:val="000000" w:themeColor="text1"/>
          <w:w w:val="105"/>
        </w:rPr>
        <w:t>Лечение следует прервать у пациентов, госпитализированных</w:t>
      </w:r>
      <w:r>
        <w:rPr>
          <w:color w:val="000000" w:themeColor="text1"/>
          <w:spacing w:val="-6"/>
          <w:w w:val="105"/>
        </w:rPr>
        <w:t xml:space="preserve"> </w:t>
      </w:r>
      <w:r>
        <w:rPr>
          <w:color w:val="000000" w:themeColor="text1"/>
          <w:w w:val="105"/>
        </w:rPr>
        <w:t>для проведения обширных хирургических процедур или при наличии острых серьезных заболеваний. Для</w:t>
      </w:r>
      <w:r>
        <w:rPr>
          <w:color w:val="000000" w:themeColor="text1"/>
          <w:spacing w:val="-5"/>
          <w:w w:val="105"/>
        </w:rPr>
        <w:t xml:space="preserve"> </w:t>
      </w:r>
      <w:r>
        <w:rPr>
          <w:color w:val="000000" w:themeColor="text1"/>
          <w:w w:val="105"/>
        </w:rPr>
        <w:t>таких пациентов рекомендован контроль концентрации кетоновых тел. Предпочтительно измерение концентрации кетоновых тел в крови, а не в моче. Лечение эмпаглифлозином можно возобновить после нормализации концентрации кетоновых тел и стабилизации состояния пациента.</w:t>
      </w:r>
    </w:p>
    <w:p w14:paraId="0DCE3042" w14:textId="77777777" w:rsidR="00C035FA" w:rsidRDefault="008D5756" w:rsidP="000C7F59">
      <w:pPr>
        <w:pStyle w:val="BodyText"/>
        <w:spacing w:after="0" w:line="240" w:lineRule="auto"/>
        <w:ind w:firstLine="709"/>
        <w:rPr>
          <w:color w:val="000000" w:themeColor="text1"/>
        </w:rPr>
      </w:pPr>
      <w:r>
        <w:rPr>
          <w:color w:val="000000" w:themeColor="text1"/>
          <w:w w:val="105"/>
        </w:rPr>
        <w:t>Перед началом применения эмпаглифлозина следует определить наличие в анамнезе пациента факторов риска, предрасполагающих к кетоацидозу. К числу пациентов, у которых возможен более высокий риск кетоацидоза входят пациенты с низким резервом функции бета-клеток (например, пациенты с СД</w:t>
      </w:r>
      <w:r>
        <w:rPr>
          <w:color w:val="000000" w:themeColor="text1"/>
          <w:spacing w:val="-11"/>
          <w:w w:val="105"/>
        </w:rPr>
        <w:t xml:space="preserve"> </w:t>
      </w:r>
      <w:r>
        <w:rPr>
          <w:color w:val="000000" w:themeColor="text1"/>
          <w:w w:val="105"/>
        </w:rPr>
        <w:t xml:space="preserve">2 с низким содержанием С-пептида или латентным аутоиммунным СД у взрослых (LADA) или пациенты с панкреатитом в анамнезе), пациенты с состояниями, которые приводят к </w:t>
      </w:r>
      <w:r>
        <w:rPr>
          <w:color w:val="000000" w:themeColor="text1"/>
          <w:w w:val="105"/>
        </w:rPr>
        <w:lastRenderedPageBreak/>
        <w:t>ограничениям в питании или тяжелому обезвоживанию,</w:t>
      </w:r>
      <w:r>
        <w:rPr>
          <w:color w:val="000000" w:themeColor="text1"/>
          <w:spacing w:val="-8"/>
          <w:w w:val="105"/>
        </w:rPr>
        <w:t xml:space="preserve"> </w:t>
      </w:r>
      <w:r>
        <w:rPr>
          <w:color w:val="000000" w:themeColor="text1"/>
          <w:w w:val="105"/>
        </w:rPr>
        <w:t>пациенты,</w:t>
      </w:r>
      <w:r>
        <w:rPr>
          <w:color w:val="000000" w:themeColor="text1"/>
          <w:spacing w:val="-9"/>
          <w:w w:val="105"/>
        </w:rPr>
        <w:t xml:space="preserve"> </w:t>
      </w:r>
      <w:r>
        <w:rPr>
          <w:color w:val="000000" w:themeColor="text1"/>
          <w:w w:val="105"/>
        </w:rPr>
        <w:t>для которых дозы инсулина снижены, и пациенты с повышенными</w:t>
      </w:r>
      <w:r>
        <w:rPr>
          <w:color w:val="000000" w:themeColor="text1"/>
          <w:spacing w:val="-15"/>
          <w:w w:val="105"/>
        </w:rPr>
        <w:t xml:space="preserve"> </w:t>
      </w:r>
      <w:r>
        <w:rPr>
          <w:color w:val="000000" w:themeColor="text1"/>
          <w:w w:val="105"/>
        </w:rPr>
        <w:t>потребностями</w:t>
      </w:r>
      <w:r>
        <w:rPr>
          <w:color w:val="000000" w:themeColor="text1"/>
          <w:spacing w:val="-7"/>
          <w:w w:val="105"/>
        </w:rPr>
        <w:t xml:space="preserve"> </w:t>
      </w:r>
      <w:r>
        <w:rPr>
          <w:color w:val="000000" w:themeColor="text1"/>
          <w:w w:val="105"/>
        </w:rPr>
        <w:t>в</w:t>
      </w:r>
      <w:r>
        <w:rPr>
          <w:color w:val="000000" w:themeColor="text1"/>
          <w:spacing w:val="-16"/>
          <w:w w:val="105"/>
        </w:rPr>
        <w:t xml:space="preserve"> </w:t>
      </w:r>
      <w:r>
        <w:rPr>
          <w:color w:val="000000" w:themeColor="text1"/>
          <w:w w:val="105"/>
        </w:rPr>
        <w:t>инсулине</w:t>
      </w:r>
      <w:r>
        <w:rPr>
          <w:color w:val="000000" w:themeColor="text1"/>
          <w:spacing w:val="-15"/>
          <w:w w:val="105"/>
        </w:rPr>
        <w:t xml:space="preserve"> </w:t>
      </w:r>
      <w:r>
        <w:rPr>
          <w:color w:val="000000" w:themeColor="text1"/>
          <w:w w:val="105"/>
        </w:rPr>
        <w:t>вследствие</w:t>
      </w:r>
      <w:r>
        <w:rPr>
          <w:color w:val="000000" w:themeColor="text1"/>
          <w:spacing w:val="-13"/>
          <w:w w:val="105"/>
        </w:rPr>
        <w:t xml:space="preserve"> </w:t>
      </w:r>
      <w:r>
        <w:rPr>
          <w:color w:val="000000" w:themeColor="text1"/>
          <w:w w:val="105"/>
        </w:rPr>
        <w:t>острых</w:t>
      </w:r>
      <w:r>
        <w:rPr>
          <w:color w:val="000000" w:themeColor="text1"/>
          <w:spacing w:val="-16"/>
          <w:w w:val="105"/>
        </w:rPr>
        <w:t xml:space="preserve"> </w:t>
      </w:r>
      <w:r>
        <w:rPr>
          <w:color w:val="000000" w:themeColor="text1"/>
          <w:w w:val="105"/>
        </w:rPr>
        <w:t>заболеваний,</w:t>
      </w:r>
      <w:r>
        <w:rPr>
          <w:color w:val="000000" w:themeColor="text1"/>
          <w:spacing w:val="-13"/>
          <w:w w:val="105"/>
        </w:rPr>
        <w:t xml:space="preserve"> </w:t>
      </w:r>
      <w:r>
        <w:rPr>
          <w:color w:val="000000" w:themeColor="text1"/>
          <w:w w:val="105"/>
        </w:rPr>
        <w:t>хирургического вмешательства или злоупотребления алкоголем. У</w:t>
      </w:r>
      <w:r>
        <w:rPr>
          <w:color w:val="000000" w:themeColor="text1"/>
          <w:spacing w:val="-10"/>
          <w:w w:val="105"/>
        </w:rPr>
        <w:t xml:space="preserve"> </w:t>
      </w:r>
      <w:r>
        <w:rPr>
          <w:color w:val="000000" w:themeColor="text1"/>
          <w:w w:val="105"/>
        </w:rPr>
        <w:t>таких пациентов ингибиторы SGLТ2 следует применять с осторожностью.</w:t>
      </w:r>
    </w:p>
    <w:p w14:paraId="3A1E1AB6" w14:textId="77777777" w:rsidR="00C035FA" w:rsidRDefault="008D5756" w:rsidP="000C7F59">
      <w:pPr>
        <w:pStyle w:val="BodyText"/>
        <w:spacing w:after="0" w:line="240" w:lineRule="auto"/>
        <w:ind w:firstLine="709"/>
        <w:rPr>
          <w:color w:val="000000" w:themeColor="text1"/>
        </w:rPr>
      </w:pPr>
      <w:r>
        <w:rPr>
          <w:color w:val="000000" w:themeColor="text1"/>
          <w:w w:val="105"/>
        </w:rPr>
        <w:t>Возобновление лечения ингибитором SGLТ2 у пациентов с кетоацидозом в анамнезе не рекомендуется,</w:t>
      </w:r>
      <w:r>
        <w:rPr>
          <w:color w:val="000000" w:themeColor="text1"/>
          <w:spacing w:val="-1"/>
          <w:w w:val="105"/>
        </w:rPr>
        <w:t xml:space="preserve"> </w:t>
      </w:r>
      <w:r>
        <w:rPr>
          <w:color w:val="000000" w:themeColor="text1"/>
          <w:w w:val="105"/>
        </w:rPr>
        <w:t xml:space="preserve">если только не выявлен и не устранен другой явный предрасполагающий </w:t>
      </w:r>
      <w:r>
        <w:rPr>
          <w:color w:val="000000" w:themeColor="text1"/>
          <w:spacing w:val="-2"/>
          <w:w w:val="105"/>
        </w:rPr>
        <w:t>фактор.</w:t>
      </w:r>
    </w:p>
    <w:p w14:paraId="2FF37D94" w14:textId="77777777" w:rsidR="00C035FA" w:rsidRDefault="008D5756" w:rsidP="000C7F59">
      <w:pPr>
        <w:pStyle w:val="BodyText"/>
        <w:spacing w:after="0" w:line="240" w:lineRule="auto"/>
        <w:ind w:firstLine="709"/>
        <w:rPr>
          <w:color w:val="000000" w:themeColor="text1"/>
        </w:rPr>
      </w:pPr>
      <w:r>
        <w:rPr>
          <w:color w:val="000000" w:themeColor="text1"/>
          <w:w w:val="105"/>
        </w:rPr>
        <w:t>Эмпаглифлозин противопоказан пациентам с СД</w:t>
      </w:r>
      <w:r>
        <w:rPr>
          <w:color w:val="000000" w:themeColor="text1"/>
          <w:spacing w:val="-6"/>
          <w:w w:val="105"/>
        </w:rPr>
        <w:t xml:space="preserve"> </w:t>
      </w:r>
      <w:r>
        <w:rPr>
          <w:color w:val="000000" w:themeColor="text1"/>
          <w:w w:val="105"/>
        </w:rPr>
        <w:t>1. Данные из программы клинических исследований с участием пациентов с СД</w:t>
      </w:r>
      <w:r>
        <w:rPr>
          <w:color w:val="000000" w:themeColor="text1"/>
          <w:spacing w:val="-8"/>
          <w:w w:val="105"/>
        </w:rPr>
        <w:t xml:space="preserve"> </w:t>
      </w:r>
      <w:r>
        <w:rPr>
          <w:color w:val="000000" w:themeColor="text1"/>
          <w:w w:val="105"/>
        </w:rPr>
        <w:t>1 выявили увеличение частоты кетоацидоза с у пациентов, получавших эмпаглифлозин в дозе 10 и 25</w:t>
      </w:r>
      <w:r>
        <w:rPr>
          <w:color w:val="000000" w:themeColor="text1"/>
          <w:spacing w:val="-9"/>
          <w:w w:val="105"/>
        </w:rPr>
        <w:t xml:space="preserve"> </w:t>
      </w:r>
      <w:r>
        <w:rPr>
          <w:color w:val="000000" w:themeColor="text1"/>
          <w:w w:val="105"/>
        </w:rPr>
        <w:t>мг в качестве дополнения к инсулину в</w:t>
      </w:r>
      <w:r>
        <w:rPr>
          <w:color w:val="000000" w:themeColor="text1"/>
          <w:spacing w:val="-2"/>
          <w:w w:val="105"/>
        </w:rPr>
        <w:t xml:space="preserve"> </w:t>
      </w:r>
      <w:r>
        <w:rPr>
          <w:color w:val="000000" w:themeColor="text1"/>
          <w:w w:val="105"/>
        </w:rPr>
        <w:t>сравнении с плацебо.</w:t>
      </w:r>
    </w:p>
    <w:p w14:paraId="54177D37" w14:textId="77777777" w:rsidR="002604EF" w:rsidRDefault="002604EF" w:rsidP="000C7F59">
      <w:pPr>
        <w:spacing w:after="0" w:line="240" w:lineRule="auto"/>
        <w:ind w:firstLine="709"/>
        <w:rPr>
          <w:i/>
          <w:color w:val="000000" w:themeColor="text1"/>
          <w:w w:val="105"/>
        </w:rPr>
      </w:pPr>
    </w:p>
    <w:p w14:paraId="2B2558DB" w14:textId="66CFFC86" w:rsidR="00C035FA" w:rsidRDefault="008D5756" w:rsidP="000C7F59">
      <w:pPr>
        <w:spacing w:after="0" w:line="240" w:lineRule="auto"/>
        <w:ind w:firstLine="709"/>
        <w:rPr>
          <w:i/>
          <w:color w:val="000000" w:themeColor="text1"/>
        </w:rPr>
      </w:pPr>
      <w:r>
        <w:rPr>
          <w:i/>
          <w:color w:val="000000" w:themeColor="text1"/>
          <w:w w:val="105"/>
        </w:rPr>
        <w:t>Применение</w:t>
      </w:r>
      <w:r>
        <w:rPr>
          <w:i/>
          <w:color w:val="000000" w:themeColor="text1"/>
          <w:spacing w:val="-16"/>
          <w:w w:val="105"/>
        </w:rPr>
        <w:t xml:space="preserve"> </w:t>
      </w:r>
      <w:r>
        <w:rPr>
          <w:i/>
          <w:color w:val="000000" w:themeColor="text1"/>
          <w:w w:val="105"/>
        </w:rPr>
        <w:t>у</w:t>
      </w:r>
      <w:r>
        <w:rPr>
          <w:i/>
          <w:color w:val="000000" w:themeColor="text1"/>
          <w:spacing w:val="-11"/>
          <w:w w:val="105"/>
        </w:rPr>
        <w:t xml:space="preserve"> </w:t>
      </w:r>
      <w:r>
        <w:rPr>
          <w:i/>
          <w:color w:val="000000" w:themeColor="text1"/>
          <w:w w:val="105"/>
        </w:rPr>
        <w:t>пациентов</w:t>
      </w:r>
      <w:r>
        <w:rPr>
          <w:i/>
          <w:color w:val="000000" w:themeColor="text1"/>
          <w:spacing w:val="-1"/>
          <w:w w:val="105"/>
        </w:rPr>
        <w:t xml:space="preserve"> </w:t>
      </w:r>
      <w:r>
        <w:rPr>
          <w:i/>
          <w:color w:val="000000" w:themeColor="text1"/>
          <w:w w:val="105"/>
        </w:rPr>
        <w:t>с</w:t>
      </w:r>
      <w:r>
        <w:rPr>
          <w:i/>
          <w:color w:val="000000" w:themeColor="text1"/>
          <w:spacing w:val="-15"/>
          <w:w w:val="105"/>
        </w:rPr>
        <w:t xml:space="preserve"> </w:t>
      </w:r>
      <w:r>
        <w:rPr>
          <w:i/>
          <w:color w:val="000000" w:themeColor="text1"/>
          <w:w w:val="105"/>
        </w:rPr>
        <w:t>нарушением</w:t>
      </w:r>
      <w:r>
        <w:rPr>
          <w:i/>
          <w:color w:val="000000" w:themeColor="text1"/>
          <w:spacing w:val="2"/>
          <w:w w:val="105"/>
        </w:rPr>
        <w:t xml:space="preserve"> </w:t>
      </w:r>
      <w:r>
        <w:rPr>
          <w:i/>
          <w:color w:val="000000" w:themeColor="text1"/>
          <w:w w:val="105"/>
        </w:rPr>
        <w:t>функции</w:t>
      </w:r>
      <w:r>
        <w:rPr>
          <w:i/>
          <w:color w:val="000000" w:themeColor="text1"/>
          <w:spacing w:val="-4"/>
          <w:w w:val="105"/>
        </w:rPr>
        <w:t xml:space="preserve"> почек</w:t>
      </w:r>
    </w:p>
    <w:p w14:paraId="52CE84FA" w14:textId="2FF617CD" w:rsidR="00C035FA" w:rsidRDefault="008D5756" w:rsidP="00D2555D">
      <w:pPr>
        <w:pStyle w:val="ListParagraph"/>
        <w:widowControl w:val="0"/>
        <w:numPr>
          <w:ilvl w:val="0"/>
          <w:numId w:val="17"/>
        </w:numPr>
        <w:tabs>
          <w:tab w:val="left" w:pos="284"/>
          <w:tab w:val="left" w:pos="1702"/>
          <w:tab w:val="left" w:pos="2835"/>
          <w:tab w:val="left" w:pos="4618"/>
          <w:tab w:val="left" w:pos="6203"/>
          <w:tab w:val="left" w:pos="6882"/>
          <w:tab w:val="left" w:pos="9156"/>
          <w:tab w:val="left" w:pos="9214"/>
        </w:tabs>
        <w:autoSpaceDE w:val="0"/>
        <w:autoSpaceDN w:val="0"/>
        <w:spacing w:after="0" w:line="240" w:lineRule="auto"/>
        <w:ind w:left="993" w:hanging="426"/>
        <w:contextualSpacing w:val="0"/>
        <w:rPr>
          <w:color w:val="000000" w:themeColor="text1"/>
        </w:rPr>
      </w:pPr>
      <w:r>
        <w:rPr>
          <w:color w:val="000000" w:themeColor="text1"/>
          <w:spacing w:val="-5"/>
        </w:rPr>
        <w:t xml:space="preserve">При </w:t>
      </w:r>
      <w:r>
        <w:rPr>
          <w:color w:val="000000" w:themeColor="text1"/>
          <w:spacing w:val="-4"/>
        </w:rPr>
        <w:t xml:space="preserve">СД2: </w:t>
      </w:r>
      <w:r>
        <w:rPr>
          <w:color w:val="000000" w:themeColor="text1"/>
          <w:spacing w:val="-2"/>
        </w:rPr>
        <w:t xml:space="preserve">применение </w:t>
      </w:r>
      <w:r>
        <w:rPr>
          <w:color w:val="000000" w:themeColor="text1"/>
          <w:spacing w:val="-2"/>
          <w:position w:val="1"/>
        </w:rPr>
        <w:t xml:space="preserve">препарата </w:t>
      </w:r>
      <w:r>
        <w:rPr>
          <w:color w:val="000000" w:themeColor="text1"/>
          <w:spacing w:val="-10"/>
          <w:position w:val="1"/>
        </w:rPr>
        <w:t xml:space="preserve">у </w:t>
      </w:r>
      <w:r>
        <w:rPr>
          <w:color w:val="000000" w:themeColor="text1"/>
          <w:spacing w:val="-2"/>
          <w:position w:val="2"/>
        </w:rPr>
        <w:t xml:space="preserve">пациентов </w:t>
      </w:r>
      <w:r>
        <w:rPr>
          <w:color w:val="000000" w:themeColor="text1"/>
          <w:spacing w:val="-10"/>
          <w:position w:val="2"/>
        </w:rPr>
        <w:t xml:space="preserve">с </w:t>
      </w:r>
      <w:r>
        <w:rPr>
          <w:color w:val="000000" w:themeColor="text1"/>
          <w:spacing w:val="-5"/>
          <w:position w:val="2"/>
        </w:rPr>
        <w:t xml:space="preserve">СКФ </w:t>
      </w:r>
      <w:r>
        <w:rPr>
          <w:color w:val="000000" w:themeColor="text1"/>
        </w:rPr>
        <w:t>&lt;30</w:t>
      </w:r>
      <w:r>
        <w:rPr>
          <w:color w:val="000000" w:themeColor="text1"/>
          <w:spacing w:val="-1"/>
        </w:rPr>
        <w:t xml:space="preserve"> </w:t>
      </w:r>
      <w:r>
        <w:rPr>
          <w:color w:val="000000" w:themeColor="text1"/>
        </w:rPr>
        <w:t>мл/мин/1,73 м</w:t>
      </w:r>
      <w:r>
        <w:rPr>
          <w:color w:val="000000" w:themeColor="text1"/>
          <w:vertAlign w:val="superscript"/>
        </w:rPr>
        <w:t>2</w:t>
      </w:r>
      <w:r>
        <w:rPr>
          <w:color w:val="000000" w:themeColor="text1"/>
          <w:spacing w:val="-23"/>
        </w:rPr>
        <w:t xml:space="preserve"> </w:t>
      </w:r>
      <w:r>
        <w:rPr>
          <w:color w:val="000000" w:themeColor="text1"/>
          <w:spacing w:val="-2"/>
        </w:rPr>
        <w:t>противопоказано.</w:t>
      </w:r>
    </w:p>
    <w:p w14:paraId="57D0463B" w14:textId="77777777" w:rsidR="00C035FA" w:rsidRDefault="008D5756" w:rsidP="00D2555D">
      <w:pPr>
        <w:pStyle w:val="ListParagraph"/>
        <w:widowControl w:val="0"/>
        <w:numPr>
          <w:ilvl w:val="0"/>
          <w:numId w:val="17"/>
        </w:numPr>
        <w:tabs>
          <w:tab w:val="left" w:pos="284"/>
          <w:tab w:val="left" w:pos="1704"/>
          <w:tab w:val="left" w:pos="2835"/>
          <w:tab w:val="left" w:pos="4623"/>
          <w:tab w:val="left" w:pos="6203"/>
          <w:tab w:val="left" w:pos="6882"/>
          <w:tab w:val="left" w:pos="8498"/>
          <w:tab w:val="left" w:pos="9156"/>
        </w:tabs>
        <w:autoSpaceDE w:val="0"/>
        <w:autoSpaceDN w:val="0"/>
        <w:spacing w:after="0" w:line="240" w:lineRule="auto"/>
        <w:ind w:left="993" w:hanging="426"/>
        <w:contextualSpacing w:val="0"/>
        <w:rPr>
          <w:color w:val="000000" w:themeColor="text1"/>
        </w:rPr>
      </w:pPr>
      <w:r>
        <w:rPr>
          <w:color w:val="000000" w:themeColor="text1"/>
          <w:spacing w:val="-5"/>
        </w:rPr>
        <w:t xml:space="preserve">При </w:t>
      </w:r>
      <w:r>
        <w:rPr>
          <w:color w:val="000000" w:themeColor="text1"/>
          <w:spacing w:val="-4"/>
        </w:rPr>
        <w:t xml:space="preserve">ХСН: </w:t>
      </w:r>
      <w:r>
        <w:rPr>
          <w:color w:val="000000" w:themeColor="text1"/>
          <w:spacing w:val="-2"/>
        </w:rPr>
        <w:t xml:space="preserve">применение </w:t>
      </w:r>
      <w:r>
        <w:rPr>
          <w:color w:val="000000" w:themeColor="text1"/>
          <w:spacing w:val="-2"/>
          <w:position w:val="1"/>
        </w:rPr>
        <w:t xml:space="preserve">препарата </w:t>
      </w:r>
      <w:r>
        <w:rPr>
          <w:color w:val="000000" w:themeColor="text1"/>
          <w:spacing w:val="-10"/>
          <w:position w:val="1"/>
        </w:rPr>
        <w:t xml:space="preserve">у </w:t>
      </w:r>
      <w:r>
        <w:rPr>
          <w:color w:val="000000" w:themeColor="text1"/>
          <w:spacing w:val="-2"/>
          <w:position w:val="1"/>
        </w:rPr>
        <w:t xml:space="preserve">пациентов с </w:t>
      </w:r>
      <w:r>
        <w:rPr>
          <w:color w:val="000000" w:themeColor="text1"/>
          <w:spacing w:val="-5"/>
          <w:position w:val="2"/>
        </w:rPr>
        <w:t xml:space="preserve">СКФ </w:t>
      </w:r>
      <w:r>
        <w:rPr>
          <w:color w:val="000000" w:themeColor="text1"/>
        </w:rPr>
        <w:t>&lt;20</w:t>
      </w:r>
      <w:r>
        <w:rPr>
          <w:color w:val="000000" w:themeColor="text1"/>
          <w:spacing w:val="-2"/>
        </w:rPr>
        <w:t xml:space="preserve"> </w:t>
      </w:r>
      <w:r>
        <w:rPr>
          <w:color w:val="000000" w:themeColor="text1"/>
        </w:rPr>
        <w:t>мл/мин/1,73 м</w:t>
      </w:r>
      <w:r>
        <w:rPr>
          <w:color w:val="000000" w:themeColor="text1"/>
          <w:vertAlign w:val="superscript"/>
        </w:rPr>
        <w:t>2</w:t>
      </w:r>
      <w:r>
        <w:rPr>
          <w:color w:val="000000" w:themeColor="text1"/>
          <w:spacing w:val="-22"/>
        </w:rPr>
        <w:t xml:space="preserve"> </w:t>
      </w:r>
      <w:r>
        <w:rPr>
          <w:color w:val="000000" w:themeColor="text1"/>
          <w:spacing w:val="-2"/>
        </w:rPr>
        <w:t>противопоказано.</w:t>
      </w:r>
    </w:p>
    <w:p w14:paraId="6C233659" w14:textId="77777777" w:rsidR="00C035FA" w:rsidRDefault="008D5756" w:rsidP="000C7F59">
      <w:pPr>
        <w:spacing w:after="0" w:line="240" w:lineRule="auto"/>
        <w:ind w:firstLine="709"/>
        <w:rPr>
          <w:color w:val="000000" w:themeColor="text1"/>
          <w:szCs w:val="28"/>
        </w:rPr>
      </w:pPr>
      <w:r>
        <w:rPr>
          <w:color w:val="000000" w:themeColor="text1"/>
          <w:w w:val="105"/>
        </w:rPr>
        <w:t>Эмпаглифлозин не следует применять у пациентов с терминальной стадией почечной недостаточности и у пациентов на диализе. Отсутствует достаточное количество данных, свидетельствующих в пользу</w:t>
      </w:r>
      <w:r>
        <w:rPr>
          <w:color w:val="000000" w:themeColor="text1"/>
          <w:szCs w:val="28"/>
        </w:rPr>
        <w:t xml:space="preserve"> его применения в этих группах пациентов.</w:t>
      </w:r>
    </w:p>
    <w:p w14:paraId="35D9D45D" w14:textId="77777777" w:rsidR="002604EF" w:rsidRDefault="002604EF" w:rsidP="000C7F59">
      <w:pPr>
        <w:spacing w:after="0" w:line="240" w:lineRule="auto"/>
        <w:ind w:firstLine="709"/>
        <w:rPr>
          <w:i/>
          <w:color w:val="000000" w:themeColor="text1"/>
          <w:szCs w:val="28"/>
        </w:rPr>
      </w:pPr>
    </w:p>
    <w:p w14:paraId="1DE8EA46" w14:textId="242B8D56" w:rsidR="00C035FA" w:rsidRDefault="008D5756" w:rsidP="000C7F59">
      <w:pPr>
        <w:spacing w:after="0" w:line="240" w:lineRule="auto"/>
        <w:ind w:firstLine="709"/>
        <w:rPr>
          <w:i/>
          <w:color w:val="000000" w:themeColor="text1"/>
          <w:szCs w:val="28"/>
        </w:rPr>
      </w:pPr>
      <w:r>
        <w:rPr>
          <w:i/>
          <w:color w:val="000000" w:themeColor="text1"/>
          <w:szCs w:val="28"/>
        </w:rPr>
        <w:t>Мониторинг функции почек</w:t>
      </w:r>
    </w:p>
    <w:p w14:paraId="0B702F50" w14:textId="77777777" w:rsidR="00C035FA" w:rsidRDefault="008D5756" w:rsidP="000C7F59">
      <w:pPr>
        <w:spacing w:after="0" w:line="240" w:lineRule="auto"/>
        <w:ind w:firstLine="709"/>
        <w:rPr>
          <w:color w:val="000000" w:themeColor="text1"/>
          <w:szCs w:val="28"/>
        </w:rPr>
      </w:pPr>
      <w:r>
        <w:rPr>
          <w:color w:val="000000" w:themeColor="text1"/>
          <w:szCs w:val="28"/>
        </w:rPr>
        <w:t>Рекомендована оценка функции почек:</w:t>
      </w:r>
    </w:p>
    <w:p w14:paraId="69D3C629" w14:textId="77777777" w:rsidR="00C035FA" w:rsidRDefault="008D5756" w:rsidP="000C7F59">
      <w:pPr>
        <w:pStyle w:val="ListParagraph"/>
        <w:widowControl w:val="0"/>
        <w:numPr>
          <w:ilvl w:val="0"/>
          <w:numId w:val="18"/>
        </w:numPr>
        <w:tabs>
          <w:tab w:val="left" w:pos="142"/>
        </w:tabs>
        <w:autoSpaceDE w:val="0"/>
        <w:autoSpaceDN w:val="0"/>
        <w:spacing w:after="0" w:line="240" w:lineRule="auto"/>
        <w:ind w:left="0" w:firstLine="709"/>
        <w:contextualSpacing w:val="0"/>
        <w:rPr>
          <w:color w:val="000000" w:themeColor="text1"/>
          <w:szCs w:val="28"/>
        </w:rPr>
      </w:pPr>
      <w:r>
        <w:rPr>
          <w:color w:val="000000" w:themeColor="text1"/>
          <w:szCs w:val="28"/>
        </w:rPr>
        <w:t>До начала применения эмпаглифлозина и периодически во время лечения, не реже 1 раза в год;</w:t>
      </w:r>
    </w:p>
    <w:p w14:paraId="7C65F246" w14:textId="77777777" w:rsidR="00C035FA" w:rsidRDefault="008D5756" w:rsidP="000C7F59">
      <w:pPr>
        <w:pStyle w:val="ListParagraph"/>
        <w:widowControl w:val="0"/>
        <w:numPr>
          <w:ilvl w:val="0"/>
          <w:numId w:val="18"/>
        </w:numPr>
        <w:tabs>
          <w:tab w:val="left" w:pos="142"/>
        </w:tabs>
        <w:autoSpaceDE w:val="0"/>
        <w:autoSpaceDN w:val="0"/>
        <w:spacing w:after="0" w:line="240" w:lineRule="auto"/>
        <w:ind w:left="0" w:firstLine="709"/>
        <w:contextualSpacing w:val="0"/>
        <w:rPr>
          <w:color w:val="000000" w:themeColor="text1"/>
          <w:szCs w:val="28"/>
        </w:rPr>
      </w:pPr>
      <w:r>
        <w:rPr>
          <w:color w:val="000000" w:themeColor="text1"/>
          <w:szCs w:val="28"/>
        </w:rPr>
        <w:t>До начала применения любого сопутствующего лекарственного препарата, который может оказывать негативное влияние на функцию почек.</w:t>
      </w:r>
    </w:p>
    <w:p w14:paraId="33892191" w14:textId="77777777" w:rsidR="002604EF" w:rsidRDefault="002604EF" w:rsidP="000C7F59">
      <w:pPr>
        <w:spacing w:after="0" w:line="240" w:lineRule="auto"/>
        <w:ind w:firstLine="709"/>
        <w:rPr>
          <w:i/>
          <w:color w:val="000000" w:themeColor="text1"/>
          <w:szCs w:val="28"/>
        </w:rPr>
      </w:pPr>
    </w:p>
    <w:p w14:paraId="6E0C7065" w14:textId="00B4CF80" w:rsidR="00C035FA" w:rsidRDefault="008D5756" w:rsidP="000C7F59">
      <w:pPr>
        <w:spacing w:after="0" w:line="240" w:lineRule="auto"/>
        <w:ind w:firstLine="709"/>
        <w:rPr>
          <w:i/>
          <w:color w:val="000000" w:themeColor="text1"/>
          <w:szCs w:val="28"/>
        </w:rPr>
      </w:pPr>
      <w:r>
        <w:rPr>
          <w:i/>
          <w:color w:val="000000" w:themeColor="text1"/>
          <w:szCs w:val="28"/>
        </w:rPr>
        <w:t>Применение у пациентов с риском развития гиповолемии</w:t>
      </w:r>
    </w:p>
    <w:p w14:paraId="6E40D464" w14:textId="77777777" w:rsidR="00C035FA" w:rsidRDefault="008D5756" w:rsidP="000C7F59">
      <w:pPr>
        <w:spacing w:after="0" w:line="240" w:lineRule="auto"/>
        <w:ind w:firstLine="709"/>
        <w:rPr>
          <w:color w:val="000000" w:themeColor="text1"/>
          <w:szCs w:val="28"/>
        </w:rPr>
      </w:pPr>
      <w:r>
        <w:rPr>
          <w:color w:val="000000" w:themeColor="text1"/>
          <w:szCs w:val="28"/>
        </w:rPr>
        <w:t>На основании механизма действия ингибиторов SGLТ2, осмотический диурез с сопутствующей глюкозурией может приводить к умеренному снижению АД. Поэтому следует применять препарат с осторожностью у пациентов, для которых снижение АД может представлять опасность, например, у пациентов с сердечно-сосудистыми заболеваниями; у пациентов, принимающих гипотензивные препараты (с эпизодами артериальной гипотензии в анамнезе) или у пациентов старше 75 лет.</w:t>
      </w:r>
    </w:p>
    <w:p w14:paraId="4820EA5A" w14:textId="77777777" w:rsidR="00C035FA" w:rsidRDefault="008D5756" w:rsidP="000C7F59">
      <w:pPr>
        <w:spacing w:after="0" w:line="240" w:lineRule="auto"/>
        <w:ind w:firstLine="709"/>
        <w:rPr>
          <w:color w:val="000000" w:themeColor="text1"/>
          <w:szCs w:val="28"/>
        </w:rPr>
      </w:pPr>
      <w:r>
        <w:rPr>
          <w:color w:val="000000" w:themeColor="text1"/>
          <w:szCs w:val="28"/>
        </w:rPr>
        <w:t>В случае развития состояний, которые могут привести к потере жидкости (например, заболевание желудочно-кишечного тракта), у пациентов, получающих эмпаглифлозин, рекомендован тщательный мониторинг степени обезвоживания (например, физикальное обследование, измерение АД, лабораторное обследование, включая оценку гематокрита) и электролитного баланса. Может потребоваться временная отмена эмпаглифлозина до восполнения потери жидкости.</w:t>
      </w:r>
    </w:p>
    <w:p w14:paraId="67AE204B" w14:textId="77777777" w:rsidR="002604EF" w:rsidRDefault="002604EF" w:rsidP="000C7F59">
      <w:pPr>
        <w:spacing w:after="0" w:line="240" w:lineRule="auto"/>
        <w:ind w:firstLine="709"/>
        <w:rPr>
          <w:color w:val="000000" w:themeColor="text1"/>
          <w:szCs w:val="28"/>
        </w:rPr>
      </w:pPr>
    </w:p>
    <w:p w14:paraId="3059EC01" w14:textId="77777777" w:rsidR="00E25D5C" w:rsidRPr="002604EF" w:rsidRDefault="00E25D5C" w:rsidP="00E25D5C">
      <w:pPr>
        <w:spacing w:after="0" w:line="240" w:lineRule="auto"/>
        <w:ind w:firstLine="709"/>
        <w:rPr>
          <w:i/>
          <w:iCs/>
          <w:color w:val="000000" w:themeColor="text1"/>
          <w:szCs w:val="28"/>
        </w:rPr>
      </w:pPr>
      <w:r w:rsidRPr="002604EF">
        <w:rPr>
          <w:i/>
          <w:iCs/>
          <w:color w:val="000000" w:themeColor="text1"/>
          <w:szCs w:val="28"/>
        </w:rPr>
        <w:t>Пациенты пожилого возраста</w:t>
      </w:r>
    </w:p>
    <w:p w14:paraId="04BFAF9E" w14:textId="77777777" w:rsidR="00E25D5C" w:rsidRDefault="00E25D5C" w:rsidP="00E25D5C">
      <w:pPr>
        <w:spacing w:after="0" w:line="240" w:lineRule="auto"/>
        <w:ind w:firstLine="709"/>
        <w:rPr>
          <w:color w:val="000000" w:themeColor="text1"/>
          <w:szCs w:val="28"/>
        </w:rPr>
      </w:pPr>
      <w:r>
        <w:rPr>
          <w:color w:val="000000" w:themeColor="text1"/>
          <w:szCs w:val="28"/>
        </w:rPr>
        <w:t xml:space="preserve">Эффект эмпаглифлозина на выведение глюкозы почками связан с осмотическим диурезом, который может повлиять на гидратацию. Пациенты в возрасте 75 лет и старше могут подвергаться повышенному риску развития гиповолемии. Нежелательные реакции, </w:t>
      </w:r>
      <w:r>
        <w:rPr>
          <w:color w:val="000000" w:themeColor="text1"/>
          <w:szCs w:val="28"/>
        </w:rPr>
        <w:lastRenderedPageBreak/>
        <w:t>связанные с гиповолемией, отмечались у большего числа пациентов, получавших эмпаглифлозин, чем у пациентов, получавших плацебо. Поэтому особое внимание следует уделять пополнению объема в случае одновременного применения лекарственных препаратов, которое может привести к гиповолемии (например, диуретики, ингибиторы АПФ).</w:t>
      </w:r>
    </w:p>
    <w:p w14:paraId="48C0FE4A" w14:textId="77777777" w:rsidR="00E25D5C" w:rsidRDefault="00E25D5C" w:rsidP="00E25D5C">
      <w:pPr>
        <w:spacing w:after="0" w:line="240" w:lineRule="auto"/>
        <w:ind w:firstLine="709"/>
        <w:rPr>
          <w:i/>
          <w:color w:val="000000" w:themeColor="text1"/>
          <w:szCs w:val="28"/>
        </w:rPr>
      </w:pPr>
    </w:p>
    <w:p w14:paraId="2EE83812" w14:textId="77777777" w:rsidR="00E25D5C" w:rsidRDefault="00E25D5C" w:rsidP="00E25D5C">
      <w:pPr>
        <w:spacing w:after="0" w:line="240" w:lineRule="auto"/>
        <w:ind w:firstLine="709"/>
        <w:rPr>
          <w:color w:val="000000" w:themeColor="text1"/>
          <w:szCs w:val="28"/>
        </w:rPr>
      </w:pPr>
      <w:r>
        <w:rPr>
          <w:i/>
          <w:color w:val="000000" w:themeColor="text1"/>
          <w:szCs w:val="28"/>
        </w:rPr>
        <w:t>Осложнённые инфекции мочевыводящих</w:t>
      </w:r>
      <w:r>
        <w:rPr>
          <w:color w:val="000000" w:themeColor="text1"/>
          <w:szCs w:val="28"/>
        </w:rPr>
        <w:t xml:space="preserve"> </w:t>
      </w:r>
      <w:r>
        <w:rPr>
          <w:i/>
          <w:color w:val="000000" w:themeColor="text1"/>
          <w:szCs w:val="28"/>
        </w:rPr>
        <w:t>путей</w:t>
      </w:r>
    </w:p>
    <w:p w14:paraId="1DBBE68E"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Случаи осложненных инфекций мочевыводящих путей, включая пиелонефрит и уросепсис, отмечались у пациентов, принимавших эмпаглифлозин. У пациентов с осложненными инфекциями мочевыводящих путей следует рассмотреть временное прерывание лечения эмпаглифлозином.</w:t>
      </w:r>
    </w:p>
    <w:p w14:paraId="4C888B29" w14:textId="77777777" w:rsidR="00E25D5C" w:rsidRDefault="00E25D5C" w:rsidP="00E25D5C">
      <w:pPr>
        <w:spacing w:after="0" w:line="240" w:lineRule="auto"/>
        <w:ind w:firstLine="709"/>
        <w:rPr>
          <w:i/>
          <w:color w:val="000000" w:themeColor="text1"/>
          <w:szCs w:val="28"/>
        </w:rPr>
      </w:pPr>
    </w:p>
    <w:p w14:paraId="2D4F78DD" w14:textId="77777777" w:rsidR="00E25D5C" w:rsidRDefault="00E25D5C" w:rsidP="00E25D5C">
      <w:pPr>
        <w:spacing w:after="0" w:line="240" w:lineRule="auto"/>
        <w:ind w:firstLine="709"/>
        <w:rPr>
          <w:i/>
          <w:color w:val="000000" w:themeColor="text1"/>
          <w:szCs w:val="28"/>
        </w:rPr>
      </w:pPr>
      <w:r>
        <w:rPr>
          <w:i/>
          <w:color w:val="000000" w:themeColor="text1"/>
          <w:szCs w:val="28"/>
        </w:rPr>
        <w:t>Некротический фасциит промежности (гангрена Фурнье)</w:t>
      </w:r>
    </w:p>
    <w:p w14:paraId="5CDC8F60"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Случаи некротического фасциита промежности (также известного как гангрена Фурнье) были зарегистрированы у женщин и мужчин с СД, получавших ингибиторы SGLТ2. Это редкое, но серьезное и потенциально угрожающее жизни явление, которое требует срочного хирургического вмешательства и лечения антибиотиками.</w:t>
      </w:r>
    </w:p>
    <w:p w14:paraId="14752E98"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Пациентам следует рекомендовать обратиться к врачу, если у них возникает сочетание симптомов боли, чувствительности, эритемы или припухлости в области половых органов или промежности, с лихорадкой или недомоганием. Следует помнить, что некротическому</w:t>
      </w:r>
      <w:r w:rsidRPr="000C7F59">
        <w:rPr>
          <w:color w:val="000000" w:themeColor="text1"/>
          <w:szCs w:val="28"/>
        </w:rPr>
        <w:t xml:space="preserve"> </w:t>
      </w:r>
      <w:r>
        <w:rPr>
          <w:color w:val="000000" w:themeColor="text1"/>
          <w:szCs w:val="28"/>
        </w:rPr>
        <w:t xml:space="preserve">фасцииту могут предшествовать урогенитальные инфекции или абсцесс промежности. При подозрении на гангрену Фурнье, прием </w:t>
      </w:r>
      <w:r>
        <w:rPr>
          <w:color w:val="000000" w:themeColor="text1"/>
        </w:rPr>
        <w:t xml:space="preserve">эмпаглифлозина </w:t>
      </w:r>
      <w:r>
        <w:rPr>
          <w:color w:val="000000" w:themeColor="text1"/>
          <w:szCs w:val="28"/>
        </w:rPr>
        <w:t>следует прекратить; необходимо начать незамедлительное лечение (включая антибиотики и хирургическую обработку).</w:t>
      </w:r>
    </w:p>
    <w:p w14:paraId="6E893317" w14:textId="77777777" w:rsidR="00E25D5C" w:rsidRDefault="00E25D5C" w:rsidP="00E25D5C">
      <w:pPr>
        <w:spacing w:after="0" w:line="240" w:lineRule="auto"/>
        <w:ind w:firstLine="709"/>
        <w:rPr>
          <w:i/>
          <w:color w:val="000000" w:themeColor="text1"/>
          <w:szCs w:val="28"/>
        </w:rPr>
      </w:pPr>
    </w:p>
    <w:p w14:paraId="2079EA33" w14:textId="77777777" w:rsidR="00E25D5C" w:rsidRDefault="00E25D5C" w:rsidP="00E25D5C">
      <w:pPr>
        <w:spacing w:after="0" w:line="240" w:lineRule="auto"/>
        <w:ind w:firstLine="709"/>
        <w:rPr>
          <w:i/>
          <w:color w:val="000000" w:themeColor="text1"/>
          <w:szCs w:val="28"/>
        </w:rPr>
      </w:pPr>
      <w:r>
        <w:rPr>
          <w:i/>
          <w:color w:val="000000" w:themeColor="text1"/>
          <w:szCs w:val="28"/>
        </w:rPr>
        <w:t>Ампутации нижних конечностей</w:t>
      </w:r>
    </w:p>
    <w:p w14:paraId="001A6F49"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 xml:space="preserve">В долгосрочных клинических исследованиях другого ингибитора SGLТ2 наблюдалось увеличение частоты ампутаций нижних конечностей (преимущественно пальцев стоп). Неизвестно, является ли это эффектом, характерным для всего класса препаратов. Как и для всех пациентов с СД, важно рекомендовать регулярный профилактический уход за стопами. </w:t>
      </w:r>
    </w:p>
    <w:p w14:paraId="112C054F" w14:textId="77777777" w:rsidR="00E25D5C" w:rsidRDefault="00E25D5C" w:rsidP="00E25D5C">
      <w:pPr>
        <w:pStyle w:val="BodyText"/>
        <w:spacing w:after="0" w:line="240" w:lineRule="auto"/>
        <w:ind w:firstLine="709"/>
        <w:rPr>
          <w:color w:val="000000" w:themeColor="text1"/>
          <w:szCs w:val="28"/>
        </w:rPr>
      </w:pPr>
    </w:p>
    <w:p w14:paraId="60D46D9B" w14:textId="77777777" w:rsidR="00E25D5C" w:rsidRDefault="00E25D5C" w:rsidP="00E25D5C">
      <w:pPr>
        <w:pStyle w:val="BodyText"/>
        <w:spacing w:after="0" w:line="240" w:lineRule="auto"/>
        <w:ind w:firstLine="709"/>
        <w:rPr>
          <w:color w:val="000000" w:themeColor="text1"/>
          <w:szCs w:val="28"/>
        </w:rPr>
      </w:pPr>
      <w:r>
        <w:rPr>
          <w:i/>
          <w:color w:val="000000" w:themeColor="text1"/>
          <w:szCs w:val="28"/>
        </w:rPr>
        <w:t>Поражение печени</w:t>
      </w:r>
    </w:p>
    <w:p w14:paraId="507DCD92"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В ходе клинических исследований были получены сообщения о случаях поражения печени у пациентов, получавших эмпаглифлозин. Причинно-следственная взаимосвязь между применением эмпаглифлозина и поражением печени не установлена.</w:t>
      </w:r>
    </w:p>
    <w:p w14:paraId="05444C89" w14:textId="77777777" w:rsidR="00E25D5C" w:rsidRDefault="00E25D5C" w:rsidP="00E25D5C">
      <w:pPr>
        <w:spacing w:after="0" w:line="240" w:lineRule="auto"/>
        <w:ind w:firstLine="709"/>
        <w:rPr>
          <w:i/>
          <w:color w:val="000000" w:themeColor="text1"/>
          <w:szCs w:val="28"/>
        </w:rPr>
      </w:pPr>
    </w:p>
    <w:p w14:paraId="2838C5DD" w14:textId="77777777" w:rsidR="00E25D5C" w:rsidRDefault="00E25D5C" w:rsidP="00E25D5C">
      <w:pPr>
        <w:spacing w:after="0" w:line="240" w:lineRule="auto"/>
        <w:ind w:firstLine="709"/>
        <w:rPr>
          <w:i/>
          <w:color w:val="000000" w:themeColor="text1"/>
          <w:szCs w:val="28"/>
        </w:rPr>
      </w:pPr>
      <w:r>
        <w:rPr>
          <w:i/>
          <w:color w:val="000000" w:themeColor="text1"/>
          <w:szCs w:val="28"/>
        </w:rPr>
        <w:t>Повышение гематокрита</w:t>
      </w:r>
    </w:p>
    <w:p w14:paraId="250B7B90"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Наблюдались случаи повышения гематокрита на фоне терапии эмпаглифлозином.</w:t>
      </w:r>
    </w:p>
    <w:p w14:paraId="449019B4" w14:textId="77777777" w:rsidR="00E25D5C" w:rsidRDefault="00E25D5C" w:rsidP="00E25D5C">
      <w:pPr>
        <w:spacing w:after="0" w:line="240" w:lineRule="auto"/>
        <w:ind w:firstLine="709"/>
        <w:rPr>
          <w:i/>
          <w:color w:val="000000" w:themeColor="text1"/>
          <w:szCs w:val="28"/>
        </w:rPr>
      </w:pPr>
    </w:p>
    <w:p w14:paraId="6736F8C9" w14:textId="77777777" w:rsidR="00E25D5C" w:rsidRDefault="00E25D5C" w:rsidP="00E25D5C">
      <w:pPr>
        <w:spacing w:after="0" w:line="240" w:lineRule="auto"/>
        <w:ind w:firstLine="709"/>
        <w:rPr>
          <w:i/>
          <w:color w:val="000000" w:themeColor="text1"/>
          <w:szCs w:val="28"/>
        </w:rPr>
      </w:pPr>
      <w:r>
        <w:rPr>
          <w:i/>
          <w:color w:val="000000" w:themeColor="text1"/>
          <w:szCs w:val="28"/>
        </w:rPr>
        <w:t>Хроническая болезнь почек</w:t>
      </w:r>
    </w:p>
    <w:p w14:paraId="42F33486"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Эмпаглифлозин применяли для лечения СД у пациентов с хронической болезнью почек (СКФ 30 мл/мин/1,73 м</w:t>
      </w:r>
      <w:r>
        <w:rPr>
          <w:color w:val="000000" w:themeColor="text1"/>
          <w:szCs w:val="28"/>
          <w:vertAlign w:val="superscript"/>
        </w:rPr>
        <w:t>2</w:t>
      </w:r>
      <w:r>
        <w:rPr>
          <w:color w:val="000000" w:themeColor="text1"/>
          <w:szCs w:val="28"/>
        </w:rPr>
        <w:t>) как с альбуминурией, так и без нее. У пациентов с альбуминурией польза терапии эмпаглифлозином может быть более выраженной.</w:t>
      </w:r>
    </w:p>
    <w:p w14:paraId="0732DC0A" w14:textId="77777777" w:rsidR="00E25D5C" w:rsidRDefault="00E25D5C" w:rsidP="00E25D5C">
      <w:pPr>
        <w:spacing w:after="0" w:line="240" w:lineRule="auto"/>
        <w:ind w:firstLine="709"/>
        <w:rPr>
          <w:i/>
          <w:color w:val="000000" w:themeColor="text1"/>
          <w:szCs w:val="28"/>
        </w:rPr>
      </w:pPr>
    </w:p>
    <w:p w14:paraId="07C52D4A" w14:textId="77777777" w:rsidR="00007FC4" w:rsidRDefault="00007FC4" w:rsidP="00E25D5C">
      <w:pPr>
        <w:spacing w:after="0" w:line="240" w:lineRule="auto"/>
        <w:ind w:firstLine="709"/>
        <w:rPr>
          <w:i/>
          <w:color w:val="000000" w:themeColor="text1"/>
          <w:szCs w:val="28"/>
        </w:rPr>
        <w:sectPr w:rsidR="00007FC4">
          <w:pgSz w:w="11906" w:h="16838"/>
          <w:pgMar w:top="1134" w:right="851" w:bottom="1134" w:left="1701" w:header="709" w:footer="709" w:gutter="0"/>
          <w:cols w:space="708"/>
          <w:docGrid w:linePitch="360"/>
        </w:sectPr>
      </w:pPr>
    </w:p>
    <w:p w14:paraId="45301990" w14:textId="3E84CD4F" w:rsidR="00E25D5C" w:rsidRDefault="00E25D5C" w:rsidP="00E25D5C">
      <w:pPr>
        <w:spacing w:after="0" w:line="240" w:lineRule="auto"/>
        <w:ind w:firstLine="709"/>
        <w:rPr>
          <w:i/>
          <w:color w:val="000000" w:themeColor="text1"/>
          <w:szCs w:val="28"/>
        </w:rPr>
      </w:pPr>
      <w:r>
        <w:rPr>
          <w:i/>
          <w:color w:val="000000" w:themeColor="text1"/>
          <w:szCs w:val="28"/>
        </w:rPr>
        <w:lastRenderedPageBreak/>
        <w:t>Инфильтративная кардиомиопатия и кардиомиопатия Такоцубо</w:t>
      </w:r>
    </w:p>
    <w:p w14:paraId="6151906A" w14:textId="77777777" w:rsidR="00E25D5C" w:rsidRDefault="00E25D5C" w:rsidP="00E25D5C">
      <w:pPr>
        <w:pStyle w:val="BodyText"/>
        <w:spacing w:after="0" w:line="240" w:lineRule="auto"/>
        <w:ind w:firstLine="709"/>
        <w:rPr>
          <w:color w:val="000000" w:themeColor="text1"/>
          <w:szCs w:val="28"/>
        </w:rPr>
      </w:pPr>
      <w:r>
        <w:rPr>
          <w:color w:val="000000" w:themeColor="text1"/>
          <w:szCs w:val="28"/>
        </w:rPr>
        <w:t>Пациенты с инфильтративной кардиомиопатией и кардиомиопатией Такоцубо специально не исследовались. Таким образом, эффективность у данных пациентов не установлена.</w:t>
      </w:r>
    </w:p>
    <w:p w14:paraId="111E09F4" w14:textId="77777777" w:rsidR="00E25D5C" w:rsidRDefault="00E25D5C" w:rsidP="00E25D5C">
      <w:pPr>
        <w:spacing w:after="0" w:line="240" w:lineRule="auto"/>
        <w:ind w:firstLine="709"/>
        <w:rPr>
          <w:i/>
          <w:color w:val="000000" w:themeColor="text1"/>
          <w:szCs w:val="28"/>
        </w:rPr>
      </w:pPr>
    </w:p>
    <w:p w14:paraId="48708824" w14:textId="77777777" w:rsidR="00E25D5C" w:rsidRDefault="00E25D5C" w:rsidP="00E25D5C">
      <w:pPr>
        <w:spacing w:after="0" w:line="240" w:lineRule="auto"/>
        <w:ind w:firstLine="709"/>
        <w:rPr>
          <w:i/>
          <w:color w:val="000000" w:themeColor="text1"/>
          <w:szCs w:val="28"/>
        </w:rPr>
      </w:pPr>
      <w:r>
        <w:rPr>
          <w:i/>
          <w:color w:val="000000" w:themeColor="text1"/>
          <w:szCs w:val="28"/>
        </w:rPr>
        <w:t>Результаты анализов мочи</w:t>
      </w:r>
    </w:p>
    <w:p w14:paraId="2023B741" w14:textId="77777777" w:rsidR="00E25D5C" w:rsidRDefault="00E25D5C" w:rsidP="00E25D5C">
      <w:pPr>
        <w:pStyle w:val="BodyText"/>
        <w:spacing w:after="0" w:line="240" w:lineRule="auto"/>
        <w:ind w:right="116" w:firstLine="709"/>
        <w:rPr>
          <w:color w:val="000000" w:themeColor="text1"/>
          <w:szCs w:val="28"/>
        </w:rPr>
      </w:pPr>
      <w:r>
        <w:rPr>
          <w:color w:val="000000" w:themeColor="text1"/>
          <w:szCs w:val="28"/>
        </w:rPr>
        <w:t>Из-за механизма действия препарата результаты анализа мочи на глюкозу у пациентов, принимающих эмпаглифлозин, будут положительными.</w:t>
      </w:r>
    </w:p>
    <w:p w14:paraId="1539FADA" w14:textId="77777777" w:rsidR="00E25D5C" w:rsidRDefault="00E25D5C" w:rsidP="00E25D5C">
      <w:pPr>
        <w:spacing w:after="0" w:line="240" w:lineRule="auto"/>
        <w:ind w:firstLine="709"/>
        <w:rPr>
          <w:color w:val="000000" w:themeColor="text1"/>
          <w:szCs w:val="28"/>
        </w:rPr>
      </w:pPr>
      <w:r>
        <w:rPr>
          <w:color w:val="000000" w:themeColor="text1"/>
          <w:szCs w:val="28"/>
        </w:rPr>
        <w:t>Влияние на результаты количественного определения 1,5-ангидроглюцитола (1,5-AG) Оценка гликемического контроля с помощью анализа 1,5-AG не рекомендуется, поскольку измерение 1,5-AG является ненадежным методом оценки гликемического контроля у пациентов, получающих ингибиторы SGLТ2. Рекомендовано применение альтернативных методов контроля гликемии.</w:t>
      </w:r>
    </w:p>
    <w:p w14:paraId="6C59468C" w14:textId="77777777" w:rsidR="00E25D5C" w:rsidRDefault="00E25D5C" w:rsidP="00E25D5C">
      <w:pPr>
        <w:spacing w:after="0" w:line="240" w:lineRule="auto"/>
        <w:ind w:firstLine="709"/>
        <w:rPr>
          <w:color w:val="000000" w:themeColor="text1"/>
          <w:szCs w:val="28"/>
        </w:rPr>
      </w:pPr>
    </w:p>
    <w:p w14:paraId="37F46265" w14:textId="77777777" w:rsidR="00E25D5C" w:rsidRPr="002604EF" w:rsidRDefault="00E25D5C" w:rsidP="00E25D5C">
      <w:pPr>
        <w:spacing w:after="0" w:line="240" w:lineRule="auto"/>
        <w:ind w:firstLine="709"/>
        <w:rPr>
          <w:i/>
          <w:iCs/>
          <w:color w:val="000000" w:themeColor="text1"/>
          <w:szCs w:val="28"/>
        </w:rPr>
      </w:pPr>
      <w:r w:rsidRPr="002604EF">
        <w:rPr>
          <w:i/>
          <w:iCs/>
          <w:color w:val="000000" w:themeColor="text1"/>
          <w:szCs w:val="28"/>
        </w:rPr>
        <w:t>Лактоза</w:t>
      </w:r>
    </w:p>
    <w:p w14:paraId="356F8825" w14:textId="77777777" w:rsidR="00E25D5C" w:rsidRDefault="00E25D5C" w:rsidP="00E25D5C">
      <w:pPr>
        <w:pStyle w:val="BodyText"/>
        <w:spacing w:after="0" w:line="240" w:lineRule="auto"/>
        <w:ind w:right="206" w:firstLine="709"/>
        <w:rPr>
          <w:color w:val="000000" w:themeColor="text1"/>
          <w:szCs w:val="28"/>
        </w:rPr>
      </w:pPr>
      <w:r>
        <w:rPr>
          <w:color w:val="000000" w:themeColor="text1"/>
          <w:szCs w:val="28"/>
        </w:rPr>
        <w:t>Таблетки содержат лактозу. Пациентам с редкими наследственными заболеваниями в виде непереносимости галактозы, дефицита лактазы, синдрома глюкозо-галактозной мальабсорбции не следует применять данный лекарственный препарат.</w:t>
      </w:r>
    </w:p>
    <w:p w14:paraId="12C6C9E9" w14:textId="77777777" w:rsidR="00E25D5C" w:rsidRDefault="00E25D5C" w:rsidP="00E25D5C">
      <w:pPr>
        <w:spacing w:after="0" w:line="240" w:lineRule="auto"/>
        <w:ind w:firstLine="709"/>
        <w:rPr>
          <w:color w:val="000000" w:themeColor="text1"/>
          <w:szCs w:val="28"/>
        </w:rPr>
      </w:pPr>
    </w:p>
    <w:p w14:paraId="6F3CBAA5" w14:textId="77777777" w:rsidR="00E25D5C" w:rsidRPr="002604EF" w:rsidRDefault="00E25D5C" w:rsidP="00E25D5C">
      <w:pPr>
        <w:spacing w:after="0" w:line="240" w:lineRule="auto"/>
        <w:ind w:firstLine="709"/>
        <w:rPr>
          <w:i/>
          <w:iCs/>
          <w:color w:val="000000" w:themeColor="text1"/>
          <w:szCs w:val="28"/>
        </w:rPr>
      </w:pPr>
      <w:r w:rsidRPr="002604EF">
        <w:rPr>
          <w:i/>
          <w:iCs/>
          <w:color w:val="000000" w:themeColor="text1"/>
          <w:szCs w:val="28"/>
        </w:rPr>
        <w:t>Натрий</w:t>
      </w:r>
    </w:p>
    <w:p w14:paraId="51268D7C" w14:textId="192544A8" w:rsidR="00C035FA" w:rsidRDefault="00E25D5C" w:rsidP="000C7F59">
      <w:pPr>
        <w:spacing w:after="0" w:line="240" w:lineRule="auto"/>
        <w:ind w:firstLine="709"/>
        <w:rPr>
          <w:color w:val="000000" w:themeColor="text1"/>
          <w:szCs w:val="28"/>
        </w:rPr>
      </w:pPr>
      <w:r>
        <w:rPr>
          <w:color w:val="000000" w:themeColor="text1"/>
          <w:szCs w:val="28"/>
        </w:rPr>
        <w:t>Каждая таблетка содержит менее 1 ммоль натрия (23 мг), тоесть, по сути, не содержит натрия</w:t>
      </w:r>
      <w:r w:rsidR="000C7F59">
        <w:rPr>
          <w:color w:val="000000" w:themeColor="text1"/>
          <w:szCs w:val="28"/>
        </w:rPr>
        <w:t>.</w:t>
      </w:r>
    </w:p>
    <w:p w14:paraId="4F0EA497" w14:textId="3E1261C6" w:rsidR="00C035FA" w:rsidRDefault="008D5756">
      <w:pPr>
        <w:pStyle w:val="Heading3"/>
        <w:spacing w:after="240" w:line="240" w:lineRule="auto"/>
        <w:rPr>
          <w:rFonts w:ascii="Times New Roman" w:hAnsi="Times New Roman"/>
          <w:color w:val="000000" w:themeColor="text1"/>
        </w:rPr>
      </w:pPr>
      <w:bookmarkStart w:id="209" w:name="_Toc139366908"/>
      <w:r>
        <w:rPr>
          <w:rFonts w:ascii="Times New Roman" w:hAnsi="Times New Roman"/>
          <w:color w:val="000000" w:themeColor="text1"/>
        </w:rPr>
        <w:t>5.3.9 Влияние на способность управлять транспортными средствами и механизмами</w:t>
      </w:r>
      <w:bookmarkEnd w:id="208"/>
      <w:bookmarkEnd w:id="209"/>
    </w:p>
    <w:p w14:paraId="1C644562" w14:textId="0A54D6F2" w:rsidR="00D2555D" w:rsidRDefault="008D5756" w:rsidP="00007FC4">
      <w:pPr>
        <w:tabs>
          <w:tab w:val="left" w:pos="8647"/>
        </w:tabs>
        <w:spacing w:after="0" w:line="240" w:lineRule="auto"/>
        <w:ind w:firstLine="709"/>
        <w:rPr>
          <w:szCs w:val="28"/>
        </w:rPr>
      </w:pPr>
      <w:r>
        <w:rPr>
          <w:szCs w:val="28"/>
        </w:rPr>
        <w:t>Препарат оказывает незначительное влияние на способность управлять транспортными средствами и механизмами. Следует соблюдать осторожность во избежание гипогликемии во время управления транспортными средствами и работы с механизмами, особенно при применении эмпаглифлозина в комбинации с препаратами сульфонилмочевины и/или инсулином.</w:t>
      </w:r>
    </w:p>
    <w:p w14:paraId="479B1230" w14:textId="77777777" w:rsidR="00C035FA" w:rsidRDefault="008D5756">
      <w:pPr>
        <w:pStyle w:val="Heading1"/>
        <w:spacing w:line="240" w:lineRule="auto"/>
        <w:rPr>
          <w:rStyle w:val="src"/>
          <w:rFonts w:cs="Times New Roman"/>
          <w:color w:val="000000" w:themeColor="text1"/>
          <w:szCs w:val="24"/>
        </w:rPr>
      </w:pPr>
      <w:bookmarkStart w:id="210" w:name="_Toc139366909"/>
      <w:r>
        <w:rPr>
          <w:rStyle w:val="src"/>
          <w:rFonts w:cs="Times New Roman"/>
          <w:color w:val="000000" w:themeColor="text1"/>
          <w:szCs w:val="24"/>
        </w:rPr>
        <w:t>6. ЗАКЛЮЧЕНИЕ</w:t>
      </w:r>
      <w:bookmarkEnd w:id="210"/>
    </w:p>
    <w:p w14:paraId="23158FBC" w14:textId="77777777" w:rsidR="00C035FA" w:rsidRDefault="008D5756">
      <w:pPr>
        <w:autoSpaceDE w:val="0"/>
        <w:autoSpaceDN w:val="0"/>
        <w:adjustRightInd w:val="0"/>
        <w:spacing w:after="0" w:line="240" w:lineRule="auto"/>
        <w:ind w:firstLine="709"/>
      </w:pPr>
      <w:r>
        <w:t>Эмпаглифлозин является обратимым, высокоактивным, селективным и конкурентным ингибитором SGLT2. Механизм действия данного препарата основан на ингибировании белка SGLT2, ответственного за реабсорбцию глюкозы в проксимальных канальцах почек, где происходит 90% реабсорбции глюкозы. При ингибировании этого белка возникает искусственная глюкозурия, что и обеспечивает гипогликемический эффект. С учетом инсулиннезависимого сахароснижающего действия эмпаглифлозин не вызывает гипогликемии, а, кроме того, обладает умеренным положительным влиянием на артериальное давление, вес, демонстрирует урикозурический эффект и повышает осмотический диурез.</w:t>
      </w:r>
    </w:p>
    <w:p w14:paraId="0D37E00A" w14:textId="4B0F013F" w:rsidR="00C035FA" w:rsidRDefault="008D5756">
      <w:pPr>
        <w:spacing w:after="0" w:line="240" w:lineRule="auto"/>
        <w:ind w:firstLine="709"/>
        <w:rPr>
          <w:rFonts w:eastAsia="Times New Roman"/>
          <w:shd w:val="clear" w:color="auto" w:fill="FFFFFF"/>
        </w:rPr>
      </w:pPr>
      <w:r>
        <w:rPr>
          <w:lang w:eastAsia="ru-RU"/>
        </w:rPr>
        <w:t>Эмпаглифлозин продемонстрировал низкую токсичность. LD</w:t>
      </w:r>
      <w:r>
        <w:rPr>
          <w:vertAlign w:val="subscript"/>
          <w:lang w:eastAsia="ru-RU"/>
        </w:rPr>
        <w:t>50</w:t>
      </w:r>
      <w:r>
        <w:rPr>
          <w:lang w:eastAsia="ru-RU"/>
        </w:rPr>
        <w:t xml:space="preserve"> эмпаглифлозина у мышей и крыс превышала 2000 мг/кг</w:t>
      </w:r>
      <w:r>
        <w:rPr>
          <w:shd w:val="clear" w:color="auto" w:fill="FFFFFF"/>
        </w:rPr>
        <w:t xml:space="preserve">. </w:t>
      </w:r>
      <w:r>
        <w:t xml:space="preserve">В долгосрочных исследованиях токсичности у грызунов и собак признаки токсичности наблюдались при более высоких дозах, что соответствует 10-кратному увеличению клинической дозы эмпаглифлозина 25 мг для человека на основе AUC. Большая часть токсичности соответствовала вторичной фармакологии, связанной с потерей глюкозы с мочой и дисбалансом электролитов, включая </w:t>
      </w:r>
      <w:r>
        <w:lastRenderedPageBreak/>
        <w:t xml:space="preserve">снижение массы тела и жировых отложений, повышенное потребление пищи, диарея, обезвоживание, снижение уровня глюкозы в сыворотке крови и увеличение других параметров сыворотки, отражающих повышенный белковый обмен и глюконеогенез, изменения мочи, такие как полиурия и глюкозурия, и микроскопические изменения, включая минерализацию в почках. Микроскопические признаки воздействия на почки, наблюдаемые у некоторых видов, включали дилатацию канальцев и тубулярную и тазовую минерализацию, что примерно в 4 раза выше клинической экспозиции эмпаглифлозина в дозе 25 мг. Эмпаглифлозин не генотоксичен. </w:t>
      </w:r>
      <w:r>
        <w:rPr>
          <w:rFonts w:eastAsia="Times New Roman"/>
          <w:shd w:val="clear" w:color="auto" w:fill="FFFFFF"/>
        </w:rPr>
        <w:t>Не отмечено генотоксического, канцерогенного и тератогенного потенциала. Не выявлено влияния на фертильность.</w:t>
      </w:r>
    </w:p>
    <w:p w14:paraId="339A90B6" w14:textId="77777777" w:rsidR="00C035FA" w:rsidRDefault="008D5756">
      <w:pPr>
        <w:spacing w:after="0" w:line="240" w:lineRule="auto"/>
        <w:ind w:firstLine="709"/>
        <w:rPr>
          <w:rFonts w:eastAsia="Calibri"/>
        </w:rPr>
      </w:pPr>
      <w:r>
        <w:rPr>
          <w:rFonts w:eastAsia="Calibri"/>
        </w:rPr>
        <w:t>В клинической практике эмпаглифлозин используется с 2014 года. Препарат применяется для лечения сахарного диабета 2 типа и хронической сердечной недостаточности.</w:t>
      </w:r>
    </w:p>
    <w:p w14:paraId="4BAE6EFB" w14:textId="77777777" w:rsidR="00C035FA" w:rsidRDefault="008D5756">
      <w:pPr>
        <w:spacing w:after="0" w:line="240" w:lineRule="auto"/>
        <w:ind w:firstLine="709"/>
        <w:rPr>
          <w:rFonts w:eastAsia="Calibri"/>
          <w:color w:val="000000" w:themeColor="text1"/>
        </w:rPr>
      </w:pPr>
      <w:r>
        <w:t>По результатам исследования №1245.20 на 24-й неделе скорректированное среднее изменение (SE) HbA1c по сравнению с исходным уровнем на 24-й неделе составило -0,08 (0,05)%, -0,66 (0,05)% и -0,78 (0,05)% для плацебо, эмпаглифлозина 10 мг один раз в день и эмпаглифлозин 25 мг 1 раз в сутки соответственно. Соответственно, разница по сравнению с плацебо для скорректированного среднего изменения (95% ДИ) HbA1c от исходного уровня на 24 неделе составила -0,74 (-0,88, -0,59) % для группы, принимавшей 10 мг эмпаглифлозина один раз в сутки, и -0,85 (-0,99, -0,71) % для группы, принимавшей 25 мг эмпаглифлозина один раз в сутки, демонстрируя численно более высокое снижение HbA1c в последней группе. Доля субъектов, достигших целевого уровня HbA1c &lt;7,0% к 24-й неделе, была выше в группе, принимавшей 25 мг один раз в день (43,6%), чем в группе, принимавшей 10 мг один раз в день (35,3%), и в обоих случаях выше, чем в группе плацебо</w:t>
      </w:r>
      <w:r>
        <w:rPr>
          <w:rFonts w:eastAsia="Calibri"/>
          <w:color w:val="000000" w:themeColor="text1"/>
        </w:rPr>
        <w:t>.</w:t>
      </w:r>
    </w:p>
    <w:p w14:paraId="7DE47D5B" w14:textId="6529868B" w:rsidR="00C035FA" w:rsidRPr="000C7F59" w:rsidRDefault="008D5756">
      <w:pPr>
        <w:spacing w:after="0" w:line="240" w:lineRule="auto"/>
        <w:ind w:firstLine="709"/>
        <w:rPr>
          <w:rFonts w:eastAsia="Calibri"/>
          <w:color w:val="000000" w:themeColor="text1"/>
        </w:rPr>
      </w:pPr>
      <w:r>
        <w:t>В исследовании EMPA-REG МОНО монотерапии эмпаглифлозином 10 мг или 25 мг, снижение уровня HbA1c на 24-й неделе были сходными при двух дозах эмпаглифлозина и ситаглиптина 100 мг однократно ежедневно, но наблюдалось снижение массы тела при обеих дозах эмпаглифлозина, но не при применении ситаглиптина</w:t>
      </w:r>
      <w:r w:rsidR="000C7F59" w:rsidRPr="000C7F59">
        <w:t>.</w:t>
      </w:r>
    </w:p>
    <w:p w14:paraId="41A9F4A9" w14:textId="606C7DED" w:rsidR="00C035FA" w:rsidRDefault="008D5756">
      <w:pPr>
        <w:spacing w:after="0" w:line="240" w:lineRule="auto"/>
        <w:ind w:firstLine="709"/>
      </w:pPr>
      <w:r>
        <w:t xml:space="preserve">В рандомизированном двойном слепом плацебо-контролируемом исследовании EMPA-REG OUTCOME было показано, что </w:t>
      </w:r>
      <w:r w:rsidR="00D2555D">
        <w:t>у пациентов</w:t>
      </w:r>
      <w:r>
        <w:t xml:space="preserve"> с СД 2 типа и  сопутствующими ССЗ применение эмпаглифлозина привело к  снижению на 35% риска госпитализаций по причине декомпенсации ХСН, а также (в анализах подгрупп) к улучшению ряда исходов ХСН, таких как риск первого введения петлевых диуретиков, риск повторной госпитализации по причине ХСН.</w:t>
      </w:r>
    </w:p>
    <w:p w14:paraId="301BC0C0" w14:textId="77777777" w:rsidR="00C035FA" w:rsidRDefault="008D5756">
      <w:pPr>
        <w:spacing w:after="0" w:line="240" w:lineRule="auto"/>
        <w:ind w:firstLine="709"/>
      </w:pPr>
      <w:r>
        <w:t>Важным является эффект иНГЛТ-2 на сохранение почечной функции и предотвращение развития терминальной стадия хронической болезни почек или стойкого снижения скорости клубочковой фильтрации (СКФ) независимо от наличия СД2.</w:t>
      </w:r>
    </w:p>
    <w:p w14:paraId="33BE58EC" w14:textId="77777777" w:rsidR="00C035FA" w:rsidRDefault="008D5756">
      <w:pPr>
        <w:spacing w:after="0" w:line="240" w:lineRule="auto"/>
        <w:ind w:firstLine="709"/>
      </w:pPr>
      <w:r>
        <w:t>В связи с этим большой практический интерес имеют программы исследований эмпаглифлозина EMPEROR-Reduced и EMPEROR-Preserved. Исследование EMPEROR-Reduced включило 3730 пациентов с ХСН и ФВ ЛЖ 40% и менее, а исследование EMPEROR-Preserved включило 5988 пациентов с ФВ ЛЖ более 40%. Результаты проведенных исследований показывают, что эмпаглифлозин эффективен в снижении риска сердечно-сосудистой смерти и госпитализации по причине СН у пациентов с СД 2 типа и ССЗ, причем эти эффекты сохраняются в различных подгруппах пациентов.</w:t>
      </w:r>
    </w:p>
    <w:p w14:paraId="2866210A" w14:textId="77777777" w:rsidR="00C035FA" w:rsidRDefault="008D5756">
      <w:pPr>
        <w:spacing w:after="0" w:line="240" w:lineRule="auto"/>
        <w:ind w:firstLine="709"/>
      </w:pPr>
      <w:r>
        <w:t xml:space="preserve">Эмпаглифлозин имеет благоприятный профиль безопасности. По результатам EMPEROR-Reduced эмпаглифлозин продемонстрировал благоприятный профиль безопасности, т.к. не было зафиксировано ни одного случая кетоацидоза, а частота гипогликемий была сопоставима с плацебо. Кроме того, отсутствовали клинически </w:t>
      </w:r>
      <w:r>
        <w:lastRenderedPageBreak/>
        <w:t>значимые различия с группой плацебо по частоте нежелательных явлений, включая гиповолемию, гипотонию, нарушение функции почек, гиперкалиемию.</w:t>
      </w:r>
    </w:p>
    <w:p w14:paraId="710E4529" w14:textId="20756F7C" w:rsidR="00C035FA" w:rsidRDefault="008D5756">
      <w:pPr>
        <w:spacing w:after="0" w:line="240" w:lineRule="auto"/>
        <w:ind w:firstLine="709"/>
        <w:rPr>
          <w:lang w:eastAsia="zh-CN"/>
        </w:rPr>
      </w:pPr>
      <w:r>
        <w:rPr>
          <w:lang w:eastAsia="zh-CN"/>
        </w:rPr>
        <w:t xml:space="preserve">Согласно </w:t>
      </w:r>
      <w:r w:rsidR="00D2555D">
        <w:rPr>
          <w:lang w:eastAsia="zh-CN"/>
        </w:rPr>
        <w:t xml:space="preserve">результатам </w:t>
      </w:r>
      <w:r>
        <w:rPr>
          <w:lang w:eastAsia="zh-CN"/>
        </w:rPr>
        <w:t>исследовани</w:t>
      </w:r>
      <w:r w:rsidR="00D2555D">
        <w:rPr>
          <w:lang w:eastAsia="zh-CN"/>
        </w:rPr>
        <w:t>я</w:t>
      </w:r>
      <w:r>
        <w:rPr>
          <w:lang w:eastAsia="zh-CN"/>
        </w:rPr>
        <w:t xml:space="preserve"> EMPA-RESPONSE-AHF</w:t>
      </w:r>
      <w:r w:rsidR="00D2555D">
        <w:rPr>
          <w:lang w:eastAsia="zh-CN"/>
        </w:rPr>
        <w:t>,</w:t>
      </w:r>
      <w:r>
        <w:rPr>
          <w:lang w:eastAsia="zh-CN"/>
        </w:rPr>
        <w:t xml:space="preserve"> частота побочных эффектов между группами значимо не различалась, но частота сердечно-сосудистых неблагоприятных событий значимо меньше среди пациентов, принимавших эмпаглифлозин (23% vs 44%; р=0,046).</w:t>
      </w:r>
    </w:p>
    <w:p w14:paraId="0FAB3A36" w14:textId="2E696494" w:rsidR="000C7F59" w:rsidRPr="00007FC4" w:rsidRDefault="00FF7A78" w:rsidP="00007FC4">
      <w:pPr>
        <w:spacing w:after="0" w:line="240" w:lineRule="auto"/>
        <w:ind w:firstLine="709"/>
        <w:rPr>
          <w:color w:val="000000" w:themeColor="text1"/>
        </w:rPr>
      </w:pPr>
      <w:r w:rsidRPr="00FF7A78">
        <w:rPr>
          <w:lang w:val="en-US" w:eastAsia="ru-RU"/>
        </w:rPr>
        <w:t>DT</w:t>
      </w:r>
      <w:r w:rsidRPr="00FF7A78">
        <w:rPr>
          <w:lang w:eastAsia="ru-RU"/>
        </w:rPr>
        <w:t>-</w:t>
      </w:r>
      <w:r w:rsidRPr="00FF7A78">
        <w:rPr>
          <w:lang w:val="en-US" w:eastAsia="ru-RU"/>
        </w:rPr>
        <w:t>EMP</w:t>
      </w:r>
      <w:r w:rsidR="005574F0" w:rsidRPr="00FF7A78">
        <w:rPr>
          <w:color w:val="000000" w:themeColor="text1"/>
        </w:rPr>
        <w:t xml:space="preserve">, </w:t>
      </w:r>
      <w:r w:rsidR="005574F0" w:rsidRPr="00FF7A78">
        <w:t>таблетки,</w:t>
      </w:r>
      <w:r w:rsidRPr="00FF7A78">
        <w:t xml:space="preserve"> покрытые пленочной оболочкой, 10 и</w:t>
      </w:r>
      <w:r w:rsidR="005574F0" w:rsidRPr="00FF7A78">
        <w:t xml:space="preserve"> </w:t>
      </w:r>
      <w:r w:rsidRPr="00FF7A78">
        <w:t>2</w:t>
      </w:r>
      <w:r w:rsidR="005574F0" w:rsidRPr="00FF7A78">
        <w:t>5 мг</w:t>
      </w:r>
      <w:r w:rsidR="005574F0" w:rsidRPr="00FF7A78">
        <w:rPr>
          <w:color w:val="000000" w:themeColor="text1"/>
        </w:rPr>
        <w:t xml:space="preserve"> (</w:t>
      </w:r>
      <w:r w:rsidR="005574F0" w:rsidRPr="00FF7A78">
        <w:rPr>
          <w:lang w:eastAsia="ru-RU"/>
        </w:rPr>
        <w:t>АО «Р-Фарм», Россия</w:t>
      </w:r>
      <w:r w:rsidR="005574F0" w:rsidRPr="00FF7A78">
        <w:rPr>
          <w:color w:val="000000" w:themeColor="text1"/>
        </w:rPr>
        <w:t>) представляет собой воспроизведенный препарат по отношению к референтному препарату</w:t>
      </w:r>
      <w:r w:rsidRPr="00FF7A78">
        <w:rPr>
          <w:color w:val="000000" w:themeColor="text1"/>
        </w:rPr>
        <w:t xml:space="preserve"> эмпаглифлозина</w:t>
      </w:r>
      <w:r w:rsidR="005574F0" w:rsidRPr="00FF7A78">
        <w:rPr>
          <w:color w:val="000000" w:themeColor="text1"/>
        </w:rPr>
        <w:t xml:space="preserve"> </w:t>
      </w:r>
      <w:r w:rsidR="00A94B3C">
        <w:rPr>
          <w:color w:val="000000" w:themeColor="text1"/>
        </w:rPr>
        <w:t>–</w:t>
      </w:r>
      <w:r w:rsidR="005574F0" w:rsidRPr="00FF7A78">
        <w:rPr>
          <w:color w:val="000000" w:themeColor="text1"/>
        </w:rPr>
        <w:t xml:space="preserve"> </w:t>
      </w:r>
      <w:r w:rsidRPr="00FF7A78">
        <w:t>Джардинс</w:t>
      </w:r>
      <w:r w:rsidR="005574F0" w:rsidRPr="00FF7A78">
        <w:rPr>
          <w:vertAlign w:val="superscript"/>
        </w:rPr>
        <w:t>®</w:t>
      </w:r>
      <w:r w:rsidR="005574F0" w:rsidRPr="00FF7A78">
        <w:t xml:space="preserve">, </w:t>
      </w:r>
      <w:r w:rsidRPr="00FF7A78">
        <w:t>таблетки, покрытые пленочной оболочкой, 10 и 25 мг</w:t>
      </w:r>
      <w:r w:rsidRPr="00FF7A78">
        <w:rPr>
          <w:color w:val="000000" w:themeColor="text1"/>
        </w:rPr>
        <w:t xml:space="preserve"> </w:t>
      </w:r>
      <w:r w:rsidR="005574F0" w:rsidRPr="00FF7A78">
        <w:t>(</w:t>
      </w:r>
      <w:r w:rsidR="00112929">
        <w:rPr>
          <w:rFonts w:eastAsia="Calibri"/>
          <w:bCs/>
        </w:rPr>
        <w:t>Берингер Ингельхайм Интернешнл ГмбХ</w:t>
      </w:r>
      <w:r w:rsidRPr="00FF7A78">
        <w:rPr>
          <w:rFonts w:eastAsia="Calibri"/>
          <w:bCs/>
        </w:rPr>
        <w:t>, Германия</w:t>
      </w:r>
      <w:r w:rsidR="005574F0" w:rsidRPr="00FF7A78">
        <w:t>)</w:t>
      </w:r>
      <w:r w:rsidR="005574F0" w:rsidRPr="00FF7A78">
        <w:rPr>
          <w:color w:val="000000" w:themeColor="text1"/>
        </w:rPr>
        <w:t xml:space="preserve">. Он полностью соответствует по качественному и количественному составу действующего и вспомогательных веществ, дозировке и форме выпуска препарату </w:t>
      </w:r>
      <w:r w:rsidRPr="00FF7A78">
        <w:t>Джардинс</w:t>
      </w:r>
      <w:r w:rsidR="005574F0" w:rsidRPr="00FF7A78">
        <w:rPr>
          <w:vertAlign w:val="superscript"/>
        </w:rPr>
        <w:t>®</w:t>
      </w:r>
      <w:r w:rsidR="005574F0" w:rsidRPr="00FF7A78">
        <w:rPr>
          <w:color w:val="000000" w:themeColor="text1"/>
        </w:rPr>
        <w:t>, 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72150FB7" w14:textId="77777777" w:rsidR="000C7F59" w:rsidRPr="00284823" w:rsidRDefault="000C7F59" w:rsidP="000C7F59">
      <w:pPr>
        <w:keepNext/>
        <w:spacing w:before="240" w:after="240" w:line="240" w:lineRule="auto"/>
        <w:outlineLvl w:val="0"/>
        <w:rPr>
          <w:b/>
          <w:bCs/>
          <w:color w:val="000000" w:themeColor="text1"/>
          <w:kern w:val="32"/>
        </w:rPr>
      </w:pPr>
      <w:bookmarkStart w:id="211" w:name="_Toc112015005"/>
      <w:bookmarkStart w:id="212" w:name="_Toc115217996"/>
      <w:bookmarkStart w:id="213" w:name="_Toc120471455"/>
      <w:bookmarkStart w:id="214" w:name="_Toc139366910"/>
      <w:r w:rsidRPr="00284823">
        <w:rPr>
          <w:b/>
          <w:bCs/>
          <w:color w:val="000000" w:themeColor="text1"/>
          <w:kern w:val="32"/>
        </w:rPr>
        <w:t>ПРИЛОЖЕНИЯ</w:t>
      </w:r>
      <w:bookmarkEnd w:id="211"/>
      <w:bookmarkEnd w:id="212"/>
      <w:bookmarkEnd w:id="213"/>
      <w:bookmarkEnd w:id="214"/>
      <w:r w:rsidRPr="00284823">
        <w:rPr>
          <w:b/>
          <w:bCs/>
          <w:color w:val="000000" w:themeColor="text1"/>
          <w:kern w:val="32"/>
        </w:rPr>
        <w:t xml:space="preserve"> </w:t>
      </w:r>
    </w:p>
    <w:p w14:paraId="2D08E4A1" w14:textId="77777777" w:rsidR="000C7F59" w:rsidRPr="00284823" w:rsidRDefault="000C7F59" w:rsidP="000C7F59">
      <w:pPr>
        <w:keepNext/>
        <w:spacing w:after="0" w:line="240" w:lineRule="auto"/>
        <w:ind w:firstLine="709"/>
        <w:rPr>
          <w:color w:val="000000" w:themeColor="text1"/>
        </w:rPr>
      </w:pPr>
      <w:r w:rsidRPr="00284823">
        <w:rPr>
          <w:bCs/>
          <w:color w:val="000000" w:themeColor="text1"/>
          <w:kern w:val="32"/>
        </w:rPr>
        <w:t>Не применимо.</w:t>
      </w:r>
    </w:p>
    <w:p w14:paraId="12FE172B" w14:textId="77777777" w:rsidR="00C035FA" w:rsidRDefault="00C035FA">
      <w:pPr>
        <w:spacing w:after="0" w:line="240" w:lineRule="auto"/>
        <w:ind w:firstLine="708"/>
        <w:rPr>
          <w:color w:val="000000"/>
        </w:rPr>
      </w:pPr>
    </w:p>
    <w:sectPr w:rsidR="00C035F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F259" w14:textId="77777777" w:rsidR="004276B7" w:rsidRDefault="004276B7">
      <w:pPr>
        <w:spacing w:line="240" w:lineRule="auto"/>
      </w:pPr>
      <w:r>
        <w:separator/>
      </w:r>
    </w:p>
    <w:p w14:paraId="29C200B2" w14:textId="77777777" w:rsidR="004276B7" w:rsidRDefault="004276B7"/>
  </w:endnote>
  <w:endnote w:type="continuationSeparator" w:id="0">
    <w:p w14:paraId="59DCF298" w14:textId="77777777" w:rsidR="004276B7" w:rsidRDefault="004276B7">
      <w:pPr>
        <w:spacing w:line="240" w:lineRule="auto"/>
      </w:pPr>
      <w:r>
        <w:continuationSeparator/>
      </w:r>
    </w:p>
    <w:p w14:paraId="0C539986" w14:textId="77777777" w:rsidR="004276B7" w:rsidRDefault="00427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81"/>
    <w:family w:val="auto"/>
    <w:notTrueType/>
    <w:pitch w:val="default"/>
    <w:sig w:usb0="00000000" w:usb1="09060000" w:usb2="00000010" w:usb3="00000000" w:csb0="0008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C454" w14:textId="77777777" w:rsidR="00035195" w:rsidRDefault="00035195">
    <w:pPr>
      <w:spacing w:after="0"/>
      <w:rPr>
        <w:sz w:val="20"/>
      </w:rPr>
    </w:pPr>
  </w:p>
  <w:tbl>
    <w:tblPr>
      <w:tblW w:w="9498" w:type="dxa"/>
      <w:tblInd w:w="-142" w:type="dxa"/>
      <w:tblLook w:val="04A0" w:firstRow="1" w:lastRow="0" w:firstColumn="1" w:lastColumn="0" w:noHBand="0" w:noVBand="1"/>
    </w:tblPr>
    <w:tblGrid>
      <w:gridCol w:w="3261"/>
      <w:gridCol w:w="3544"/>
      <w:gridCol w:w="2693"/>
    </w:tblGrid>
    <w:tr w:rsidR="00035195" w14:paraId="45DFAEA7" w14:textId="77777777">
      <w:tc>
        <w:tcPr>
          <w:tcW w:w="3261" w:type="dxa"/>
        </w:tcPr>
        <w:p w14:paraId="167CCADF" w14:textId="77777777" w:rsidR="00035195" w:rsidRDefault="00035195">
          <w:pPr>
            <w:tabs>
              <w:tab w:val="center" w:pos="4395"/>
              <w:tab w:val="right" w:pos="9355"/>
            </w:tabs>
            <w:spacing w:after="0" w:line="240" w:lineRule="auto"/>
            <w:jc w:val="left"/>
            <w:rPr>
              <w:rFonts w:eastAsia="Times New Roman"/>
              <w:szCs w:val="22"/>
              <w:lang w:eastAsia="en-US"/>
            </w:rPr>
          </w:pPr>
          <w:r>
            <w:rPr>
              <w:rFonts w:eastAsia="Times New Roman"/>
              <w:szCs w:val="22"/>
              <w:lang w:eastAsia="en-US"/>
            </w:rPr>
            <w:t>КОНФИДЕНЦИАЛЬНО</w:t>
          </w:r>
        </w:p>
      </w:tc>
      <w:tc>
        <w:tcPr>
          <w:tcW w:w="3544" w:type="dxa"/>
        </w:tcPr>
        <w:p w14:paraId="4C7F91DF" w14:textId="2F862867" w:rsidR="00035195" w:rsidRPr="00C42C8A" w:rsidRDefault="00035195" w:rsidP="00421FA2">
          <w:pPr>
            <w:tabs>
              <w:tab w:val="center" w:pos="4395"/>
              <w:tab w:val="right" w:pos="9355"/>
            </w:tabs>
            <w:spacing w:after="0" w:line="240" w:lineRule="auto"/>
            <w:ind w:left="34"/>
            <w:jc w:val="center"/>
            <w:rPr>
              <w:rFonts w:eastAsia="Times New Roman"/>
              <w:lang w:eastAsia="en-US"/>
            </w:rPr>
          </w:pPr>
          <w:r w:rsidRPr="00C42C8A">
            <w:rPr>
              <w:rFonts w:eastAsia="Times New Roman"/>
              <w:lang w:eastAsia="en-US"/>
            </w:rPr>
            <w:t xml:space="preserve">Версия 1.0 от </w:t>
          </w:r>
          <w:r>
            <w:rPr>
              <w:rFonts w:eastAsia="Times New Roman"/>
              <w:lang w:eastAsia="en-US"/>
            </w:rPr>
            <w:t>23</w:t>
          </w:r>
          <w:r w:rsidRPr="00C42C8A">
            <w:rPr>
              <w:rFonts w:eastAsia="Times New Roman"/>
              <w:lang w:eastAsia="en-US"/>
            </w:rPr>
            <w:t>-</w:t>
          </w:r>
          <w:r>
            <w:rPr>
              <w:rFonts w:eastAsia="Times New Roman"/>
              <w:lang w:eastAsia="en-US"/>
            </w:rPr>
            <w:t>июн</w:t>
          </w:r>
          <w:r w:rsidRPr="00C42C8A">
            <w:rPr>
              <w:rFonts w:eastAsia="Times New Roman"/>
              <w:lang w:eastAsia="en-US"/>
            </w:rPr>
            <w:t>-2023 г.</w:t>
          </w:r>
        </w:p>
      </w:tc>
      <w:tc>
        <w:tcPr>
          <w:tcW w:w="2693" w:type="dxa"/>
        </w:tcPr>
        <w:p w14:paraId="550BEF14" w14:textId="6738A209" w:rsidR="00035195" w:rsidRDefault="00035195">
          <w:pPr>
            <w:tabs>
              <w:tab w:val="center" w:pos="4395"/>
              <w:tab w:val="right" w:pos="9355"/>
            </w:tabs>
            <w:spacing w:after="0" w:line="240" w:lineRule="auto"/>
            <w:ind w:left="129" w:right="-108"/>
            <w:jc w:val="right"/>
            <w:rPr>
              <w:rFonts w:eastAsia="Times New Roman"/>
              <w:lang w:eastAsia="en-US"/>
            </w:rPr>
          </w:pPr>
          <w:r>
            <w:rPr>
              <w:rFonts w:eastAsia="Times New Roman"/>
              <w:lang w:eastAsia="en-US"/>
            </w:rPr>
            <w:t xml:space="preserve">Страница </w:t>
          </w:r>
          <w:r>
            <w:rPr>
              <w:rFonts w:eastAsia="Times New Roman"/>
              <w:lang w:eastAsia="en-US"/>
            </w:rPr>
            <w:fldChar w:fldCharType="begin"/>
          </w:r>
          <w:r>
            <w:rPr>
              <w:rFonts w:eastAsia="Times New Roman"/>
              <w:lang w:eastAsia="en-US"/>
            </w:rPr>
            <w:instrText>PAGE  \* Arabic  \* MERGEFORMAT</w:instrText>
          </w:r>
          <w:r>
            <w:rPr>
              <w:rFonts w:eastAsia="Times New Roman"/>
              <w:lang w:eastAsia="en-US"/>
            </w:rPr>
            <w:fldChar w:fldCharType="separate"/>
          </w:r>
          <w:r w:rsidR="00007FC4">
            <w:rPr>
              <w:rFonts w:eastAsia="Times New Roman"/>
              <w:noProof/>
              <w:lang w:eastAsia="en-US"/>
            </w:rPr>
            <w:t>4</w:t>
          </w:r>
          <w:r>
            <w:rPr>
              <w:rFonts w:eastAsia="Times New Roman"/>
              <w:lang w:eastAsia="en-US"/>
            </w:rPr>
            <w:fldChar w:fldCharType="end"/>
          </w:r>
          <w:r>
            <w:rPr>
              <w:rFonts w:eastAsia="Times New Roman"/>
              <w:lang w:eastAsia="en-US"/>
            </w:rPr>
            <w:t xml:space="preserve"> из </w:t>
          </w:r>
          <w:r>
            <w:rPr>
              <w:rFonts w:eastAsia="Times New Roman"/>
              <w:lang w:eastAsia="en-US"/>
            </w:rPr>
            <w:fldChar w:fldCharType="begin"/>
          </w:r>
          <w:r>
            <w:rPr>
              <w:rFonts w:eastAsia="Times New Roman"/>
              <w:lang w:eastAsia="en-US"/>
            </w:rPr>
            <w:instrText>NUMPAGES  \* Arabic  \* MERGEFORMAT</w:instrText>
          </w:r>
          <w:r>
            <w:rPr>
              <w:rFonts w:eastAsia="Times New Roman"/>
              <w:lang w:eastAsia="en-US"/>
            </w:rPr>
            <w:fldChar w:fldCharType="separate"/>
          </w:r>
          <w:r w:rsidR="00007FC4">
            <w:rPr>
              <w:rFonts w:eastAsia="Times New Roman"/>
              <w:noProof/>
              <w:lang w:eastAsia="en-US"/>
            </w:rPr>
            <w:t>141</w:t>
          </w:r>
          <w:r>
            <w:rPr>
              <w:rFonts w:eastAsia="Times New Roman"/>
              <w:lang w:eastAsia="en-US"/>
            </w:rPr>
            <w:fldChar w:fldCharType="end"/>
          </w:r>
        </w:p>
      </w:tc>
    </w:tr>
  </w:tbl>
  <w:p w14:paraId="313C1516" w14:textId="77777777" w:rsidR="00035195" w:rsidRDefault="00035195">
    <w:pPr>
      <w:pStyle w:val="Footer"/>
      <w:tabs>
        <w:tab w:val="left" w:pos="226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FDFA" w14:textId="77777777" w:rsidR="004276B7" w:rsidRDefault="004276B7">
      <w:pPr>
        <w:spacing w:after="0"/>
      </w:pPr>
      <w:r>
        <w:separator/>
      </w:r>
    </w:p>
    <w:p w14:paraId="6A823CF4" w14:textId="77777777" w:rsidR="004276B7" w:rsidRDefault="004276B7"/>
  </w:footnote>
  <w:footnote w:type="continuationSeparator" w:id="0">
    <w:p w14:paraId="60D6CAC1" w14:textId="77777777" w:rsidR="004276B7" w:rsidRDefault="004276B7">
      <w:pPr>
        <w:spacing w:after="0"/>
      </w:pPr>
      <w:r>
        <w:continuationSeparator/>
      </w:r>
    </w:p>
    <w:p w14:paraId="2B2D2CD3" w14:textId="77777777" w:rsidR="004276B7" w:rsidRDefault="004276B7"/>
  </w:footnote>
  <w:footnote w:id="1">
    <w:p w14:paraId="3A77DA71" w14:textId="77777777" w:rsidR="00035195" w:rsidRPr="001D1389" w:rsidRDefault="00035195" w:rsidP="007F034A">
      <w:pPr>
        <w:pStyle w:val="NormalWeb"/>
        <w:spacing w:before="0" w:beforeAutospacing="0"/>
        <w:jc w:val="both"/>
        <w:rPr>
          <w:sz w:val="20"/>
          <w:szCs w:val="20"/>
        </w:rPr>
      </w:pPr>
      <w:r w:rsidRPr="00992542">
        <w:rPr>
          <w:rStyle w:val="FootnoteReference"/>
          <w:sz w:val="20"/>
          <w:szCs w:val="20"/>
        </w:rPr>
        <w:footnoteRef/>
      </w:r>
      <w:r w:rsidRPr="00992542">
        <w:rPr>
          <w:sz w:val="20"/>
          <w:szCs w:val="20"/>
          <w:lang w:val="en-US"/>
        </w:rPr>
        <w:t xml:space="preserve"> Hailat M, Zakaraya Z, Al-Ani I, Meanazel OA, Al-Shdefat R, Anwer MK, Saadh MJ, Abu Dayyih W. Pharmacokinetics and Bioequivalence of Two Empagliflozin, with Evaluation in Healthy Jordanian Subjects under Fasting and Fed Conditions. Pharmaceuticals</w:t>
      </w:r>
      <w:r w:rsidRPr="00471588">
        <w:rPr>
          <w:sz w:val="20"/>
          <w:szCs w:val="20"/>
        </w:rPr>
        <w:t xml:space="preserve"> (</w:t>
      </w:r>
      <w:r w:rsidRPr="00992542">
        <w:rPr>
          <w:sz w:val="20"/>
          <w:szCs w:val="20"/>
          <w:lang w:val="en-US"/>
        </w:rPr>
        <w:t>Basel</w:t>
      </w:r>
      <w:r w:rsidRPr="00471588">
        <w:rPr>
          <w:sz w:val="20"/>
          <w:szCs w:val="20"/>
        </w:rPr>
        <w:t xml:space="preserve">). 2022 </w:t>
      </w:r>
      <w:r w:rsidRPr="00992542">
        <w:rPr>
          <w:sz w:val="20"/>
          <w:szCs w:val="20"/>
          <w:lang w:val="en-US"/>
        </w:rPr>
        <w:t>Feb</w:t>
      </w:r>
      <w:r w:rsidRPr="00471588">
        <w:rPr>
          <w:sz w:val="20"/>
          <w:szCs w:val="20"/>
        </w:rPr>
        <w:t xml:space="preserve"> 3;15(2):193. </w:t>
      </w:r>
      <w:r w:rsidRPr="00992542">
        <w:rPr>
          <w:sz w:val="20"/>
          <w:szCs w:val="20"/>
          <w:lang w:val="en-US"/>
        </w:rPr>
        <w:t>doi</w:t>
      </w:r>
      <w:r w:rsidRPr="00471588">
        <w:rPr>
          <w:sz w:val="20"/>
          <w:szCs w:val="20"/>
        </w:rPr>
        <w:t>: 10.3390/</w:t>
      </w:r>
      <w:r w:rsidRPr="00992542">
        <w:rPr>
          <w:sz w:val="20"/>
          <w:szCs w:val="20"/>
          <w:lang w:val="en-US"/>
        </w:rPr>
        <w:t>ph</w:t>
      </w:r>
      <w:r w:rsidRPr="00471588">
        <w:rPr>
          <w:sz w:val="20"/>
          <w:szCs w:val="20"/>
        </w:rPr>
        <w:t>15020193.</w:t>
      </w:r>
    </w:p>
    <w:p w14:paraId="2303F473" w14:textId="77777777" w:rsidR="00035195" w:rsidRPr="001D1389" w:rsidRDefault="00035195" w:rsidP="007F034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tblInd w:w="-142" w:type="dxa"/>
      <w:tblLook w:val="04A0" w:firstRow="1" w:lastRow="0" w:firstColumn="1" w:lastColumn="0" w:noHBand="0" w:noVBand="1"/>
    </w:tblPr>
    <w:tblGrid>
      <w:gridCol w:w="4564"/>
      <w:gridCol w:w="5076"/>
    </w:tblGrid>
    <w:tr w:rsidR="00035195" w14:paraId="74E520D7" w14:textId="77777777">
      <w:tc>
        <w:tcPr>
          <w:tcW w:w="4564" w:type="dxa"/>
        </w:tcPr>
        <w:p w14:paraId="79ADB777" w14:textId="77777777" w:rsidR="00035195" w:rsidRDefault="00035195">
          <w:pPr>
            <w:tabs>
              <w:tab w:val="center" w:pos="4677"/>
              <w:tab w:val="right" w:pos="9355"/>
            </w:tabs>
            <w:spacing w:after="0" w:line="240" w:lineRule="auto"/>
            <w:jc w:val="left"/>
            <w:rPr>
              <w:rFonts w:eastAsia="Times New Roman"/>
              <w:lang w:eastAsia="en-US"/>
            </w:rPr>
          </w:pPr>
        </w:p>
        <w:p w14:paraId="18643D68" w14:textId="77777777" w:rsidR="00035195" w:rsidRDefault="00035195">
          <w:pPr>
            <w:tabs>
              <w:tab w:val="center" w:pos="4677"/>
              <w:tab w:val="right" w:pos="9355"/>
            </w:tabs>
            <w:spacing w:after="0" w:line="240" w:lineRule="auto"/>
            <w:jc w:val="left"/>
            <w:rPr>
              <w:rFonts w:eastAsia="Times New Roman"/>
              <w:lang w:eastAsia="en-US"/>
            </w:rPr>
          </w:pPr>
          <w:r>
            <w:rPr>
              <w:rFonts w:eastAsia="Times New Roman"/>
              <w:szCs w:val="22"/>
              <w:lang w:eastAsia="en-US"/>
            </w:rPr>
            <w:t>Брошюра исследователя</w:t>
          </w:r>
        </w:p>
        <w:p w14:paraId="58947BD9" w14:textId="77777777" w:rsidR="00035195" w:rsidRPr="009C7570" w:rsidRDefault="00035195">
          <w:pPr>
            <w:tabs>
              <w:tab w:val="center" w:pos="4677"/>
              <w:tab w:val="right" w:pos="9355"/>
            </w:tabs>
            <w:spacing w:after="0" w:line="240" w:lineRule="auto"/>
            <w:jc w:val="left"/>
          </w:pPr>
          <w:r>
            <w:rPr>
              <w:rFonts w:eastAsia="Times New Roman"/>
              <w:lang w:eastAsia="en-US"/>
            </w:rPr>
            <w:t xml:space="preserve">Номер </w:t>
          </w:r>
          <w:r w:rsidRPr="009C7570">
            <w:rPr>
              <w:rFonts w:eastAsia="Times New Roman"/>
              <w:lang w:eastAsia="en-US"/>
            </w:rPr>
            <w:t xml:space="preserve">протокола: </w:t>
          </w:r>
          <w:r w:rsidRPr="009C7570">
            <w:t>CA101052158</w:t>
          </w:r>
        </w:p>
        <w:p w14:paraId="53600F18" w14:textId="489FFEDA" w:rsidR="00035195" w:rsidRDefault="00035195">
          <w:pPr>
            <w:tabs>
              <w:tab w:val="center" w:pos="4677"/>
              <w:tab w:val="right" w:pos="9355"/>
            </w:tabs>
            <w:spacing w:after="0" w:line="240" w:lineRule="auto"/>
            <w:jc w:val="left"/>
            <w:rPr>
              <w:rFonts w:eastAsia="Times New Roman"/>
              <w:lang w:eastAsia="en-US"/>
            </w:rPr>
          </w:pPr>
          <w:r w:rsidRPr="00766D8D">
            <w:t>Спонсор: АО «Р-Фарм»,</w:t>
          </w:r>
          <w:r w:rsidRPr="00CD30BF">
            <w:t xml:space="preserve"> Россия</w:t>
          </w:r>
        </w:p>
      </w:tc>
      <w:tc>
        <w:tcPr>
          <w:tcW w:w="5076" w:type="dxa"/>
        </w:tcPr>
        <w:p w14:paraId="272FEEB3" w14:textId="77777777" w:rsidR="00035195" w:rsidRDefault="00035195">
          <w:pPr>
            <w:tabs>
              <w:tab w:val="center" w:pos="4677"/>
              <w:tab w:val="right" w:pos="9355"/>
            </w:tabs>
            <w:spacing w:after="0" w:line="240" w:lineRule="auto"/>
            <w:jc w:val="right"/>
            <w:rPr>
              <w:rFonts w:eastAsia="Times New Roman"/>
              <w:lang w:eastAsia="en-US"/>
            </w:rPr>
          </w:pPr>
          <w:r>
            <w:rPr>
              <w:noProof/>
              <w:lang w:eastAsia="ru-RU"/>
            </w:rPr>
            <w:drawing>
              <wp:inline distT="0" distB="0" distL="0" distR="0" wp14:anchorId="4765B8D0" wp14:editId="246FD66F">
                <wp:extent cx="683260" cy="683260"/>
                <wp:effectExtent l="0" t="0" r="2540" b="2540"/>
                <wp:docPr id="12"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
                          <a:extLst>
                            <a:ext uri="{28A0092B-C50C-407E-A947-70E740481C1C}">
                              <a14:useLocalDpi xmlns:a14="http://schemas.microsoft.com/office/drawing/2010/main" val="0"/>
                            </a:ext>
                          </a:extLst>
                        </a:blip>
                        <a:srcRect/>
                        <a:stretch>
                          <a:fillRect/>
                        </a:stretch>
                      </pic:blipFill>
                      <pic:spPr>
                        <a:xfrm>
                          <a:off x="0" y="0"/>
                          <a:ext cx="683260" cy="683260"/>
                        </a:xfrm>
                        <a:prstGeom prst="rect">
                          <a:avLst/>
                        </a:prstGeom>
                      </pic:spPr>
                    </pic:pic>
                  </a:graphicData>
                </a:graphic>
              </wp:inline>
            </w:drawing>
          </w:r>
        </w:p>
      </w:tc>
    </w:tr>
  </w:tbl>
  <w:p w14:paraId="1529D3D1" w14:textId="77777777" w:rsidR="00035195" w:rsidRDefault="00035195">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BD78" w14:textId="77777777" w:rsidR="00035195" w:rsidRDefault="00035195">
    <w:pPr>
      <w:pStyle w:val="Header"/>
      <w:jc w:val="left"/>
    </w:pPr>
    <w:r>
      <w:rPr>
        <w:noProof/>
        <w:lang w:eastAsia="ru-RU"/>
      </w:rPr>
      <w:drawing>
        <wp:anchor distT="0" distB="0" distL="114300" distR="114300" simplePos="0" relativeHeight="251659264" behindDoc="0" locked="0" layoutInCell="1" allowOverlap="1" wp14:anchorId="7182361D" wp14:editId="2B62F5EA">
          <wp:simplePos x="0" y="0"/>
          <wp:positionH relativeFrom="column">
            <wp:posOffset>4406265</wp:posOffset>
          </wp:positionH>
          <wp:positionV relativeFrom="paragraph">
            <wp:posOffset>-163830</wp:posOffset>
          </wp:positionV>
          <wp:extent cx="1552575" cy="504825"/>
          <wp:effectExtent l="0" t="0" r="9525" b="9525"/>
          <wp:wrapNone/>
          <wp:docPr id="13" name="Рисунок 13"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2575" cy="504825"/>
                  </a:xfrm>
                  <a:prstGeom prst="rect">
                    <a:avLst/>
                  </a:prstGeom>
                  <a:noFill/>
                </pic:spPr>
              </pic:pic>
            </a:graphicData>
          </a:graphic>
        </wp:anchor>
      </w:drawing>
    </w:r>
    <w:r>
      <w:t xml:space="preserve">Брошюра </w:t>
    </w:r>
    <w:r>
      <w:t>исследователя</w:t>
    </w:r>
  </w:p>
  <w:p w14:paraId="31D98D1F" w14:textId="77777777" w:rsidR="00035195" w:rsidRDefault="00035195">
    <w:pPr>
      <w:pStyle w:val="Header"/>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CC8"/>
    <w:multiLevelType w:val="multilevel"/>
    <w:tmpl w:val="02923CC8"/>
    <w:lvl w:ilvl="0">
      <w:numFmt w:val="bullet"/>
      <w:lvlText w:val="•"/>
      <w:lvlJc w:val="left"/>
      <w:pPr>
        <w:ind w:left="726" w:hanging="370"/>
      </w:pPr>
      <w:rPr>
        <w:rFonts w:ascii="Arial" w:eastAsia="Arial" w:hAnsi="Arial" w:cs="Arial" w:hint="default"/>
        <w:b w:val="0"/>
        <w:bCs w:val="0"/>
        <w:i w:val="0"/>
        <w:iCs w:val="0"/>
        <w:color w:val="2D2A2D"/>
        <w:w w:val="106"/>
        <w:position w:val="-5"/>
        <w:sz w:val="34"/>
        <w:szCs w:val="34"/>
        <w:lang w:val="ru-RU" w:eastAsia="en-US" w:bidi="ar-SA"/>
      </w:rPr>
    </w:lvl>
    <w:lvl w:ilvl="1">
      <w:numFmt w:val="bullet"/>
      <w:lvlText w:val="•"/>
      <w:lvlJc w:val="left"/>
      <w:pPr>
        <w:ind w:left="1632" w:hanging="370"/>
      </w:pPr>
      <w:rPr>
        <w:rFonts w:hint="default"/>
        <w:lang w:val="ru-RU" w:eastAsia="en-US" w:bidi="ar-SA"/>
      </w:rPr>
    </w:lvl>
    <w:lvl w:ilvl="2">
      <w:numFmt w:val="bullet"/>
      <w:lvlText w:val="•"/>
      <w:lvlJc w:val="left"/>
      <w:pPr>
        <w:ind w:left="2544" w:hanging="370"/>
      </w:pPr>
      <w:rPr>
        <w:rFonts w:hint="default"/>
        <w:lang w:val="ru-RU" w:eastAsia="en-US" w:bidi="ar-SA"/>
      </w:rPr>
    </w:lvl>
    <w:lvl w:ilvl="3">
      <w:numFmt w:val="bullet"/>
      <w:lvlText w:val="•"/>
      <w:lvlJc w:val="left"/>
      <w:pPr>
        <w:ind w:left="3456" w:hanging="370"/>
      </w:pPr>
      <w:rPr>
        <w:rFonts w:hint="default"/>
        <w:lang w:val="ru-RU" w:eastAsia="en-US" w:bidi="ar-SA"/>
      </w:rPr>
    </w:lvl>
    <w:lvl w:ilvl="4">
      <w:numFmt w:val="bullet"/>
      <w:lvlText w:val="•"/>
      <w:lvlJc w:val="left"/>
      <w:pPr>
        <w:ind w:left="4368" w:hanging="370"/>
      </w:pPr>
      <w:rPr>
        <w:rFonts w:hint="default"/>
        <w:lang w:val="ru-RU" w:eastAsia="en-US" w:bidi="ar-SA"/>
      </w:rPr>
    </w:lvl>
    <w:lvl w:ilvl="5">
      <w:numFmt w:val="bullet"/>
      <w:lvlText w:val="•"/>
      <w:lvlJc w:val="left"/>
      <w:pPr>
        <w:ind w:left="5280" w:hanging="370"/>
      </w:pPr>
      <w:rPr>
        <w:rFonts w:hint="default"/>
        <w:lang w:val="ru-RU" w:eastAsia="en-US" w:bidi="ar-SA"/>
      </w:rPr>
    </w:lvl>
    <w:lvl w:ilvl="6">
      <w:numFmt w:val="bullet"/>
      <w:lvlText w:val="•"/>
      <w:lvlJc w:val="left"/>
      <w:pPr>
        <w:ind w:left="6192" w:hanging="370"/>
      </w:pPr>
      <w:rPr>
        <w:rFonts w:hint="default"/>
        <w:lang w:val="ru-RU" w:eastAsia="en-US" w:bidi="ar-SA"/>
      </w:rPr>
    </w:lvl>
    <w:lvl w:ilvl="7">
      <w:numFmt w:val="bullet"/>
      <w:lvlText w:val="•"/>
      <w:lvlJc w:val="left"/>
      <w:pPr>
        <w:ind w:left="7104" w:hanging="370"/>
      </w:pPr>
      <w:rPr>
        <w:rFonts w:hint="default"/>
        <w:lang w:val="ru-RU" w:eastAsia="en-US" w:bidi="ar-SA"/>
      </w:rPr>
    </w:lvl>
    <w:lvl w:ilvl="8">
      <w:numFmt w:val="bullet"/>
      <w:lvlText w:val="•"/>
      <w:lvlJc w:val="left"/>
      <w:pPr>
        <w:ind w:left="8016" w:hanging="370"/>
      </w:pPr>
      <w:rPr>
        <w:rFonts w:hint="default"/>
        <w:lang w:val="ru-RU" w:eastAsia="en-US" w:bidi="ar-SA"/>
      </w:rPr>
    </w:lvl>
  </w:abstractNum>
  <w:abstractNum w:abstractNumId="1" w15:restartNumberingAfterBreak="0">
    <w:nsid w:val="0A0466E2"/>
    <w:multiLevelType w:val="multilevel"/>
    <w:tmpl w:val="0A0466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3874C8"/>
    <w:multiLevelType w:val="multilevel"/>
    <w:tmpl w:val="0C387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73242C"/>
    <w:multiLevelType w:val="multilevel"/>
    <w:tmpl w:val="1873242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540176"/>
    <w:multiLevelType w:val="multilevel"/>
    <w:tmpl w:val="1C540176"/>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1F579A"/>
    <w:multiLevelType w:val="multilevel"/>
    <w:tmpl w:val="281F57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8245A"/>
    <w:multiLevelType w:val="multilevel"/>
    <w:tmpl w:val="2AA824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F0629C2"/>
    <w:multiLevelType w:val="multilevel"/>
    <w:tmpl w:val="2F0629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2E37190"/>
    <w:multiLevelType w:val="multilevel"/>
    <w:tmpl w:val="32E37190"/>
    <w:lvl w:ilvl="0">
      <w:numFmt w:val="bullet"/>
      <w:lvlText w:val="•"/>
      <w:lvlJc w:val="left"/>
      <w:pPr>
        <w:ind w:left="472" w:hanging="297"/>
      </w:pPr>
      <w:rPr>
        <w:rFonts w:ascii="Times New Roman" w:eastAsia="Times New Roman" w:hAnsi="Times New Roman" w:cs="Times New Roman" w:hint="default"/>
        <w:w w:val="105"/>
        <w:lang w:val="ru-RU" w:eastAsia="en-US" w:bidi="ar-SA"/>
      </w:rPr>
    </w:lvl>
    <w:lvl w:ilvl="1">
      <w:numFmt w:val="bullet"/>
      <w:lvlText w:val="•"/>
      <w:lvlJc w:val="left"/>
      <w:pPr>
        <w:ind w:left="1416" w:hanging="297"/>
      </w:pPr>
      <w:rPr>
        <w:rFonts w:hint="default"/>
        <w:lang w:val="ru-RU" w:eastAsia="en-US" w:bidi="ar-SA"/>
      </w:rPr>
    </w:lvl>
    <w:lvl w:ilvl="2">
      <w:numFmt w:val="bullet"/>
      <w:lvlText w:val="•"/>
      <w:lvlJc w:val="left"/>
      <w:pPr>
        <w:ind w:left="2352" w:hanging="297"/>
      </w:pPr>
      <w:rPr>
        <w:rFonts w:hint="default"/>
        <w:lang w:val="ru-RU" w:eastAsia="en-US" w:bidi="ar-SA"/>
      </w:rPr>
    </w:lvl>
    <w:lvl w:ilvl="3">
      <w:numFmt w:val="bullet"/>
      <w:lvlText w:val="•"/>
      <w:lvlJc w:val="left"/>
      <w:pPr>
        <w:ind w:left="3288" w:hanging="297"/>
      </w:pPr>
      <w:rPr>
        <w:rFonts w:hint="default"/>
        <w:lang w:val="ru-RU" w:eastAsia="en-US" w:bidi="ar-SA"/>
      </w:rPr>
    </w:lvl>
    <w:lvl w:ilvl="4">
      <w:numFmt w:val="bullet"/>
      <w:lvlText w:val="•"/>
      <w:lvlJc w:val="left"/>
      <w:pPr>
        <w:ind w:left="4224" w:hanging="297"/>
      </w:pPr>
      <w:rPr>
        <w:rFonts w:hint="default"/>
        <w:lang w:val="ru-RU" w:eastAsia="en-US" w:bidi="ar-SA"/>
      </w:rPr>
    </w:lvl>
    <w:lvl w:ilvl="5">
      <w:numFmt w:val="bullet"/>
      <w:lvlText w:val="•"/>
      <w:lvlJc w:val="left"/>
      <w:pPr>
        <w:ind w:left="5160" w:hanging="297"/>
      </w:pPr>
      <w:rPr>
        <w:rFonts w:hint="default"/>
        <w:lang w:val="ru-RU" w:eastAsia="en-US" w:bidi="ar-SA"/>
      </w:rPr>
    </w:lvl>
    <w:lvl w:ilvl="6">
      <w:numFmt w:val="bullet"/>
      <w:lvlText w:val="•"/>
      <w:lvlJc w:val="left"/>
      <w:pPr>
        <w:ind w:left="6096" w:hanging="297"/>
      </w:pPr>
      <w:rPr>
        <w:rFonts w:hint="default"/>
        <w:lang w:val="ru-RU" w:eastAsia="en-US" w:bidi="ar-SA"/>
      </w:rPr>
    </w:lvl>
    <w:lvl w:ilvl="7">
      <w:numFmt w:val="bullet"/>
      <w:lvlText w:val="•"/>
      <w:lvlJc w:val="left"/>
      <w:pPr>
        <w:ind w:left="7032" w:hanging="297"/>
      </w:pPr>
      <w:rPr>
        <w:rFonts w:hint="default"/>
        <w:lang w:val="ru-RU" w:eastAsia="en-US" w:bidi="ar-SA"/>
      </w:rPr>
    </w:lvl>
    <w:lvl w:ilvl="8">
      <w:numFmt w:val="bullet"/>
      <w:lvlText w:val="•"/>
      <w:lvlJc w:val="left"/>
      <w:pPr>
        <w:ind w:left="7968" w:hanging="297"/>
      </w:pPr>
      <w:rPr>
        <w:rFonts w:hint="default"/>
        <w:lang w:val="ru-RU" w:eastAsia="en-US" w:bidi="ar-SA"/>
      </w:rPr>
    </w:lvl>
  </w:abstractNum>
  <w:abstractNum w:abstractNumId="9" w15:restartNumberingAfterBreak="0">
    <w:nsid w:val="3AF767C0"/>
    <w:multiLevelType w:val="multilevel"/>
    <w:tmpl w:val="3AF767C0"/>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0" w15:restartNumberingAfterBreak="0">
    <w:nsid w:val="3B432CC6"/>
    <w:multiLevelType w:val="multilevel"/>
    <w:tmpl w:val="3B432CC6"/>
    <w:lvl w:ilvl="0">
      <w:numFmt w:val="bullet"/>
      <w:lvlText w:val="-"/>
      <w:lvlJc w:val="left"/>
      <w:pPr>
        <w:ind w:left="306" w:hanging="142"/>
      </w:pPr>
      <w:rPr>
        <w:rFonts w:ascii="Times New Roman" w:eastAsia="Times New Roman" w:hAnsi="Times New Roman" w:cs="Times New Roman" w:hint="default"/>
        <w:w w:val="99"/>
        <w:lang w:val="ru-RU" w:eastAsia="en-US" w:bidi="ar-SA"/>
      </w:rPr>
    </w:lvl>
    <w:lvl w:ilvl="1">
      <w:numFmt w:val="bullet"/>
      <w:lvlText w:val="•"/>
      <w:lvlJc w:val="left"/>
      <w:pPr>
        <w:ind w:left="1254" w:hanging="142"/>
      </w:pPr>
      <w:rPr>
        <w:rFonts w:hint="default"/>
        <w:lang w:val="ru-RU" w:eastAsia="en-US" w:bidi="ar-SA"/>
      </w:rPr>
    </w:lvl>
    <w:lvl w:ilvl="2">
      <w:numFmt w:val="bullet"/>
      <w:lvlText w:val="•"/>
      <w:lvlJc w:val="left"/>
      <w:pPr>
        <w:ind w:left="2208" w:hanging="142"/>
      </w:pPr>
      <w:rPr>
        <w:rFonts w:hint="default"/>
        <w:lang w:val="ru-RU" w:eastAsia="en-US" w:bidi="ar-SA"/>
      </w:rPr>
    </w:lvl>
    <w:lvl w:ilvl="3">
      <w:numFmt w:val="bullet"/>
      <w:lvlText w:val="•"/>
      <w:lvlJc w:val="left"/>
      <w:pPr>
        <w:ind w:left="3162" w:hanging="142"/>
      </w:pPr>
      <w:rPr>
        <w:rFonts w:hint="default"/>
        <w:lang w:val="ru-RU" w:eastAsia="en-US" w:bidi="ar-SA"/>
      </w:rPr>
    </w:lvl>
    <w:lvl w:ilvl="4">
      <w:numFmt w:val="bullet"/>
      <w:lvlText w:val="•"/>
      <w:lvlJc w:val="left"/>
      <w:pPr>
        <w:ind w:left="4116" w:hanging="142"/>
      </w:pPr>
      <w:rPr>
        <w:rFonts w:hint="default"/>
        <w:lang w:val="ru-RU" w:eastAsia="en-US" w:bidi="ar-SA"/>
      </w:rPr>
    </w:lvl>
    <w:lvl w:ilvl="5">
      <w:numFmt w:val="bullet"/>
      <w:lvlText w:val="•"/>
      <w:lvlJc w:val="left"/>
      <w:pPr>
        <w:ind w:left="5070" w:hanging="142"/>
      </w:pPr>
      <w:rPr>
        <w:rFonts w:hint="default"/>
        <w:lang w:val="ru-RU" w:eastAsia="en-US" w:bidi="ar-SA"/>
      </w:rPr>
    </w:lvl>
    <w:lvl w:ilvl="6">
      <w:numFmt w:val="bullet"/>
      <w:lvlText w:val="•"/>
      <w:lvlJc w:val="left"/>
      <w:pPr>
        <w:ind w:left="6024" w:hanging="142"/>
      </w:pPr>
      <w:rPr>
        <w:rFonts w:hint="default"/>
        <w:lang w:val="ru-RU" w:eastAsia="en-US" w:bidi="ar-SA"/>
      </w:rPr>
    </w:lvl>
    <w:lvl w:ilvl="7">
      <w:numFmt w:val="bullet"/>
      <w:lvlText w:val="•"/>
      <w:lvlJc w:val="left"/>
      <w:pPr>
        <w:ind w:left="6978" w:hanging="142"/>
      </w:pPr>
      <w:rPr>
        <w:rFonts w:hint="default"/>
        <w:lang w:val="ru-RU" w:eastAsia="en-US" w:bidi="ar-SA"/>
      </w:rPr>
    </w:lvl>
    <w:lvl w:ilvl="8">
      <w:numFmt w:val="bullet"/>
      <w:lvlText w:val="•"/>
      <w:lvlJc w:val="left"/>
      <w:pPr>
        <w:ind w:left="7932" w:hanging="142"/>
      </w:pPr>
      <w:rPr>
        <w:rFonts w:hint="default"/>
        <w:lang w:val="ru-RU" w:eastAsia="en-US" w:bidi="ar-SA"/>
      </w:rPr>
    </w:lvl>
  </w:abstractNum>
  <w:abstractNum w:abstractNumId="11" w15:restartNumberingAfterBreak="0">
    <w:nsid w:val="3F1A05BF"/>
    <w:multiLevelType w:val="multilevel"/>
    <w:tmpl w:val="3F1A05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F7069D5"/>
    <w:multiLevelType w:val="multilevel"/>
    <w:tmpl w:val="3F7069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73B78AF"/>
    <w:multiLevelType w:val="multilevel"/>
    <w:tmpl w:val="473B78AF"/>
    <w:lvl w:ilvl="0">
      <w:start w:val="1"/>
      <w:numFmt w:val="decimal"/>
      <w:pStyle w:val="1"/>
      <w:lvlText w:val="%1."/>
      <w:lvlJc w:val="left"/>
      <w:pPr>
        <w:tabs>
          <w:tab w:val="left" w:pos="1503"/>
        </w:tabs>
        <w:ind w:left="1560" w:hanging="284"/>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5A9257F6"/>
    <w:multiLevelType w:val="multilevel"/>
    <w:tmpl w:val="5A9257F6"/>
    <w:lvl w:ilvl="0">
      <w:start w:val="1"/>
      <w:numFmt w:val="decimal"/>
      <w:pStyle w:val="Subtitle"/>
      <w:lvlText w:val="%1."/>
      <w:lvlJc w:val="left"/>
      <w:pPr>
        <w:ind w:left="502" w:hanging="360"/>
      </w:pPr>
      <w:rPr>
        <w:rFonts w:ascii="Times New Roman" w:hAnsi="Times New Roman" w:cs="Times New Roman"/>
        <w:b/>
        <w:bCs w:val="0"/>
        <w:i w:val="0"/>
        <w:iCs w:val="0"/>
        <w:caps w:val="0"/>
        <w:smallCaps w:val="0"/>
        <w:strike w:val="0"/>
        <w:dstrike w:val="0"/>
        <w:vanish w:val="0"/>
        <w:color w:val="000000"/>
        <w:spacing w:val="0"/>
        <w:kern w:val="0"/>
        <w:position w:val="0"/>
        <w:u w:val="none"/>
        <w:vertAlign w:val="baseline"/>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15" w15:restartNumberingAfterBreak="0">
    <w:nsid w:val="5DED145A"/>
    <w:multiLevelType w:val="multilevel"/>
    <w:tmpl w:val="5DED145A"/>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5FA462A3"/>
    <w:multiLevelType w:val="multilevel"/>
    <w:tmpl w:val="5FA462A3"/>
    <w:lvl w:ilvl="0">
      <w:numFmt w:val="bullet"/>
      <w:lvlText w:val="•"/>
      <w:lvlJc w:val="left"/>
      <w:pPr>
        <w:ind w:left="577" w:hanging="369"/>
      </w:pPr>
      <w:rPr>
        <w:rFonts w:ascii="Arial" w:eastAsia="Arial" w:hAnsi="Arial" w:cs="Arial" w:hint="default"/>
        <w:b w:val="0"/>
        <w:bCs w:val="0"/>
        <w:i w:val="0"/>
        <w:iCs w:val="0"/>
        <w:color w:val="2D2B2D"/>
        <w:w w:val="106"/>
        <w:position w:val="-5"/>
        <w:sz w:val="36"/>
        <w:szCs w:val="36"/>
        <w:lang w:val="ru-RU" w:eastAsia="en-US" w:bidi="ar-SA"/>
      </w:rPr>
    </w:lvl>
    <w:lvl w:ilvl="1">
      <w:numFmt w:val="bullet"/>
      <w:lvlText w:val="•"/>
      <w:lvlJc w:val="left"/>
      <w:pPr>
        <w:ind w:left="988" w:hanging="369"/>
      </w:pPr>
      <w:rPr>
        <w:rFonts w:hint="default"/>
        <w:lang w:val="ru-RU" w:eastAsia="en-US" w:bidi="ar-SA"/>
      </w:rPr>
    </w:lvl>
    <w:lvl w:ilvl="2">
      <w:numFmt w:val="bullet"/>
      <w:lvlText w:val="•"/>
      <w:lvlJc w:val="left"/>
      <w:pPr>
        <w:ind w:left="1397" w:hanging="369"/>
      </w:pPr>
      <w:rPr>
        <w:rFonts w:hint="default"/>
        <w:lang w:val="ru-RU" w:eastAsia="en-US" w:bidi="ar-SA"/>
      </w:rPr>
    </w:lvl>
    <w:lvl w:ilvl="3">
      <w:numFmt w:val="bullet"/>
      <w:lvlText w:val="•"/>
      <w:lvlJc w:val="left"/>
      <w:pPr>
        <w:ind w:left="1805" w:hanging="369"/>
      </w:pPr>
      <w:rPr>
        <w:rFonts w:hint="default"/>
        <w:lang w:val="ru-RU" w:eastAsia="en-US" w:bidi="ar-SA"/>
      </w:rPr>
    </w:lvl>
    <w:lvl w:ilvl="4">
      <w:numFmt w:val="bullet"/>
      <w:lvlText w:val="•"/>
      <w:lvlJc w:val="left"/>
      <w:pPr>
        <w:ind w:left="2214" w:hanging="369"/>
      </w:pPr>
      <w:rPr>
        <w:rFonts w:hint="default"/>
        <w:lang w:val="ru-RU" w:eastAsia="en-US" w:bidi="ar-SA"/>
      </w:rPr>
    </w:lvl>
    <w:lvl w:ilvl="5">
      <w:numFmt w:val="bullet"/>
      <w:lvlText w:val="•"/>
      <w:lvlJc w:val="left"/>
      <w:pPr>
        <w:ind w:left="2623" w:hanging="369"/>
      </w:pPr>
      <w:rPr>
        <w:rFonts w:hint="default"/>
        <w:lang w:val="ru-RU" w:eastAsia="en-US" w:bidi="ar-SA"/>
      </w:rPr>
    </w:lvl>
    <w:lvl w:ilvl="6">
      <w:numFmt w:val="bullet"/>
      <w:lvlText w:val="•"/>
      <w:lvlJc w:val="left"/>
      <w:pPr>
        <w:ind w:left="3031" w:hanging="369"/>
      </w:pPr>
      <w:rPr>
        <w:rFonts w:hint="default"/>
        <w:lang w:val="ru-RU" w:eastAsia="en-US" w:bidi="ar-SA"/>
      </w:rPr>
    </w:lvl>
    <w:lvl w:ilvl="7">
      <w:numFmt w:val="bullet"/>
      <w:lvlText w:val="•"/>
      <w:lvlJc w:val="left"/>
      <w:pPr>
        <w:ind w:left="3440" w:hanging="369"/>
      </w:pPr>
      <w:rPr>
        <w:rFonts w:hint="default"/>
        <w:lang w:val="ru-RU" w:eastAsia="en-US" w:bidi="ar-SA"/>
      </w:rPr>
    </w:lvl>
    <w:lvl w:ilvl="8">
      <w:numFmt w:val="bullet"/>
      <w:lvlText w:val="•"/>
      <w:lvlJc w:val="left"/>
      <w:pPr>
        <w:ind w:left="3848" w:hanging="369"/>
      </w:pPr>
      <w:rPr>
        <w:rFonts w:hint="default"/>
        <w:lang w:val="ru-RU" w:eastAsia="en-US" w:bidi="ar-SA"/>
      </w:rPr>
    </w:lvl>
  </w:abstractNum>
  <w:abstractNum w:abstractNumId="17" w15:restartNumberingAfterBreak="0">
    <w:nsid w:val="73E148C9"/>
    <w:multiLevelType w:val="hybridMultilevel"/>
    <w:tmpl w:val="0EB6D4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76684F47"/>
    <w:multiLevelType w:val="multilevel"/>
    <w:tmpl w:val="76684F47"/>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5"/>
  </w:num>
  <w:num w:numId="6">
    <w:abstractNumId w:val="1"/>
  </w:num>
  <w:num w:numId="7">
    <w:abstractNumId w:val="9"/>
  </w:num>
  <w:num w:numId="8">
    <w:abstractNumId w:val="11"/>
  </w:num>
  <w:num w:numId="9">
    <w:abstractNumId w:val="7"/>
  </w:num>
  <w:num w:numId="10">
    <w:abstractNumId w:val="4"/>
  </w:num>
  <w:num w:numId="11">
    <w:abstractNumId w:val="5"/>
  </w:num>
  <w:num w:numId="12">
    <w:abstractNumId w:val="2"/>
  </w:num>
  <w:num w:numId="13">
    <w:abstractNumId w:val="12"/>
  </w:num>
  <w:num w:numId="14">
    <w:abstractNumId w:val="6"/>
  </w:num>
  <w:num w:numId="15">
    <w:abstractNumId w:val="8"/>
  </w:num>
  <w:num w:numId="16">
    <w:abstractNumId w:val="16"/>
  </w:num>
  <w:num w:numId="17">
    <w:abstractNumId w:val="0"/>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964"/>
    <w:rsid w:val="00000011"/>
    <w:rsid w:val="00001212"/>
    <w:rsid w:val="00001690"/>
    <w:rsid w:val="00001B0B"/>
    <w:rsid w:val="00001B75"/>
    <w:rsid w:val="00001BDB"/>
    <w:rsid w:val="00001C4E"/>
    <w:rsid w:val="00002443"/>
    <w:rsid w:val="000027F0"/>
    <w:rsid w:val="00002B8B"/>
    <w:rsid w:val="000033BF"/>
    <w:rsid w:val="0000471C"/>
    <w:rsid w:val="000049B1"/>
    <w:rsid w:val="000054E2"/>
    <w:rsid w:val="00005644"/>
    <w:rsid w:val="00005816"/>
    <w:rsid w:val="00005E88"/>
    <w:rsid w:val="00006DD4"/>
    <w:rsid w:val="00007FC4"/>
    <w:rsid w:val="000108BC"/>
    <w:rsid w:val="000125BA"/>
    <w:rsid w:val="0001273E"/>
    <w:rsid w:val="00014CAE"/>
    <w:rsid w:val="00014DB5"/>
    <w:rsid w:val="00015441"/>
    <w:rsid w:val="00015692"/>
    <w:rsid w:val="0001594F"/>
    <w:rsid w:val="00015DE8"/>
    <w:rsid w:val="00016423"/>
    <w:rsid w:val="0002045C"/>
    <w:rsid w:val="000204DF"/>
    <w:rsid w:val="000222E6"/>
    <w:rsid w:val="000232EA"/>
    <w:rsid w:val="0002347F"/>
    <w:rsid w:val="00023835"/>
    <w:rsid w:val="00023B50"/>
    <w:rsid w:val="0002540B"/>
    <w:rsid w:val="0002546E"/>
    <w:rsid w:val="0002580A"/>
    <w:rsid w:val="00026755"/>
    <w:rsid w:val="00026CE6"/>
    <w:rsid w:val="00032826"/>
    <w:rsid w:val="000335ED"/>
    <w:rsid w:val="00034136"/>
    <w:rsid w:val="00034298"/>
    <w:rsid w:val="0003513C"/>
    <w:rsid w:val="00035195"/>
    <w:rsid w:val="0003556A"/>
    <w:rsid w:val="000356E4"/>
    <w:rsid w:val="00035FD8"/>
    <w:rsid w:val="0003611D"/>
    <w:rsid w:val="00036506"/>
    <w:rsid w:val="000371C1"/>
    <w:rsid w:val="00037364"/>
    <w:rsid w:val="000379C5"/>
    <w:rsid w:val="00040485"/>
    <w:rsid w:val="000407C8"/>
    <w:rsid w:val="0004095C"/>
    <w:rsid w:val="00040AD6"/>
    <w:rsid w:val="00040BAF"/>
    <w:rsid w:val="00040BFF"/>
    <w:rsid w:val="00040F40"/>
    <w:rsid w:val="000417FF"/>
    <w:rsid w:val="000418CA"/>
    <w:rsid w:val="00041FBD"/>
    <w:rsid w:val="0004213E"/>
    <w:rsid w:val="0004220D"/>
    <w:rsid w:val="00042226"/>
    <w:rsid w:val="0004273B"/>
    <w:rsid w:val="00042B37"/>
    <w:rsid w:val="00042E1D"/>
    <w:rsid w:val="0004378C"/>
    <w:rsid w:val="000439AE"/>
    <w:rsid w:val="00043D31"/>
    <w:rsid w:val="00044D6C"/>
    <w:rsid w:val="00045CA8"/>
    <w:rsid w:val="00046160"/>
    <w:rsid w:val="00046717"/>
    <w:rsid w:val="00046FB8"/>
    <w:rsid w:val="000477C0"/>
    <w:rsid w:val="00047FE3"/>
    <w:rsid w:val="0005124B"/>
    <w:rsid w:val="00052E18"/>
    <w:rsid w:val="00052E9A"/>
    <w:rsid w:val="00053099"/>
    <w:rsid w:val="000530A0"/>
    <w:rsid w:val="00054ACA"/>
    <w:rsid w:val="00054E11"/>
    <w:rsid w:val="00055713"/>
    <w:rsid w:val="00056B29"/>
    <w:rsid w:val="00057563"/>
    <w:rsid w:val="000602D6"/>
    <w:rsid w:val="0006251A"/>
    <w:rsid w:val="0006265A"/>
    <w:rsid w:val="000626D3"/>
    <w:rsid w:val="00062C0D"/>
    <w:rsid w:val="000635FB"/>
    <w:rsid w:val="00063E7F"/>
    <w:rsid w:val="00066301"/>
    <w:rsid w:val="00066B07"/>
    <w:rsid w:val="0006721D"/>
    <w:rsid w:val="00067FE5"/>
    <w:rsid w:val="000712C9"/>
    <w:rsid w:val="0007201B"/>
    <w:rsid w:val="00074723"/>
    <w:rsid w:val="000750AC"/>
    <w:rsid w:val="00075C1F"/>
    <w:rsid w:val="00077C26"/>
    <w:rsid w:val="00077E57"/>
    <w:rsid w:val="00080229"/>
    <w:rsid w:val="000804A1"/>
    <w:rsid w:val="000814C6"/>
    <w:rsid w:val="00081D65"/>
    <w:rsid w:val="00082DE6"/>
    <w:rsid w:val="0008318B"/>
    <w:rsid w:val="00083550"/>
    <w:rsid w:val="00083F6E"/>
    <w:rsid w:val="0008437E"/>
    <w:rsid w:val="00085301"/>
    <w:rsid w:val="00087425"/>
    <w:rsid w:val="000875C9"/>
    <w:rsid w:val="00087856"/>
    <w:rsid w:val="00087ADC"/>
    <w:rsid w:val="00087AE6"/>
    <w:rsid w:val="00087E16"/>
    <w:rsid w:val="000901F1"/>
    <w:rsid w:val="00091868"/>
    <w:rsid w:val="00092835"/>
    <w:rsid w:val="0009294A"/>
    <w:rsid w:val="00092D11"/>
    <w:rsid w:val="00093197"/>
    <w:rsid w:val="00094508"/>
    <w:rsid w:val="0009455B"/>
    <w:rsid w:val="00094BA7"/>
    <w:rsid w:val="0009565A"/>
    <w:rsid w:val="000958E0"/>
    <w:rsid w:val="000958ED"/>
    <w:rsid w:val="00095D49"/>
    <w:rsid w:val="00095F94"/>
    <w:rsid w:val="0009648F"/>
    <w:rsid w:val="00096CCC"/>
    <w:rsid w:val="00097512"/>
    <w:rsid w:val="000977B3"/>
    <w:rsid w:val="00097A53"/>
    <w:rsid w:val="00097F8A"/>
    <w:rsid w:val="00097F8F"/>
    <w:rsid w:val="000A2222"/>
    <w:rsid w:val="000A4403"/>
    <w:rsid w:val="000A51A1"/>
    <w:rsid w:val="000A52C5"/>
    <w:rsid w:val="000A57C9"/>
    <w:rsid w:val="000A5C9A"/>
    <w:rsid w:val="000A71FC"/>
    <w:rsid w:val="000A74C0"/>
    <w:rsid w:val="000B065F"/>
    <w:rsid w:val="000B06CC"/>
    <w:rsid w:val="000B18B4"/>
    <w:rsid w:val="000B2916"/>
    <w:rsid w:val="000B3228"/>
    <w:rsid w:val="000B374D"/>
    <w:rsid w:val="000B39E1"/>
    <w:rsid w:val="000B4C37"/>
    <w:rsid w:val="000B51C7"/>
    <w:rsid w:val="000B565E"/>
    <w:rsid w:val="000B60DF"/>
    <w:rsid w:val="000B67D2"/>
    <w:rsid w:val="000B6B06"/>
    <w:rsid w:val="000B74E1"/>
    <w:rsid w:val="000B7983"/>
    <w:rsid w:val="000C12C8"/>
    <w:rsid w:val="000C2C6B"/>
    <w:rsid w:val="000C3608"/>
    <w:rsid w:val="000C37CF"/>
    <w:rsid w:val="000C43B5"/>
    <w:rsid w:val="000C4D7F"/>
    <w:rsid w:val="000C576B"/>
    <w:rsid w:val="000C6594"/>
    <w:rsid w:val="000C68EA"/>
    <w:rsid w:val="000C6E1B"/>
    <w:rsid w:val="000C71CB"/>
    <w:rsid w:val="000C732A"/>
    <w:rsid w:val="000C7F59"/>
    <w:rsid w:val="000D022D"/>
    <w:rsid w:val="000D0844"/>
    <w:rsid w:val="000D0F05"/>
    <w:rsid w:val="000D30DC"/>
    <w:rsid w:val="000D3866"/>
    <w:rsid w:val="000D493D"/>
    <w:rsid w:val="000D54F4"/>
    <w:rsid w:val="000D5549"/>
    <w:rsid w:val="000D5B21"/>
    <w:rsid w:val="000D5EC2"/>
    <w:rsid w:val="000D665B"/>
    <w:rsid w:val="000D721D"/>
    <w:rsid w:val="000D72AF"/>
    <w:rsid w:val="000D7DEA"/>
    <w:rsid w:val="000E07C1"/>
    <w:rsid w:val="000E2159"/>
    <w:rsid w:val="000E26AA"/>
    <w:rsid w:val="000E284F"/>
    <w:rsid w:val="000E2C49"/>
    <w:rsid w:val="000E2EC9"/>
    <w:rsid w:val="000E301A"/>
    <w:rsid w:val="000E30EF"/>
    <w:rsid w:val="000E3911"/>
    <w:rsid w:val="000E44D0"/>
    <w:rsid w:val="000E4F46"/>
    <w:rsid w:val="000E5281"/>
    <w:rsid w:val="000E53F8"/>
    <w:rsid w:val="000E5AE1"/>
    <w:rsid w:val="000E5C4F"/>
    <w:rsid w:val="000E60F3"/>
    <w:rsid w:val="000E65D2"/>
    <w:rsid w:val="000E66E5"/>
    <w:rsid w:val="000E68DC"/>
    <w:rsid w:val="000F0228"/>
    <w:rsid w:val="000F033D"/>
    <w:rsid w:val="000F0D35"/>
    <w:rsid w:val="000F21E3"/>
    <w:rsid w:val="000F29E4"/>
    <w:rsid w:val="000F4FE4"/>
    <w:rsid w:val="000F5366"/>
    <w:rsid w:val="000F5D3C"/>
    <w:rsid w:val="000F69C6"/>
    <w:rsid w:val="000F6B1E"/>
    <w:rsid w:val="000F6F6E"/>
    <w:rsid w:val="000F77B8"/>
    <w:rsid w:val="00100CD8"/>
    <w:rsid w:val="00101165"/>
    <w:rsid w:val="0010366C"/>
    <w:rsid w:val="00103805"/>
    <w:rsid w:val="001047B1"/>
    <w:rsid w:val="00104CB1"/>
    <w:rsid w:val="001054EA"/>
    <w:rsid w:val="0010578D"/>
    <w:rsid w:val="0010671C"/>
    <w:rsid w:val="00106D33"/>
    <w:rsid w:val="00110422"/>
    <w:rsid w:val="00110C51"/>
    <w:rsid w:val="001114E0"/>
    <w:rsid w:val="001117FB"/>
    <w:rsid w:val="00112929"/>
    <w:rsid w:val="00112BAF"/>
    <w:rsid w:val="00112FA0"/>
    <w:rsid w:val="00113100"/>
    <w:rsid w:val="00113B7E"/>
    <w:rsid w:val="00113CFD"/>
    <w:rsid w:val="00114F2D"/>
    <w:rsid w:val="001162DD"/>
    <w:rsid w:val="0011678E"/>
    <w:rsid w:val="00116DE4"/>
    <w:rsid w:val="00116E77"/>
    <w:rsid w:val="0011725B"/>
    <w:rsid w:val="00117CD5"/>
    <w:rsid w:val="001207DC"/>
    <w:rsid w:val="00120C1C"/>
    <w:rsid w:val="00121112"/>
    <w:rsid w:val="0012125D"/>
    <w:rsid w:val="001217CC"/>
    <w:rsid w:val="0012234E"/>
    <w:rsid w:val="00123BF7"/>
    <w:rsid w:val="00125DA9"/>
    <w:rsid w:val="00126037"/>
    <w:rsid w:val="00126547"/>
    <w:rsid w:val="00126AC7"/>
    <w:rsid w:val="00126B94"/>
    <w:rsid w:val="00126C54"/>
    <w:rsid w:val="001272F9"/>
    <w:rsid w:val="00130274"/>
    <w:rsid w:val="00130DF6"/>
    <w:rsid w:val="00131704"/>
    <w:rsid w:val="00131FB7"/>
    <w:rsid w:val="0013413F"/>
    <w:rsid w:val="00134469"/>
    <w:rsid w:val="001353FC"/>
    <w:rsid w:val="00135736"/>
    <w:rsid w:val="001357FF"/>
    <w:rsid w:val="00135B64"/>
    <w:rsid w:val="00135B70"/>
    <w:rsid w:val="001369A9"/>
    <w:rsid w:val="00136DA7"/>
    <w:rsid w:val="0013791D"/>
    <w:rsid w:val="0014067F"/>
    <w:rsid w:val="00140FF0"/>
    <w:rsid w:val="00141358"/>
    <w:rsid w:val="00141548"/>
    <w:rsid w:val="00141F58"/>
    <w:rsid w:val="00142421"/>
    <w:rsid w:val="00142DDD"/>
    <w:rsid w:val="00143E65"/>
    <w:rsid w:val="00144D33"/>
    <w:rsid w:val="00150014"/>
    <w:rsid w:val="00150890"/>
    <w:rsid w:val="00150DF0"/>
    <w:rsid w:val="001514E9"/>
    <w:rsid w:val="00151566"/>
    <w:rsid w:val="00152EA4"/>
    <w:rsid w:val="00153177"/>
    <w:rsid w:val="00153C05"/>
    <w:rsid w:val="00154240"/>
    <w:rsid w:val="001546CC"/>
    <w:rsid w:val="001547B1"/>
    <w:rsid w:val="00155DAF"/>
    <w:rsid w:val="00156465"/>
    <w:rsid w:val="001564A1"/>
    <w:rsid w:val="001569DB"/>
    <w:rsid w:val="001579FF"/>
    <w:rsid w:val="00157A17"/>
    <w:rsid w:val="00157B2D"/>
    <w:rsid w:val="0016072E"/>
    <w:rsid w:val="00161F13"/>
    <w:rsid w:val="00162913"/>
    <w:rsid w:val="00162B68"/>
    <w:rsid w:val="0016322C"/>
    <w:rsid w:val="00163389"/>
    <w:rsid w:val="001654B0"/>
    <w:rsid w:val="00165908"/>
    <w:rsid w:val="00166B20"/>
    <w:rsid w:val="0016723E"/>
    <w:rsid w:val="00167BD5"/>
    <w:rsid w:val="00167CD8"/>
    <w:rsid w:val="00167D80"/>
    <w:rsid w:val="00170901"/>
    <w:rsid w:val="00170CFF"/>
    <w:rsid w:val="00171052"/>
    <w:rsid w:val="0017123D"/>
    <w:rsid w:val="001715A0"/>
    <w:rsid w:val="00171669"/>
    <w:rsid w:val="00171708"/>
    <w:rsid w:val="0017244F"/>
    <w:rsid w:val="00175830"/>
    <w:rsid w:val="0017715E"/>
    <w:rsid w:val="001809F2"/>
    <w:rsid w:val="00181305"/>
    <w:rsid w:val="001818A3"/>
    <w:rsid w:val="00182CD6"/>
    <w:rsid w:val="0018352B"/>
    <w:rsid w:val="00183C16"/>
    <w:rsid w:val="00184102"/>
    <w:rsid w:val="00184815"/>
    <w:rsid w:val="00184A7E"/>
    <w:rsid w:val="00184AA4"/>
    <w:rsid w:val="00184AE7"/>
    <w:rsid w:val="00184D29"/>
    <w:rsid w:val="001853A5"/>
    <w:rsid w:val="00185F94"/>
    <w:rsid w:val="0018646E"/>
    <w:rsid w:val="00186D08"/>
    <w:rsid w:val="001874D4"/>
    <w:rsid w:val="00190C78"/>
    <w:rsid w:val="001913E6"/>
    <w:rsid w:val="001915E0"/>
    <w:rsid w:val="001927FB"/>
    <w:rsid w:val="0019362C"/>
    <w:rsid w:val="00193A32"/>
    <w:rsid w:val="00195552"/>
    <w:rsid w:val="00195B2F"/>
    <w:rsid w:val="00195D1F"/>
    <w:rsid w:val="00195DD1"/>
    <w:rsid w:val="00196420"/>
    <w:rsid w:val="001A0CC2"/>
    <w:rsid w:val="001A1116"/>
    <w:rsid w:val="001A133E"/>
    <w:rsid w:val="001A17B2"/>
    <w:rsid w:val="001A1B3F"/>
    <w:rsid w:val="001A254C"/>
    <w:rsid w:val="001A255F"/>
    <w:rsid w:val="001A2903"/>
    <w:rsid w:val="001A29C0"/>
    <w:rsid w:val="001A2B46"/>
    <w:rsid w:val="001A3C31"/>
    <w:rsid w:val="001A3FB8"/>
    <w:rsid w:val="001A4539"/>
    <w:rsid w:val="001A48B1"/>
    <w:rsid w:val="001A4CF3"/>
    <w:rsid w:val="001A4DB7"/>
    <w:rsid w:val="001A4E91"/>
    <w:rsid w:val="001A5136"/>
    <w:rsid w:val="001A6368"/>
    <w:rsid w:val="001A63E9"/>
    <w:rsid w:val="001A694A"/>
    <w:rsid w:val="001A6C47"/>
    <w:rsid w:val="001A7035"/>
    <w:rsid w:val="001A7516"/>
    <w:rsid w:val="001A7A1A"/>
    <w:rsid w:val="001B01AE"/>
    <w:rsid w:val="001B05F8"/>
    <w:rsid w:val="001B069B"/>
    <w:rsid w:val="001B087B"/>
    <w:rsid w:val="001B0C1F"/>
    <w:rsid w:val="001B0EDF"/>
    <w:rsid w:val="001B13AE"/>
    <w:rsid w:val="001B1959"/>
    <w:rsid w:val="001B1AB7"/>
    <w:rsid w:val="001B1D49"/>
    <w:rsid w:val="001B1F62"/>
    <w:rsid w:val="001B2117"/>
    <w:rsid w:val="001B29FE"/>
    <w:rsid w:val="001B3989"/>
    <w:rsid w:val="001B443B"/>
    <w:rsid w:val="001B4473"/>
    <w:rsid w:val="001B4661"/>
    <w:rsid w:val="001B4EAC"/>
    <w:rsid w:val="001B5BFC"/>
    <w:rsid w:val="001B5F59"/>
    <w:rsid w:val="001B6133"/>
    <w:rsid w:val="001B747B"/>
    <w:rsid w:val="001B7A03"/>
    <w:rsid w:val="001C1092"/>
    <w:rsid w:val="001C1333"/>
    <w:rsid w:val="001C2147"/>
    <w:rsid w:val="001C2804"/>
    <w:rsid w:val="001C303E"/>
    <w:rsid w:val="001C3CB5"/>
    <w:rsid w:val="001C3F73"/>
    <w:rsid w:val="001C3F8C"/>
    <w:rsid w:val="001C414F"/>
    <w:rsid w:val="001C4207"/>
    <w:rsid w:val="001C5933"/>
    <w:rsid w:val="001C6008"/>
    <w:rsid w:val="001C64F2"/>
    <w:rsid w:val="001C749C"/>
    <w:rsid w:val="001C7C81"/>
    <w:rsid w:val="001D01DC"/>
    <w:rsid w:val="001D0852"/>
    <w:rsid w:val="001D0E8D"/>
    <w:rsid w:val="001D1A0F"/>
    <w:rsid w:val="001D1B28"/>
    <w:rsid w:val="001D1C55"/>
    <w:rsid w:val="001D2DA4"/>
    <w:rsid w:val="001D2E48"/>
    <w:rsid w:val="001D508E"/>
    <w:rsid w:val="001D5730"/>
    <w:rsid w:val="001D680F"/>
    <w:rsid w:val="001D6A8F"/>
    <w:rsid w:val="001D77AD"/>
    <w:rsid w:val="001E1F4C"/>
    <w:rsid w:val="001E238B"/>
    <w:rsid w:val="001E24BF"/>
    <w:rsid w:val="001E3712"/>
    <w:rsid w:val="001E3E70"/>
    <w:rsid w:val="001E4F6E"/>
    <w:rsid w:val="001E5B5E"/>
    <w:rsid w:val="001E5C52"/>
    <w:rsid w:val="001E6191"/>
    <w:rsid w:val="001E7928"/>
    <w:rsid w:val="001E7B10"/>
    <w:rsid w:val="001E7F44"/>
    <w:rsid w:val="001F00C7"/>
    <w:rsid w:val="001F11A9"/>
    <w:rsid w:val="001F12C9"/>
    <w:rsid w:val="001F2019"/>
    <w:rsid w:val="001F226C"/>
    <w:rsid w:val="001F23B5"/>
    <w:rsid w:val="001F2C91"/>
    <w:rsid w:val="001F320E"/>
    <w:rsid w:val="001F36E9"/>
    <w:rsid w:val="001F3AAE"/>
    <w:rsid w:val="001F5135"/>
    <w:rsid w:val="001F6509"/>
    <w:rsid w:val="001F7441"/>
    <w:rsid w:val="001F74FE"/>
    <w:rsid w:val="001F7A3C"/>
    <w:rsid w:val="002002E8"/>
    <w:rsid w:val="002018DF"/>
    <w:rsid w:val="00201DAC"/>
    <w:rsid w:val="0020231D"/>
    <w:rsid w:val="002023C0"/>
    <w:rsid w:val="00202EF1"/>
    <w:rsid w:val="0020316C"/>
    <w:rsid w:val="002033C5"/>
    <w:rsid w:val="002033D4"/>
    <w:rsid w:val="002036F0"/>
    <w:rsid w:val="00203FF9"/>
    <w:rsid w:val="0020411B"/>
    <w:rsid w:val="00204926"/>
    <w:rsid w:val="00205515"/>
    <w:rsid w:val="0020635D"/>
    <w:rsid w:val="00207789"/>
    <w:rsid w:val="00211456"/>
    <w:rsid w:val="002116C0"/>
    <w:rsid w:val="00214324"/>
    <w:rsid w:val="00214C68"/>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30027"/>
    <w:rsid w:val="00231F5C"/>
    <w:rsid w:val="00232045"/>
    <w:rsid w:val="00233C70"/>
    <w:rsid w:val="00233EAA"/>
    <w:rsid w:val="00234D97"/>
    <w:rsid w:val="00235A12"/>
    <w:rsid w:val="00236167"/>
    <w:rsid w:val="00237D1D"/>
    <w:rsid w:val="00241247"/>
    <w:rsid w:val="00241C63"/>
    <w:rsid w:val="00242206"/>
    <w:rsid w:val="002424DB"/>
    <w:rsid w:val="00243623"/>
    <w:rsid w:val="00244713"/>
    <w:rsid w:val="0024486E"/>
    <w:rsid w:val="00244EE7"/>
    <w:rsid w:val="002466F9"/>
    <w:rsid w:val="00246AA3"/>
    <w:rsid w:val="002473ED"/>
    <w:rsid w:val="00247B35"/>
    <w:rsid w:val="00250418"/>
    <w:rsid w:val="00251504"/>
    <w:rsid w:val="0025168A"/>
    <w:rsid w:val="00251BD4"/>
    <w:rsid w:val="002524CB"/>
    <w:rsid w:val="0025366C"/>
    <w:rsid w:val="002544AA"/>
    <w:rsid w:val="00254572"/>
    <w:rsid w:val="00254F56"/>
    <w:rsid w:val="002550E3"/>
    <w:rsid w:val="00255C3D"/>
    <w:rsid w:val="002562A3"/>
    <w:rsid w:val="002568C3"/>
    <w:rsid w:val="002570EC"/>
    <w:rsid w:val="00257761"/>
    <w:rsid w:val="002604EF"/>
    <w:rsid w:val="002609F2"/>
    <w:rsid w:val="002621AB"/>
    <w:rsid w:val="00262592"/>
    <w:rsid w:val="002659E2"/>
    <w:rsid w:val="00265D41"/>
    <w:rsid w:val="00266931"/>
    <w:rsid w:val="0026724E"/>
    <w:rsid w:val="00267D96"/>
    <w:rsid w:val="00271FF1"/>
    <w:rsid w:val="002720AE"/>
    <w:rsid w:val="002721D4"/>
    <w:rsid w:val="00272958"/>
    <w:rsid w:val="002731E8"/>
    <w:rsid w:val="00273F38"/>
    <w:rsid w:val="002745F6"/>
    <w:rsid w:val="00275519"/>
    <w:rsid w:val="00275956"/>
    <w:rsid w:val="002761A3"/>
    <w:rsid w:val="00276303"/>
    <w:rsid w:val="00277934"/>
    <w:rsid w:val="00277DDB"/>
    <w:rsid w:val="00277F6C"/>
    <w:rsid w:val="00281D6A"/>
    <w:rsid w:val="00281DBF"/>
    <w:rsid w:val="002824E2"/>
    <w:rsid w:val="002829CA"/>
    <w:rsid w:val="00282BBC"/>
    <w:rsid w:val="00283233"/>
    <w:rsid w:val="002836E7"/>
    <w:rsid w:val="002842C1"/>
    <w:rsid w:val="00284466"/>
    <w:rsid w:val="002847AC"/>
    <w:rsid w:val="00284823"/>
    <w:rsid w:val="00284BA8"/>
    <w:rsid w:val="00285A41"/>
    <w:rsid w:val="00287596"/>
    <w:rsid w:val="0028773E"/>
    <w:rsid w:val="00290BA1"/>
    <w:rsid w:val="0029180E"/>
    <w:rsid w:val="00291A15"/>
    <w:rsid w:val="002932B6"/>
    <w:rsid w:val="00294554"/>
    <w:rsid w:val="002947DD"/>
    <w:rsid w:val="00294806"/>
    <w:rsid w:val="00294F5B"/>
    <w:rsid w:val="0029516E"/>
    <w:rsid w:val="00295E96"/>
    <w:rsid w:val="0029665F"/>
    <w:rsid w:val="0029697E"/>
    <w:rsid w:val="002969EF"/>
    <w:rsid w:val="00296E16"/>
    <w:rsid w:val="00297C67"/>
    <w:rsid w:val="002A04AC"/>
    <w:rsid w:val="002A0C42"/>
    <w:rsid w:val="002A1826"/>
    <w:rsid w:val="002A1AAB"/>
    <w:rsid w:val="002A207C"/>
    <w:rsid w:val="002A29F7"/>
    <w:rsid w:val="002A43A3"/>
    <w:rsid w:val="002A50E5"/>
    <w:rsid w:val="002A6456"/>
    <w:rsid w:val="002A67C5"/>
    <w:rsid w:val="002A6D00"/>
    <w:rsid w:val="002A7722"/>
    <w:rsid w:val="002A797F"/>
    <w:rsid w:val="002A7B4A"/>
    <w:rsid w:val="002B0109"/>
    <w:rsid w:val="002B1106"/>
    <w:rsid w:val="002B1A87"/>
    <w:rsid w:val="002B216E"/>
    <w:rsid w:val="002B32A0"/>
    <w:rsid w:val="002B336C"/>
    <w:rsid w:val="002B4201"/>
    <w:rsid w:val="002B453E"/>
    <w:rsid w:val="002B47A2"/>
    <w:rsid w:val="002B51C6"/>
    <w:rsid w:val="002B5BC3"/>
    <w:rsid w:val="002B73D3"/>
    <w:rsid w:val="002B7BF8"/>
    <w:rsid w:val="002B7E2C"/>
    <w:rsid w:val="002C09EB"/>
    <w:rsid w:val="002C1289"/>
    <w:rsid w:val="002C15ED"/>
    <w:rsid w:val="002C1C48"/>
    <w:rsid w:val="002C2154"/>
    <w:rsid w:val="002C2939"/>
    <w:rsid w:val="002C366F"/>
    <w:rsid w:val="002C5F97"/>
    <w:rsid w:val="002C74D1"/>
    <w:rsid w:val="002C7F84"/>
    <w:rsid w:val="002D0419"/>
    <w:rsid w:val="002D06D7"/>
    <w:rsid w:val="002D124C"/>
    <w:rsid w:val="002D12DC"/>
    <w:rsid w:val="002D186E"/>
    <w:rsid w:val="002D1F04"/>
    <w:rsid w:val="002D3BD1"/>
    <w:rsid w:val="002D4087"/>
    <w:rsid w:val="002D54CE"/>
    <w:rsid w:val="002D55BC"/>
    <w:rsid w:val="002D6490"/>
    <w:rsid w:val="002E084A"/>
    <w:rsid w:val="002E0885"/>
    <w:rsid w:val="002E1258"/>
    <w:rsid w:val="002E24BD"/>
    <w:rsid w:val="002E25C3"/>
    <w:rsid w:val="002E32AF"/>
    <w:rsid w:val="002E3599"/>
    <w:rsid w:val="002E35D0"/>
    <w:rsid w:val="002E38F3"/>
    <w:rsid w:val="002E392D"/>
    <w:rsid w:val="002E3E2F"/>
    <w:rsid w:val="002E44F7"/>
    <w:rsid w:val="002E4EB8"/>
    <w:rsid w:val="002E4EC2"/>
    <w:rsid w:val="002E4F02"/>
    <w:rsid w:val="002E52FB"/>
    <w:rsid w:val="002E566D"/>
    <w:rsid w:val="002E6C14"/>
    <w:rsid w:val="002E6D71"/>
    <w:rsid w:val="002E7015"/>
    <w:rsid w:val="002E7351"/>
    <w:rsid w:val="002E762E"/>
    <w:rsid w:val="002E7A13"/>
    <w:rsid w:val="002E7B18"/>
    <w:rsid w:val="002F0EC7"/>
    <w:rsid w:val="002F152D"/>
    <w:rsid w:val="002F18CF"/>
    <w:rsid w:val="002F1D05"/>
    <w:rsid w:val="002F21D3"/>
    <w:rsid w:val="002F25DA"/>
    <w:rsid w:val="002F2C48"/>
    <w:rsid w:val="002F31F0"/>
    <w:rsid w:val="002F38F1"/>
    <w:rsid w:val="002F390E"/>
    <w:rsid w:val="002F4A02"/>
    <w:rsid w:val="002F5256"/>
    <w:rsid w:val="002F60BB"/>
    <w:rsid w:val="002F65D5"/>
    <w:rsid w:val="002F6F27"/>
    <w:rsid w:val="002F71EE"/>
    <w:rsid w:val="00300928"/>
    <w:rsid w:val="0030118B"/>
    <w:rsid w:val="00301E3F"/>
    <w:rsid w:val="003020BB"/>
    <w:rsid w:val="003024CE"/>
    <w:rsid w:val="00302A80"/>
    <w:rsid w:val="0030301C"/>
    <w:rsid w:val="003031D3"/>
    <w:rsid w:val="00303247"/>
    <w:rsid w:val="00303670"/>
    <w:rsid w:val="003037FD"/>
    <w:rsid w:val="00304221"/>
    <w:rsid w:val="0030470A"/>
    <w:rsid w:val="0030583F"/>
    <w:rsid w:val="0030688C"/>
    <w:rsid w:val="00306A17"/>
    <w:rsid w:val="00306A51"/>
    <w:rsid w:val="00307408"/>
    <w:rsid w:val="003079EC"/>
    <w:rsid w:val="00307ADB"/>
    <w:rsid w:val="00307EF7"/>
    <w:rsid w:val="0031013E"/>
    <w:rsid w:val="00310F23"/>
    <w:rsid w:val="003111FB"/>
    <w:rsid w:val="0031139D"/>
    <w:rsid w:val="00311DFA"/>
    <w:rsid w:val="003120A3"/>
    <w:rsid w:val="00314A91"/>
    <w:rsid w:val="00316D9B"/>
    <w:rsid w:val="003173F7"/>
    <w:rsid w:val="00317538"/>
    <w:rsid w:val="00317AD3"/>
    <w:rsid w:val="0032024D"/>
    <w:rsid w:val="00321C7B"/>
    <w:rsid w:val="0032251E"/>
    <w:rsid w:val="00322B00"/>
    <w:rsid w:val="00323394"/>
    <w:rsid w:val="003241A3"/>
    <w:rsid w:val="0032423C"/>
    <w:rsid w:val="00324492"/>
    <w:rsid w:val="00326A2B"/>
    <w:rsid w:val="00327205"/>
    <w:rsid w:val="00327603"/>
    <w:rsid w:val="00330DDB"/>
    <w:rsid w:val="003317B3"/>
    <w:rsid w:val="00331A02"/>
    <w:rsid w:val="00331ACC"/>
    <w:rsid w:val="00331D76"/>
    <w:rsid w:val="00332DCB"/>
    <w:rsid w:val="003346BB"/>
    <w:rsid w:val="003349FA"/>
    <w:rsid w:val="0033576A"/>
    <w:rsid w:val="00335D5B"/>
    <w:rsid w:val="00336187"/>
    <w:rsid w:val="0033628C"/>
    <w:rsid w:val="00336ACE"/>
    <w:rsid w:val="0033742B"/>
    <w:rsid w:val="00337987"/>
    <w:rsid w:val="00340F92"/>
    <w:rsid w:val="003426D8"/>
    <w:rsid w:val="00344F7D"/>
    <w:rsid w:val="00344F87"/>
    <w:rsid w:val="00345876"/>
    <w:rsid w:val="003462CE"/>
    <w:rsid w:val="00346858"/>
    <w:rsid w:val="00346B04"/>
    <w:rsid w:val="00346ED4"/>
    <w:rsid w:val="003475D7"/>
    <w:rsid w:val="0035201A"/>
    <w:rsid w:val="003527AF"/>
    <w:rsid w:val="003530BC"/>
    <w:rsid w:val="00353A5C"/>
    <w:rsid w:val="00353C63"/>
    <w:rsid w:val="00355601"/>
    <w:rsid w:val="003557E4"/>
    <w:rsid w:val="00355A93"/>
    <w:rsid w:val="0035680A"/>
    <w:rsid w:val="00357885"/>
    <w:rsid w:val="0036085D"/>
    <w:rsid w:val="0036133B"/>
    <w:rsid w:val="00361B55"/>
    <w:rsid w:val="00362664"/>
    <w:rsid w:val="00363A85"/>
    <w:rsid w:val="00363AB8"/>
    <w:rsid w:val="00363B12"/>
    <w:rsid w:val="00364319"/>
    <w:rsid w:val="003663BD"/>
    <w:rsid w:val="00366EED"/>
    <w:rsid w:val="003670E9"/>
    <w:rsid w:val="00367DE5"/>
    <w:rsid w:val="00367E90"/>
    <w:rsid w:val="00370016"/>
    <w:rsid w:val="00372AC1"/>
    <w:rsid w:val="00372B61"/>
    <w:rsid w:val="00372FFC"/>
    <w:rsid w:val="00373A54"/>
    <w:rsid w:val="00374019"/>
    <w:rsid w:val="00374A62"/>
    <w:rsid w:val="00374F32"/>
    <w:rsid w:val="003751DD"/>
    <w:rsid w:val="003760B6"/>
    <w:rsid w:val="00376E87"/>
    <w:rsid w:val="00377F41"/>
    <w:rsid w:val="003807CD"/>
    <w:rsid w:val="00380EFF"/>
    <w:rsid w:val="003813AF"/>
    <w:rsid w:val="003822AB"/>
    <w:rsid w:val="00382401"/>
    <w:rsid w:val="003836A7"/>
    <w:rsid w:val="00383B2F"/>
    <w:rsid w:val="00383F50"/>
    <w:rsid w:val="0038491F"/>
    <w:rsid w:val="00386316"/>
    <w:rsid w:val="00390353"/>
    <w:rsid w:val="003904D6"/>
    <w:rsid w:val="00390613"/>
    <w:rsid w:val="00390F4B"/>
    <w:rsid w:val="00391738"/>
    <w:rsid w:val="0039330B"/>
    <w:rsid w:val="00393BA2"/>
    <w:rsid w:val="00394A85"/>
    <w:rsid w:val="00394EEC"/>
    <w:rsid w:val="00395C9D"/>
    <w:rsid w:val="00396C9E"/>
    <w:rsid w:val="00396F89"/>
    <w:rsid w:val="003A036A"/>
    <w:rsid w:val="003A0C4A"/>
    <w:rsid w:val="003A1981"/>
    <w:rsid w:val="003A1BA3"/>
    <w:rsid w:val="003A2424"/>
    <w:rsid w:val="003A244C"/>
    <w:rsid w:val="003A2DB8"/>
    <w:rsid w:val="003A37D2"/>
    <w:rsid w:val="003A389F"/>
    <w:rsid w:val="003A3A27"/>
    <w:rsid w:val="003A41D1"/>
    <w:rsid w:val="003A42F8"/>
    <w:rsid w:val="003A4A41"/>
    <w:rsid w:val="003A5CCE"/>
    <w:rsid w:val="003A6916"/>
    <w:rsid w:val="003A6E35"/>
    <w:rsid w:val="003A70C4"/>
    <w:rsid w:val="003A72A3"/>
    <w:rsid w:val="003B05A3"/>
    <w:rsid w:val="003B0A33"/>
    <w:rsid w:val="003B10B9"/>
    <w:rsid w:val="003B15F3"/>
    <w:rsid w:val="003B1C02"/>
    <w:rsid w:val="003B1F86"/>
    <w:rsid w:val="003B1FBF"/>
    <w:rsid w:val="003B3841"/>
    <w:rsid w:val="003B42A6"/>
    <w:rsid w:val="003B4E96"/>
    <w:rsid w:val="003B59FF"/>
    <w:rsid w:val="003B606D"/>
    <w:rsid w:val="003B60E0"/>
    <w:rsid w:val="003B6194"/>
    <w:rsid w:val="003B6930"/>
    <w:rsid w:val="003B79A7"/>
    <w:rsid w:val="003C02BD"/>
    <w:rsid w:val="003C09CD"/>
    <w:rsid w:val="003C170E"/>
    <w:rsid w:val="003C1ECE"/>
    <w:rsid w:val="003C2034"/>
    <w:rsid w:val="003C273A"/>
    <w:rsid w:val="003C2A26"/>
    <w:rsid w:val="003C2C65"/>
    <w:rsid w:val="003C3091"/>
    <w:rsid w:val="003C45BA"/>
    <w:rsid w:val="003C5CA4"/>
    <w:rsid w:val="003C6251"/>
    <w:rsid w:val="003C63A1"/>
    <w:rsid w:val="003C7690"/>
    <w:rsid w:val="003C7B04"/>
    <w:rsid w:val="003D0C91"/>
    <w:rsid w:val="003D0E6E"/>
    <w:rsid w:val="003D1DC6"/>
    <w:rsid w:val="003D258B"/>
    <w:rsid w:val="003D259F"/>
    <w:rsid w:val="003D28E4"/>
    <w:rsid w:val="003D2A24"/>
    <w:rsid w:val="003D2D21"/>
    <w:rsid w:val="003D2F77"/>
    <w:rsid w:val="003D3434"/>
    <w:rsid w:val="003D3B73"/>
    <w:rsid w:val="003D3CEA"/>
    <w:rsid w:val="003D4269"/>
    <w:rsid w:val="003D492A"/>
    <w:rsid w:val="003D5F23"/>
    <w:rsid w:val="003D5FC1"/>
    <w:rsid w:val="003D6809"/>
    <w:rsid w:val="003D771E"/>
    <w:rsid w:val="003E020B"/>
    <w:rsid w:val="003E0B1C"/>
    <w:rsid w:val="003E1A0F"/>
    <w:rsid w:val="003E1B22"/>
    <w:rsid w:val="003E22BE"/>
    <w:rsid w:val="003E341D"/>
    <w:rsid w:val="003E3427"/>
    <w:rsid w:val="003E3484"/>
    <w:rsid w:val="003E35A0"/>
    <w:rsid w:val="003E369C"/>
    <w:rsid w:val="003E3743"/>
    <w:rsid w:val="003E45A9"/>
    <w:rsid w:val="003E57BB"/>
    <w:rsid w:val="003E5B74"/>
    <w:rsid w:val="003E6794"/>
    <w:rsid w:val="003E7134"/>
    <w:rsid w:val="003E774F"/>
    <w:rsid w:val="003E7D20"/>
    <w:rsid w:val="003F00D3"/>
    <w:rsid w:val="003F1060"/>
    <w:rsid w:val="003F1480"/>
    <w:rsid w:val="003F1CA1"/>
    <w:rsid w:val="003F1EB8"/>
    <w:rsid w:val="003F2C1E"/>
    <w:rsid w:val="003F39AE"/>
    <w:rsid w:val="003F4FD2"/>
    <w:rsid w:val="003F50EE"/>
    <w:rsid w:val="003F5887"/>
    <w:rsid w:val="003F6C3A"/>
    <w:rsid w:val="003F6CCD"/>
    <w:rsid w:val="003F7488"/>
    <w:rsid w:val="003F7BC9"/>
    <w:rsid w:val="004000F3"/>
    <w:rsid w:val="004008D1"/>
    <w:rsid w:val="00400A9F"/>
    <w:rsid w:val="004017DE"/>
    <w:rsid w:val="0040308A"/>
    <w:rsid w:val="00403D2A"/>
    <w:rsid w:val="004046BC"/>
    <w:rsid w:val="00404D1A"/>
    <w:rsid w:val="00405414"/>
    <w:rsid w:val="0040607C"/>
    <w:rsid w:val="00406AA6"/>
    <w:rsid w:val="00406B2B"/>
    <w:rsid w:val="00407A74"/>
    <w:rsid w:val="00407B05"/>
    <w:rsid w:val="004103F6"/>
    <w:rsid w:val="00412F51"/>
    <w:rsid w:val="00413391"/>
    <w:rsid w:val="004135EB"/>
    <w:rsid w:val="004143E3"/>
    <w:rsid w:val="00414BD1"/>
    <w:rsid w:val="00415E5A"/>
    <w:rsid w:val="00416A44"/>
    <w:rsid w:val="00417394"/>
    <w:rsid w:val="00420BFB"/>
    <w:rsid w:val="00421212"/>
    <w:rsid w:val="00421AF0"/>
    <w:rsid w:val="00421FA2"/>
    <w:rsid w:val="004224E9"/>
    <w:rsid w:val="004226CA"/>
    <w:rsid w:val="00422EB4"/>
    <w:rsid w:val="0042322F"/>
    <w:rsid w:val="00424C11"/>
    <w:rsid w:val="00424F6E"/>
    <w:rsid w:val="0042557E"/>
    <w:rsid w:val="00425726"/>
    <w:rsid w:val="0042579C"/>
    <w:rsid w:val="00425959"/>
    <w:rsid w:val="00425C04"/>
    <w:rsid w:val="0042656B"/>
    <w:rsid w:val="00426744"/>
    <w:rsid w:val="004268F9"/>
    <w:rsid w:val="004272B5"/>
    <w:rsid w:val="004276B7"/>
    <w:rsid w:val="004277BF"/>
    <w:rsid w:val="00430098"/>
    <w:rsid w:val="00430706"/>
    <w:rsid w:val="00430812"/>
    <w:rsid w:val="004309C1"/>
    <w:rsid w:val="00431451"/>
    <w:rsid w:val="00431A97"/>
    <w:rsid w:val="00432160"/>
    <w:rsid w:val="00433124"/>
    <w:rsid w:val="004331A8"/>
    <w:rsid w:val="00433983"/>
    <w:rsid w:val="00434B3A"/>
    <w:rsid w:val="004353DB"/>
    <w:rsid w:val="00435C81"/>
    <w:rsid w:val="00435D7E"/>
    <w:rsid w:val="00436132"/>
    <w:rsid w:val="0043622B"/>
    <w:rsid w:val="00436781"/>
    <w:rsid w:val="00436B9B"/>
    <w:rsid w:val="00436DAB"/>
    <w:rsid w:val="0043700A"/>
    <w:rsid w:val="004400FE"/>
    <w:rsid w:val="00440795"/>
    <w:rsid w:val="0044120A"/>
    <w:rsid w:val="0044130C"/>
    <w:rsid w:val="004416B6"/>
    <w:rsid w:val="00442F7F"/>
    <w:rsid w:val="00443D4D"/>
    <w:rsid w:val="004440D2"/>
    <w:rsid w:val="00444238"/>
    <w:rsid w:val="004443B4"/>
    <w:rsid w:val="00444517"/>
    <w:rsid w:val="0044453A"/>
    <w:rsid w:val="00444D80"/>
    <w:rsid w:val="004458A4"/>
    <w:rsid w:val="00445F5A"/>
    <w:rsid w:val="00445FC3"/>
    <w:rsid w:val="004463F9"/>
    <w:rsid w:val="004471C9"/>
    <w:rsid w:val="004475E1"/>
    <w:rsid w:val="00447B3C"/>
    <w:rsid w:val="00447EA3"/>
    <w:rsid w:val="00447F84"/>
    <w:rsid w:val="0045072F"/>
    <w:rsid w:val="00450815"/>
    <w:rsid w:val="004509CB"/>
    <w:rsid w:val="004514A7"/>
    <w:rsid w:val="004517E4"/>
    <w:rsid w:val="00451B3F"/>
    <w:rsid w:val="00453479"/>
    <w:rsid w:val="004541CE"/>
    <w:rsid w:val="0045466C"/>
    <w:rsid w:val="004548F9"/>
    <w:rsid w:val="00454E44"/>
    <w:rsid w:val="00455FD1"/>
    <w:rsid w:val="0045707F"/>
    <w:rsid w:val="004579E5"/>
    <w:rsid w:val="004579EB"/>
    <w:rsid w:val="00457EED"/>
    <w:rsid w:val="00461069"/>
    <w:rsid w:val="00461A01"/>
    <w:rsid w:val="004621EF"/>
    <w:rsid w:val="004627FF"/>
    <w:rsid w:val="00462A0D"/>
    <w:rsid w:val="00463151"/>
    <w:rsid w:val="004634EA"/>
    <w:rsid w:val="00463565"/>
    <w:rsid w:val="004636A1"/>
    <w:rsid w:val="004658A7"/>
    <w:rsid w:val="00465B00"/>
    <w:rsid w:val="004661B9"/>
    <w:rsid w:val="00466880"/>
    <w:rsid w:val="00466B14"/>
    <w:rsid w:val="004671B6"/>
    <w:rsid w:val="004672CD"/>
    <w:rsid w:val="004708F5"/>
    <w:rsid w:val="0047172D"/>
    <w:rsid w:val="0047185A"/>
    <w:rsid w:val="004727A0"/>
    <w:rsid w:val="00474F0F"/>
    <w:rsid w:val="00475246"/>
    <w:rsid w:val="00475562"/>
    <w:rsid w:val="0047572E"/>
    <w:rsid w:val="00475F2C"/>
    <w:rsid w:val="00476A48"/>
    <w:rsid w:val="00476CB9"/>
    <w:rsid w:val="00477C57"/>
    <w:rsid w:val="00481344"/>
    <w:rsid w:val="00481C1C"/>
    <w:rsid w:val="004821AD"/>
    <w:rsid w:val="0048403A"/>
    <w:rsid w:val="00484259"/>
    <w:rsid w:val="00484630"/>
    <w:rsid w:val="00484CB7"/>
    <w:rsid w:val="00485190"/>
    <w:rsid w:val="0048520D"/>
    <w:rsid w:val="00485BEB"/>
    <w:rsid w:val="00485E09"/>
    <w:rsid w:val="0048619F"/>
    <w:rsid w:val="0048787B"/>
    <w:rsid w:val="004903D2"/>
    <w:rsid w:val="004904AA"/>
    <w:rsid w:val="0049092B"/>
    <w:rsid w:val="00491384"/>
    <w:rsid w:val="004916D5"/>
    <w:rsid w:val="00491837"/>
    <w:rsid w:val="00491CBF"/>
    <w:rsid w:val="00491E17"/>
    <w:rsid w:val="004920DD"/>
    <w:rsid w:val="004927FF"/>
    <w:rsid w:val="00492903"/>
    <w:rsid w:val="00492F69"/>
    <w:rsid w:val="00492FFE"/>
    <w:rsid w:val="004949F1"/>
    <w:rsid w:val="00495DC8"/>
    <w:rsid w:val="004A0529"/>
    <w:rsid w:val="004A053D"/>
    <w:rsid w:val="004A064E"/>
    <w:rsid w:val="004A09D8"/>
    <w:rsid w:val="004A0D4F"/>
    <w:rsid w:val="004A1E90"/>
    <w:rsid w:val="004A2007"/>
    <w:rsid w:val="004A20AF"/>
    <w:rsid w:val="004A294B"/>
    <w:rsid w:val="004A2E64"/>
    <w:rsid w:val="004A418A"/>
    <w:rsid w:val="004A4493"/>
    <w:rsid w:val="004A4930"/>
    <w:rsid w:val="004A5641"/>
    <w:rsid w:val="004A5A69"/>
    <w:rsid w:val="004A6EAE"/>
    <w:rsid w:val="004A76D5"/>
    <w:rsid w:val="004B06F2"/>
    <w:rsid w:val="004B0D5C"/>
    <w:rsid w:val="004B11BF"/>
    <w:rsid w:val="004B14CA"/>
    <w:rsid w:val="004B1F9F"/>
    <w:rsid w:val="004B2060"/>
    <w:rsid w:val="004B38F2"/>
    <w:rsid w:val="004B4890"/>
    <w:rsid w:val="004B48BD"/>
    <w:rsid w:val="004B509D"/>
    <w:rsid w:val="004B66CD"/>
    <w:rsid w:val="004B6AAA"/>
    <w:rsid w:val="004B78A1"/>
    <w:rsid w:val="004C0B23"/>
    <w:rsid w:val="004C18E9"/>
    <w:rsid w:val="004C29BD"/>
    <w:rsid w:val="004C3440"/>
    <w:rsid w:val="004C3B37"/>
    <w:rsid w:val="004C4120"/>
    <w:rsid w:val="004C4313"/>
    <w:rsid w:val="004C489F"/>
    <w:rsid w:val="004C4CAD"/>
    <w:rsid w:val="004C4CCF"/>
    <w:rsid w:val="004C505D"/>
    <w:rsid w:val="004C52D6"/>
    <w:rsid w:val="004C5682"/>
    <w:rsid w:val="004C5A6A"/>
    <w:rsid w:val="004D05C1"/>
    <w:rsid w:val="004D1235"/>
    <w:rsid w:val="004D1236"/>
    <w:rsid w:val="004D1426"/>
    <w:rsid w:val="004D193D"/>
    <w:rsid w:val="004D200D"/>
    <w:rsid w:val="004D22F4"/>
    <w:rsid w:val="004D2ADE"/>
    <w:rsid w:val="004D2CEC"/>
    <w:rsid w:val="004D30AE"/>
    <w:rsid w:val="004D39AB"/>
    <w:rsid w:val="004D3AC5"/>
    <w:rsid w:val="004D4837"/>
    <w:rsid w:val="004D4A96"/>
    <w:rsid w:val="004D4CEB"/>
    <w:rsid w:val="004D52F2"/>
    <w:rsid w:val="004D540F"/>
    <w:rsid w:val="004E01CC"/>
    <w:rsid w:val="004E25F6"/>
    <w:rsid w:val="004E29AC"/>
    <w:rsid w:val="004E47F7"/>
    <w:rsid w:val="004E5169"/>
    <w:rsid w:val="004E5822"/>
    <w:rsid w:val="004E5A3A"/>
    <w:rsid w:val="004E5BC0"/>
    <w:rsid w:val="004E6D99"/>
    <w:rsid w:val="004E78AE"/>
    <w:rsid w:val="004F0DE7"/>
    <w:rsid w:val="004F2104"/>
    <w:rsid w:val="004F235C"/>
    <w:rsid w:val="004F2F4A"/>
    <w:rsid w:val="004F328C"/>
    <w:rsid w:val="004F4616"/>
    <w:rsid w:val="004F47E3"/>
    <w:rsid w:val="004F4BA7"/>
    <w:rsid w:val="00500617"/>
    <w:rsid w:val="00501826"/>
    <w:rsid w:val="0050307F"/>
    <w:rsid w:val="005042F2"/>
    <w:rsid w:val="00504419"/>
    <w:rsid w:val="0050623D"/>
    <w:rsid w:val="005100ED"/>
    <w:rsid w:val="0051188B"/>
    <w:rsid w:val="00512E56"/>
    <w:rsid w:val="00512FE1"/>
    <w:rsid w:val="005134FA"/>
    <w:rsid w:val="00514ABA"/>
    <w:rsid w:val="00516063"/>
    <w:rsid w:val="00516F5F"/>
    <w:rsid w:val="00520493"/>
    <w:rsid w:val="00520C09"/>
    <w:rsid w:val="00520E23"/>
    <w:rsid w:val="0052103F"/>
    <w:rsid w:val="00521618"/>
    <w:rsid w:val="00521C21"/>
    <w:rsid w:val="00521CBF"/>
    <w:rsid w:val="0052291B"/>
    <w:rsid w:val="00522A10"/>
    <w:rsid w:val="00523074"/>
    <w:rsid w:val="005237CB"/>
    <w:rsid w:val="00523B3B"/>
    <w:rsid w:val="0052407B"/>
    <w:rsid w:val="005249A1"/>
    <w:rsid w:val="00524D90"/>
    <w:rsid w:val="00526104"/>
    <w:rsid w:val="00526C80"/>
    <w:rsid w:val="005307EF"/>
    <w:rsid w:val="00530DFC"/>
    <w:rsid w:val="0053191A"/>
    <w:rsid w:val="00531FD4"/>
    <w:rsid w:val="005321C7"/>
    <w:rsid w:val="00532AA2"/>
    <w:rsid w:val="00532DF4"/>
    <w:rsid w:val="0053515C"/>
    <w:rsid w:val="005369E8"/>
    <w:rsid w:val="00536B42"/>
    <w:rsid w:val="00536EB6"/>
    <w:rsid w:val="005370D7"/>
    <w:rsid w:val="005372A0"/>
    <w:rsid w:val="005375BA"/>
    <w:rsid w:val="00542E5D"/>
    <w:rsid w:val="00543258"/>
    <w:rsid w:val="005436BA"/>
    <w:rsid w:val="00543794"/>
    <w:rsid w:val="00544CC6"/>
    <w:rsid w:val="005456D4"/>
    <w:rsid w:val="005459C8"/>
    <w:rsid w:val="00545D42"/>
    <w:rsid w:val="00546983"/>
    <w:rsid w:val="00547073"/>
    <w:rsid w:val="00547284"/>
    <w:rsid w:val="005474EA"/>
    <w:rsid w:val="00547790"/>
    <w:rsid w:val="005477D0"/>
    <w:rsid w:val="00550895"/>
    <w:rsid w:val="00551205"/>
    <w:rsid w:val="005512A9"/>
    <w:rsid w:val="00551FE9"/>
    <w:rsid w:val="00552632"/>
    <w:rsid w:val="00552641"/>
    <w:rsid w:val="00552A9D"/>
    <w:rsid w:val="00553821"/>
    <w:rsid w:val="00556E28"/>
    <w:rsid w:val="00556EE7"/>
    <w:rsid w:val="00557093"/>
    <w:rsid w:val="00557435"/>
    <w:rsid w:val="005574F0"/>
    <w:rsid w:val="00557F15"/>
    <w:rsid w:val="00560339"/>
    <w:rsid w:val="005606FB"/>
    <w:rsid w:val="00560946"/>
    <w:rsid w:val="005616B3"/>
    <w:rsid w:val="00561FF9"/>
    <w:rsid w:val="00562401"/>
    <w:rsid w:val="00562515"/>
    <w:rsid w:val="005629D0"/>
    <w:rsid w:val="005647BC"/>
    <w:rsid w:val="00564AC2"/>
    <w:rsid w:val="0056524D"/>
    <w:rsid w:val="00565B09"/>
    <w:rsid w:val="00565CB1"/>
    <w:rsid w:val="00566832"/>
    <w:rsid w:val="00567406"/>
    <w:rsid w:val="00567F30"/>
    <w:rsid w:val="00570153"/>
    <w:rsid w:val="0057148A"/>
    <w:rsid w:val="00571C0C"/>
    <w:rsid w:val="005724DF"/>
    <w:rsid w:val="00572DC4"/>
    <w:rsid w:val="005731FC"/>
    <w:rsid w:val="00573AA4"/>
    <w:rsid w:val="00574324"/>
    <w:rsid w:val="005746DE"/>
    <w:rsid w:val="0057488E"/>
    <w:rsid w:val="0057499E"/>
    <w:rsid w:val="0057556B"/>
    <w:rsid w:val="0057627A"/>
    <w:rsid w:val="00576C5E"/>
    <w:rsid w:val="00577643"/>
    <w:rsid w:val="00577C2F"/>
    <w:rsid w:val="005810D3"/>
    <w:rsid w:val="00581D1D"/>
    <w:rsid w:val="00581D5E"/>
    <w:rsid w:val="0058201D"/>
    <w:rsid w:val="00582578"/>
    <w:rsid w:val="0058329E"/>
    <w:rsid w:val="00583D9C"/>
    <w:rsid w:val="00584C90"/>
    <w:rsid w:val="005854FF"/>
    <w:rsid w:val="0058556C"/>
    <w:rsid w:val="005858CA"/>
    <w:rsid w:val="00585D63"/>
    <w:rsid w:val="00585F77"/>
    <w:rsid w:val="00586422"/>
    <w:rsid w:val="00586710"/>
    <w:rsid w:val="00587D21"/>
    <w:rsid w:val="00591060"/>
    <w:rsid w:val="005913FF"/>
    <w:rsid w:val="00592564"/>
    <w:rsid w:val="00592A29"/>
    <w:rsid w:val="00594A9F"/>
    <w:rsid w:val="00595887"/>
    <w:rsid w:val="005958B0"/>
    <w:rsid w:val="00595D69"/>
    <w:rsid w:val="00596C21"/>
    <w:rsid w:val="005972CF"/>
    <w:rsid w:val="0059785C"/>
    <w:rsid w:val="005A0455"/>
    <w:rsid w:val="005A11F4"/>
    <w:rsid w:val="005A1C03"/>
    <w:rsid w:val="005A1C51"/>
    <w:rsid w:val="005A25D8"/>
    <w:rsid w:val="005A346B"/>
    <w:rsid w:val="005A49C3"/>
    <w:rsid w:val="005A4A7E"/>
    <w:rsid w:val="005A52D8"/>
    <w:rsid w:val="005A5981"/>
    <w:rsid w:val="005A6067"/>
    <w:rsid w:val="005A65BF"/>
    <w:rsid w:val="005A6649"/>
    <w:rsid w:val="005A6763"/>
    <w:rsid w:val="005A6C7C"/>
    <w:rsid w:val="005A6CCE"/>
    <w:rsid w:val="005A74C2"/>
    <w:rsid w:val="005A7A9E"/>
    <w:rsid w:val="005B0121"/>
    <w:rsid w:val="005B1025"/>
    <w:rsid w:val="005B10DF"/>
    <w:rsid w:val="005B2243"/>
    <w:rsid w:val="005B44EB"/>
    <w:rsid w:val="005B474E"/>
    <w:rsid w:val="005B4E49"/>
    <w:rsid w:val="005B4F19"/>
    <w:rsid w:val="005B6230"/>
    <w:rsid w:val="005B62D1"/>
    <w:rsid w:val="005C0FA0"/>
    <w:rsid w:val="005C11EC"/>
    <w:rsid w:val="005C1B8A"/>
    <w:rsid w:val="005C33EE"/>
    <w:rsid w:val="005C3B17"/>
    <w:rsid w:val="005C3F89"/>
    <w:rsid w:val="005C478B"/>
    <w:rsid w:val="005C51C2"/>
    <w:rsid w:val="005C5E71"/>
    <w:rsid w:val="005C605E"/>
    <w:rsid w:val="005C64E2"/>
    <w:rsid w:val="005C678A"/>
    <w:rsid w:val="005C7B44"/>
    <w:rsid w:val="005D02FB"/>
    <w:rsid w:val="005D0373"/>
    <w:rsid w:val="005D0A8D"/>
    <w:rsid w:val="005D0F1C"/>
    <w:rsid w:val="005D0FAC"/>
    <w:rsid w:val="005D11AF"/>
    <w:rsid w:val="005D206E"/>
    <w:rsid w:val="005D2E5B"/>
    <w:rsid w:val="005D38A6"/>
    <w:rsid w:val="005D55BF"/>
    <w:rsid w:val="005D6130"/>
    <w:rsid w:val="005D6292"/>
    <w:rsid w:val="005D6D58"/>
    <w:rsid w:val="005D6E8A"/>
    <w:rsid w:val="005E0914"/>
    <w:rsid w:val="005E1B68"/>
    <w:rsid w:val="005E24BB"/>
    <w:rsid w:val="005E2C67"/>
    <w:rsid w:val="005E3D03"/>
    <w:rsid w:val="005E44BE"/>
    <w:rsid w:val="005E48B7"/>
    <w:rsid w:val="005E56D8"/>
    <w:rsid w:val="005E5C45"/>
    <w:rsid w:val="005E6358"/>
    <w:rsid w:val="005E63C4"/>
    <w:rsid w:val="005E64A2"/>
    <w:rsid w:val="005E69A0"/>
    <w:rsid w:val="005E7410"/>
    <w:rsid w:val="005E7D42"/>
    <w:rsid w:val="005F0115"/>
    <w:rsid w:val="005F1FE1"/>
    <w:rsid w:val="005F2208"/>
    <w:rsid w:val="005F297D"/>
    <w:rsid w:val="005F29F7"/>
    <w:rsid w:val="005F38EF"/>
    <w:rsid w:val="005F3A6D"/>
    <w:rsid w:val="005F4584"/>
    <w:rsid w:val="005F4F6E"/>
    <w:rsid w:val="005F63D4"/>
    <w:rsid w:val="005F6618"/>
    <w:rsid w:val="005F6A13"/>
    <w:rsid w:val="005F7831"/>
    <w:rsid w:val="006007D4"/>
    <w:rsid w:val="00601696"/>
    <w:rsid w:val="00601A8C"/>
    <w:rsid w:val="00602318"/>
    <w:rsid w:val="006024AF"/>
    <w:rsid w:val="00602EF0"/>
    <w:rsid w:val="00604D7D"/>
    <w:rsid w:val="006056EF"/>
    <w:rsid w:val="00606548"/>
    <w:rsid w:val="00606765"/>
    <w:rsid w:val="0060678D"/>
    <w:rsid w:val="0060723A"/>
    <w:rsid w:val="006073C1"/>
    <w:rsid w:val="00607857"/>
    <w:rsid w:val="00607C2D"/>
    <w:rsid w:val="00610A2C"/>
    <w:rsid w:val="00610DAD"/>
    <w:rsid w:val="00610E65"/>
    <w:rsid w:val="006125D2"/>
    <w:rsid w:val="00612816"/>
    <w:rsid w:val="00612C05"/>
    <w:rsid w:val="00612FCC"/>
    <w:rsid w:val="00613B21"/>
    <w:rsid w:val="00613DA1"/>
    <w:rsid w:val="006148AF"/>
    <w:rsid w:val="006153B0"/>
    <w:rsid w:val="00615BB3"/>
    <w:rsid w:val="00615DAD"/>
    <w:rsid w:val="006161F9"/>
    <w:rsid w:val="00616A00"/>
    <w:rsid w:val="006205C6"/>
    <w:rsid w:val="00620A2F"/>
    <w:rsid w:val="00624024"/>
    <w:rsid w:val="00624196"/>
    <w:rsid w:val="00624279"/>
    <w:rsid w:val="0062457C"/>
    <w:rsid w:val="00624885"/>
    <w:rsid w:val="00624A46"/>
    <w:rsid w:val="00624BF1"/>
    <w:rsid w:val="00624CE2"/>
    <w:rsid w:val="0062572B"/>
    <w:rsid w:val="006311B1"/>
    <w:rsid w:val="00631764"/>
    <w:rsid w:val="006318C6"/>
    <w:rsid w:val="0063226D"/>
    <w:rsid w:val="006326B5"/>
    <w:rsid w:val="0063296B"/>
    <w:rsid w:val="00632E2F"/>
    <w:rsid w:val="00633CC4"/>
    <w:rsid w:val="00633F9D"/>
    <w:rsid w:val="00634D43"/>
    <w:rsid w:val="00635707"/>
    <w:rsid w:val="006359CF"/>
    <w:rsid w:val="00636158"/>
    <w:rsid w:val="0063645A"/>
    <w:rsid w:val="006365A3"/>
    <w:rsid w:val="006365A7"/>
    <w:rsid w:val="006366BA"/>
    <w:rsid w:val="00636B9A"/>
    <w:rsid w:val="00636F03"/>
    <w:rsid w:val="006374D0"/>
    <w:rsid w:val="006403AD"/>
    <w:rsid w:val="00640A9F"/>
    <w:rsid w:val="00641454"/>
    <w:rsid w:val="00641765"/>
    <w:rsid w:val="006425E2"/>
    <w:rsid w:val="006437EF"/>
    <w:rsid w:val="00643887"/>
    <w:rsid w:val="00644707"/>
    <w:rsid w:val="00644839"/>
    <w:rsid w:val="00644904"/>
    <w:rsid w:val="00644A3F"/>
    <w:rsid w:val="00644BAE"/>
    <w:rsid w:val="00644F4B"/>
    <w:rsid w:val="006452E8"/>
    <w:rsid w:val="00645442"/>
    <w:rsid w:val="0064570B"/>
    <w:rsid w:val="00645717"/>
    <w:rsid w:val="00645FAB"/>
    <w:rsid w:val="00646862"/>
    <w:rsid w:val="006476A8"/>
    <w:rsid w:val="006477C1"/>
    <w:rsid w:val="006478F6"/>
    <w:rsid w:val="00650255"/>
    <w:rsid w:val="006505DE"/>
    <w:rsid w:val="00650ADB"/>
    <w:rsid w:val="0065140E"/>
    <w:rsid w:val="00651440"/>
    <w:rsid w:val="0065231D"/>
    <w:rsid w:val="00652395"/>
    <w:rsid w:val="006525B2"/>
    <w:rsid w:val="0065272C"/>
    <w:rsid w:val="006527AF"/>
    <w:rsid w:val="00652FF7"/>
    <w:rsid w:val="0065548C"/>
    <w:rsid w:val="0065607E"/>
    <w:rsid w:val="0065673F"/>
    <w:rsid w:val="00657AB1"/>
    <w:rsid w:val="006608D5"/>
    <w:rsid w:val="00660F86"/>
    <w:rsid w:val="00661BE8"/>
    <w:rsid w:val="006625D8"/>
    <w:rsid w:val="0066296C"/>
    <w:rsid w:val="00662D2E"/>
    <w:rsid w:val="00663E7F"/>
    <w:rsid w:val="006647BB"/>
    <w:rsid w:val="0066562E"/>
    <w:rsid w:val="00666F7A"/>
    <w:rsid w:val="006679BD"/>
    <w:rsid w:val="00667B27"/>
    <w:rsid w:val="00667D19"/>
    <w:rsid w:val="00670240"/>
    <w:rsid w:val="006705BC"/>
    <w:rsid w:val="00670F65"/>
    <w:rsid w:val="00672C8A"/>
    <w:rsid w:val="00672CE4"/>
    <w:rsid w:val="00672F7C"/>
    <w:rsid w:val="0067300F"/>
    <w:rsid w:val="006743F8"/>
    <w:rsid w:val="0067533F"/>
    <w:rsid w:val="00675583"/>
    <w:rsid w:val="00675693"/>
    <w:rsid w:val="00676029"/>
    <w:rsid w:val="0067623B"/>
    <w:rsid w:val="00676705"/>
    <w:rsid w:val="00677CFF"/>
    <w:rsid w:val="00680B41"/>
    <w:rsid w:val="00681224"/>
    <w:rsid w:val="006819A5"/>
    <w:rsid w:val="00681AC1"/>
    <w:rsid w:val="006826A6"/>
    <w:rsid w:val="0068301B"/>
    <w:rsid w:val="006836D0"/>
    <w:rsid w:val="0068393C"/>
    <w:rsid w:val="00683ED7"/>
    <w:rsid w:val="00684DE5"/>
    <w:rsid w:val="006856BF"/>
    <w:rsid w:val="00686B31"/>
    <w:rsid w:val="00686C6D"/>
    <w:rsid w:val="00690BDC"/>
    <w:rsid w:val="00691450"/>
    <w:rsid w:val="006916ED"/>
    <w:rsid w:val="00691918"/>
    <w:rsid w:val="00691B55"/>
    <w:rsid w:val="00691F22"/>
    <w:rsid w:val="00692073"/>
    <w:rsid w:val="0069279B"/>
    <w:rsid w:val="00692BB8"/>
    <w:rsid w:val="00695402"/>
    <w:rsid w:val="00695F0D"/>
    <w:rsid w:val="00696205"/>
    <w:rsid w:val="00696207"/>
    <w:rsid w:val="006967C7"/>
    <w:rsid w:val="00697158"/>
    <w:rsid w:val="0069745A"/>
    <w:rsid w:val="006A159D"/>
    <w:rsid w:val="006A1A39"/>
    <w:rsid w:val="006A1C00"/>
    <w:rsid w:val="006A21BF"/>
    <w:rsid w:val="006A2224"/>
    <w:rsid w:val="006A2678"/>
    <w:rsid w:val="006A28B9"/>
    <w:rsid w:val="006A2C44"/>
    <w:rsid w:val="006A2EBE"/>
    <w:rsid w:val="006A3734"/>
    <w:rsid w:val="006A3992"/>
    <w:rsid w:val="006A3AAE"/>
    <w:rsid w:val="006A3F1A"/>
    <w:rsid w:val="006A403D"/>
    <w:rsid w:val="006A4355"/>
    <w:rsid w:val="006A6241"/>
    <w:rsid w:val="006A6C4C"/>
    <w:rsid w:val="006A7388"/>
    <w:rsid w:val="006A7FF9"/>
    <w:rsid w:val="006B01CB"/>
    <w:rsid w:val="006B0460"/>
    <w:rsid w:val="006B0657"/>
    <w:rsid w:val="006B0E62"/>
    <w:rsid w:val="006B1DC9"/>
    <w:rsid w:val="006B300B"/>
    <w:rsid w:val="006B37AB"/>
    <w:rsid w:val="006B41FA"/>
    <w:rsid w:val="006B6517"/>
    <w:rsid w:val="006B68D7"/>
    <w:rsid w:val="006B69DD"/>
    <w:rsid w:val="006B6A0F"/>
    <w:rsid w:val="006C1121"/>
    <w:rsid w:val="006C1A23"/>
    <w:rsid w:val="006C1D21"/>
    <w:rsid w:val="006C20D3"/>
    <w:rsid w:val="006C3544"/>
    <w:rsid w:val="006C3766"/>
    <w:rsid w:val="006C3A12"/>
    <w:rsid w:val="006C3D03"/>
    <w:rsid w:val="006C48BC"/>
    <w:rsid w:val="006C53DA"/>
    <w:rsid w:val="006C53FA"/>
    <w:rsid w:val="006C66CF"/>
    <w:rsid w:val="006C78E5"/>
    <w:rsid w:val="006C7A44"/>
    <w:rsid w:val="006C7B84"/>
    <w:rsid w:val="006C7E6A"/>
    <w:rsid w:val="006C7EEC"/>
    <w:rsid w:val="006D0095"/>
    <w:rsid w:val="006D142C"/>
    <w:rsid w:val="006D1668"/>
    <w:rsid w:val="006D2414"/>
    <w:rsid w:val="006D2782"/>
    <w:rsid w:val="006D2D86"/>
    <w:rsid w:val="006D308A"/>
    <w:rsid w:val="006D3570"/>
    <w:rsid w:val="006D35DB"/>
    <w:rsid w:val="006D382A"/>
    <w:rsid w:val="006D3CAE"/>
    <w:rsid w:val="006D576B"/>
    <w:rsid w:val="006D608F"/>
    <w:rsid w:val="006D618A"/>
    <w:rsid w:val="006D6500"/>
    <w:rsid w:val="006D7040"/>
    <w:rsid w:val="006D7B08"/>
    <w:rsid w:val="006D7E96"/>
    <w:rsid w:val="006E07E5"/>
    <w:rsid w:val="006E0CB0"/>
    <w:rsid w:val="006E0EBB"/>
    <w:rsid w:val="006E1F31"/>
    <w:rsid w:val="006E4946"/>
    <w:rsid w:val="006E4F40"/>
    <w:rsid w:val="006E5315"/>
    <w:rsid w:val="006E62C3"/>
    <w:rsid w:val="006E63EA"/>
    <w:rsid w:val="006E6FFB"/>
    <w:rsid w:val="006E7872"/>
    <w:rsid w:val="006F04E2"/>
    <w:rsid w:val="006F0CFC"/>
    <w:rsid w:val="006F12E9"/>
    <w:rsid w:val="006F1840"/>
    <w:rsid w:val="006F19CA"/>
    <w:rsid w:val="006F1B09"/>
    <w:rsid w:val="006F3D4D"/>
    <w:rsid w:val="006F42FA"/>
    <w:rsid w:val="006F4669"/>
    <w:rsid w:val="006F5583"/>
    <w:rsid w:val="006F5C46"/>
    <w:rsid w:val="006F7ED3"/>
    <w:rsid w:val="00700CCF"/>
    <w:rsid w:val="0070125A"/>
    <w:rsid w:val="00701CBA"/>
    <w:rsid w:val="00702112"/>
    <w:rsid w:val="00702491"/>
    <w:rsid w:val="00702B9E"/>
    <w:rsid w:val="0070362E"/>
    <w:rsid w:val="00703CB8"/>
    <w:rsid w:val="00705026"/>
    <w:rsid w:val="007051EE"/>
    <w:rsid w:val="00705C2F"/>
    <w:rsid w:val="00705F16"/>
    <w:rsid w:val="007070A2"/>
    <w:rsid w:val="00707512"/>
    <w:rsid w:val="00707745"/>
    <w:rsid w:val="00707857"/>
    <w:rsid w:val="00707900"/>
    <w:rsid w:val="007107D4"/>
    <w:rsid w:val="007121F2"/>
    <w:rsid w:val="00713C42"/>
    <w:rsid w:val="007142D7"/>
    <w:rsid w:val="00714493"/>
    <w:rsid w:val="007160F5"/>
    <w:rsid w:val="0071614B"/>
    <w:rsid w:val="00716CDC"/>
    <w:rsid w:val="0071721E"/>
    <w:rsid w:val="00717FA5"/>
    <w:rsid w:val="0072149F"/>
    <w:rsid w:val="00722AF0"/>
    <w:rsid w:val="00723379"/>
    <w:rsid w:val="0072339E"/>
    <w:rsid w:val="00724344"/>
    <w:rsid w:val="007247D7"/>
    <w:rsid w:val="0072582C"/>
    <w:rsid w:val="00725936"/>
    <w:rsid w:val="00725B7D"/>
    <w:rsid w:val="0072741F"/>
    <w:rsid w:val="00727BCA"/>
    <w:rsid w:val="00727F41"/>
    <w:rsid w:val="007304D0"/>
    <w:rsid w:val="00730C57"/>
    <w:rsid w:val="00730D3F"/>
    <w:rsid w:val="00730FFD"/>
    <w:rsid w:val="00731096"/>
    <w:rsid w:val="00732404"/>
    <w:rsid w:val="0073267F"/>
    <w:rsid w:val="00733160"/>
    <w:rsid w:val="0073366F"/>
    <w:rsid w:val="00733D8E"/>
    <w:rsid w:val="0073433F"/>
    <w:rsid w:val="00734395"/>
    <w:rsid w:val="00735585"/>
    <w:rsid w:val="00735688"/>
    <w:rsid w:val="007359C9"/>
    <w:rsid w:val="007367D8"/>
    <w:rsid w:val="00737481"/>
    <w:rsid w:val="00737A56"/>
    <w:rsid w:val="00737D0A"/>
    <w:rsid w:val="00740289"/>
    <w:rsid w:val="007408A4"/>
    <w:rsid w:val="00740EE9"/>
    <w:rsid w:val="00740F58"/>
    <w:rsid w:val="00742058"/>
    <w:rsid w:val="00742182"/>
    <w:rsid w:val="0074280D"/>
    <w:rsid w:val="0074337F"/>
    <w:rsid w:val="007436D4"/>
    <w:rsid w:val="0074421F"/>
    <w:rsid w:val="00745063"/>
    <w:rsid w:val="00745600"/>
    <w:rsid w:val="007456F5"/>
    <w:rsid w:val="007465FB"/>
    <w:rsid w:val="00746ADE"/>
    <w:rsid w:val="00746E6A"/>
    <w:rsid w:val="007477FE"/>
    <w:rsid w:val="00747F03"/>
    <w:rsid w:val="007502CA"/>
    <w:rsid w:val="00751B5A"/>
    <w:rsid w:val="0075344B"/>
    <w:rsid w:val="007537FD"/>
    <w:rsid w:val="007541A7"/>
    <w:rsid w:val="00754591"/>
    <w:rsid w:val="007546F2"/>
    <w:rsid w:val="00755022"/>
    <w:rsid w:val="007552E8"/>
    <w:rsid w:val="00755B29"/>
    <w:rsid w:val="007562E3"/>
    <w:rsid w:val="007566D6"/>
    <w:rsid w:val="007569EC"/>
    <w:rsid w:val="00756BC6"/>
    <w:rsid w:val="007571F7"/>
    <w:rsid w:val="00757CE0"/>
    <w:rsid w:val="00760981"/>
    <w:rsid w:val="00760ADA"/>
    <w:rsid w:val="00760C5B"/>
    <w:rsid w:val="00761113"/>
    <w:rsid w:val="007616E1"/>
    <w:rsid w:val="00762766"/>
    <w:rsid w:val="0076346C"/>
    <w:rsid w:val="00763A80"/>
    <w:rsid w:val="007642FE"/>
    <w:rsid w:val="00764B19"/>
    <w:rsid w:val="00765298"/>
    <w:rsid w:val="00765DD8"/>
    <w:rsid w:val="007661C5"/>
    <w:rsid w:val="00766D8D"/>
    <w:rsid w:val="00767A82"/>
    <w:rsid w:val="00767F4A"/>
    <w:rsid w:val="00770B85"/>
    <w:rsid w:val="00770FA0"/>
    <w:rsid w:val="00771BCC"/>
    <w:rsid w:val="00772165"/>
    <w:rsid w:val="00772651"/>
    <w:rsid w:val="007736B0"/>
    <w:rsid w:val="00774631"/>
    <w:rsid w:val="0077567F"/>
    <w:rsid w:val="007756D8"/>
    <w:rsid w:val="00775AAF"/>
    <w:rsid w:val="00776C38"/>
    <w:rsid w:val="00776F3F"/>
    <w:rsid w:val="007801BA"/>
    <w:rsid w:val="00780E12"/>
    <w:rsid w:val="00780E5A"/>
    <w:rsid w:val="00781215"/>
    <w:rsid w:val="00781AE0"/>
    <w:rsid w:val="0078213E"/>
    <w:rsid w:val="00782D2B"/>
    <w:rsid w:val="00783C29"/>
    <w:rsid w:val="00784021"/>
    <w:rsid w:val="00784F35"/>
    <w:rsid w:val="0078793B"/>
    <w:rsid w:val="00787C4B"/>
    <w:rsid w:val="0079018A"/>
    <w:rsid w:val="0079047B"/>
    <w:rsid w:val="00791722"/>
    <w:rsid w:val="00791D2B"/>
    <w:rsid w:val="0079414A"/>
    <w:rsid w:val="007944E6"/>
    <w:rsid w:val="00794641"/>
    <w:rsid w:val="0079497E"/>
    <w:rsid w:val="0079526F"/>
    <w:rsid w:val="0079584A"/>
    <w:rsid w:val="00795CA2"/>
    <w:rsid w:val="00796623"/>
    <w:rsid w:val="00797D34"/>
    <w:rsid w:val="007A08A9"/>
    <w:rsid w:val="007A1E7C"/>
    <w:rsid w:val="007A2314"/>
    <w:rsid w:val="007A4295"/>
    <w:rsid w:val="007A5A2E"/>
    <w:rsid w:val="007A5D34"/>
    <w:rsid w:val="007B0174"/>
    <w:rsid w:val="007B093B"/>
    <w:rsid w:val="007B0940"/>
    <w:rsid w:val="007B209B"/>
    <w:rsid w:val="007B218F"/>
    <w:rsid w:val="007B25ED"/>
    <w:rsid w:val="007B3515"/>
    <w:rsid w:val="007B3F9F"/>
    <w:rsid w:val="007B41F6"/>
    <w:rsid w:val="007B4627"/>
    <w:rsid w:val="007B56FD"/>
    <w:rsid w:val="007B5BB5"/>
    <w:rsid w:val="007B7074"/>
    <w:rsid w:val="007B735B"/>
    <w:rsid w:val="007B7A07"/>
    <w:rsid w:val="007C0CE4"/>
    <w:rsid w:val="007C148A"/>
    <w:rsid w:val="007C15A5"/>
    <w:rsid w:val="007C297E"/>
    <w:rsid w:val="007C2D80"/>
    <w:rsid w:val="007C3B84"/>
    <w:rsid w:val="007C4DE0"/>
    <w:rsid w:val="007C50C9"/>
    <w:rsid w:val="007C52DA"/>
    <w:rsid w:val="007C628D"/>
    <w:rsid w:val="007C6576"/>
    <w:rsid w:val="007C7D21"/>
    <w:rsid w:val="007D0077"/>
    <w:rsid w:val="007D0873"/>
    <w:rsid w:val="007D1D0C"/>
    <w:rsid w:val="007D243C"/>
    <w:rsid w:val="007D3428"/>
    <w:rsid w:val="007D3ABA"/>
    <w:rsid w:val="007D3F37"/>
    <w:rsid w:val="007D4C95"/>
    <w:rsid w:val="007D5006"/>
    <w:rsid w:val="007D5132"/>
    <w:rsid w:val="007D5382"/>
    <w:rsid w:val="007D6476"/>
    <w:rsid w:val="007E00CC"/>
    <w:rsid w:val="007E0401"/>
    <w:rsid w:val="007E168C"/>
    <w:rsid w:val="007E1B43"/>
    <w:rsid w:val="007E29FC"/>
    <w:rsid w:val="007E2FB9"/>
    <w:rsid w:val="007E30E7"/>
    <w:rsid w:val="007E39A2"/>
    <w:rsid w:val="007E4296"/>
    <w:rsid w:val="007E4440"/>
    <w:rsid w:val="007E5C23"/>
    <w:rsid w:val="007E5CF6"/>
    <w:rsid w:val="007E77E9"/>
    <w:rsid w:val="007E7E52"/>
    <w:rsid w:val="007F034A"/>
    <w:rsid w:val="007F0446"/>
    <w:rsid w:val="007F0496"/>
    <w:rsid w:val="007F07A9"/>
    <w:rsid w:val="007F1535"/>
    <w:rsid w:val="007F229F"/>
    <w:rsid w:val="007F2320"/>
    <w:rsid w:val="007F2782"/>
    <w:rsid w:val="007F3829"/>
    <w:rsid w:val="007F4978"/>
    <w:rsid w:val="007F4E89"/>
    <w:rsid w:val="007F5597"/>
    <w:rsid w:val="007F68B9"/>
    <w:rsid w:val="007F6BCB"/>
    <w:rsid w:val="007F7191"/>
    <w:rsid w:val="007F7749"/>
    <w:rsid w:val="00800040"/>
    <w:rsid w:val="008000F1"/>
    <w:rsid w:val="008008C5"/>
    <w:rsid w:val="00802FFD"/>
    <w:rsid w:val="00804274"/>
    <w:rsid w:val="008046A7"/>
    <w:rsid w:val="0080567D"/>
    <w:rsid w:val="00806318"/>
    <w:rsid w:val="00806792"/>
    <w:rsid w:val="00806F9B"/>
    <w:rsid w:val="00807A58"/>
    <w:rsid w:val="0081007B"/>
    <w:rsid w:val="008100D3"/>
    <w:rsid w:val="0081221B"/>
    <w:rsid w:val="00812417"/>
    <w:rsid w:val="00814CEC"/>
    <w:rsid w:val="0081541C"/>
    <w:rsid w:val="0081552D"/>
    <w:rsid w:val="00816627"/>
    <w:rsid w:val="0081670A"/>
    <w:rsid w:val="00816C03"/>
    <w:rsid w:val="00817C86"/>
    <w:rsid w:val="00817D08"/>
    <w:rsid w:val="00817E85"/>
    <w:rsid w:val="0082224D"/>
    <w:rsid w:val="00823426"/>
    <w:rsid w:val="00823ABB"/>
    <w:rsid w:val="00825C65"/>
    <w:rsid w:val="00826400"/>
    <w:rsid w:val="00826BCB"/>
    <w:rsid w:val="00830775"/>
    <w:rsid w:val="00831D39"/>
    <w:rsid w:val="008333AD"/>
    <w:rsid w:val="0083363A"/>
    <w:rsid w:val="00833719"/>
    <w:rsid w:val="008337DF"/>
    <w:rsid w:val="0083419A"/>
    <w:rsid w:val="0083478B"/>
    <w:rsid w:val="00834D2D"/>
    <w:rsid w:val="008367F0"/>
    <w:rsid w:val="008374C9"/>
    <w:rsid w:val="0083760E"/>
    <w:rsid w:val="008401FF"/>
    <w:rsid w:val="00840890"/>
    <w:rsid w:val="008411FE"/>
    <w:rsid w:val="00841EF8"/>
    <w:rsid w:val="00841FCA"/>
    <w:rsid w:val="00842389"/>
    <w:rsid w:val="00842629"/>
    <w:rsid w:val="00842F8A"/>
    <w:rsid w:val="00843A17"/>
    <w:rsid w:val="00845214"/>
    <w:rsid w:val="0084533C"/>
    <w:rsid w:val="00845799"/>
    <w:rsid w:val="008458CD"/>
    <w:rsid w:val="008464A2"/>
    <w:rsid w:val="00847137"/>
    <w:rsid w:val="00847311"/>
    <w:rsid w:val="008476E8"/>
    <w:rsid w:val="00850053"/>
    <w:rsid w:val="00850E0E"/>
    <w:rsid w:val="00850FC1"/>
    <w:rsid w:val="00852024"/>
    <w:rsid w:val="0085288D"/>
    <w:rsid w:val="00854A13"/>
    <w:rsid w:val="00855165"/>
    <w:rsid w:val="008551F2"/>
    <w:rsid w:val="0085541F"/>
    <w:rsid w:val="00855755"/>
    <w:rsid w:val="008557FE"/>
    <w:rsid w:val="00856172"/>
    <w:rsid w:val="00856CA4"/>
    <w:rsid w:val="00856F9A"/>
    <w:rsid w:val="00857290"/>
    <w:rsid w:val="008572E1"/>
    <w:rsid w:val="00857C8F"/>
    <w:rsid w:val="0086134D"/>
    <w:rsid w:val="00862640"/>
    <w:rsid w:val="00862A3D"/>
    <w:rsid w:val="00863362"/>
    <w:rsid w:val="00863507"/>
    <w:rsid w:val="008653ED"/>
    <w:rsid w:val="00865E8E"/>
    <w:rsid w:val="008660D6"/>
    <w:rsid w:val="00867177"/>
    <w:rsid w:val="00867602"/>
    <w:rsid w:val="00867876"/>
    <w:rsid w:val="00867CB3"/>
    <w:rsid w:val="00867E24"/>
    <w:rsid w:val="00867E51"/>
    <w:rsid w:val="00867F41"/>
    <w:rsid w:val="00870E6B"/>
    <w:rsid w:val="00870F56"/>
    <w:rsid w:val="008710BB"/>
    <w:rsid w:val="0087161A"/>
    <w:rsid w:val="0087208F"/>
    <w:rsid w:val="00872834"/>
    <w:rsid w:val="008735F8"/>
    <w:rsid w:val="00873DAA"/>
    <w:rsid w:val="00874190"/>
    <w:rsid w:val="00875113"/>
    <w:rsid w:val="00875187"/>
    <w:rsid w:val="00876695"/>
    <w:rsid w:val="00876EAD"/>
    <w:rsid w:val="008778E6"/>
    <w:rsid w:val="0088099E"/>
    <w:rsid w:val="008812B3"/>
    <w:rsid w:val="00881499"/>
    <w:rsid w:val="00881D14"/>
    <w:rsid w:val="008824F2"/>
    <w:rsid w:val="008826BB"/>
    <w:rsid w:val="008828C2"/>
    <w:rsid w:val="0088457F"/>
    <w:rsid w:val="00884B05"/>
    <w:rsid w:val="00884B4D"/>
    <w:rsid w:val="00884C56"/>
    <w:rsid w:val="008852C2"/>
    <w:rsid w:val="008854F4"/>
    <w:rsid w:val="00885843"/>
    <w:rsid w:val="00886341"/>
    <w:rsid w:val="008863C9"/>
    <w:rsid w:val="00886D14"/>
    <w:rsid w:val="008871D5"/>
    <w:rsid w:val="008878AB"/>
    <w:rsid w:val="00887B4E"/>
    <w:rsid w:val="00887C05"/>
    <w:rsid w:val="00887D27"/>
    <w:rsid w:val="008905AD"/>
    <w:rsid w:val="008918BE"/>
    <w:rsid w:val="008922F3"/>
    <w:rsid w:val="00892622"/>
    <w:rsid w:val="008932AA"/>
    <w:rsid w:val="00894928"/>
    <w:rsid w:val="00895541"/>
    <w:rsid w:val="008959F6"/>
    <w:rsid w:val="00895AFA"/>
    <w:rsid w:val="00895E20"/>
    <w:rsid w:val="00896D86"/>
    <w:rsid w:val="00897D29"/>
    <w:rsid w:val="00897F80"/>
    <w:rsid w:val="008A0209"/>
    <w:rsid w:val="008A0417"/>
    <w:rsid w:val="008A0F15"/>
    <w:rsid w:val="008A1A8F"/>
    <w:rsid w:val="008A25E1"/>
    <w:rsid w:val="008A360D"/>
    <w:rsid w:val="008A3B5C"/>
    <w:rsid w:val="008A3C33"/>
    <w:rsid w:val="008A53D0"/>
    <w:rsid w:val="008A5CE8"/>
    <w:rsid w:val="008A5E05"/>
    <w:rsid w:val="008A60AC"/>
    <w:rsid w:val="008A78EE"/>
    <w:rsid w:val="008B0D58"/>
    <w:rsid w:val="008B17E4"/>
    <w:rsid w:val="008B23EE"/>
    <w:rsid w:val="008B244B"/>
    <w:rsid w:val="008B29A7"/>
    <w:rsid w:val="008B2BEA"/>
    <w:rsid w:val="008B3609"/>
    <w:rsid w:val="008B4F00"/>
    <w:rsid w:val="008B4F9C"/>
    <w:rsid w:val="008B5B2B"/>
    <w:rsid w:val="008B5C68"/>
    <w:rsid w:val="008B5D58"/>
    <w:rsid w:val="008B63C1"/>
    <w:rsid w:val="008B7227"/>
    <w:rsid w:val="008B7237"/>
    <w:rsid w:val="008B7A24"/>
    <w:rsid w:val="008B7EEB"/>
    <w:rsid w:val="008B7EF8"/>
    <w:rsid w:val="008B7FBF"/>
    <w:rsid w:val="008C1121"/>
    <w:rsid w:val="008C153E"/>
    <w:rsid w:val="008C1807"/>
    <w:rsid w:val="008C22B0"/>
    <w:rsid w:val="008C39C9"/>
    <w:rsid w:val="008C39CE"/>
    <w:rsid w:val="008C3A58"/>
    <w:rsid w:val="008C4014"/>
    <w:rsid w:val="008C41CC"/>
    <w:rsid w:val="008C4FC7"/>
    <w:rsid w:val="008C5ACD"/>
    <w:rsid w:val="008C6714"/>
    <w:rsid w:val="008C6808"/>
    <w:rsid w:val="008C7A05"/>
    <w:rsid w:val="008D0430"/>
    <w:rsid w:val="008D0BB1"/>
    <w:rsid w:val="008D16DA"/>
    <w:rsid w:val="008D2961"/>
    <w:rsid w:val="008D38E0"/>
    <w:rsid w:val="008D40EE"/>
    <w:rsid w:val="008D5756"/>
    <w:rsid w:val="008D6369"/>
    <w:rsid w:val="008E375E"/>
    <w:rsid w:val="008E39B8"/>
    <w:rsid w:val="008E4BAE"/>
    <w:rsid w:val="008E4F82"/>
    <w:rsid w:val="008E5EAF"/>
    <w:rsid w:val="008E663D"/>
    <w:rsid w:val="008E6C1C"/>
    <w:rsid w:val="008E6CB9"/>
    <w:rsid w:val="008F05AD"/>
    <w:rsid w:val="008F0B67"/>
    <w:rsid w:val="008F0BBA"/>
    <w:rsid w:val="008F0CEC"/>
    <w:rsid w:val="008F2D80"/>
    <w:rsid w:val="008F333B"/>
    <w:rsid w:val="008F3E9C"/>
    <w:rsid w:val="008F42EE"/>
    <w:rsid w:val="008F489E"/>
    <w:rsid w:val="008F501F"/>
    <w:rsid w:val="008F50CC"/>
    <w:rsid w:val="008F510F"/>
    <w:rsid w:val="008F52FE"/>
    <w:rsid w:val="008F59AF"/>
    <w:rsid w:val="008F5D6B"/>
    <w:rsid w:val="008F5F27"/>
    <w:rsid w:val="008F62B6"/>
    <w:rsid w:val="008F674C"/>
    <w:rsid w:val="008F76DB"/>
    <w:rsid w:val="008F7AF4"/>
    <w:rsid w:val="0090047C"/>
    <w:rsid w:val="0090050C"/>
    <w:rsid w:val="009008B3"/>
    <w:rsid w:val="00900CBF"/>
    <w:rsid w:val="00900F1F"/>
    <w:rsid w:val="00901289"/>
    <w:rsid w:val="00902755"/>
    <w:rsid w:val="009028C9"/>
    <w:rsid w:val="00902DE4"/>
    <w:rsid w:val="00903E44"/>
    <w:rsid w:val="00904478"/>
    <w:rsid w:val="00904DC6"/>
    <w:rsid w:val="00904F66"/>
    <w:rsid w:val="00905581"/>
    <w:rsid w:val="00905AAA"/>
    <w:rsid w:val="0090602D"/>
    <w:rsid w:val="00906AF6"/>
    <w:rsid w:val="00907C42"/>
    <w:rsid w:val="00910271"/>
    <w:rsid w:val="00910D14"/>
    <w:rsid w:val="009118AC"/>
    <w:rsid w:val="0091200D"/>
    <w:rsid w:val="0091224F"/>
    <w:rsid w:val="00912296"/>
    <w:rsid w:val="009122AC"/>
    <w:rsid w:val="009126C6"/>
    <w:rsid w:val="00912F19"/>
    <w:rsid w:val="00913043"/>
    <w:rsid w:val="009133DC"/>
    <w:rsid w:val="0091347B"/>
    <w:rsid w:val="00913CC8"/>
    <w:rsid w:val="00913FDD"/>
    <w:rsid w:val="00914635"/>
    <w:rsid w:val="00915556"/>
    <w:rsid w:val="009164F0"/>
    <w:rsid w:val="0091664F"/>
    <w:rsid w:val="00916D90"/>
    <w:rsid w:val="00920850"/>
    <w:rsid w:val="00920973"/>
    <w:rsid w:val="00920BB0"/>
    <w:rsid w:val="00921282"/>
    <w:rsid w:val="00921B04"/>
    <w:rsid w:val="00922F2D"/>
    <w:rsid w:val="00922F4A"/>
    <w:rsid w:val="00923520"/>
    <w:rsid w:val="00923964"/>
    <w:rsid w:val="00924B31"/>
    <w:rsid w:val="00924B4C"/>
    <w:rsid w:val="009251DB"/>
    <w:rsid w:val="0092572B"/>
    <w:rsid w:val="00925FFE"/>
    <w:rsid w:val="009262D5"/>
    <w:rsid w:val="009268BB"/>
    <w:rsid w:val="00926F96"/>
    <w:rsid w:val="0093084F"/>
    <w:rsid w:val="00930C72"/>
    <w:rsid w:val="00930C99"/>
    <w:rsid w:val="0093167F"/>
    <w:rsid w:val="00931C17"/>
    <w:rsid w:val="009323CF"/>
    <w:rsid w:val="009338E2"/>
    <w:rsid w:val="00934072"/>
    <w:rsid w:val="0093434C"/>
    <w:rsid w:val="0093489B"/>
    <w:rsid w:val="009348A6"/>
    <w:rsid w:val="009350D0"/>
    <w:rsid w:val="00935225"/>
    <w:rsid w:val="00935389"/>
    <w:rsid w:val="00935FAA"/>
    <w:rsid w:val="00936090"/>
    <w:rsid w:val="0093635F"/>
    <w:rsid w:val="00936D84"/>
    <w:rsid w:val="009378D0"/>
    <w:rsid w:val="00937D35"/>
    <w:rsid w:val="0094042B"/>
    <w:rsid w:val="009404D1"/>
    <w:rsid w:val="00941770"/>
    <w:rsid w:val="009417CA"/>
    <w:rsid w:val="00941872"/>
    <w:rsid w:val="009439BB"/>
    <w:rsid w:val="00943A7C"/>
    <w:rsid w:val="00943B3D"/>
    <w:rsid w:val="009441C2"/>
    <w:rsid w:val="009443EF"/>
    <w:rsid w:val="00944BB9"/>
    <w:rsid w:val="00944DD5"/>
    <w:rsid w:val="00945010"/>
    <w:rsid w:val="00945343"/>
    <w:rsid w:val="0094572F"/>
    <w:rsid w:val="00945DB8"/>
    <w:rsid w:val="0094603C"/>
    <w:rsid w:val="009461E8"/>
    <w:rsid w:val="009464D5"/>
    <w:rsid w:val="009468F6"/>
    <w:rsid w:val="0094787A"/>
    <w:rsid w:val="00947C0D"/>
    <w:rsid w:val="00947C4F"/>
    <w:rsid w:val="009508A6"/>
    <w:rsid w:val="00950E3B"/>
    <w:rsid w:val="009510AF"/>
    <w:rsid w:val="0095254F"/>
    <w:rsid w:val="009531B9"/>
    <w:rsid w:val="00953B42"/>
    <w:rsid w:val="00954F18"/>
    <w:rsid w:val="00955A79"/>
    <w:rsid w:val="00955AAA"/>
    <w:rsid w:val="0096083F"/>
    <w:rsid w:val="00960B93"/>
    <w:rsid w:val="00960CA8"/>
    <w:rsid w:val="00960CEB"/>
    <w:rsid w:val="00961F93"/>
    <w:rsid w:val="00962BF4"/>
    <w:rsid w:val="00965653"/>
    <w:rsid w:val="00966C60"/>
    <w:rsid w:val="00966E29"/>
    <w:rsid w:val="00967D83"/>
    <w:rsid w:val="00970D98"/>
    <w:rsid w:val="0097158A"/>
    <w:rsid w:val="0097167E"/>
    <w:rsid w:val="00971D85"/>
    <w:rsid w:val="009720A9"/>
    <w:rsid w:val="009728E5"/>
    <w:rsid w:val="00972924"/>
    <w:rsid w:val="00973299"/>
    <w:rsid w:val="00973C41"/>
    <w:rsid w:val="00975360"/>
    <w:rsid w:val="00975CCC"/>
    <w:rsid w:val="009761CA"/>
    <w:rsid w:val="00976F71"/>
    <w:rsid w:val="00980908"/>
    <w:rsid w:val="009813F2"/>
    <w:rsid w:val="00982034"/>
    <w:rsid w:val="0098226F"/>
    <w:rsid w:val="0098334C"/>
    <w:rsid w:val="00983427"/>
    <w:rsid w:val="0098368D"/>
    <w:rsid w:val="0098388E"/>
    <w:rsid w:val="00983B1B"/>
    <w:rsid w:val="00984A87"/>
    <w:rsid w:val="00984E51"/>
    <w:rsid w:val="00984EC2"/>
    <w:rsid w:val="0098627B"/>
    <w:rsid w:val="0098668F"/>
    <w:rsid w:val="00986AA3"/>
    <w:rsid w:val="00987061"/>
    <w:rsid w:val="00987755"/>
    <w:rsid w:val="00987925"/>
    <w:rsid w:val="00987937"/>
    <w:rsid w:val="00990A91"/>
    <w:rsid w:val="00991A3E"/>
    <w:rsid w:val="00991D3B"/>
    <w:rsid w:val="00992F59"/>
    <w:rsid w:val="00993180"/>
    <w:rsid w:val="00993AAF"/>
    <w:rsid w:val="00995849"/>
    <w:rsid w:val="009959D9"/>
    <w:rsid w:val="00995CDD"/>
    <w:rsid w:val="0099638F"/>
    <w:rsid w:val="009969DD"/>
    <w:rsid w:val="00996A95"/>
    <w:rsid w:val="00997A0D"/>
    <w:rsid w:val="009A0B84"/>
    <w:rsid w:val="009A0C91"/>
    <w:rsid w:val="009A244D"/>
    <w:rsid w:val="009A33E3"/>
    <w:rsid w:val="009A4CA0"/>
    <w:rsid w:val="009A4CB2"/>
    <w:rsid w:val="009A51FF"/>
    <w:rsid w:val="009A55BF"/>
    <w:rsid w:val="009A5D03"/>
    <w:rsid w:val="009A5E69"/>
    <w:rsid w:val="009A67ED"/>
    <w:rsid w:val="009B0091"/>
    <w:rsid w:val="009B012B"/>
    <w:rsid w:val="009B0335"/>
    <w:rsid w:val="009B344E"/>
    <w:rsid w:val="009B3CE1"/>
    <w:rsid w:val="009B43F1"/>
    <w:rsid w:val="009B4E71"/>
    <w:rsid w:val="009B4EC7"/>
    <w:rsid w:val="009B5A4C"/>
    <w:rsid w:val="009B64EA"/>
    <w:rsid w:val="009B6949"/>
    <w:rsid w:val="009B6D32"/>
    <w:rsid w:val="009B7482"/>
    <w:rsid w:val="009C0506"/>
    <w:rsid w:val="009C0538"/>
    <w:rsid w:val="009C0BC6"/>
    <w:rsid w:val="009C0C69"/>
    <w:rsid w:val="009C0E40"/>
    <w:rsid w:val="009C1835"/>
    <w:rsid w:val="009C2102"/>
    <w:rsid w:val="009C2A5D"/>
    <w:rsid w:val="009C354A"/>
    <w:rsid w:val="009C3C3E"/>
    <w:rsid w:val="009C3F3F"/>
    <w:rsid w:val="009C4174"/>
    <w:rsid w:val="009C50A2"/>
    <w:rsid w:val="009C6846"/>
    <w:rsid w:val="009C7570"/>
    <w:rsid w:val="009C7F53"/>
    <w:rsid w:val="009D154C"/>
    <w:rsid w:val="009D187A"/>
    <w:rsid w:val="009D1CA1"/>
    <w:rsid w:val="009D2912"/>
    <w:rsid w:val="009D3DC0"/>
    <w:rsid w:val="009D404A"/>
    <w:rsid w:val="009D44C6"/>
    <w:rsid w:val="009D4D07"/>
    <w:rsid w:val="009D59E3"/>
    <w:rsid w:val="009D5FDA"/>
    <w:rsid w:val="009D60E6"/>
    <w:rsid w:val="009D61D3"/>
    <w:rsid w:val="009D6320"/>
    <w:rsid w:val="009D6BB4"/>
    <w:rsid w:val="009D6BFF"/>
    <w:rsid w:val="009D7034"/>
    <w:rsid w:val="009D7106"/>
    <w:rsid w:val="009D7120"/>
    <w:rsid w:val="009D7472"/>
    <w:rsid w:val="009D7F42"/>
    <w:rsid w:val="009E0E75"/>
    <w:rsid w:val="009E1483"/>
    <w:rsid w:val="009E1AB8"/>
    <w:rsid w:val="009E1BD0"/>
    <w:rsid w:val="009E2288"/>
    <w:rsid w:val="009E2FC1"/>
    <w:rsid w:val="009E3C01"/>
    <w:rsid w:val="009E4030"/>
    <w:rsid w:val="009E4727"/>
    <w:rsid w:val="009E49FF"/>
    <w:rsid w:val="009E54F2"/>
    <w:rsid w:val="009E62E0"/>
    <w:rsid w:val="009E68EB"/>
    <w:rsid w:val="009E6D84"/>
    <w:rsid w:val="009E700E"/>
    <w:rsid w:val="009E7D0F"/>
    <w:rsid w:val="009F1F04"/>
    <w:rsid w:val="009F20FD"/>
    <w:rsid w:val="009F3CE6"/>
    <w:rsid w:val="009F4CB8"/>
    <w:rsid w:val="009F520F"/>
    <w:rsid w:val="009F530D"/>
    <w:rsid w:val="009F5A9E"/>
    <w:rsid w:val="009F602D"/>
    <w:rsid w:val="009F6377"/>
    <w:rsid w:val="009F6B98"/>
    <w:rsid w:val="009F701B"/>
    <w:rsid w:val="009F7255"/>
    <w:rsid w:val="009F7F2C"/>
    <w:rsid w:val="00A002F4"/>
    <w:rsid w:val="00A01528"/>
    <w:rsid w:val="00A019F9"/>
    <w:rsid w:val="00A02D7E"/>
    <w:rsid w:val="00A03280"/>
    <w:rsid w:val="00A03655"/>
    <w:rsid w:val="00A03954"/>
    <w:rsid w:val="00A03A11"/>
    <w:rsid w:val="00A03AC8"/>
    <w:rsid w:val="00A03B83"/>
    <w:rsid w:val="00A04022"/>
    <w:rsid w:val="00A051D7"/>
    <w:rsid w:val="00A05343"/>
    <w:rsid w:val="00A056C2"/>
    <w:rsid w:val="00A0574E"/>
    <w:rsid w:val="00A06BDB"/>
    <w:rsid w:val="00A105C7"/>
    <w:rsid w:val="00A1083A"/>
    <w:rsid w:val="00A10D80"/>
    <w:rsid w:val="00A111AA"/>
    <w:rsid w:val="00A124BB"/>
    <w:rsid w:val="00A12637"/>
    <w:rsid w:val="00A12C48"/>
    <w:rsid w:val="00A132E2"/>
    <w:rsid w:val="00A13694"/>
    <w:rsid w:val="00A13D87"/>
    <w:rsid w:val="00A14237"/>
    <w:rsid w:val="00A14800"/>
    <w:rsid w:val="00A14B42"/>
    <w:rsid w:val="00A1699B"/>
    <w:rsid w:val="00A16FFE"/>
    <w:rsid w:val="00A1727B"/>
    <w:rsid w:val="00A1732C"/>
    <w:rsid w:val="00A17362"/>
    <w:rsid w:val="00A17479"/>
    <w:rsid w:val="00A1748C"/>
    <w:rsid w:val="00A17925"/>
    <w:rsid w:val="00A2026E"/>
    <w:rsid w:val="00A210BC"/>
    <w:rsid w:val="00A210C2"/>
    <w:rsid w:val="00A21117"/>
    <w:rsid w:val="00A219C5"/>
    <w:rsid w:val="00A2306E"/>
    <w:rsid w:val="00A23D89"/>
    <w:rsid w:val="00A23FF6"/>
    <w:rsid w:val="00A24E94"/>
    <w:rsid w:val="00A251D7"/>
    <w:rsid w:val="00A259CE"/>
    <w:rsid w:val="00A25FF5"/>
    <w:rsid w:val="00A26EEC"/>
    <w:rsid w:val="00A30724"/>
    <w:rsid w:val="00A31748"/>
    <w:rsid w:val="00A3218F"/>
    <w:rsid w:val="00A32CDF"/>
    <w:rsid w:val="00A333AA"/>
    <w:rsid w:val="00A35577"/>
    <w:rsid w:val="00A36D56"/>
    <w:rsid w:val="00A36F81"/>
    <w:rsid w:val="00A37342"/>
    <w:rsid w:val="00A4006F"/>
    <w:rsid w:val="00A40902"/>
    <w:rsid w:val="00A41EEA"/>
    <w:rsid w:val="00A42DE3"/>
    <w:rsid w:val="00A4405E"/>
    <w:rsid w:val="00A448AD"/>
    <w:rsid w:val="00A44E96"/>
    <w:rsid w:val="00A468D9"/>
    <w:rsid w:val="00A4776F"/>
    <w:rsid w:val="00A50C40"/>
    <w:rsid w:val="00A50D34"/>
    <w:rsid w:val="00A5124B"/>
    <w:rsid w:val="00A516B8"/>
    <w:rsid w:val="00A52758"/>
    <w:rsid w:val="00A532ED"/>
    <w:rsid w:val="00A53959"/>
    <w:rsid w:val="00A5444D"/>
    <w:rsid w:val="00A5468F"/>
    <w:rsid w:val="00A54C14"/>
    <w:rsid w:val="00A54F2A"/>
    <w:rsid w:val="00A55198"/>
    <w:rsid w:val="00A552BE"/>
    <w:rsid w:val="00A556CC"/>
    <w:rsid w:val="00A56167"/>
    <w:rsid w:val="00A56AC4"/>
    <w:rsid w:val="00A56BAA"/>
    <w:rsid w:val="00A56D59"/>
    <w:rsid w:val="00A57A3D"/>
    <w:rsid w:val="00A57AAC"/>
    <w:rsid w:val="00A6013F"/>
    <w:rsid w:val="00A61518"/>
    <w:rsid w:val="00A6151D"/>
    <w:rsid w:val="00A616F0"/>
    <w:rsid w:val="00A61B23"/>
    <w:rsid w:val="00A61E5F"/>
    <w:rsid w:val="00A624A0"/>
    <w:rsid w:val="00A62CA5"/>
    <w:rsid w:val="00A63966"/>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A52"/>
    <w:rsid w:val="00A70218"/>
    <w:rsid w:val="00A7098B"/>
    <w:rsid w:val="00A726FF"/>
    <w:rsid w:val="00A72CBF"/>
    <w:rsid w:val="00A72DB1"/>
    <w:rsid w:val="00A73213"/>
    <w:rsid w:val="00A73AB9"/>
    <w:rsid w:val="00A74203"/>
    <w:rsid w:val="00A74292"/>
    <w:rsid w:val="00A74456"/>
    <w:rsid w:val="00A74EB3"/>
    <w:rsid w:val="00A75234"/>
    <w:rsid w:val="00A75DCA"/>
    <w:rsid w:val="00A7619F"/>
    <w:rsid w:val="00A762D1"/>
    <w:rsid w:val="00A76728"/>
    <w:rsid w:val="00A76761"/>
    <w:rsid w:val="00A76E1D"/>
    <w:rsid w:val="00A7712B"/>
    <w:rsid w:val="00A80784"/>
    <w:rsid w:val="00A80974"/>
    <w:rsid w:val="00A81881"/>
    <w:rsid w:val="00A820B6"/>
    <w:rsid w:val="00A82A58"/>
    <w:rsid w:val="00A82ED8"/>
    <w:rsid w:val="00A83172"/>
    <w:rsid w:val="00A83359"/>
    <w:rsid w:val="00A8487D"/>
    <w:rsid w:val="00A84FA4"/>
    <w:rsid w:val="00A86F14"/>
    <w:rsid w:val="00A87318"/>
    <w:rsid w:val="00A873F3"/>
    <w:rsid w:val="00A8757F"/>
    <w:rsid w:val="00A877C1"/>
    <w:rsid w:val="00A90377"/>
    <w:rsid w:val="00A903F0"/>
    <w:rsid w:val="00A9063F"/>
    <w:rsid w:val="00A908F2"/>
    <w:rsid w:val="00A9131A"/>
    <w:rsid w:val="00A91591"/>
    <w:rsid w:val="00A91613"/>
    <w:rsid w:val="00A9176B"/>
    <w:rsid w:val="00A9259A"/>
    <w:rsid w:val="00A93C60"/>
    <w:rsid w:val="00A94B3C"/>
    <w:rsid w:val="00A94D9A"/>
    <w:rsid w:val="00A96578"/>
    <w:rsid w:val="00A96900"/>
    <w:rsid w:val="00A96B38"/>
    <w:rsid w:val="00A9714F"/>
    <w:rsid w:val="00A97397"/>
    <w:rsid w:val="00AA1784"/>
    <w:rsid w:val="00AA2187"/>
    <w:rsid w:val="00AA22BB"/>
    <w:rsid w:val="00AA2477"/>
    <w:rsid w:val="00AA322F"/>
    <w:rsid w:val="00AA3FB2"/>
    <w:rsid w:val="00AA4E66"/>
    <w:rsid w:val="00AA6B27"/>
    <w:rsid w:val="00AA6CC3"/>
    <w:rsid w:val="00AA6F20"/>
    <w:rsid w:val="00AA710E"/>
    <w:rsid w:val="00AA72DF"/>
    <w:rsid w:val="00AA7419"/>
    <w:rsid w:val="00AB01E2"/>
    <w:rsid w:val="00AB15D4"/>
    <w:rsid w:val="00AB1BF5"/>
    <w:rsid w:val="00AB20DF"/>
    <w:rsid w:val="00AB21F4"/>
    <w:rsid w:val="00AB23F2"/>
    <w:rsid w:val="00AB4C17"/>
    <w:rsid w:val="00AB4C3C"/>
    <w:rsid w:val="00AB58D7"/>
    <w:rsid w:val="00AB753D"/>
    <w:rsid w:val="00AB75BD"/>
    <w:rsid w:val="00AB7A4E"/>
    <w:rsid w:val="00AB7EC0"/>
    <w:rsid w:val="00AC0309"/>
    <w:rsid w:val="00AC1669"/>
    <w:rsid w:val="00AC2F55"/>
    <w:rsid w:val="00AC42D4"/>
    <w:rsid w:val="00AC4FE7"/>
    <w:rsid w:val="00AC533D"/>
    <w:rsid w:val="00AC609D"/>
    <w:rsid w:val="00AC60DE"/>
    <w:rsid w:val="00AC6CC7"/>
    <w:rsid w:val="00AC7537"/>
    <w:rsid w:val="00AC756B"/>
    <w:rsid w:val="00AC7A9F"/>
    <w:rsid w:val="00AC7EDB"/>
    <w:rsid w:val="00AD058D"/>
    <w:rsid w:val="00AD07CF"/>
    <w:rsid w:val="00AD0E57"/>
    <w:rsid w:val="00AD0ED8"/>
    <w:rsid w:val="00AD301D"/>
    <w:rsid w:val="00AD36D1"/>
    <w:rsid w:val="00AD4194"/>
    <w:rsid w:val="00AD5BFA"/>
    <w:rsid w:val="00AD5D5B"/>
    <w:rsid w:val="00AD62F6"/>
    <w:rsid w:val="00AD6BBA"/>
    <w:rsid w:val="00AD7C97"/>
    <w:rsid w:val="00AE0601"/>
    <w:rsid w:val="00AE08A8"/>
    <w:rsid w:val="00AE214C"/>
    <w:rsid w:val="00AE234E"/>
    <w:rsid w:val="00AE3660"/>
    <w:rsid w:val="00AE396A"/>
    <w:rsid w:val="00AE42C4"/>
    <w:rsid w:val="00AE43CC"/>
    <w:rsid w:val="00AE4621"/>
    <w:rsid w:val="00AE6488"/>
    <w:rsid w:val="00AE6917"/>
    <w:rsid w:val="00AE6ED4"/>
    <w:rsid w:val="00AE6FE4"/>
    <w:rsid w:val="00AE7DD1"/>
    <w:rsid w:val="00AE7E1A"/>
    <w:rsid w:val="00AF1568"/>
    <w:rsid w:val="00AF1830"/>
    <w:rsid w:val="00AF1F6B"/>
    <w:rsid w:val="00AF2F4F"/>
    <w:rsid w:val="00AF347E"/>
    <w:rsid w:val="00AF3699"/>
    <w:rsid w:val="00AF3CF3"/>
    <w:rsid w:val="00AF443C"/>
    <w:rsid w:val="00AF4630"/>
    <w:rsid w:val="00AF5822"/>
    <w:rsid w:val="00AF582F"/>
    <w:rsid w:val="00AF602C"/>
    <w:rsid w:val="00AF66C9"/>
    <w:rsid w:val="00AF71E1"/>
    <w:rsid w:val="00AF71EE"/>
    <w:rsid w:val="00AF7711"/>
    <w:rsid w:val="00B00690"/>
    <w:rsid w:val="00B00902"/>
    <w:rsid w:val="00B011FB"/>
    <w:rsid w:val="00B02672"/>
    <w:rsid w:val="00B026EE"/>
    <w:rsid w:val="00B0297A"/>
    <w:rsid w:val="00B042F3"/>
    <w:rsid w:val="00B047A2"/>
    <w:rsid w:val="00B04F05"/>
    <w:rsid w:val="00B07303"/>
    <w:rsid w:val="00B07826"/>
    <w:rsid w:val="00B078BB"/>
    <w:rsid w:val="00B07A60"/>
    <w:rsid w:val="00B07BB4"/>
    <w:rsid w:val="00B10B36"/>
    <w:rsid w:val="00B10E43"/>
    <w:rsid w:val="00B1110B"/>
    <w:rsid w:val="00B112EB"/>
    <w:rsid w:val="00B11654"/>
    <w:rsid w:val="00B11D9B"/>
    <w:rsid w:val="00B12301"/>
    <w:rsid w:val="00B126F8"/>
    <w:rsid w:val="00B13949"/>
    <w:rsid w:val="00B13EDE"/>
    <w:rsid w:val="00B14743"/>
    <w:rsid w:val="00B14B2D"/>
    <w:rsid w:val="00B15747"/>
    <w:rsid w:val="00B162BE"/>
    <w:rsid w:val="00B1699C"/>
    <w:rsid w:val="00B16F11"/>
    <w:rsid w:val="00B208D6"/>
    <w:rsid w:val="00B20A81"/>
    <w:rsid w:val="00B2107C"/>
    <w:rsid w:val="00B212B6"/>
    <w:rsid w:val="00B232F3"/>
    <w:rsid w:val="00B23B07"/>
    <w:rsid w:val="00B23B4F"/>
    <w:rsid w:val="00B247E2"/>
    <w:rsid w:val="00B25142"/>
    <w:rsid w:val="00B25CE2"/>
    <w:rsid w:val="00B25F19"/>
    <w:rsid w:val="00B274B2"/>
    <w:rsid w:val="00B27E3F"/>
    <w:rsid w:val="00B30D48"/>
    <w:rsid w:val="00B30D67"/>
    <w:rsid w:val="00B30F15"/>
    <w:rsid w:val="00B312AE"/>
    <w:rsid w:val="00B32654"/>
    <w:rsid w:val="00B32A4C"/>
    <w:rsid w:val="00B336AB"/>
    <w:rsid w:val="00B34419"/>
    <w:rsid w:val="00B34904"/>
    <w:rsid w:val="00B34A1C"/>
    <w:rsid w:val="00B35869"/>
    <w:rsid w:val="00B35E86"/>
    <w:rsid w:val="00B35EB5"/>
    <w:rsid w:val="00B3600E"/>
    <w:rsid w:val="00B361FB"/>
    <w:rsid w:val="00B362B3"/>
    <w:rsid w:val="00B372A3"/>
    <w:rsid w:val="00B37535"/>
    <w:rsid w:val="00B37CE9"/>
    <w:rsid w:val="00B40174"/>
    <w:rsid w:val="00B401D5"/>
    <w:rsid w:val="00B40CA6"/>
    <w:rsid w:val="00B41365"/>
    <w:rsid w:val="00B41933"/>
    <w:rsid w:val="00B42640"/>
    <w:rsid w:val="00B42A51"/>
    <w:rsid w:val="00B431F4"/>
    <w:rsid w:val="00B4342D"/>
    <w:rsid w:val="00B4388E"/>
    <w:rsid w:val="00B43952"/>
    <w:rsid w:val="00B444A1"/>
    <w:rsid w:val="00B4472D"/>
    <w:rsid w:val="00B454D2"/>
    <w:rsid w:val="00B4701A"/>
    <w:rsid w:val="00B47330"/>
    <w:rsid w:val="00B47686"/>
    <w:rsid w:val="00B47726"/>
    <w:rsid w:val="00B47781"/>
    <w:rsid w:val="00B479A2"/>
    <w:rsid w:val="00B51340"/>
    <w:rsid w:val="00B52F73"/>
    <w:rsid w:val="00B5358F"/>
    <w:rsid w:val="00B54118"/>
    <w:rsid w:val="00B56DD2"/>
    <w:rsid w:val="00B60205"/>
    <w:rsid w:val="00B6103A"/>
    <w:rsid w:val="00B61840"/>
    <w:rsid w:val="00B62B39"/>
    <w:rsid w:val="00B63440"/>
    <w:rsid w:val="00B634CF"/>
    <w:rsid w:val="00B63FDD"/>
    <w:rsid w:val="00B647D2"/>
    <w:rsid w:val="00B64936"/>
    <w:rsid w:val="00B653E4"/>
    <w:rsid w:val="00B65DF5"/>
    <w:rsid w:val="00B668E0"/>
    <w:rsid w:val="00B66C76"/>
    <w:rsid w:val="00B6769A"/>
    <w:rsid w:val="00B678C1"/>
    <w:rsid w:val="00B67962"/>
    <w:rsid w:val="00B7092C"/>
    <w:rsid w:val="00B70DA3"/>
    <w:rsid w:val="00B7118B"/>
    <w:rsid w:val="00B71378"/>
    <w:rsid w:val="00B72D93"/>
    <w:rsid w:val="00B72DAB"/>
    <w:rsid w:val="00B7395B"/>
    <w:rsid w:val="00B744B0"/>
    <w:rsid w:val="00B748A0"/>
    <w:rsid w:val="00B75645"/>
    <w:rsid w:val="00B75F4E"/>
    <w:rsid w:val="00B7656C"/>
    <w:rsid w:val="00B76B17"/>
    <w:rsid w:val="00B76CBA"/>
    <w:rsid w:val="00B76F77"/>
    <w:rsid w:val="00B76FAC"/>
    <w:rsid w:val="00B77B96"/>
    <w:rsid w:val="00B80318"/>
    <w:rsid w:val="00B804A9"/>
    <w:rsid w:val="00B806BA"/>
    <w:rsid w:val="00B80854"/>
    <w:rsid w:val="00B80894"/>
    <w:rsid w:val="00B81EF5"/>
    <w:rsid w:val="00B83720"/>
    <w:rsid w:val="00B8484E"/>
    <w:rsid w:val="00B85084"/>
    <w:rsid w:val="00B85C2E"/>
    <w:rsid w:val="00B90A62"/>
    <w:rsid w:val="00B90E58"/>
    <w:rsid w:val="00B91072"/>
    <w:rsid w:val="00B92032"/>
    <w:rsid w:val="00B923FF"/>
    <w:rsid w:val="00B9278E"/>
    <w:rsid w:val="00B92C15"/>
    <w:rsid w:val="00B936E6"/>
    <w:rsid w:val="00B9372A"/>
    <w:rsid w:val="00B94388"/>
    <w:rsid w:val="00B94DD0"/>
    <w:rsid w:val="00B95870"/>
    <w:rsid w:val="00B958EC"/>
    <w:rsid w:val="00B96012"/>
    <w:rsid w:val="00B96067"/>
    <w:rsid w:val="00B960FE"/>
    <w:rsid w:val="00BA0418"/>
    <w:rsid w:val="00BA13CC"/>
    <w:rsid w:val="00BA1E06"/>
    <w:rsid w:val="00BA1F0E"/>
    <w:rsid w:val="00BA2057"/>
    <w:rsid w:val="00BA2D96"/>
    <w:rsid w:val="00BA396C"/>
    <w:rsid w:val="00BA44CE"/>
    <w:rsid w:val="00BA4563"/>
    <w:rsid w:val="00BA4793"/>
    <w:rsid w:val="00BA483F"/>
    <w:rsid w:val="00BA4C1A"/>
    <w:rsid w:val="00BA542F"/>
    <w:rsid w:val="00BA54DE"/>
    <w:rsid w:val="00BA5D70"/>
    <w:rsid w:val="00BA61A2"/>
    <w:rsid w:val="00BA6243"/>
    <w:rsid w:val="00BA6CA6"/>
    <w:rsid w:val="00BA6F50"/>
    <w:rsid w:val="00BA7296"/>
    <w:rsid w:val="00BA765A"/>
    <w:rsid w:val="00BA7A67"/>
    <w:rsid w:val="00BA7B38"/>
    <w:rsid w:val="00BA7E93"/>
    <w:rsid w:val="00BB0662"/>
    <w:rsid w:val="00BB0D52"/>
    <w:rsid w:val="00BB0F90"/>
    <w:rsid w:val="00BB3A14"/>
    <w:rsid w:val="00BB3B2A"/>
    <w:rsid w:val="00BB5104"/>
    <w:rsid w:val="00BB7194"/>
    <w:rsid w:val="00BB7858"/>
    <w:rsid w:val="00BB7EFD"/>
    <w:rsid w:val="00BC0151"/>
    <w:rsid w:val="00BC07B0"/>
    <w:rsid w:val="00BC09BB"/>
    <w:rsid w:val="00BC1305"/>
    <w:rsid w:val="00BC1647"/>
    <w:rsid w:val="00BC3642"/>
    <w:rsid w:val="00BC373B"/>
    <w:rsid w:val="00BC39DD"/>
    <w:rsid w:val="00BC3D2F"/>
    <w:rsid w:val="00BC4269"/>
    <w:rsid w:val="00BC4AE9"/>
    <w:rsid w:val="00BC4BB6"/>
    <w:rsid w:val="00BC589C"/>
    <w:rsid w:val="00BC59D1"/>
    <w:rsid w:val="00BC5D18"/>
    <w:rsid w:val="00BC6448"/>
    <w:rsid w:val="00BC78D6"/>
    <w:rsid w:val="00BC792B"/>
    <w:rsid w:val="00BC7E97"/>
    <w:rsid w:val="00BD0834"/>
    <w:rsid w:val="00BD0C5B"/>
    <w:rsid w:val="00BD0DB1"/>
    <w:rsid w:val="00BD21B7"/>
    <w:rsid w:val="00BD2E3F"/>
    <w:rsid w:val="00BD2ECE"/>
    <w:rsid w:val="00BD2FD9"/>
    <w:rsid w:val="00BD3DBA"/>
    <w:rsid w:val="00BD4279"/>
    <w:rsid w:val="00BD493B"/>
    <w:rsid w:val="00BD4C8F"/>
    <w:rsid w:val="00BD59B2"/>
    <w:rsid w:val="00BD64BE"/>
    <w:rsid w:val="00BD64DE"/>
    <w:rsid w:val="00BD684F"/>
    <w:rsid w:val="00BD719A"/>
    <w:rsid w:val="00BD733F"/>
    <w:rsid w:val="00BD7388"/>
    <w:rsid w:val="00BE07A4"/>
    <w:rsid w:val="00BE0D80"/>
    <w:rsid w:val="00BE0F06"/>
    <w:rsid w:val="00BE27CF"/>
    <w:rsid w:val="00BE2CB8"/>
    <w:rsid w:val="00BE4F25"/>
    <w:rsid w:val="00BE4F31"/>
    <w:rsid w:val="00BE5794"/>
    <w:rsid w:val="00BE5905"/>
    <w:rsid w:val="00BE593D"/>
    <w:rsid w:val="00BE764A"/>
    <w:rsid w:val="00BE7DE1"/>
    <w:rsid w:val="00BF01A9"/>
    <w:rsid w:val="00BF1649"/>
    <w:rsid w:val="00BF2565"/>
    <w:rsid w:val="00BF29B1"/>
    <w:rsid w:val="00BF3450"/>
    <w:rsid w:val="00BF407C"/>
    <w:rsid w:val="00BF61D8"/>
    <w:rsid w:val="00BF6A49"/>
    <w:rsid w:val="00BF7E7E"/>
    <w:rsid w:val="00BF7F4A"/>
    <w:rsid w:val="00C00E9D"/>
    <w:rsid w:val="00C01790"/>
    <w:rsid w:val="00C01A2B"/>
    <w:rsid w:val="00C01DEE"/>
    <w:rsid w:val="00C024ED"/>
    <w:rsid w:val="00C026DA"/>
    <w:rsid w:val="00C02AFB"/>
    <w:rsid w:val="00C02F93"/>
    <w:rsid w:val="00C035FA"/>
    <w:rsid w:val="00C0440F"/>
    <w:rsid w:val="00C0510B"/>
    <w:rsid w:val="00C055E4"/>
    <w:rsid w:val="00C0584F"/>
    <w:rsid w:val="00C05FB9"/>
    <w:rsid w:val="00C06500"/>
    <w:rsid w:val="00C06847"/>
    <w:rsid w:val="00C0737B"/>
    <w:rsid w:val="00C0798B"/>
    <w:rsid w:val="00C07B18"/>
    <w:rsid w:val="00C101FC"/>
    <w:rsid w:val="00C10388"/>
    <w:rsid w:val="00C10641"/>
    <w:rsid w:val="00C10E04"/>
    <w:rsid w:val="00C11453"/>
    <w:rsid w:val="00C11A74"/>
    <w:rsid w:val="00C12DE5"/>
    <w:rsid w:val="00C139C9"/>
    <w:rsid w:val="00C14C46"/>
    <w:rsid w:val="00C1503A"/>
    <w:rsid w:val="00C16708"/>
    <w:rsid w:val="00C16B7A"/>
    <w:rsid w:val="00C16F21"/>
    <w:rsid w:val="00C2158C"/>
    <w:rsid w:val="00C22627"/>
    <w:rsid w:val="00C23B01"/>
    <w:rsid w:val="00C24817"/>
    <w:rsid w:val="00C24AFB"/>
    <w:rsid w:val="00C25BA6"/>
    <w:rsid w:val="00C25ECB"/>
    <w:rsid w:val="00C26801"/>
    <w:rsid w:val="00C26D66"/>
    <w:rsid w:val="00C27A43"/>
    <w:rsid w:val="00C30034"/>
    <w:rsid w:val="00C305C0"/>
    <w:rsid w:val="00C309D1"/>
    <w:rsid w:val="00C310D6"/>
    <w:rsid w:val="00C31947"/>
    <w:rsid w:val="00C328A8"/>
    <w:rsid w:val="00C33B0A"/>
    <w:rsid w:val="00C33E53"/>
    <w:rsid w:val="00C3427D"/>
    <w:rsid w:val="00C343E3"/>
    <w:rsid w:val="00C351F1"/>
    <w:rsid w:val="00C351F6"/>
    <w:rsid w:val="00C35DD8"/>
    <w:rsid w:val="00C3617C"/>
    <w:rsid w:val="00C36CCC"/>
    <w:rsid w:val="00C36F21"/>
    <w:rsid w:val="00C376ED"/>
    <w:rsid w:val="00C40040"/>
    <w:rsid w:val="00C401FE"/>
    <w:rsid w:val="00C411E4"/>
    <w:rsid w:val="00C41655"/>
    <w:rsid w:val="00C41E20"/>
    <w:rsid w:val="00C42547"/>
    <w:rsid w:val="00C42C8A"/>
    <w:rsid w:val="00C432C4"/>
    <w:rsid w:val="00C437E7"/>
    <w:rsid w:val="00C43D51"/>
    <w:rsid w:val="00C44690"/>
    <w:rsid w:val="00C44771"/>
    <w:rsid w:val="00C44951"/>
    <w:rsid w:val="00C4512A"/>
    <w:rsid w:val="00C45206"/>
    <w:rsid w:val="00C45CB2"/>
    <w:rsid w:val="00C4651C"/>
    <w:rsid w:val="00C500F3"/>
    <w:rsid w:val="00C50393"/>
    <w:rsid w:val="00C512F4"/>
    <w:rsid w:val="00C51717"/>
    <w:rsid w:val="00C51BD8"/>
    <w:rsid w:val="00C52754"/>
    <w:rsid w:val="00C5351E"/>
    <w:rsid w:val="00C54343"/>
    <w:rsid w:val="00C54428"/>
    <w:rsid w:val="00C547DD"/>
    <w:rsid w:val="00C54A24"/>
    <w:rsid w:val="00C54D0D"/>
    <w:rsid w:val="00C54FD9"/>
    <w:rsid w:val="00C556CE"/>
    <w:rsid w:val="00C568E1"/>
    <w:rsid w:val="00C57890"/>
    <w:rsid w:val="00C61148"/>
    <w:rsid w:val="00C612AB"/>
    <w:rsid w:val="00C6142C"/>
    <w:rsid w:val="00C62A22"/>
    <w:rsid w:val="00C62C2B"/>
    <w:rsid w:val="00C634BE"/>
    <w:rsid w:val="00C635E7"/>
    <w:rsid w:val="00C63CDF"/>
    <w:rsid w:val="00C649F4"/>
    <w:rsid w:val="00C64C8E"/>
    <w:rsid w:val="00C65630"/>
    <w:rsid w:val="00C65A2B"/>
    <w:rsid w:val="00C65A43"/>
    <w:rsid w:val="00C66CB7"/>
    <w:rsid w:val="00C67784"/>
    <w:rsid w:val="00C67A82"/>
    <w:rsid w:val="00C706D1"/>
    <w:rsid w:val="00C72464"/>
    <w:rsid w:val="00C724B4"/>
    <w:rsid w:val="00C7266F"/>
    <w:rsid w:val="00C73E06"/>
    <w:rsid w:val="00C7506B"/>
    <w:rsid w:val="00C75355"/>
    <w:rsid w:val="00C75951"/>
    <w:rsid w:val="00C75B60"/>
    <w:rsid w:val="00C75F91"/>
    <w:rsid w:val="00C76CE1"/>
    <w:rsid w:val="00C77055"/>
    <w:rsid w:val="00C778EF"/>
    <w:rsid w:val="00C77A0F"/>
    <w:rsid w:val="00C80240"/>
    <w:rsid w:val="00C802AF"/>
    <w:rsid w:val="00C80505"/>
    <w:rsid w:val="00C814A3"/>
    <w:rsid w:val="00C81AA5"/>
    <w:rsid w:val="00C81D97"/>
    <w:rsid w:val="00C82860"/>
    <w:rsid w:val="00C83565"/>
    <w:rsid w:val="00C842FC"/>
    <w:rsid w:val="00C8536A"/>
    <w:rsid w:val="00C8586A"/>
    <w:rsid w:val="00C86F0C"/>
    <w:rsid w:val="00C87344"/>
    <w:rsid w:val="00C8786A"/>
    <w:rsid w:val="00C87A01"/>
    <w:rsid w:val="00C90AD7"/>
    <w:rsid w:val="00C90EA2"/>
    <w:rsid w:val="00C910A3"/>
    <w:rsid w:val="00C9130C"/>
    <w:rsid w:val="00C913D9"/>
    <w:rsid w:val="00C914D0"/>
    <w:rsid w:val="00C91A3C"/>
    <w:rsid w:val="00C93721"/>
    <w:rsid w:val="00C946FE"/>
    <w:rsid w:val="00C95081"/>
    <w:rsid w:val="00C95450"/>
    <w:rsid w:val="00C9580E"/>
    <w:rsid w:val="00C96D04"/>
    <w:rsid w:val="00C96E71"/>
    <w:rsid w:val="00C97348"/>
    <w:rsid w:val="00C9749C"/>
    <w:rsid w:val="00C977F9"/>
    <w:rsid w:val="00C97CB0"/>
    <w:rsid w:val="00C97E96"/>
    <w:rsid w:val="00CA0765"/>
    <w:rsid w:val="00CA0ACA"/>
    <w:rsid w:val="00CA1011"/>
    <w:rsid w:val="00CA1D25"/>
    <w:rsid w:val="00CA2776"/>
    <w:rsid w:val="00CA36B9"/>
    <w:rsid w:val="00CA54F4"/>
    <w:rsid w:val="00CA59FF"/>
    <w:rsid w:val="00CA6941"/>
    <w:rsid w:val="00CA6B92"/>
    <w:rsid w:val="00CA7404"/>
    <w:rsid w:val="00CA7E84"/>
    <w:rsid w:val="00CB0AD4"/>
    <w:rsid w:val="00CB0B7B"/>
    <w:rsid w:val="00CB0C2D"/>
    <w:rsid w:val="00CB1951"/>
    <w:rsid w:val="00CB2E11"/>
    <w:rsid w:val="00CB380A"/>
    <w:rsid w:val="00CB3850"/>
    <w:rsid w:val="00CB4CC1"/>
    <w:rsid w:val="00CB6360"/>
    <w:rsid w:val="00CB6404"/>
    <w:rsid w:val="00CB6543"/>
    <w:rsid w:val="00CB6F52"/>
    <w:rsid w:val="00CB72DD"/>
    <w:rsid w:val="00CB743A"/>
    <w:rsid w:val="00CB77F1"/>
    <w:rsid w:val="00CB7F26"/>
    <w:rsid w:val="00CC03AB"/>
    <w:rsid w:val="00CC1751"/>
    <w:rsid w:val="00CC17E8"/>
    <w:rsid w:val="00CC1922"/>
    <w:rsid w:val="00CC2696"/>
    <w:rsid w:val="00CC29A8"/>
    <w:rsid w:val="00CC2B30"/>
    <w:rsid w:val="00CC2BE2"/>
    <w:rsid w:val="00CC2D09"/>
    <w:rsid w:val="00CC2E5D"/>
    <w:rsid w:val="00CC3B27"/>
    <w:rsid w:val="00CC405E"/>
    <w:rsid w:val="00CC560C"/>
    <w:rsid w:val="00CC651B"/>
    <w:rsid w:val="00CC6671"/>
    <w:rsid w:val="00CC6D92"/>
    <w:rsid w:val="00CD03E3"/>
    <w:rsid w:val="00CD060E"/>
    <w:rsid w:val="00CD10DA"/>
    <w:rsid w:val="00CD1730"/>
    <w:rsid w:val="00CD19CA"/>
    <w:rsid w:val="00CD1F3B"/>
    <w:rsid w:val="00CD30BF"/>
    <w:rsid w:val="00CD418D"/>
    <w:rsid w:val="00CD490C"/>
    <w:rsid w:val="00CD583A"/>
    <w:rsid w:val="00CD613C"/>
    <w:rsid w:val="00CD6DF5"/>
    <w:rsid w:val="00CE0203"/>
    <w:rsid w:val="00CE0D86"/>
    <w:rsid w:val="00CE2FCC"/>
    <w:rsid w:val="00CE31F4"/>
    <w:rsid w:val="00CE39AF"/>
    <w:rsid w:val="00CE446F"/>
    <w:rsid w:val="00CE57A3"/>
    <w:rsid w:val="00CE5E8A"/>
    <w:rsid w:val="00CE78C3"/>
    <w:rsid w:val="00CF182D"/>
    <w:rsid w:val="00CF1DDF"/>
    <w:rsid w:val="00CF2256"/>
    <w:rsid w:val="00CF4ACA"/>
    <w:rsid w:val="00CF5B42"/>
    <w:rsid w:val="00CF67FE"/>
    <w:rsid w:val="00CF6A7F"/>
    <w:rsid w:val="00CF6EBF"/>
    <w:rsid w:val="00CF712A"/>
    <w:rsid w:val="00D00216"/>
    <w:rsid w:val="00D00C6E"/>
    <w:rsid w:val="00D011EC"/>
    <w:rsid w:val="00D0120A"/>
    <w:rsid w:val="00D02274"/>
    <w:rsid w:val="00D0349B"/>
    <w:rsid w:val="00D03847"/>
    <w:rsid w:val="00D03EC3"/>
    <w:rsid w:val="00D0418F"/>
    <w:rsid w:val="00D041D2"/>
    <w:rsid w:val="00D049AD"/>
    <w:rsid w:val="00D05C97"/>
    <w:rsid w:val="00D07073"/>
    <w:rsid w:val="00D077E1"/>
    <w:rsid w:val="00D07A87"/>
    <w:rsid w:val="00D104E5"/>
    <w:rsid w:val="00D10A30"/>
    <w:rsid w:val="00D11B37"/>
    <w:rsid w:val="00D11E47"/>
    <w:rsid w:val="00D1202C"/>
    <w:rsid w:val="00D12DAF"/>
    <w:rsid w:val="00D14DDE"/>
    <w:rsid w:val="00D15102"/>
    <w:rsid w:val="00D152BC"/>
    <w:rsid w:val="00D17F25"/>
    <w:rsid w:val="00D20844"/>
    <w:rsid w:val="00D21406"/>
    <w:rsid w:val="00D21850"/>
    <w:rsid w:val="00D21DDE"/>
    <w:rsid w:val="00D22BE3"/>
    <w:rsid w:val="00D231CF"/>
    <w:rsid w:val="00D241EE"/>
    <w:rsid w:val="00D2472B"/>
    <w:rsid w:val="00D2480E"/>
    <w:rsid w:val="00D24C55"/>
    <w:rsid w:val="00D2555D"/>
    <w:rsid w:val="00D25CA4"/>
    <w:rsid w:val="00D264A5"/>
    <w:rsid w:val="00D30341"/>
    <w:rsid w:val="00D30D3F"/>
    <w:rsid w:val="00D314BC"/>
    <w:rsid w:val="00D32883"/>
    <w:rsid w:val="00D32FF7"/>
    <w:rsid w:val="00D3338C"/>
    <w:rsid w:val="00D3501B"/>
    <w:rsid w:val="00D35B00"/>
    <w:rsid w:val="00D35D87"/>
    <w:rsid w:val="00D36F2F"/>
    <w:rsid w:val="00D3768E"/>
    <w:rsid w:val="00D4057A"/>
    <w:rsid w:val="00D40BD9"/>
    <w:rsid w:val="00D41167"/>
    <w:rsid w:val="00D41B8E"/>
    <w:rsid w:val="00D41BC2"/>
    <w:rsid w:val="00D4286A"/>
    <w:rsid w:val="00D45868"/>
    <w:rsid w:val="00D45CA4"/>
    <w:rsid w:val="00D45F45"/>
    <w:rsid w:val="00D50852"/>
    <w:rsid w:val="00D50938"/>
    <w:rsid w:val="00D50B6D"/>
    <w:rsid w:val="00D51953"/>
    <w:rsid w:val="00D51F28"/>
    <w:rsid w:val="00D52120"/>
    <w:rsid w:val="00D54FAF"/>
    <w:rsid w:val="00D559A0"/>
    <w:rsid w:val="00D560EB"/>
    <w:rsid w:val="00D563F7"/>
    <w:rsid w:val="00D56C45"/>
    <w:rsid w:val="00D56C8F"/>
    <w:rsid w:val="00D56EDF"/>
    <w:rsid w:val="00D60096"/>
    <w:rsid w:val="00D63333"/>
    <w:rsid w:val="00D633BE"/>
    <w:rsid w:val="00D63442"/>
    <w:rsid w:val="00D63B78"/>
    <w:rsid w:val="00D64B2E"/>
    <w:rsid w:val="00D64DDF"/>
    <w:rsid w:val="00D665EA"/>
    <w:rsid w:val="00D66EF1"/>
    <w:rsid w:val="00D678A0"/>
    <w:rsid w:val="00D702E8"/>
    <w:rsid w:val="00D7091E"/>
    <w:rsid w:val="00D70D82"/>
    <w:rsid w:val="00D70E63"/>
    <w:rsid w:val="00D731D8"/>
    <w:rsid w:val="00D74479"/>
    <w:rsid w:val="00D74E69"/>
    <w:rsid w:val="00D74F7D"/>
    <w:rsid w:val="00D76932"/>
    <w:rsid w:val="00D800C2"/>
    <w:rsid w:val="00D80F15"/>
    <w:rsid w:val="00D80F77"/>
    <w:rsid w:val="00D810CD"/>
    <w:rsid w:val="00D82FD6"/>
    <w:rsid w:val="00D8457A"/>
    <w:rsid w:val="00D84713"/>
    <w:rsid w:val="00D84D5A"/>
    <w:rsid w:val="00D84DC4"/>
    <w:rsid w:val="00D8576B"/>
    <w:rsid w:val="00D85FD0"/>
    <w:rsid w:val="00D86359"/>
    <w:rsid w:val="00D86CE7"/>
    <w:rsid w:val="00D91750"/>
    <w:rsid w:val="00D91961"/>
    <w:rsid w:val="00D92011"/>
    <w:rsid w:val="00D927FE"/>
    <w:rsid w:val="00D93756"/>
    <w:rsid w:val="00D93A3D"/>
    <w:rsid w:val="00D93BE9"/>
    <w:rsid w:val="00D94AD2"/>
    <w:rsid w:val="00D94E14"/>
    <w:rsid w:val="00D95C53"/>
    <w:rsid w:val="00D96A35"/>
    <w:rsid w:val="00DA01B0"/>
    <w:rsid w:val="00DA02D4"/>
    <w:rsid w:val="00DA10CF"/>
    <w:rsid w:val="00DA2947"/>
    <w:rsid w:val="00DA3BB2"/>
    <w:rsid w:val="00DA4061"/>
    <w:rsid w:val="00DA452D"/>
    <w:rsid w:val="00DA4E43"/>
    <w:rsid w:val="00DA53CA"/>
    <w:rsid w:val="00DA5660"/>
    <w:rsid w:val="00DA5FF8"/>
    <w:rsid w:val="00DA71B3"/>
    <w:rsid w:val="00DA7C43"/>
    <w:rsid w:val="00DB0172"/>
    <w:rsid w:val="00DB044B"/>
    <w:rsid w:val="00DB0548"/>
    <w:rsid w:val="00DB1D88"/>
    <w:rsid w:val="00DB25F1"/>
    <w:rsid w:val="00DB3554"/>
    <w:rsid w:val="00DB3E42"/>
    <w:rsid w:val="00DB3E60"/>
    <w:rsid w:val="00DB436D"/>
    <w:rsid w:val="00DB6076"/>
    <w:rsid w:val="00DB69C2"/>
    <w:rsid w:val="00DB7D06"/>
    <w:rsid w:val="00DC0268"/>
    <w:rsid w:val="00DC05FC"/>
    <w:rsid w:val="00DC0C91"/>
    <w:rsid w:val="00DC1C80"/>
    <w:rsid w:val="00DC32F1"/>
    <w:rsid w:val="00DC4AFF"/>
    <w:rsid w:val="00DC57AA"/>
    <w:rsid w:val="00DC5C68"/>
    <w:rsid w:val="00DC5E11"/>
    <w:rsid w:val="00DC6B79"/>
    <w:rsid w:val="00DC7EAD"/>
    <w:rsid w:val="00DD18D0"/>
    <w:rsid w:val="00DD1EB7"/>
    <w:rsid w:val="00DD32C7"/>
    <w:rsid w:val="00DD3600"/>
    <w:rsid w:val="00DD566E"/>
    <w:rsid w:val="00DD678C"/>
    <w:rsid w:val="00DD6801"/>
    <w:rsid w:val="00DD6E57"/>
    <w:rsid w:val="00DD6F71"/>
    <w:rsid w:val="00DD7260"/>
    <w:rsid w:val="00DD78AF"/>
    <w:rsid w:val="00DE0133"/>
    <w:rsid w:val="00DE05F6"/>
    <w:rsid w:val="00DE0812"/>
    <w:rsid w:val="00DE087D"/>
    <w:rsid w:val="00DE0CB7"/>
    <w:rsid w:val="00DE1ED9"/>
    <w:rsid w:val="00DE4DE1"/>
    <w:rsid w:val="00DE5067"/>
    <w:rsid w:val="00DE53D8"/>
    <w:rsid w:val="00DE5959"/>
    <w:rsid w:val="00DE5A2A"/>
    <w:rsid w:val="00DE6BE8"/>
    <w:rsid w:val="00DE7A4C"/>
    <w:rsid w:val="00DF0806"/>
    <w:rsid w:val="00DF08DC"/>
    <w:rsid w:val="00DF0A45"/>
    <w:rsid w:val="00DF0D53"/>
    <w:rsid w:val="00DF0F18"/>
    <w:rsid w:val="00DF1D27"/>
    <w:rsid w:val="00DF1DE7"/>
    <w:rsid w:val="00DF261B"/>
    <w:rsid w:val="00DF269D"/>
    <w:rsid w:val="00DF26B6"/>
    <w:rsid w:val="00DF3CDD"/>
    <w:rsid w:val="00DF4319"/>
    <w:rsid w:val="00DF4F0A"/>
    <w:rsid w:val="00DF5B23"/>
    <w:rsid w:val="00DF66A8"/>
    <w:rsid w:val="00DF6932"/>
    <w:rsid w:val="00DF6BAF"/>
    <w:rsid w:val="00DF6D1C"/>
    <w:rsid w:val="00E00636"/>
    <w:rsid w:val="00E00B80"/>
    <w:rsid w:val="00E00EDC"/>
    <w:rsid w:val="00E0160B"/>
    <w:rsid w:val="00E01C50"/>
    <w:rsid w:val="00E02330"/>
    <w:rsid w:val="00E024AC"/>
    <w:rsid w:val="00E02553"/>
    <w:rsid w:val="00E03121"/>
    <w:rsid w:val="00E03130"/>
    <w:rsid w:val="00E0339C"/>
    <w:rsid w:val="00E03C6D"/>
    <w:rsid w:val="00E03CC7"/>
    <w:rsid w:val="00E04FBA"/>
    <w:rsid w:val="00E06345"/>
    <w:rsid w:val="00E07616"/>
    <w:rsid w:val="00E10AF0"/>
    <w:rsid w:val="00E1183F"/>
    <w:rsid w:val="00E11A66"/>
    <w:rsid w:val="00E1246A"/>
    <w:rsid w:val="00E12C32"/>
    <w:rsid w:val="00E12CB4"/>
    <w:rsid w:val="00E12D25"/>
    <w:rsid w:val="00E13ECB"/>
    <w:rsid w:val="00E1407B"/>
    <w:rsid w:val="00E14858"/>
    <w:rsid w:val="00E1515C"/>
    <w:rsid w:val="00E15762"/>
    <w:rsid w:val="00E15855"/>
    <w:rsid w:val="00E16C0D"/>
    <w:rsid w:val="00E176F4"/>
    <w:rsid w:val="00E17B49"/>
    <w:rsid w:val="00E2007F"/>
    <w:rsid w:val="00E20388"/>
    <w:rsid w:val="00E2055A"/>
    <w:rsid w:val="00E21E9B"/>
    <w:rsid w:val="00E22231"/>
    <w:rsid w:val="00E222C8"/>
    <w:rsid w:val="00E22D84"/>
    <w:rsid w:val="00E22EED"/>
    <w:rsid w:val="00E23A4D"/>
    <w:rsid w:val="00E23F78"/>
    <w:rsid w:val="00E244EA"/>
    <w:rsid w:val="00E24A1B"/>
    <w:rsid w:val="00E25100"/>
    <w:rsid w:val="00E25D5C"/>
    <w:rsid w:val="00E27591"/>
    <w:rsid w:val="00E275FB"/>
    <w:rsid w:val="00E27F4D"/>
    <w:rsid w:val="00E30437"/>
    <w:rsid w:val="00E30954"/>
    <w:rsid w:val="00E30A15"/>
    <w:rsid w:val="00E323B2"/>
    <w:rsid w:val="00E32B6E"/>
    <w:rsid w:val="00E335CC"/>
    <w:rsid w:val="00E33A1A"/>
    <w:rsid w:val="00E33BB5"/>
    <w:rsid w:val="00E34EAC"/>
    <w:rsid w:val="00E35882"/>
    <w:rsid w:val="00E358BF"/>
    <w:rsid w:val="00E35D53"/>
    <w:rsid w:val="00E36028"/>
    <w:rsid w:val="00E368D3"/>
    <w:rsid w:val="00E3692B"/>
    <w:rsid w:val="00E36C9B"/>
    <w:rsid w:val="00E4083E"/>
    <w:rsid w:val="00E40F23"/>
    <w:rsid w:val="00E41097"/>
    <w:rsid w:val="00E41FD2"/>
    <w:rsid w:val="00E4254A"/>
    <w:rsid w:val="00E43008"/>
    <w:rsid w:val="00E43B9B"/>
    <w:rsid w:val="00E44445"/>
    <w:rsid w:val="00E44764"/>
    <w:rsid w:val="00E44A35"/>
    <w:rsid w:val="00E4647C"/>
    <w:rsid w:val="00E47397"/>
    <w:rsid w:val="00E47CB9"/>
    <w:rsid w:val="00E50E99"/>
    <w:rsid w:val="00E513F1"/>
    <w:rsid w:val="00E52B32"/>
    <w:rsid w:val="00E52CDB"/>
    <w:rsid w:val="00E53909"/>
    <w:rsid w:val="00E53A69"/>
    <w:rsid w:val="00E53B41"/>
    <w:rsid w:val="00E53F81"/>
    <w:rsid w:val="00E55C7B"/>
    <w:rsid w:val="00E56361"/>
    <w:rsid w:val="00E56D0B"/>
    <w:rsid w:val="00E576CB"/>
    <w:rsid w:val="00E60483"/>
    <w:rsid w:val="00E60D21"/>
    <w:rsid w:val="00E610E9"/>
    <w:rsid w:val="00E62C75"/>
    <w:rsid w:val="00E62EB2"/>
    <w:rsid w:val="00E64CE8"/>
    <w:rsid w:val="00E65813"/>
    <w:rsid w:val="00E65994"/>
    <w:rsid w:val="00E66370"/>
    <w:rsid w:val="00E66716"/>
    <w:rsid w:val="00E66B40"/>
    <w:rsid w:val="00E66F41"/>
    <w:rsid w:val="00E67C64"/>
    <w:rsid w:val="00E70118"/>
    <w:rsid w:val="00E7049F"/>
    <w:rsid w:val="00E70A4F"/>
    <w:rsid w:val="00E71965"/>
    <w:rsid w:val="00E7278A"/>
    <w:rsid w:val="00E72CB8"/>
    <w:rsid w:val="00E72D5A"/>
    <w:rsid w:val="00E73881"/>
    <w:rsid w:val="00E73BEE"/>
    <w:rsid w:val="00E740D5"/>
    <w:rsid w:val="00E74BD1"/>
    <w:rsid w:val="00E755E6"/>
    <w:rsid w:val="00E75618"/>
    <w:rsid w:val="00E76364"/>
    <w:rsid w:val="00E7696B"/>
    <w:rsid w:val="00E76EE9"/>
    <w:rsid w:val="00E76FEC"/>
    <w:rsid w:val="00E77E70"/>
    <w:rsid w:val="00E77F48"/>
    <w:rsid w:val="00E80C51"/>
    <w:rsid w:val="00E80CDF"/>
    <w:rsid w:val="00E810EB"/>
    <w:rsid w:val="00E8162F"/>
    <w:rsid w:val="00E816BA"/>
    <w:rsid w:val="00E81C6F"/>
    <w:rsid w:val="00E8210D"/>
    <w:rsid w:val="00E82F18"/>
    <w:rsid w:val="00E832A1"/>
    <w:rsid w:val="00E83AD0"/>
    <w:rsid w:val="00E83B07"/>
    <w:rsid w:val="00E84234"/>
    <w:rsid w:val="00E848F1"/>
    <w:rsid w:val="00E84C1C"/>
    <w:rsid w:val="00E85287"/>
    <w:rsid w:val="00E855AC"/>
    <w:rsid w:val="00E85C37"/>
    <w:rsid w:val="00E85C54"/>
    <w:rsid w:val="00E860BC"/>
    <w:rsid w:val="00E8689A"/>
    <w:rsid w:val="00E87E13"/>
    <w:rsid w:val="00E87F22"/>
    <w:rsid w:val="00E90351"/>
    <w:rsid w:val="00E91385"/>
    <w:rsid w:val="00E91449"/>
    <w:rsid w:val="00E91613"/>
    <w:rsid w:val="00E9194F"/>
    <w:rsid w:val="00E92097"/>
    <w:rsid w:val="00E924A9"/>
    <w:rsid w:val="00E92AF5"/>
    <w:rsid w:val="00E93874"/>
    <w:rsid w:val="00E93D13"/>
    <w:rsid w:val="00E93EA4"/>
    <w:rsid w:val="00E95327"/>
    <w:rsid w:val="00E95EC3"/>
    <w:rsid w:val="00E97B62"/>
    <w:rsid w:val="00EA0341"/>
    <w:rsid w:val="00EA179F"/>
    <w:rsid w:val="00EA1880"/>
    <w:rsid w:val="00EA18F0"/>
    <w:rsid w:val="00EA20CD"/>
    <w:rsid w:val="00EA22BB"/>
    <w:rsid w:val="00EA285F"/>
    <w:rsid w:val="00EA2CB6"/>
    <w:rsid w:val="00EA34C9"/>
    <w:rsid w:val="00EA4288"/>
    <w:rsid w:val="00EA491F"/>
    <w:rsid w:val="00EA5197"/>
    <w:rsid w:val="00EA5D20"/>
    <w:rsid w:val="00EA6359"/>
    <w:rsid w:val="00EA7926"/>
    <w:rsid w:val="00EB0167"/>
    <w:rsid w:val="00EB0226"/>
    <w:rsid w:val="00EB0650"/>
    <w:rsid w:val="00EB145C"/>
    <w:rsid w:val="00EB1841"/>
    <w:rsid w:val="00EB189A"/>
    <w:rsid w:val="00EB3923"/>
    <w:rsid w:val="00EB399B"/>
    <w:rsid w:val="00EB42CF"/>
    <w:rsid w:val="00EB51D9"/>
    <w:rsid w:val="00EB5415"/>
    <w:rsid w:val="00EB677C"/>
    <w:rsid w:val="00EB72B0"/>
    <w:rsid w:val="00EB73C7"/>
    <w:rsid w:val="00EB753D"/>
    <w:rsid w:val="00EB7A8C"/>
    <w:rsid w:val="00EB7FB8"/>
    <w:rsid w:val="00EC0826"/>
    <w:rsid w:val="00EC0D10"/>
    <w:rsid w:val="00EC20DD"/>
    <w:rsid w:val="00EC2DB0"/>
    <w:rsid w:val="00EC34FD"/>
    <w:rsid w:val="00EC3F1C"/>
    <w:rsid w:val="00EC44FB"/>
    <w:rsid w:val="00EC58C6"/>
    <w:rsid w:val="00EC5E03"/>
    <w:rsid w:val="00EC63F0"/>
    <w:rsid w:val="00EC7281"/>
    <w:rsid w:val="00EC7F2A"/>
    <w:rsid w:val="00ED0533"/>
    <w:rsid w:val="00ED11EE"/>
    <w:rsid w:val="00ED1A8E"/>
    <w:rsid w:val="00ED26F3"/>
    <w:rsid w:val="00ED31D2"/>
    <w:rsid w:val="00ED3BE9"/>
    <w:rsid w:val="00ED4DC4"/>
    <w:rsid w:val="00ED6509"/>
    <w:rsid w:val="00ED669C"/>
    <w:rsid w:val="00ED7268"/>
    <w:rsid w:val="00ED7B50"/>
    <w:rsid w:val="00EE0880"/>
    <w:rsid w:val="00EE1170"/>
    <w:rsid w:val="00EE2A52"/>
    <w:rsid w:val="00EE306C"/>
    <w:rsid w:val="00EE38AE"/>
    <w:rsid w:val="00EE4A89"/>
    <w:rsid w:val="00EE5932"/>
    <w:rsid w:val="00EE5F05"/>
    <w:rsid w:val="00EE64FC"/>
    <w:rsid w:val="00EF12F8"/>
    <w:rsid w:val="00EF1D38"/>
    <w:rsid w:val="00EF2349"/>
    <w:rsid w:val="00EF4063"/>
    <w:rsid w:val="00EF5984"/>
    <w:rsid w:val="00EF5BE7"/>
    <w:rsid w:val="00EF6F78"/>
    <w:rsid w:val="00EF78FE"/>
    <w:rsid w:val="00EF7983"/>
    <w:rsid w:val="00EF7BFC"/>
    <w:rsid w:val="00F003D2"/>
    <w:rsid w:val="00F01357"/>
    <w:rsid w:val="00F0147A"/>
    <w:rsid w:val="00F01B37"/>
    <w:rsid w:val="00F02CC4"/>
    <w:rsid w:val="00F02CF8"/>
    <w:rsid w:val="00F03D33"/>
    <w:rsid w:val="00F04037"/>
    <w:rsid w:val="00F04FF3"/>
    <w:rsid w:val="00F051A1"/>
    <w:rsid w:val="00F0558B"/>
    <w:rsid w:val="00F06EE0"/>
    <w:rsid w:val="00F071E4"/>
    <w:rsid w:val="00F07F2B"/>
    <w:rsid w:val="00F10DC1"/>
    <w:rsid w:val="00F11051"/>
    <w:rsid w:val="00F11157"/>
    <w:rsid w:val="00F113C9"/>
    <w:rsid w:val="00F114CE"/>
    <w:rsid w:val="00F1184E"/>
    <w:rsid w:val="00F12711"/>
    <w:rsid w:val="00F13C5A"/>
    <w:rsid w:val="00F13E13"/>
    <w:rsid w:val="00F13FF4"/>
    <w:rsid w:val="00F16C5A"/>
    <w:rsid w:val="00F1711C"/>
    <w:rsid w:val="00F1783B"/>
    <w:rsid w:val="00F17A5B"/>
    <w:rsid w:val="00F200EB"/>
    <w:rsid w:val="00F20A73"/>
    <w:rsid w:val="00F222D9"/>
    <w:rsid w:val="00F23A9C"/>
    <w:rsid w:val="00F23E58"/>
    <w:rsid w:val="00F2447F"/>
    <w:rsid w:val="00F24765"/>
    <w:rsid w:val="00F2478F"/>
    <w:rsid w:val="00F2483E"/>
    <w:rsid w:val="00F24964"/>
    <w:rsid w:val="00F24D8D"/>
    <w:rsid w:val="00F25A75"/>
    <w:rsid w:val="00F25BBB"/>
    <w:rsid w:val="00F2628E"/>
    <w:rsid w:val="00F26440"/>
    <w:rsid w:val="00F27802"/>
    <w:rsid w:val="00F27CF2"/>
    <w:rsid w:val="00F302A3"/>
    <w:rsid w:val="00F3038E"/>
    <w:rsid w:val="00F312A8"/>
    <w:rsid w:val="00F31380"/>
    <w:rsid w:val="00F319BA"/>
    <w:rsid w:val="00F322AB"/>
    <w:rsid w:val="00F323CF"/>
    <w:rsid w:val="00F33033"/>
    <w:rsid w:val="00F33AA4"/>
    <w:rsid w:val="00F34F28"/>
    <w:rsid w:val="00F3566A"/>
    <w:rsid w:val="00F35CDB"/>
    <w:rsid w:val="00F35E64"/>
    <w:rsid w:val="00F365B5"/>
    <w:rsid w:val="00F3706B"/>
    <w:rsid w:val="00F37EE0"/>
    <w:rsid w:val="00F41238"/>
    <w:rsid w:val="00F41430"/>
    <w:rsid w:val="00F419E2"/>
    <w:rsid w:val="00F42215"/>
    <w:rsid w:val="00F42555"/>
    <w:rsid w:val="00F445FE"/>
    <w:rsid w:val="00F446EA"/>
    <w:rsid w:val="00F44728"/>
    <w:rsid w:val="00F450DA"/>
    <w:rsid w:val="00F45102"/>
    <w:rsid w:val="00F45B74"/>
    <w:rsid w:val="00F46B54"/>
    <w:rsid w:val="00F46C57"/>
    <w:rsid w:val="00F471FA"/>
    <w:rsid w:val="00F47F45"/>
    <w:rsid w:val="00F50FD9"/>
    <w:rsid w:val="00F5118A"/>
    <w:rsid w:val="00F51B74"/>
    <w:rsid w:val="00F5214E"/>
    <w:rsid w:val="00F52213"/>
    <w:rsid w:val="00F52C23"/>
    <w:rsid w:val="00F531CA"/>
    <w:rsid w:val="00F531ED"/>
    <w:rsid w:val="00F538AE"/>
    <w:rsid w:val="00F54C09"/>
    <w:rsid w:val="00F54F75"/>
    <w:rsid w:val="00F55444"/>
    <w:rsid w:val="00F56A6C"/>
    <w:rsid w:val="00F5707A"/>
    <w:rsid w:val="00F57550"/>
    <w:rsid w:val="00F57B6B"/>
    <w:rsid w:val="00F60F5C"/>
    <w:rsid w:val="00F614A9"/>
    <w:rsid w:val="00F615F7"/>
    <w:rsid w:val="00F633A3"/>
    <w:rsid w:val="00F6406E"/>
    <w:rsid w:val="00F64282"/>
    <w:rsid w:val="00F6450F"/>
    <w:rsid w:val="00F64999"/>
    <w:rsid w:val="00F651CD"/>
    <w:rsid w:val="00F65D9E"/>
    <w:rsid w:val="00F6639A"/>
    <w:rsid w:val="00F668F6"/>
    <w:rsid w:val="00F708F8"/>
    <w:rsid w:val="00F71303"/>
    <w:rsid w:val="00F713BE"/>
    <w:rsid w:val="00F7184B"/>
    <w:rsid w:val="00F726D3"/>
    <w:rsid w:val="00F73F8B"/>
    <w:rsid w:val="00F74AC7"/>
    <w:rsid w:val="00F74D10"/>
    <w:rsid w:val="00F76A44"/>
    <w:rsid w:val="00F76C55"/>
    <w:rsid w:val="00F76EAC"/>
    <w:rsid w:val="00F82781"/>
    <w:rsid w:val="00F83E7F"/>
    <w:rsid w:val="00F84437"/>
    <w:rsid w:val="00F8554A"/>
    <w:rsid w:val="00F85A72"/>
    <w:rsid w:val="00F861E0"/>
    <w:rsid w:val="00F879DF"/>
    <w:rsid w:val="00F91047"/>
    <w:rsid w:val="00F92600"/>
    <w:rsid w:val="00F92815"/>
    <w:rsid w:val="00F937D2"/>
    <w:rsid w:val="00F9381A"/>
    <w:rsid w:val="00F93D34"/>
    <w:rsid w:val="00F9403B"/>
    <w:rsid w:val="00F9408D"/>
    <w:rsid w:val="00F941B2"/>
    <w:rsid w:val="00F94230"/>
    <w:rsid w:val="00F9435D"/>
    <w:rsid w:val="00F95064"/>
    <w:rsid w:val="00F95B63"/>
    <w:rsid w:val="00F95F29"/>
    <w:rsid w:val="00F96A0A"/>
    <w:rsid w:val="00F96F44"/>
    <w:rsid w:val="00F971FD"/>
    <w:rsid w:val="00F97531"/>
    <w:rsid w:val="00FA0539"/>
    <w:rsid w:val="00FA066F"/>
    <w:rsid w:val="00FA10B0"/>
    <w:rsid w:val="00FA2DBA"/>
    <w:rsid w:val="00FA2E86"/>
    <w:rsid w:val="00FA3699"/>
    <w:rsid w:val="00FA3B4C"/>
    <w:rsid w:val="00FA454E"/>
    <w:rsid w:val="00FA5608"/>
    <w:rsid w:val="00FA568B"/>
    <w:rsid w:val="00FA7F41"/>
    <w:rsid w:val="00FB0114"/>
    <w:rsid w:val="00FB1045"/>
    <w:rsid w:val="00FB10EE"/>
    <w:rsid w:val="00FB1211"/>
    <w:rsid w:val="00FB167E"/>
    <w:rsid w:val="00FB23DC"/>
    <w:rsid w:val="00FB271E"/>
    <w:rsid w:val="00FB2AA0"/>
    <w:rsid w:val="00FB3043"/>
    <w:rsid w:val="00FB36D5"/>
    <w:rsid w:val="00FB37C4"/>
    <w:rsid w:val="00FB39B8"/>
    <w:rsid w:val="00FB50E9"/>
    <w:rsid w:val="00FB67FF"/>
    <w:rsid w:val="00FB7B26"/>
    <w:rsid w:val="00FC0BA6"/>
    <w:rsid w:val="00FC0F48"/>
    <w:rsid w:val="00FC212D"/>
    <w:rsid w:val="00FC3968"/>
    <w:rsid w:val="00FC4322"/>
    <w:rsid w:val="00FC4673"/>
    <w:rsid w:val="00FC4FA1"/>
    <w:rsid w:val="00FC593E"/>
    <w:rsid w:val="00FC6539"/>
    <w:rsid w:val="00FC67DA"/>
    <w:rsid w:val="00FC737F"/>
    <w:rsid w:val="00FC76D9"/>
    <w:rsid w:val="00FC7ACE"/>
    <w:rsid w:val="00FC7D02"/>
    <w:rsid w:val="00FC7E5B"/>
    <w:rsid w:val="00FD05EF"/>
    <w:rsid w:val="00FD07BF"/>
    <w:rsid w:val="00FD0B41"/>
    <w:rsid w:val="00FD0FCB"/>
    <w:rsid w:val="00FD1007"/>
    <w:rsid w:val="00FD1A88"/>
    <w:rsid w:val="00FD28AF"/>
    <w:rsid w:val="00FD2ADA"/>
    <w:rsid w:val="00FD3EF8"/>
    <w:rsid w:val="00FD494D"/>
    <w:rsid w:val="00FD4E78"/>
    <w:rsid w:val="00FD5935"/>
    <w:rsid w:val="00FD73FF"/>
    <w:rsid w:val="00FD7F27"/>
    <w:rsid w:val="00FD7F42"/>
    <w:rsid w:val="00FE0313"/>
    <w:rsid w:val="00FE097C"/>
    <w:rsid w:val="00FE11FA"/>
    <w:rsid w:val="00FE28B3"/>
    <w:rsid w:val="00FE3033"/>
    <w:rsid w:val="00FE3A2B"/>
    <w:rsid w:val="00FE49AC"/>
    <w:rsid w:val="00FE4AA3"/>
    <w:rsid w:val="00FE52AD"/>
    <w:rsid w:val="00FE5CFA"/>
    <w:rsid w:val="00FE6B0A"/>
    <w:rsid w:val="00FE7B35"/>
    <w:rsid w:val="00FF161F"/>
    <w:rsid w:val="00FF18B7"/>
    <w:rsid w:val="00FF2210"/>
    <w:rsid w:val="00FF23E2"/>
    <w:rsid w:val="00FF2776"/>
    <w:rsid w:val="00FF43CD"/>
    <w:rsid w:val="00FF441E"/>
    <w:rsid w:val="00FF491C"/>
    <w:rsid w:val="00FF4FD8"/>
    <w:rsid w:val="00FF54A8"/>
    <w:rsid w:val="00FF6006"/>
    <w:rsid w:val="00FF6BAE"/>
    <w:rsid w:val="00FF6C98"/>
    <w:rsid w:val="00FF6DB2"/>
    <w:rsid w:val="00FF70A5"/>
    <w:rsid w:val="00FF7A78"/>
    <w:rsid w:val="00FF7D73"/>
    <w:rsid w:val="77A9161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3EE2"/>
  <w15:docId w15:val="{BA8157C1-73F1-49F2-841D-B35D5EA9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lsdException w:name="index heading" w:semiHidden="1" w:unhideWhenUsed="1"/>
    <w:lsdException w:name="caption" w:uiPriority="0" w:unhideWhenUsed="1" w:qFormat="1"/>
    <w:lsdException w:name="table of figures" w:unhideWhenUsed="1"/>
    <w:lsdException w:name="envelope address" w:semiHidden="1" w:unhideWhenUsed="1"/>
    <w:lsdException w:name="envelope return" w:semiHidden="1" w:unhideWhenUsed="1"/>
    <w:lsdException w:name="footnote reference" w:semiHidden="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uiPriority="0"/>
    <w:lsdException w:name="Body Text Indent 2" w:uiPriority="0"/>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eastAsia="MS Mincho"/>
      <w:sz w:val="24"/>
      <w:szCs w:val="24"/>
      <w:lang w:eastAsia="ja-JP"/>
    </w:rPr>
  </w:style>
  <w:style w:type="paragraph" w:styleId="Heading1">
    <w:name w:val="heading 1"/>
    <w:basedOn w:val="Normal"/>
    <w:next w:val="Normal"/>
    <w:link w:val="Heading1Char"/>
    <w:qFormat/>
    <w:pPr>
      <w:keepNext/>
      <w:spacing w:before="240" w:after="240" w:line="360" w:lineRule="auto"/>
      <w:outlineLvl w:val="0"/>
    </w:pPr>
    <w:rPr>
      <w:rFonts w:cs="Arial"/>
      <w:b/>
      <w:bCs/>
      <w:kern w:val="32"/>
      <w:szCs w:val="32"/>
    </w:rPr>
  </w:style>
  <w:style w:type="paragraph" w:styleId="Heading2">
    <w:name w:val="heading 2"/>
    <w:basedOn w:val="Normal"/>
    <w:next w:val="Normal"/>
    <w:link w:val="Heading2Char"/>
    <w:qFormat/>
    <w:pPr>
      <w:keepNext/>
      <w:spacing w:before="240" w:after="240" w:line="360" w:lineRule="auto"/>
      <w:outlineLvl w:val="1"/>
    </w:pPr>
    <w:rPr>
      <w:b/>
      <w:bCs/>
      <w:iCs/>
      <w:szCs w:val="28"/>
    </w:rPr>
  </w:style>
  <w:style w:type="paragraph" w:styleId="Heading3">
    <w:name w:val="heading 3"/>
    <w:basedOn w:val="Normal"/>
    <w:next w:val="Normal"/>
    <w:link w:val="Heading3Char"/>
    <w:uiPriority w:val="9"/>
    <w:qFormat/>
    <w:pPr>
      <w:keepNext/>
      <w:spacing w:before="240" w:after="60"/>
      <w:outlineLvl w:val="2"/>
    </w:pPr>
    <w:rPr>
      <w:rFonts w:ascii="Arial" w:hAnsi="Arial"/>
      <w:b/>
      <w:bCs/>
      <w:szCs w:val="26"/>
    </w:rPr>
  </w:style>
  <w:style w:type="paragraph" w:styleId="Heading4">
    <w:name w:val="heading 4"/>
    <w:basedOn w:val="Normal"/>
    <w:next w:val="Normal"/>
    <w:link w:val="Heading4Char"/>
    <w:unhideWhenUsed/>
    <w:qFormat/>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FootnoteReference">
    <w:name w:val="footnote reference"/>
    <w:uiPriority w:val="99"/>
    <w:semiHidden/>
    <w:rPr>
      <w:vertAlign w:val="superscript"/>
    </w:rPr>
  </w:style>
  <w:style w:type="character" w:styleId="CommentReference">
    <w:name w:val="annotation reference"/>
    <w:uiPriority w:val="99"/>
    <w:rPr>
      <w:sz w:val="16"/>
      <w:szCs w:val="16"/>
    </w:rPr>
  </w:style>
  <w:style w:type="character" w:styleId="Emphasis">
    <w:name w:val="Emphasis"/>
    <w:uiPriority w:val="20"/>
    <w:qFormat/>
    <w:rPr>
      <w:i/>
      <w:iCs/>
    </w:rPr>
  </w:style>
  <w:style w:type="character" w:styleId="Hyperlink">
    <w:name w:val="Hyperlink"/>
    <w:uiPriority w:val="99"/>
    <w:rPr>
      <w:color w:val="0000FF"/>
      <w:u w:val="single"/>
    </w:rPr>
  </w:style>
  <w:style w:type="character" w:styleId="PageNumber">
    <w:name w:val="page number"/>
    <w:basedOn w:val="DefaultParagraphFont"/>
  </w:style>
  <w:style w:type="character" w:styleId="Strong">
    <w:name w:val="Strong"/>
    <w:uiPriority w:val="22"/>
    <w:qFormat/>
    <w:rPr>
      <w:b/>
      <w:bCs/>
    </w:rPr>
  </w:style>
  <w:style w:type="character" w:styleId="HTMLCite">
    <w:name w:val="HTML Cite"/>
    <w:basedOn w:val="DefaultParagraphFont"/>
    <w:uiPriority w:val="99"/>
    <w:semiHidden/>
    <w:unhideWhenUsed/>
    <w:rPr>
      <w:i/>
      <w:iCs/>
    </w:rPr>
  </w:style>
  <w:style w:type="paragraph" w:styleId="BalloonText">
    <w:name w:val="Balloon Text"/>
    <w:basedOn w:val="Normal"/>
    <w:link w:val="BalloonTextChar"/>
    <w:pPr>
      <w:spacing w:line="240" w:lineRule="auto"/>
    </w:pPr>
    <w:rPr>
      <w:rFonts w:ascii="Tahoma" w:hAnsi="Tahoma"/>
      <w:sz w:val="16"/>
      <w:szCs w:val="16"/>
    </w:rPr>
  </w:style>
  <w:style w:type="paragraph" w:styleId="BodyText2">
    <w:name w:val="Body Text 2"/>
    <w:basedOn w:val="Normal"/>
    <w:link w:val="BodyText2Char"/>
    <w:unhideWhenUsed/>
    <w:pPr>
      <w:spacing w:after="120"/>
      <w:ind w:firstLine="709"/>
    </w:pPr>
    <w:rPr>
      <w:rFonts w:eastAsia="Times New Roman"/>
    </w:rPr>
  </w:style>
  <w:style w:type="paragraph" w:styleId="BodyTextIndent3">
    <w:name w:val="Body Text Indent 3"/>
    <w:basedOn w:val="Normal"/>
    <w:link w:val="BodyTextIndent3Char"/>
    <w:uiPriority w:val="99"/>
    <w:semiHidden/>
    <w:unhideWhenUsed/>
    <w:pPr>
      <w:spacing w:before="120" w:after="120" w:line="360" w:lineRule="auto"/>
      <w:ind w:left="283"/>
    </w:pPr>
    <w:rPr>
      <w:rFonts w:eastAsiaTheme="minorHAnsi"/>
      <w:sz w:val="16"/>
      <w:szCs w:val="16"/>
      <w:lang w:eastAsia="en-US"/>
    </w:rPr>
  </w:style>
  <w:style w:type="paragraph" w:styleId="Caption">
    <w:name w:val="caption"/>
    <w:basedOn w:val="Normal"/>
    <w:next w:val="Normal"/>
    <w:link w:val="CaptionChar"/>
    <w:unhideWhenUsed/>
    <w:qFormat/>
    <w:pPr>
      <w:spacing w:before="120"/>
    </w:pPr>
    <w:rPr>
      <w:rFonts w:eastAsia="Times New Roman"/>
      <w:szCs w:val="20"/>
      <w:lang w:eastAsia="ru-RU"/>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rPr>
      <w:b/>
      <w:bCs/>
    </w:rPr>
  </w:style>
  <w:style w:type="paragraph" w:styleId="DocumentMap">
    <w:name w:val="Document Map"/>
    <w:basedOn w:val="Normal"/>
    <w:link w:val="DocumentMapChar"/>
    <w:rPr>
      <w:rFonts w:ascii="Tahoma" w:hAnsi="Tahoma" w:cs="Tahoma"/>
      <w:sz w:val="16"/>
      <w:szCs w:val="16"/>
    </w:rPr>
  </w:style>
  <w:style w:type="paragraph" w:styleId="FootnoteText">
    <w:name w:val="footnote text"/>
    <w:basedOn w:val="Normal"/>
    <w:link w:val="FootnoteTextChar"/>
    <w:uiPriority w:val="99"/>
    <w:pPr>
      <w:spacing w:line="240" w:lineRule="auto"/>
      <w:jc w:val="left"/>
    </w:pPr>
    <w:rPr>
      <w:rFonts w:eastAsia="Times New Roman"/>
      <w:sz w:val="20"/>
      <w:szCs w:val="20"/>
      <w:lang w:eastAsia="ru-RU"/>
    </w:rPr>
  </w:style>
  <w:style w:type="paragraph" w:styleId="TOC8">
    <w:name w:val="toc 8"/>
    <w:basedOn w:val="Normal"/>
    <w:next w:val="Normal"/>
    <w:uiPriority w:val="39"/>
    <w:unhideWhenUsed/>
    <w:pPr>
      <w:spacing w:after="100"/>
      <w:ind w:left="1540"/>
      <w:jc w:val="left"/>
    </w:pPr>
    <w:rPr>
      <w:rFonts w:asciiTheme="minorHAnsi" w:eastAsiaTheme="minorEastAsia" w:hAnsiTheme="minorHAnsi" w:cstheme="minorBidi"/>
      <w:sz w:val="22"/>
      <w:szCs w:val="22"/>
      <w:lang w:eastAsia="ru-RU"/>
    </w:rPr>
  </w:style>
  <w:style w:type="paragraph" w:styleId="Header">
    <w:name w:val="header"/>
    <w:basedOn w:val="Normal"/>
    <w:link w:val="HeaderChar"/>
    <w:uiPriority w:val="99"/>
    <w:pPr>
      <w:tabs>
        <w:tab w:val="center" w:pos="4677"/>
        <w:tab w:val="right" w:pos="9355"/>
      </w:tabs>
    </w:pPr>
  </w:style>
  <w:style w:type="paragraph" w:styleId="TOC9">
    <w:name w:val="toc 9"/>
    <w:basedOn w:val="Normal"/>
    <w:next w:val="Normal"/>
    <w:uiPriority w:val="39"/>
    <w:unhideWhenUsed/>
    <w:pPr>
      <w:spacing w:after="100"/>
      <w:ind w:left="1760"/>
      <w:jc w:val="left"/>
    </w:pPr>
    <w:rPr>
      <w:rFonts w:asciiTheme="minorHAnsi" w:eastAsiaTheme="minorEastAsia" w:hAnsiTheme="minorHAnsi" w:cstheme="minorBidi"/>
      <w:sz w:val="22"/>
      <w:szCs w:val="22"/>
      <w:lang w:eastAsia="ru-RU"/>
    </w:rPr>
  </w:style>
  <w:style w:type="paragraph" w:styleId="TOC7">
    <w:name w:val="toc 7"/>
    <w:basedOn w:val="Normal"/>
    <w:next w:val="Normal"/>
    <w:uiPriority w:val="39"/>
    <w:unhideWhenUsed/>
    <w:pPr>
      <w:spacing w:after="100"/>
      <w:ind w:left="1320"/>
      <w:jc w:val="left"/>
    </w:pPr>
    <w:rPr>
      <w:rFonts w:asciiTheme="minorHAnsi" w:eastAsiaTheme="minorEastAsia" w:hAnsiTheme="minorHAnsi" w:cstheme="minorBidi"/>
      <w:sz w:val="22"/>
      <w:szCs w:val="22"/>
      <w:lang w:eastAsia="ru-RU"/>
    </w:rPr>
  </w:style>
  <w:style w:type="paragraph" w:styleId="BodyText">
    <w:name w:val="Body Text"/>
    <w:basedOn w:val="Normal"/>
    <w:link w:val="BodyTextChar"/>
    <w:uiPriority w:val="99"/>
    <w:unhideWhenUsed/>
    <w:pPr>
      <w:spacing w:after="120"/>
    </w:pPr>
  </w:style>
  <w:style w:type="paragraph" w:styleId="TOC1">
    <w:name w:val="toc 1"/>
    <w:basedOn w:val="Normal"/>
    <w:next w:val="Normal"/>
    <w:uiPriority w:val="39"/>
    <w:pPr>
      <w:tabs>
        <w:tab w:val="right" w:leader="dot" w:pos="9356"/>
      </w:tabs>
      <w:spacing w:after="0" w:line="240" w:lineRule="auto"/>
    </w:pPr>
  </w:style>
  <w:style w:type="paragraph" w:styleId="TOC6">
    <w:name w:val="toc 6"/>
    <w:basedOn w:val="Normal"/>
    <w:next w:val="Normal"/>
    <w:uiPriority w:val="39"/>
    <w:unhideWhenUsed/>
    <w:pPr>
      <w:spacing w:after="100"/>
      <w:ind w:left="1100"/>
      <w:jc w:val="left"/>
    </w:pPr>
    <w:rPr>
      <w:rFonts w:asciiTheme="minorHAnsi" w:eastAsiaTheme="minorEastAsia" w:hAnsiTheme="minorHAnsi" w:cstheme="minorBidi"/>
      <w:sz w:val="22"/>
      <w:szCs w:val="22"/>
      <w:lang w:eastAsia="ru-RU"/>
    </w:rPr>
  </w:style>
  <w:style w:type="paragraph" w:styleId="TableofFigures">
    <w:name w:val="table of figures"/>
    <w:basedOn w:val="Normal"/>
    <w:next w:val="Normal"/>
    <w:uiPriority w:val="99"/>
    <w:unhideWhenUsed/>
    <w:pPr>
      <w:spacing w:before="120" w:after="0"/>
      <w:ind w:left="1418" w:hanging="1418"/>
    </w:pPr>
    <w:rPr>
      <w:rFonts w:eastAsiaTheme="minorHAnsi"/>
      <w:lang w:eastAsia="en-US"/>
    </w:rPr>
  </w:style>
  <w:style w:type="paragraph" w:styleId="TOC3">
    <w:name w:val="toc 3"/>
    <w:basedOn w:val="Normal"/>
    <w:next w:val="Normal"/>
    <w:uiPriority w:val="39"/>
    <w:pPr>
      <w:tabs>
        <w:tab w:val="left" w:pos="1100"/>
        <w:tab w:val="right" w:leader="dot" w:pos="9345"/>
      </w:tabs>
      <w:spacing w:after="0" w:line="240" w:lineRule="auto"/>
      <w:ind w:firstLine="284"/>
    </w:pPr>
  </w:style>
  <w:style w:type="paragraph" w:styleId="TOC2">
    <w:name w:val="toc 2"/>
    <w:basedOn w:val="Normal"/>
    <w:next w:val="Normal"/>
    <w:uiPriority w:val="39"/>
    <w:pPr>
      <w:tabs>
        <w:tab w:val="left" w:pos="880"/>
        <w:tab w:val="right" w:leader="dot" w:pos="9345"/>
      </w:tabs>
      <w:spacing w:after="0" w:line="240" w:lineRule="auto"/>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BodyTextIndent">
    <w:name w:val="Body Text Indent"/>
    <w:basedOn w:val="Normal"/>
    <w:link w:val="BodyTextIndentChar"/>
    <w:pPr>
      <w:spacing w:after="120"/>
      <w:ind w:left="283"/>
    </w:pPr>
  </w:style>
  <w:style w:type="paragraph" w:styleId="Footer">
    <w:name w:val="footer"/>
    <w:basedOn w:val="Normal"/>
    <w:link w:val="FooterChar"/>
    <w:uiPriority w:val="99"/>
    <w:pPr>
      <w:tabs>
        <w:tab w:val="center" w:pos="4677"/>
        <w:tab w:val="right" w:pos="9355"/>
      </w:tabs>
    </w:pPr>
  </w:style>
  <w:style w:type="paragraph" w:styleId="NormalWeb">
    <w:name w:val="Normal (Web)"/>
    <w:basedOn w:val="Normal"/>
    <w:link w:val="NormalWebChar"/>
    <w:uiPriority w:val="99"/>
    <w:pPr>
      <w:spacing w:before="100" w:beforeAutospacing="1" w:after="100" w:afterAutospacing="1" w:line="240" w:lineRule="auto"/>
      <w:jc w:val="left"/>
    </w:pPr>
    <w:rPr>
      <w:rFonts w:eastAsia="Times New Roman"/>
      <w:lang w:eastAsia="ru-RU"/>
    </w:rPr>
  </w:style>
  <w:style w:type="paragraph" w:styleId="BodyText3">
    <w:name w:val="Body Text 3"/>
    <w:basedOn w:val="Normal"/>
    <w:link w:val="BodyText3Char"/>
    <w:pPr>
      <w:spacing w:after="120"/>
    </w:pPr>
    <w:rPr>
      <w:sz w:val="16"/>
      <w:szCs w:val="16"/>
    </w:rPr>
  </w:style>
  <w:style w:type="paragraph" w:styleId="BodyTextIndent2">
    <w:name w:val="Body Text Indent 2"/>
    <w:basedOn w:val="Normal"/>
    <w:link w:val="BodyTextIndent2Char"/>
    <w:pPr>
      <w:spacing w:after="120" w:line="480" w:lineRule="auto"/>
      <w:ind w:left="283"/>
    </w:pPr>
  </w:style>
  <w:style w:type="paragraph" w:styleId="Subtitle">
    <w:name w:val="Subtitle"/>
    <w:basedOn w:val="Heading2"/>
    <w:next w:val="Normal"/>
    <w:link w:val="SubtitleChar"/>
    <w:qFormat/>
    <w:pPr>
      <w:keepNext w:val="0"/>
      <w:numPr>
        <w:numId w:val="1"/>
      </w:numPr>
      <w:tabs>
        <w:tab w:val="left" w:pos="180"/>
        <w:tab w:val="center" w:pos="709"/>
        <w:tab w:val="center" w:pos="1701"/>
      </w:tabs>
      <w:spacing w:before="100" w:after="100"/>
      <w:ind w:right="-568"/>
    </w:pPr>
    <w:rPr>
      <w:rFonts w:eastAsia="Times New Roman"/>
      <w:i/>
      <w:szCs w:val="24"/>
      <w:lang w:eastAsia="ru-RU"/>
    </w:rPr>
  </w:style>
  <w:style w:type="paragraph" w:styleId="List2">
    <w:name w:val="List 2"/>
    <w:basedOn w:val="Normal"/>
    <w:pPr>
      <w:spacing w:after="0" w:line="240" w:lineRule="auto"/>
      <w:ind w:left="566" w:hanging="283"/>
      <w:jc w:val="left"/>
    </w:pPr>
    <w:rPr>
      <w:rFonts w:ascii="Calibri" w:eastAsia="Calibri" w:hAnsi="Calibri"/>
      <w:lang w:eastAsia="en-U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table" w:styleId="TableGrid">
    <w:name w:val="Table Grid"/>
    <w:basedOn w:val="TableNormal"/>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Times New Roman" w:eastAsia="MS Mincho" w:hAnsi="Times New Roman" w:cs="Arial"/>
      <w:b/>
      <w:bCs/>
      <w:kern w:val="32"/>
      <w:sz w:val="24"/>
      <w:szCs w:val="32"/>
      <w:lang w:eastAsia="ja-JP"/>
    </w:rPr>
  </w:style>
  <w:style w:type="character" w:customStyle="1" w:styleId="Heading2Char">
    <w:name w:val="Heading 2 Char"/>
    <w:basedOn w:val="DefaultParagraphFont"/>
    <w:link w:val="Heading2"/>
    <w:rPr>
      <w:rFonts w:ascii="Times New Roman" w:eastAsia="MS Mincho" w:hAnsi="Times New Roman" w:cs="Times New Roman"/>
      <w:b/>
      <w:bCs/>
      <w:iCs/>
      <w:sz w:val="24"/>
      <w:szCs w:val="28"/>
      <w:lang w:eastAsia="ja-JP"/>
    </w:rPr>
  </w:style>
  <w:style w:type="character" w:customStyle="1" w:styleId="Heading3Char">
    <w:name w:val="Heading 3 Char"/>
    <w:basedOn w:val="DefaultParagraphFont"/>
    <w:link w:val="Heading3"/>
    <w:uiPriority w:val="9"/>
    <w:rPr>
      <w:rFonts w:ascii="Arial" w:eastAsia="MS Mincho" w:hAnsi="Arial" w:cs="Times New Roman"/>
      <w:b/>
      <w:bCs/>
      <w:sz w:val="24"/>
      <w:szCs w:val="26"/>
      <w:lang w:eastAsia="ja-JP"/>
    </w:rPr>
  </w:style>
  <w:style w:type="character" w:customStyle="1" w:styleId="Heading4Char">
    <w:name w:val="Heading 4 Char"/>
    <w:basedOn w:val="DefaultParagraphFont"/>
    <w:link w:val="Heading4"/>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rPr>
      <w:rFonts w:ascii="Calibri" w:eastAsia="Times New Roman" w:hAnsi="Calibri" w:cs="Times New Roman"/>
      <w:b/>
      <w:bCs/>
      <w:i/>
      <w:iCs/>
      <w:sz w:val="26"/>
      <w:szCs w:val="26"/>
      <w:lang w:eastAsia="ja-JP"/>
    </w:rPr>
  </w:style>
  <w:style w:type="character" w:customStyle="1" w:styleId="HeaderChar">
    <w:name w:val="Header Char"/>
    <w:basedOn w:val="DefaultParagraphFont"/>
    <w:link w:val="Header"/>
    <w:uiPriority w:val="99"/>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uiPriority w:val="99"/>
    <w:rPr>
      <w:rFonts w:ascii="Times New Roman" w:eastAsia="MS Mincho" w:hAnsi="Times New Roman" w:cs="Times New Roman"/>
      <w:sz w:val="24"/>
      <w:szCs w:val="24"/>
      <w:lang w:eastAsia="ja-JP"/>
    </w:rPr>
  </w:style>
  <w:style w:type="character" w:customStyle="1" w:styleId="subabstractlabel">
    <w:name w:val="sub_abstract_label"/>
    <w:basedOn w:val="DefaultParagraphFont"/>
  </w:style>
  <w:style w:type="character" w:customStyle="1" w:styleId="element-citation">
    <w:name w:val="element-citation"/>
    <w:basedOn w:val="DefaultParagraphFont"/>
  </w:style>
  <w:style w:type="character" w:customStyle="1" w:styleId="src">
    <w:name w:val="src"/>
    <w:basedOn w:val="DefaultParagraphFont"/>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lang w:eastAsia="ru-RU"/>
    </w:rPr>
  </w:style>
  <w:style w:type="character" w:customStyle="1" w:styleId="ref-journal">
    <w:name w:val="ref-journal"/>
    <w:basedOn w:val="DefaultParagraphFont"/>
  </w:style>
  <w:style w:type="character" w:customStyle="1" w:styleId="ref-vol">
    <w:name w:val="ref-vol"/>
    <w:basedOn w:val="DefaultParagraphFont"/>
  </w:style>
  <w:style w:type="character" w:styleId="PlaceholderText">
    <w:name w:val="Placeholder Text"/>
    <w:uiPriority w:val="99"/>
    <w:semiHidden/>
    <w:rPr>
      <w:color w:val="808080"/>
    </w:rPr>
  </w:style>
  <w:style w:type="character" w:customStyle="1" w:styleId="BalloonTextChar">
    <w:name w:val="Balloon Text Char"/>
    <w:basedOn w:val="DefaultParagraphFont"/>
    <w:link w:val="BalloonText"/>
    <w:rPr>
      <w:rFonts w:ascii="Tahoma" w:eastAsia="MS Mincho" w:hAnsi="Tahoma" w:cs="Times New Roman"/>
      <w:sz w:val="16"/>
      <w:szCs w:val="16"/>
      <w:lang w:eastAsia="ja-JP"/>
    </w:rPr>
  </w:style>
  <w:style w:type="paragraph" w:styleId="ListParagraph">
    <w:name w:val="List Paragraph"/>
    <w:aliases w:val="ТАБЛИЦА1,Список простой нумер,Примечание"/>
    <w:basedOn w:val="Normal"/>
    <w:link w:val="ListParagraphChar"/>
    <w:uiPriority w:val="1"/>
    <w:qFormat/>
    <w:pPr>
      <w:ind w:left="720"/>
      <w:contextualSpacing/>
    </w:pPr>
  </w:style>
  <w:style w:type="character" w:customStyle="1" w:styleId="CommentTextChar">
    <w:name w:val="Comment Text Char"/>
    <w:basedOn w:val="DefaultParagraphFont"/>
    <w:link w:val="CommentText"/>
    <w:uiPriority w:val="99"/>
    <w:rPr>
      <w:rFonts w:ascii="Times New Roman" w:eastAsia="MS Mincho" w:hAnsi="Times New Roman" w:cs="Times New Roman"/>
      <w:sz w:val="20"/>
      <w:szCs w:val="20"/>
      <w:lang w:eastAsia="ja-JP"/>
    </w:rPr>
  </w:style>
  <w:style w:type="character" w:customStyle="1" w:styleId="CommentSubjectChar">
    <w:name w:val="Comment Subject Char"/>
    <w:basedOn w:val="CommentTextChar"/>
    <w:link w:val="CommentSubject"/>
    <w:rPr>
      <w:rFonts w:ascii="Times New Roman" w:eastAsia="MS Mincho" w:hAnsi="Times New Roman" w:cs="Times New Roman"/>
      <w:b/>
      <w:bCs/>
      <w:sz w:val="20"/>
      <w:szCs w:val="20"/>
      <w:lang w:eastAsia="ja-JP"/>
    </w:rPr>
  </w:style>
  <w:style w:type="character" w:customStyle="1" w:styleId="12">
    <w:name w:val="Замещающий текст1"/>
    <w:semiHidden/>
    <w:rPr>
      <w:rFonts w:ascii="Times New Roman" w:hAnsi="Times New Roman" w:cs="Times New Roman" w:hint="default"/>
      <w:color w:val="808080"/>
    </w:rPr>
  </w:style>
  <w:style w:type="paragraph" w:customStyle="1" w:styleId="13">
    <w:name w:val="Рецензия1"/>
    <w:hidden/>
    <w:uiPriority w:val="99"/>
    <w:semiHidden/>
    <w:rPr>
      <w:rFonts w:eastAsia="MS Mincho"/>
      <w:sz w:val="24"/>
      <w:szCs w:val="24"/>
      <w:lang w:eastAsia="ja-JP"/>
    </w:rPr>
  </w:style>
  <w:style w:type="character" w:customStyle="1" w:styleId="longtext">
    <w:name w:val="long_text"/>
    <w:basedOn w:val="DefaultParagraphFont"/>
    <w:uiPriority w:val="99"/>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ja-JP"/>
    </w:rPr>
  </w:style>
  <w:style w:type="paragraph" w:customStyle="1" w:styleId="a">
    <w:name w:val="Осн. текст"/>
    <w:basedOn w:val="Normal"/>
    <w:uiPriority w:val="99"/>
    <w:pPr>
      <w:spacing w:before="120" w:line="360" w:lineRule="atLeast"/>
      <w:ind w:firstLine="425"/>
    </w:pPr>
    <w:rPr>
      <w:rFonts w:eastAsia="Times New Roman"/>
      <w:sz w:val="26"/>
      <w:szCs w:val="26"/>
      <w:lang w:eastAsia="ru-RU"/>
    </w:rPr>
  </w:style>
  <w:style w:type="character" w:customStyle="1" w:styleId="BodyTextIndent2Char">
    <w:name w:val="Body Text Indent 2 Char"/>
    <w:basedOn w:val="DefaultParagraphFont"/>
    <w:link w:val="BodyTextIndent2"/>
    <w:rPr>
      <w:rFonts w:ascii="Times New Roman" w:eastAsia="MS Mincho" w:hAnsi="Times New Roman" w:cs="Times New Roman"/>
      <w:sz w:val="24"/>
      <w:szCs w:val="24"/>
      <w:lang w:eastAsia="ja-JP"/>
    </w:rPr>
  </w:style>
  <w:style w:type="character" w:customStyle="1" w:styleId="DocumentMapChar">
    <w:name w:val="Document Map Char"/>
    <w:basedOn w:val="DefaultParagraphFont"/>
    <w:link w:val="DocumentMap"/>
    <w:rPr>
      <w:rFonts w:ascii="Tahoma" w:eastAsia="MS Mincho" w:hAnsi="Tahoma" w:cs="Tahoma"/>
      <w:sz w:val="16"/>
      <w:szCs w:val="16"/>
      <w:lang w:eastAsia="ja-JP"/>
    </w:rPr>
  </w:style>
  <w:style w:type="paragraph" w:customStyle="1" w:styleId="2">
    <w:name w:val="Îñíîâíîé òåêñò 2"/>
    <w:basedOn w:val="Normal"/>
    <w:pPr>
      <w:spacing w:line="240" w:lineRule="auto"/>
    </w:pPr>
    <w:rPr>
      <w:rFonts w:eastAsia="Times New Roman" w:cs="Arial Unicode MS"/>
      <w:sz w:val="28"/>
      <w:szCs w:val="28"/>
      <w:lang w:val="en-US" w:eastAsia="ru-RU"/>
    </w:rPr>
  </w:style>
  <w:style w:type="character" w:customStyle="1" w:styleId="st1">
    <w:name w:val="st1"/>
    <w:uiPriority w:val="99"/>
    <w:rPr>
      <w:rFonts w:ascii="Times New Roman" w:hAnsi="Times New Roman" w:cs="Times New Roman" w:hint="default"/>
    </w:rPr>
  </w:style>
  <w:style w:type="character" w:customStyle="1" w:styleId="BodyTextChar">
    <w:name w:val="Body Text Char"/>
    <w:basedOn w:val="DefaultParagraphFont"/>
    <w:link w:val="BodyText"/>
    <w:uiPriority w:val="99"/>
    <w:rPr>
      <w:rFonts w:ascii="Times New Roman" w:eastAsia="MS Mincho" w:hAnsi="Times New Roman" w:cs="Times New Roman"/>
      <w:sz w:val="24"/>
      <w:szCs w:val="24"/>
      <w:lang w:eastAsia="ja-JP"/>
    </w:rPr>
  </w:style>
  <w:style w:type="paragraph" w:customStyle="1" w:styleId="Default">
    <w:name w:val="Default"/>
    <w:link w:val="DefaultChar"/>
    <w:pPr>
      <w:autoSpaceDE w:val="0"/>
      <w:autoSpaceDN w:val="0"/>
      <w:adjustRightInd w:val="0"/>
    </w:pPr>
    <w:rPr>
      <w:rFonts w:eastAsia="Times New Roman"/>
      <w:color w:val="000000"/>
      <w:sz w:val="24"/>
      <w:szCs w:val="24"/>
    </w:rPr>
  </w:style>
  <w:style w:type="paragraph" w:customStyle="1" w:styleId="1">
    <w:name w:val="Стиль Заголовок 1 + полужирный Междустр.интервал:  полуторный"/>
    <w:basedOn w:val="Normal"/>
    <w:uiPriority w:val="99"/>
    <w:pPr>
      <w:numPr>
        <w:numId w:val="2"/>
      </w:numPr>
    </w:pPr>
    <w:rPr>
      <w:rFonts w:ascii="Calibri" w:hAnsi="Calibri"/>
    </w:rPr>
  </w:style>
  <w:style w:type="character" w:customStyle="1" w:styleId="hps">
    <w:name w:val="hps"/>
    <w:basedOn w:val="DefaultParagraphFont"/>
    <w:rPr>
      <w:rFonts w:ascii="Times New Roman" w:hAnsi="Times New Roman" w:cs="Times New Roman" w:hint="default"/>
    </w:rPr>
  </w:style>
  <w:style w:type="character" w:customStyle="1" w:styleId="TimesNewRoman">
    <w:name w:val="Стиль Times New Roman"/>
    <w:rPr>
      <w:rFonts w:ascii="Times New Roman" w:hAnsi="Times New Roman" w:cs="Times New Roman" w:hint="default"/>
      <w:sz w:val="24"/>
    </w:rPr>
  </w:style>
  <w:style w:type="character" w:customStyle="1" w:styleId="BodyTextIndentChar">
    <w:name w:val="Body Text Indent Char"/>
    <w:basedOn w:val="DefaultParagraphFont"/>
    <w:link w:val="BodyTextIndent"/>
    <w:rPr>
      <w:rFonts w:ascii="Times New Roman" w:eastAsia="MS Mincho" w:hAnsi="Times New Roman" w:cs="Times New Roman"/>
      <w:sz w:val="24"/>
      <w:szCs w:val="24"/>
      <w:lang w:eastAsia="ja-JP"/>
    </w:rPr>
  </w:style>
  <w:style w:type="character" w:customStyle="1" w:styleId="BodyText3Char">
    <w:name w:val="Body Text 3 Char"/>
    <w:basedOn w:val="DefaultParagraphFont"/>
    <w:link w:val="BodyText3"/>
    <w:rPr>
      <w:rFonts w:ascii="Times New Roman" w:eastAsia="MS Mincho" w:hAnsi="Times New Roman" w:cs="Times New Roman"/>
      <w:sz w:val="16"/>
      <w:szCs w:val="16"/>
      <w:lang w:eastAsia="ja-JP"/>
    </w:rPr>
  </w:style>
  <w:style w:type="paragraph" w:customStyle="1" w:styleId="Pa16">
    <w:name w:val="Pa16"/>
    <w:basedOn w:val="Default"/>
    <w:next w:val="Default"/>
    <w:uiPriority w:val="99"/>
    <w:pPr>
      <w:spacing w:line="201" w:lineRule="atLeast"/>
    </w:pPr>
    <w:rPr>
      <w:rFonts w:ascii="TimesNewRomanPS" w:eastAsiaTheme="minorHAnsi" w:hAnsi="TimesNewRomanPS" w:cstheme="minorBidi"/>
      <w:color w:val="auto"/>
      <w:lang w:eastAsia="en-US"/>
    </w:rPr>
  </w:style>
  <w:style w:type="character" w:customStyle="1" w:styleId="SubtitleChar">
    <w:name w:val="Subtitle Char"/>
    <w:basedOn w:val="DefaultParagraphFont"/>
    <w:link w:val="Subtitle"/>
    <w:rPr>
      <w:rFonts w:ascii="Times New Roman" w:eastAsia="Times New Roman" w:hAnsi="Times New Roman" w:cs="Times New Roman"/>
      <w:b/>
      <w:bCs/>
      <w:i/>
      <w:iCs/>
      <w:sz w:val="24"/>
      <w:szCs w:val="24"/>
      <w:lang w:eastAsia="ru-RU"/>
    </w:rPr>
  </w:style>
  <w:style w:type="character" w:customStyle="1" w:styleId="NormalItalic">
    <w:name w:val="Normal Italic"/>
    <w:basedOn w:val="DefaultParagraphFont"/>
    <w:rPr>
      <w:b/>
      <w:i/>
    </w:rPr>
  </w:style>
  <w:style w:type="paragraph" w:customStyle="1" w:styleId="10">
    <w:name w:val="Отчет ЗАГОЛОВОК1"/>
    <w:basedOn w:val="Heading2"/>
    <w:next w:val="Normal"/>
    <w:qFormat/>
    <w:pPr>
      <w:numPr>
        <w:numId w:val="3"/>
      </w:numPr>
      <w:tabs>
        <w:tab w:val="left"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pPr>
      <w:numPr>
        <w:ilvl w:val="1"/>
      </w:numPr>
      <w:spacing w:before="240" w:after="120"/>
      <w:ind w:left="0" w:firstLine="567"/>
      <w:jc w:val="both"/>
      <w:outlineLvl w:val="1"/>
    </w:pPr>
    <w:rPr>
      <w:caps w:val="0"/>
    </w:rPr>
  </w:style>
  <w:style w:type="paragraph" w:customStyle="1" w:styleId="111">
    <w:name w:val="Отчет заголовок 1.1.1"/>
    <w:basedOn w:val="11"/>
    <w:qFormat/>
    <w:pPr>
      <w:numPr>
        <w:ilvl w:val="2"/>
      </w:numPr>
      <w:ind w:left="0" w:firstLine="567"/>
      <w:outlineLvl w:val="2"/>
    </w:pPr>
    <w:rPr>
      <w:i w:val="0"/>
    </w:rPr>
  </w:style>
  <w:style w:type="paragraph" w:customStyle="1" w:styleId="1111">
    <w:name w:val="Отчет заголовок 1.1.1.1."/>
    <w:basedOn w:val="111"/>
    <w:qFormat/>
    <w:pPr>
      <w:numPr>
        <w:ilvl w:val="3"/>
      </w:numPr>
      <w:ind w:left="0" w:firstLine="567"/>
      <w:outlineLvl w:val="3"/>
    </w:pPr>
    <w:rPr>
      <w:b w:val="0"/>
    </w:rPr>
  </w:style>
  <w:style w:type="paragraph" w:customStyle="1" w:styleId="11111">
    <w:name w:val="Отчет заголовок 1.1.1.1.1."/>
    <w:basedOn w:val="1111"/>
    <w:qFormat/>
    <w:pPr>
      <w:numPr>
        <w:ilvl w:val="4"/>
      </w:numPr>
      <w:ind w:left="0" w:firstLine="567"/>
      <w:outlineLvl w:val="4"/>
    </w:pPr>
    <w:rPr>
      <w:u w:val="single"/>
    </w:rPr>
  </w:style>
  <w:style w:type="paragraph" w:customStyle="1" w:styleId="120">
    <w:name w:val="Обычный12"/>
    <w:pPr>
      <w:widowControl w:val="0"/>
    </w:pPr>
    <w:rPr>
      <w:rFonts w:eastAsia="Times New Roman"/>
    </w:rPr>
  </w:style>
  <w:style w:type="paragraph" w:customStyle="1" w:styleId="authors1">
    <w:name w:val="authors1"/>
    <w:basedOn w:val="Normal"/>
    <w:pPr>
      <w:spacing w:before="72" w:after="0" w:line="240" w:lineRule="atLeast"/>
      <w:ind w:left="660"/>
      <w:jc w:val="left"/>
    </w:pPr>
    <w:rPr>
      <w:rFonts w:eastAsia="Times New Roman"/>
      <w:sz w:val="22"/>
      <w:szCs w:val="22"/>
      <w:lang w:eastAsia="ru-RU"/>
    </w:rPr>
  </w:style>
  <w:style w:type="character" w:customStyle="1" w:styleId="ti2">
    <w:name w:val="ti2"/>
    <w:rPr>
      <w:sz w:val="22"/>
      <w:szCs w:val="22"/>
    </w:rPr>
  </w:style>
  <w:style w:type="character" w:customStyle="1" w:styleId="ti">
    <w:name w:val="ti"/>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sz w:val="24"/>
      <w:szCs w:val="24"/>
      <w:lang w:eastAsia="ja-JP"/>
    </w:rPr>
  </w:style>
  <w:style w:type="character" w:customStyle="1" w:styleId="li-content">
    <w:name w:val="li-content"/>
    <w:basedOn w:val="DefaultParagraphFont"/>
  </w:style>
  <w:style w:type="character" w:customStyle="1" w:styleId="a0">
    <w:name w:val="ШАБЛОН Знак"/>
    <w:link w:val="a1"/>
    <w:uiPriority w:val="99"/>
    <w:locked/>
    <w:rPr>
      <w:rFonts w:ascii="Times New Roman" w:hAnsi="Times New Roman" w:cs="Tahoma"/>
      <w:sz w:val="24"/>
      <w:szCs w:val="24"/>
    </w:rPr>
  </w:style>
  <w:style w:type="paragraph" w:customStyle="1" w:styleId="a1">
    <w:name w:val="ШАБЛОН"/>
    <w:basedOn w:val="BalloonText"/>
    <w:link w:val="a0"/>
    <w:uiPriority w:val="99"/>
    <w:qFormat/>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4">
    <w:name w:val="Сетка таблицы1"/>
    <w:basedOn w:val="TableNormal"/>
    <w:uiPriority w:val="5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style>
  <w:style w:type="paragraph" w:customStyle="1" w:styleId="opispoleabz">
    <w:name w:val="opis_pole_abz"/>
    <w:basedOn w:val="Normal"/>
    <w:pPr>
      <w:spacing w:before="100" w:beforeAutospacing="1" w:after="100" w:afterAutospacing="1" w:line="240" w:lineRule="auto"/>
      <w:jc w:val="left"/>
    </w:pPr>
    <w:rPr>
      <w:rFonts w:eastAsia="Times New Roman"/>
      <w:lang w:eastAsia="ru-RU"/>
    </w:rPr>
  </w:style>
  <w:style w:type="character" w:customStyle="1" w:styleId="s1">
    <w:name w:val="s1"/>
    <w:rPr>
      <w:rFonts w:ascii="Arial" w:hAnsi="Arial" w:cs="Arial" w:hint="default"/>
    </w:rPr>
  </w:style>
  <w:style w:type="character" w:customStyle="1" w:styleId="15">
    <w:name w:val="Упомянуть1"/>
    <w:basedOn w:val="DefaultParagraphFont"/>
    <w:uiPriority w:val="99"/>
    <w:semiHidden/>
    <w:unhideWhenUsed/>
    <w:rPr>
      <w:color w:val="2B579A"/>
      <w:shd w:val="clear" w:color="auto" w:fill="E6E6E6"/>
    </w:rPr>
  </w:style>
  <w:style w:type="table" w:customStyle="1" w:styleId="TableGrid0">
    <w:name w:val="TableGrid"/>
    <w:rPr>
      <w:rFonts w:eastAsia="Times New Roman"/>
    </w:rPr>
    <w:tblPr>
      <w:tblCellMar>
        <w:top w:w="0" w:type="dxa"/>
        <w:left w:w="0" w:type="dxa"/>
        <w:bottom w:w="0" w:type="dxa"/>
        <w:right w:w="0" w:type="dxa"/>
      </w:tblCellMar>
    </w:tblPr>
  </w:style>
  <w:style w:type="table" w:customStyle="1" w:styleId="TableGrid1">
    <w:name w:val="TableGrid1"/>
    <w:rPr>
      <w:rFonts w:eastAsia="Times New Roman"/>
    </w:rPr>
    <w:tblPr>
      <w:tblCellMar>
        <w:top w:w="0" w:type="dxa"/>
        <w:left w:w="0" w:type="dxa"/>
        <w:bottom w:w="0" w:type="dxa"/>
        <w:right w:w="0" w:type="dxa"/>
      </w:tblCellMar>
    </w:tblPr>
  </w:style>
  <w:style w:type="table" w:customStyle="1" w:styleId="TableGrid2">
    <w:name w:val="TableGrid2"/>
    <w:rPr>
      <w:rFonts w:eastAsia="Times New Roman"/>
    </w:rPr>
    <w:tblPr>
      <w:tblCellMar>
        <w:top w:w="0" w:type="dxa"/>
        <w:left w:w="0" w:type="dxa"/>
        <w:bottom w:w="0" w:type="dxa"/>
        <w:right w:w="0" w:type="dxa"/>
      </w:tblCellMar>
    </w:tblPr>
  </w:style>
  <w:style w:type="table" w:customStyle="1" w:styleId="TableGrid3">
    <w:name w:val="TableGrid3"/>
    <w:rPr>
      <w:rFonts w:eastAsia="Times New Roman"/>
    </w:rPr>
    <w:tblPr>
      <w:tblCellMar>
        <w:top w:w="0" w:type="dxa"/>
        <w:left w:w="0" w:type="dxa"/>
        <w:bottom w:w="0" w:type="dxa"/>
        <w:right w:w="0" w:type="dxa"/>
      </w:tblCellMar>
    </w:tblPr>
  </w:style>
  <w:style w:type="table" w:customStyle="1" w:styleId="7">
    <w:name w:val="Сетка таблицы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ТАБЛИЦА1 Char,Список простой нумер Char,Примечание Char"/>
    <w:basedOn w:val="DefaultParagraphFont"/>
    <w:link w:val="ListParagraph"/>
    <w:uiPriority w:val="34"/>
    <w:locked/>
    <w:rPr>
      <w:rFonts w:ascii="Times New Roman" w:eastAsia="MS Mincho" w:hAnsi="Times New Roman" w:cs="Times New Roman"/>
      <w:sz w:val="24"/>
      <w:szCs w:val="24"/>
      <w:lang w:eastAsia="ja-JP"/>
    </w:rPr>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4">
    <w:name w:val="Сетка таблицы4"/>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Pr>
      <w:rFonts w:ascii="Calibri" w:eastAsia="Times New Roman" w:hAnsi="Calibri"/>
    </w:rPr>
    <w:tblPr>
      <w:tblCellMar>
        <w:top w:w="0" w:type="dxa"/>
        <w:left w:w="0" w:type="dxa"/>
        <w:bottom w:w="0" w:type="dxa"/>
        <w:right w:w="0" w:type="dxa"/>
      </w:tblCellMar>
    </w:tblPr>
  </w:style>
  <w:style w:type="paragraph" w:customStyle="1" w:styleId="a2">
    <w:name w:val="Таблица"/>
    <w:basedOn w:val="Normal"/>
    <w:link w:val="a3"/>
    <w:qFormat/>
    <w:pPr>
      <w:spacing w:before="120" w:after="0" w:line="360" w:lineRule="auto"/>
    </w:pPr>
    <w:rPr>
      <w:rFonts w:eastAsiaTheme="minorHAnsi"/>
      <w:b/>
      <w:lang w:eastAsia="en-US"/>
    </w:rPr>
  </w:style>
  <w:style w:type="character" w:customStyle="1" w:styleId="a3">
    <w:name w:val="Таблица Знак"/>
    <w:basedOn w:val="DefaultParagraphFont"/>
    <w:link w:val="a2"/>
    <w:rPr>
      <w:rFonts w:ascii="Times New Roman" w:hAnsi="Times New Roman" w:cs="Times New Roman"/>
      <w:b/>
      <w:sz w:val="24"/>
      <w:szCs w:val="24"/>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ru-RU"/>
    </w:rPr>
  </w:style>
  <w:style w:type="character" w:customStyle="1" w:styleId="21">
    <w:name w:val="Основной текст (2)_"/>
    <w:basedOn w:val="DefaultParagraphFont"/>
    <w:link w:val="22"/>
    <w:qFormat/>
    <w:rPr>
      <w:rFonts w:ascii="Times New Roman" w:eastAsia="Times New Roman" w:hAnsi="Times New Roman" w:cs="Times New Roman"/>
      <w:b/>
      <w:bCs/>
      <w:spacing w:val="-2"/>
      <w:shd w:val="clear" w:color="auto" w:fill="FFFFFF"/>
    </w:rPr>
  </w:style>
  <w:style w:type="paragraph" w:customStyle="1" w:styleId="22">
    <w:name w:val="Основной текст (2)"/>
    <w:basedOn w:val="Normal"/>
    <w:link w:val="21"/>
    <w:pPr>
      <w:widowControl w:val="0"/>
      <w:shd w:val="clear" w:color="auto" w:fill="FFFFFF"/>
      <w:spacing w:after="240" w:line="0" w:lineRule="atLeast"/>
    </w:pPr>
    <w:rPr>
      <w:rFonts w:eastAsia="Times New Roman"/>
      <w:b/>
      <w:bCs/>
      <w:spacing w:val="-2"/>
      <w:sz w:val="22"/>
      <w:szCs w:val="22"/>
      <w:lang w:eastAsia="en-US"/>
    </w:rPr>
  </w:style>
  <w:style w:type="table" w:customStyle="1" w:styleId="3">
    <w:name w:val="Сетка таблицы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Ф_Текст"/>
    <w:link w:val="a5"/>
    <w:qFormat/>
    <w:pPr>
      <w:spacing w:before="120" w:after="120" w:line="288" w:lineRule="auto"/>
      <w:jc w:val="both"/>
    </w:pPr>
    <w:rPr>
      <w:rFonts w:eastAsia="Times New Roman"/>
      <w:sz w:val="24"/>
      <w:szCs w:val="24"/>
    </w:rPr>
  </w:style>
  <w:style w:type="character" w:customStyle="1" w:styleId="a5">
    <w:name w:val="СФ_Текст Знак"/>
    <w:basedOn w:val="DefaultParagraphFont"/>
    <w:link w:val="a4"/>
    <w:rPr>
      <w:rFonts w:ascii="Times New Roman" w:eastAsia="Times New Roman" w:hAnsi="Times New Roman" w:cs="Times New Roman"/>
      <w:sz w:val="24"/>
      <w:szCs w:val="24"/>
      <w:lang w:eastAsia="ru-RU"/>
    </w:rPr>
  </w:style>
  <w:style w:type="table" w:customStyle="1" w:styleId="100">
    <w:name w:val="Сетка таблицы10"/>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Pr>
      <w:rFonts w:ascii="Calibri" w:eastAsia="Times New Roman" w:hAnsi="Calibri"/>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customStyle="1" w:styleId="17">
    <w:name w:val="Заголовок1"/>
    <w:basedOn w:val="Normal"/>
    <w:link w:val="a6"/>
    <w:qFormat/>
    <w:pPr>
      <w:spacing w:before="120" w:after="0" w:line="360" w:lineRule="auto"/>
      <w:jc w:val="center"/>
    </w:pPr>
    <w:rPr>
      <w:rFonts w:eastAsiaTheme="minorHAnsi"/>
      <w:b/>
      <w:caps/>
      <w:color w:val="000000"/>
      <w:lang w:eastAsia="en-US"/>
    </w:rPr>
  </w:style>
  <w:style w:type="character" w:customStyle="1" w:styleId="a6">
    <w:name w:val="Заголовок Знак"/>
    <w:basedOn w:val="DefaultParagraphFont"/>
    <w:link w:val="17"/>
    <w:rPr>
      <w:rFonts w:ascii="Times New Roman" w:hAnsi="Times New Roman" w:cs="Times New Roman"/>
      <w:b/>
      <w:caps/>
      <w:color w:val="000000"/>
      <w:sz w:val="24"/>
      <w:szCs w:val="24"/>
    </w:rPr>
  </w:style>
  <w:style w:type="character" w:customStyle="1" w:styleId="fontstyle01">
    <w:name w:val="fontstyle01"/>
    <w:basedOn w:val="DefaultParagraphFont"/>
    <w:rPr>
      <w:rFonts w:ascii="Helvetica" w:hAnsi="Helvetica" w:hint="default"/>
      <w:color w:val="000000"/>
      <w:sz w:val="18"/>
      <w:szCs w:val="18"/>
    </w:rPr>
  </w:style>
  <w:style w:type="paragraph" w:customStyle="1" w:styleId="Style6">
    <w:name w:val="Style6"/>
    <w:basedOn w:val="Normal"/>
    <w:uiPriority w:val="99"/>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Pr>
      <w:rFonts w:ascii="Arial Unicode MS" w:eastAsia="Arial Unicode MS" w:cs="Arial Unicode MS"/>
      <w:sz w:val="14"/>
      <w:szCs w:val="14"/>
    </w:rPr>
  </w:style>
  <w:style w:type="character" w:customStyle="1" w:styleId="apple-style-span">
    <w:name w:val="apple-style-span"/>
    <w:basedOn w:val="DefaultParagraphFont"/>
  </w:style>
  <w:style w:type="character" w:customStyle="1" w:styleId="FontStyle110">
    <w:name w:val="Font Style110"/>
    <w:uiPriority w:val="99"/>
    <w:rPr>
      <w:rFonts w:ascii="Times New Roman" w:hAnsi="Times New Roman"/>
      <w:color w:val="000000"/>
      <w:sz w:val="22"/>
    </w:rPr>
  </w:style>
  <w:style w:type="character" w:customStyle="1" w:styleId="FontStyle114">
    <w:name w:val="Font Style114"/>
    <w:uiPriority w:val="99"/>
    <w:rPr>
      <w:rFonts w:ascii="Times New Roman" w:hAnsi="Times New Roman"/>
      <w:b/>
      <w:color w:val="000000"/>
      <w:sz w:val="16"/>
    </w:rPr>
  </w:style>
  <w:style w:type="paragraph" w:customStyle="1" w:styleId="Style8">
    <w:name w:val="Style8"/>
    <w:basedOn w:val="Normal"/>
    <w:pPr>
      <w:widowControl w:val="0"/>
      <w:autoSpaceDE w:val="0"/>
      <w:autoSpaceDN w:val="0"/>
      <w:adjustRightInd w:val="0"/>
      <w:spacing w:after="0" w:line="240" w:lineRule="auto"/>
    </w:pPr>
    <w:rPr>
      <w:rFonts w:eastAsia="Times New Roman"/>
      <w:lang w:eastAsia="ru-RU"/>
    </w:rPr>
  </w:style>
  <w:style w:type="paragraph" w:customStyle="1" w:styleId="a7">
    <w:name w:val="Таб. осн."/>
    <w:basedOn w:val="Normal"/>
    <w:pPr>
      <w:spacing w:before="60" w:after="60" w:line="240" w:lineRule="auto"/>
      <w:jc w:val="left"/>
    </w:pPr>
    <w:rPr>
      <w:rFonts w:ascii="Calibri" w:eastAsia="Calibri" w:hAnsi="Calibri"/>
      <w:szCs w:val="20"/>
      <w:lang w:eastAsia="en-US"/>
    </w:rPr>
  </w:style>
  <w:style w:type="character" w:customStyle="1" w:styleId="FontStyle40">
    <w:name w:val="Font Style40"/>
    <w:uiPriority w:val="99"/>
    <w:rPr>
      <w:rFonts w:ascii="Times New Roman" w:hAnsi="Times New Roman" w:cs="Times New Roman"/>
      <w:i/>
      <w:iCs/>
      <w:sz w:val="12"/>
      <w:szCs w:val="12"/>
    </w:rPr>
  </w:style>
  <w:style w:type="character" w:customStyle="1" w:styleId="FontStyle39">
    <w:name w:val="Font Style39"/>
    <w:rPr>
      <w:rFonts w:ascii="Times New Roman" w:hAnsi="Times New Roman" w:cs="Times New Roman"/>
      <w:sz w:val="12"/>
      <w:szCs w:val="12"/>
    </w:rPr>
  </w:style>
  <w:style w:type="paragraph" w:customStyle="1" w:styleId="Style19">
    <w:name w:val="Style19"/>
    <w:basedOn w:val="Normal"/>
    <w:uiPriority w:val="99"/>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DefaultParagraphFont"/>
  </w:style>
  <w:style w:type="paragraph" w:customStyle="1" w:styleId="OT">
    <w:name w:val="OT"/>
    <w:basedOn w:val="Normal"/>
    <w:link w:val="OT0"/>
    <w:qFormat/>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Pr>
      <w:rFonts w:ascii="Times New Roman" w:eastAsia="Times New Roman" w:hAnsi="Times New Roman" w:cs="Times New Roman"/>
      <w:snapToGrid w:val="0"/>
      <w:szCs w:val="20"/>
      <w:lang w:eastAsia="ru-RU"/>
    </w:rPr>
  </w:style>
  <w:style w:type="paragraph" w:customStyle="1" w:styleId="20TableFootnote">
    <w:name w:val="20Table Footnote"/>
    <w:pPr>
      <w:spacing w:before="60" w:after="60"/>
    </w:pPr>
    <w:rPr>
      <w:rFonts w:eastAsia="MS Mincho"/>
      <w:lang w:val="en-US" w:eastAsia="en-US"/>
    </w:rPr>
  </w:style>
  <w:style w:type="character" w:customStyle="1" w:styleId="jrnl">
    <w:name w:val="jrnl"/>
    <w:basedOn w:val="DefaultParagraphFont"/>
  </w:style>
  <w:style w:type="paragraph" w:customStyle="1" w:styleId="18">
    <w:name w:val="Название1"/>
    <w:basedOn w:val="Normal"/>
    <w:pPr>
      <w:spacing w:before="100" w:beforeAutospacing="1" w:after="100" w:afterAutospacing="1" w:line="240" w:lineRule="auto"/>
      <w:jc w:val="left"/>
    </w:pPr>
    <w:rPr>
      <w:rFonts w:eastAsia="Times New Roman"/>
      <w:lang w:eastAsia="ru-RU"/>
    </w:rPr>
  </w:style>
  <w:style w:type="paragraph" w:customStyle="1" w:styleId="19">
    <w:name w:val="Таблица1"/>
    <w:basedOn w:val="Caption"/>
    <w:link w:val="1a"/>
    <w:qFormat/>
    <w:pPr>
      <w:keepNext/>
      <w:spacing w:after="120" w:line="240" w:lineRule="auto"/>
    </w:pPr>
  </w:style>
  <w:style w:type="character" w:customStyle="1" w:styleId="CaptionChar">
    <w:name w:val="Caption Char"/>
    <w:basedOn w:val="DefaultParagraphFont"/>
    <w:link w:val="Caption"/>
    <w:rPr>
      <w:rFonts w:ascii="Times New Roman" w:eastAsia="Times New Roman" w:hAnsi="Times New Roman" w:cs="Times New Roman"/>
      <w:sz w:val="24"/>
      <w:szCs w:val="20"/>
      <w:lang w:eastAsia="ru-RU"/>
    </w:rPr>
  </w:style>
  <w:style w:type="character" w:customStyle="1" w:styleId="1a">
    <w:name w:val="Таблица1 Знак"/>
    <w:basedOn w:val="CaptionChar"/>
    <w:link w:val="19"/>
    <w:rPr>
      <w:rFonts w:ascii="Times New Roman" w:eastAsia="Times New Roman" w:hAnsi="Times New Roman" w:cs="Times New Roman"/>
      <w:sz w:val="24"/>
      <w:szCs w:val="20"/>
      <w:lang w:eastAsia="ru-RU"/>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character" w:customStyle="1" w:styleId="312">
    <w:name w:val="Основной текст (3)12"/>
    <w:basedOn w:val="DefaultParagraphFont"/>
    <w:uiPriority w:val="99"/>
    <w:rPr>
      <w:rFonts w:ascii="Times New Roman" w:hAnsi="Times New Roman"/>
      <w:i/>
      <w:iCs/>
      <w:sz w:val="20"/>
      <w:szCs w:val="20"/>
      <w:shd w:val="clear" w:color="auto" w:fill="FFFFFF"/>
    </w:rPr>
  </w:style>
  <w:style w:type="paragraph" w:styleId="NoSpacing">
    <w:name w:val="No Spacing"/>
    <w:uiPriority w:val="1"/>
    <w:qFormat/>
    <w:rPr>
      <w:rFonts w:ascii="Arial" w:eastAsiaTheme="minorEastAsia" w:hAnsi="Arial" w:cstheme="minorBidi"/>
      <w:sz w:val="24"/>
      <w:szCs w:val="22"/>
    </w:rPr>
  </w:style>
  <w:style w:type="paragraph" w:customStyle="1" w:styleId="TableParagraph">
    <w:name w:val="Table Paragraph"/>
    <w:basedOn w:val="Normal"/>
    <w:uiPriority w:val="1"/>
    <w:qFormat/>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1"/>
    <w:rPr>
      <w:rFonts w:ascii="Times New Roman" w:eastAsia="Times New Roman" w:hAnsi="Times New Roman" w:cs="Times New Roman"/>
      <w:b w:val="0"/>
      <w:bCs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DefaultParagraphFont"/>
  </w:style>
  <w:style w:type="character" w:customStyle="1" w:styleId="80">
    <w:name w:val="Основной текст (8)_"/>
    <w:basedOn w:val="DefaultParagraphFont"/>
    <w:link w:val="81"/>
    <w:rPr>
      <w:rFonts w:ascii="Times New Roman" w:eastAsia="Times New Roman" w:hAnsi="Times New Roman" w:cs="Times New Roman"/>
      <w:i/>
      <w:iCs/>
      <w:sz w:val="18"/>
      <w:szCs w:val="18"/>
      <w:shd w:val="clear" w:color="auto" w:fill="FFFFFF"/>
    </w:rPr>
  </w:style>
  <w:style w:type="paragraph" w:customStyle="1" w:styleId="81">
    <w:name w:val="Основной текст (8)"/>
    <w:basedOn w:val="Normal"/>
    <w:link w:val="8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DefaultParagraphFont"/>
  </w:style>
  <w:style w:type="character" w:customStyle="1" w:styleId="publication-meta-date">
    <w:name w:val="publication-meta-date"/>
    <w:basedOn w:val="DefaultParagraphFont"/>
  </w:style>
  <w:style w:type="character" w:customStyle="1" w:styleId="absnonlinkmetadata">
    <w:name w:val="abs_nonlink_metadata"/>
    <w:basedOn w:val="DefaultParagraphFont"/>
  </w:style>
  <w:style w:type="character" w:customStyle="1" w:styleId="smallcaps">
    <w:name w:val="smallcaps"/>
    <w:basedOn w:val="DefaultParagraphFont"/>
  </w:style>
  <w:style w:type="character" w:customStyle="1" w:styleId="nlm-given-names">
    <w:name w:val="nlm-given-names"/>
    <w:basedOn w:val="DefaultParagraphFont"/>
  </w:style>
  <w:style w:type="character" w:customStyle="1" w:styleId="nlm-surname">
    <w:name w:val="nlm-surname"/>
    <w:basedOn w:val="DefaultParagraphFont"/>
  </w:style>
  <w:style w:type="character" w:customStyle="1" w:styleId="highwire-cite-metadata-journal">
    <w:name w:val="highwire-cite-metadata-journal"/>
    <w:basedOn w:val="DefaultParagraphFont"/>
  </w:style>
  <w:style w:type="character" w:customStyle="1" w:styleId="highwire-cite-metadata-date">
    <w:name w:val="highwire-cite-metadata-date"/>
    <w:basedOn w:val="DefaultParagraphFont"/>
  </w:style>
  <w:style w:type="character" w:customStyle="1" w:styleId="highwire-cite-metadata-volume">
    <w:name w:val="highwire-cite-metadata-volume"/>
    <w:basedOn w:val="DefaultParagraphFont"/>
  </w:style>
  <w:style w:type="character" w:customStyle="1" w:styleId="highwire-cite-metadata-issue">
    <w:name w:val="highwire-cite-metadata-issue"/>
    <w:basedOn w:val="DefaultParagraphFont"/>
  </w:style>
  <w:style w:type="character" w:customStyle="1" w:styleId="highwire-cite-metadata-pages">
    <w:name w:val="highwire-cite-metadata-pages"/>
    <w:basedOn w:val="DefaultParagraphFont"/>
  </w:style>
  <w:style w:type="character" w:customStyle="1" w:styleId="2Candara">
    <w:name w:val="Основной текст (2) + Candara"/>
    <w:basedOn w:val="21"/>
    <w:rPr>
      <w:rFonts w:ascii="Candara" w:eastAsia="Candara" w:hAnsi="Candara" w:cs="Candara"/>
      <w:b w:val="0"/>
      <w:bCs w:val="0"/>
      <w:color w:val="000000"/>
      <w:spacing w:val="20"/>
      <w:w w:val="100"/>
      <w:position w:val="0"/>
      <w:sz w:val="14"/>
      <w:szCs w:val="14"/>
      <w:u w:val="none"/>
      <w:shd w:val="clear" w:color="auto" w:fill="FFFFFF"/>
      <w:lang w:val="ru-RU" w:eastAsia="ru-RU" w:bidi="ru-RU"/>
    </w:rPr>
  </w:style>
  <w:style w:type="character" w:customStyle="1" w:styleId="st">
    <w:name w:val="st"/>
    <w:basedOn w:val="DefaultParagraphFont"/>
  </w:style>
  <w:style w:type="character" w:customStyle="1" w:styleId="tlid-translation">
    <w:name w:val="tlid-translation"/>
    <w:basedOn w:val="DefaultParagraphFont"/>
  </w:style>
  <w:style w:type="table" w:customStyle="1" w:styleId="TableGrid4">
    <w:name w:val="TableGrid4"/>
    <w:rPr>
      <w:rFonts w:eastAsia="Times New Roman"/>
    </w:rPr>
    <w:tblPr>
      <w:tblCellMar>
        <w:top w:w="0" w:type="dxa"/>
        <w:left w:w="0" w:type="dxa"/>
        <w:bottom w:w="0" w:type="dxa"/>
        <w:right w:w="0" w:type="dxa"/>
      </w:tblCellMar>
    </w:tblPr>
  </w:style>
  <w:style w:type="table" w:customStyle="1" w:styleId="TableGrid6">
    <w:name w:val="TableGrid6"/>
    <w:rPr>
      <w:rFonts w:eastAsia="Times New Roman"/>
    </w:rPr>
    <w:tblPr>
      <w:tblCellMar>
        <w:top w:w="0" w:type="dxa"/>
        <w:left w:w="0" w:type="dxa"/>
        <w:bottom w:w="0" w:type="dxa"/>
        <w:right w:w="0" w:type="dxa"/>
      </w:tblCellMar>
    </w:tblPr>
  </w:style>
  <w:style w:type="character" w:customStyle="1" w:styleId="a8">
    <w:name w:val="Основной текст + Полужирный"/>
    <w:basedOn w:val="DefaultParagraphFont"/>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Pr>
      <w:rFonts w:eastAsia="Times New Roman"/>
    </w:rPr>
    <w:tblPr>
      <w:tblCellMar>
        <w:top w:w="0" w:type="dxa"/>
        <w:left w:w="0" w:type="dxa"/>
        <w:bottom w:w="0" w:type="dxa"/>
        <w:right w:w="0" w:type="dxa"/>
      </w:tblCellMar>
    </w:tblPr>
  </w:style>
  <w:style w:type="table" w:customStyle="1" w:styleId="TableGrid8">
    <w:name w:val="TableGrid8"/>
    <w:rPr>
      <w:rFonts w:eastAsia="Times New Roman"/>
    </w:rPr>
    <w:tblPr>
      <w:tblCellMar>
        <w:top w:w="0" w:type="dxa"/>
        <w:left w:w="0" w:type="dxa"/>
        <w:bottom w:w="0" w:type="dxa"/>
        <w:right w:w="0" w:type="dxa"/>
      </w:tblCellMar>
    </w:tblPr>
  </w:style>
  <w:style w:type="table" w:customStyle="1" w:styleId="210">
    <w:name w:val="Сетка таблицы2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Pr>
      <w:rFonts w:ascii="TimesNewRomanPSMT" w:hAnsi="TimesNewRomanPSMT" w:hint="default"/>
      <w:color w:val="000000"/>
      <w:sz w:val="18"/>
      <w:szCs w:val="18"/>
    </w:rPr>
  </w:style>
  <w:style w:type="character" w:customStyle="1" w:styleId="fontstyle31">
    <w:name w:val="fontstyle31"/>
    <w:basedOn w:val="DefaultParagraphFont"/>
    <w:rPr>
      <w:rFonts w:ascii="TimesNewRomanPS-BoldItalicMT" w:hAnsi="TimesNewRomanPS-BoldItalicMT" w:hint="default"/>
      <w:b/>
      <w:bCs/>
      <w:i/>
      <w:iCs/>
      <w:color w:val="000000"/>
      <w:sz w:val="24"/>
      <w:szCs w:val="24"/>
    </w:rPr>
  </w:style>
  <w:style w:type="character" w:customStyle="1" w:styleId="fontstyle41">
    <w:name w:val="fontstyle41"/>
    <w:basedOn w:val="DefaultParagraphFont"/>
    <w:rPr>
      <w:rFonts w:ascii="TimesNewRomanPS-ItalicMT" w:hAnsi="TimesNewRomanPS-ItalicMT" w:hint="default"/>
      <w:i/>
      <w:iCs/>
      <w:color w:val="000000"/>
      <w:sz w:val="22"/>
      <w:szCs w:val="22"/>
    </w:rPr>
  </w:style>
  <w:style w:type="character" w:customStyle="1" w:styleId="extended-textshort">
    <w:name w:val="extended-text__short"/>
    <w:basedOn w:val="DefaultParagraphFont"/>
  </w:style>
  <w:style w:type="character" w:customStyle="1" w:styleId="fontstyle51">
    <w:name w:val="fontstyle51"/>
    <w:basedOn w:val="DefaultParagraphFont"/>
    <w:rPr>
      <w:rFonts w:ascii="SymbolMT" w:hAnsi="SymbolMT" w:hint="default"/>
      <w:color w:val="000000"/>
      <w:sz w:val="22"/>
      <w:szCs w:val="22"/>
    </w:rPr>
  </w:style>
  <w:style w:type="character" w:customStyle="1" w:styleId="nowrap">
    <w:name w:val="nowrap"/>
    <w:basedOn w:val="DefaultParagraphFont"/>
  </w:style>
  <w:style w:type="character" w:customStyle="1" w:styleId="author">
    <w:name w:val="author"/>
    <w:basedOn w:val="DefaultParagraphFont"/>
  </w:style>
  <w:style w:type="character" w:customStyle="1" w:styleId="articletitle">
    <w:name w:val="articletitle"/>
    <w:basedOn w:val="DefaultParagraphFont"/>
  </w:style>
  <w:style w:type="character" w:customStyle="1" w:styleId="journaltitle">
    <w:name w:val="journaltitle"/>
    <w:basedOn w:val="DefaultParagraphFont"/>
  </w:style>
  <w:style w:type="character" w:customStyle="1" w:styleId="vol">
    <w:name w:val="vol"/>
    <w:basedOn w:val="DefaultParagraphFont"/>
  </w:style>
  <w:style w:type="character" w:customStyle="1" w:styleId="pubyear">
    <w:name w:val="pubyear"/>
    <w:basedOn w:val="DefaultParagraphFont"/>
  </w:style>
  <w:style w:type="character" w:customStyle="1" w:styleId="pagefirst">
    <w:name w:val="pagefirst"/>
    <w:basedOn w:val="DefaultParagraphFont"/>
  </w:style>
  <w:style w:type="character" w:customStyle="1" w:styleId="pagelast">
    <w:name w:val="pagelast"/>
    <w:basedOn w:val="DefaultParagraphFont"/>
  </w:style>
  <w:style w:type="paragraph" w:customStyle="1" w:styleId="1b">
    <w:name w:val="Список литературы1"/>
    <w:basedOn w:val="Normal"/>
    <w:next w:val="Normal"/>
    <w:uiPriority w:val="37"/>
    <w:unhideWhenUsed/>
  </w:style>
  <w:style w:type="character" w:customStyle="1" w:styleId="2Corbel">
    <w:name w:val="Основной текст (2) + Corbel"/>
    <w:basedOn w:val="DefaultParagraphFont"/>
    <w:rPr>
      <w:rFonts w:ascii="Corbel" w:eastAsia="Corbel" w:hAnsi="Corbel" w:cs="Corbel" w:hint="default"/>
      <w:color w:val="000000"/>
      <w:spacing w:val="0"/>
      <w:w w:val="100"/>
      <w:position w:val="0"/>
      <w:sz w:val="19"/>
      <w:szCs w:val="19"/>
      <w:u w:val="none"/>
      <w:lang w:val="ru-RU" w:eastAsia="ru-RU" w:bidi="ru-RU"/>
    </w:rPr>
  </w:style>
  <w:style w:type="character" w:customStyle="1" w:styleId="23">
    <w:name w:val="Основной текст (2) + Полужирный"/>
    <w:basedOn w:val="DefaultParagraphFont"/>
    <w:rPr>
      <w:rFonts w:ascii="Times New Roman" w:eastAsia="Times New Roman" w:hAnsi="Times New Roman" w:cs="Times New Roman" w:hint="default"/>
      <w:b/>
      <w:bCs/>
      <w:color w:val="000000"/>
      <w:spacing w:val="0"/>
      <w:w w:val="100"/>
      <w:position w:val="0"/>
      <w:sz w:val="22"/>
      <w:szCs w:val="22"/>
      <w:u w:val="none"/>
      <w:lang w:val="ru-RU" w:eastAsia="ru-RU" w:bidi="ru-RU"/>
    </w:rPr>
  </w:style>
  <w:style w:type="character" w:customStyle="1" w:styleId="a9">
    <w:name w:val="Подпись к таблице_"/>
    <w:basedOn w:val="DefaultParagraphFont"/>
    <w:link w:val="aa"/>
    <w:locked/>
    <w:rPr>
      <w:rFonts w:ascii="Times New Roman" w:eastAsia="Times New Roman" w:hAnsi="Times New Roman" w:cs="Times New Roman"/>
      <w:b/>
      <w:bCs/>
      <w:shd w:val="clear" w:color="auto" w:fill="FFFFFF"/>
    </w:rPr>
  </w:style>
  <w:style w:type="paragraph" w:customStyle="1" w:styleId="aa">
    <w:name w:val="Подпись к таблице"/>
    <w:basedOn w:val="Normal"/>
    <w:link w:val="a9"/>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1"/>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basedOn w:val="21"/>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0">
    <w:name w:val="Основной текст (3)_"/>
    <w:basedOn w:val="DefaultParagraphFont"/>
    <w:link w:val="31"/>
    <w:locked/>
    <w:rPr>
      <w:rFonts w:ascii="Times New Roman" w:eastAsia="Times New Roman" w:hAnsi="Times New Roman" w:cs="Times New Roman"/>
      <w:b/>
      <w:bCs/>
      <w:shd w:val="clear" w:color="auto" w:fill="FFFFFF"/>
    </w:rPr>
  </w:style>
  <w:style w:type="paragraph" w:customStyle="1" w:styleId="31">
    <w:name w:val="Основной текст (3)"/>
    <w:basedOn w:val="Normal"/>
    <w:link w:val="30"/>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DefaultParagraphFont"/>
  </w:style>
  <w:style w:type="character" w:customStyle="1" w:styleId="DefaultChar">
    <w:name w:val="Default Char"/>
    <w:link w:val="Default"/>
    <w:locked/>
    <w:rPr>
      <w:rFonts w:ascii="Times New Roman" w:eastAsia="Times New Roman" w:hAnsi="Times New Roman" w:cs="Times New Roman"/>
      <w:color w:val="000000"/>
      <w:sz w:val="24"/>
      <w:szCs w:val="24"/>
      <w:lang w:eastAsia="ru-RU"/>
    </w:rPr>
  </w:style>
  <w:style w:type="table" w:customStyle="1" w:styleId="TableGrid11">
    <w:name w:val="TableGrid11"/>
    <w:rPr>
      <w:rFonts w:ascii="Calibri" w:eastAsia="Times New Roman" w:hAnsi="Calibri"/>
    </w:rPr>
    <w:tblPr>
      <w:tblCellMar>
        <w:top w:w="0" w:type="dxa"/>
        <w:left w:w="0" w:type="dxa"/>
        <w:bottom w:w="0" w:type="dxa"/>
        <w:right w:w="0" w:type="dxa"/>
      </w:tblCellMar>
    </w:tblPr>
  </w:style>
  <w:style w:type="table" w:customStyle="1" w:styleId="TableGrid21">
    <w:name w:val="TableGrid21"/>
    <w:rPr>
      <w:rFonts w:ascii="Calibri" w:eastAsia="Times New Roman" w:hAnsi="Calibri"/>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b">
    <w:name w:val="_"/>
    <w:basedOn w:val="DefaultParagraphFont"/>
  </w:style>
  <w:style w:type="character" w:customStyle="1" w:styleId="hitinf">
    <w:name w:val="hit_inf"/>
    <w:basedOn w:val="DefaultParagraphFont"/>
  </w:style>
  <w:style w:type="character" w:customStyle="1" w:styleId="hitsyn">
    <w:name w:val="hit_syn"/>
    <w:basedOn w:val="DefaultParagraphFont"/>
  </w:style>
  <w:style w:type="character" w:customStyle="1" w:styleId="blk">
    <w:name w:val="blk"/>
  </w:style>
  <w:style w:type="character" w:customStyle="1" w:styleId="1c">
    <w:name w:val="Основной текст1"/>
    <w:basedOn w:val="DefaultParagraphFont"/>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pPr>
      <w:widowControl w:val="0"/>
      <w:autoSpaceDE w:val="0"/>
      <w:autoSpaceDN w:val="0"/>
      <w:adjustRightInd w:val="0"/>
    </w:pPr>
    <w:rPr>
      <w:rFonts w:ascii="Courier New" w:eastAsia="Times New Roman" w:hAnsi="Courier New" w:cs="Courier New"/>
      <w:sz w:val="24"/>
      <w:szCs w:val="24"/>
    </w:rPr>
  </w:style>
  <w:style w:type="paragraph" w:customStyle="1" w:styleId="ConsPlusNormal">
    <w:name w:val="ConsPlusNormal"/>
    <w:pPr>
      <w:widowControl w:val="0"/>
      <w:autoSpaceDE w:val="0"/>
      <w:autoSpaceDN w:val="0"/>
      <w:adjustRightInd w:val="0"/>
    </w:pPr>
    <w:rPr>
      <w:rFonts w:ascii="Arial" w:eastAsiaTheme="minorEastAsia" w:hAnsi="Arial" w:cs="Arial"/>
    </w:rPr>
  </w:style>
  <w:style w:type="character" w:customStyle="1" w:styleId="ac">
    <w:name w:val="Основной текст_"/>
    <w:basedOn w:val="DefaultParagraphFont"/>
    <w:rPr>
      <w:rFonts w:ascii="Times New Roman" w:eastAsia="Times New Roman" w:hAnsi="Times New Roman" w:cs="Times New Roman"/>
      <w:spacing w:val="-2"/>
      <w:shd w:val="clear" w:color="auto" w:fill="FFFFFF"/>
    </w:rPr>
  </w:style>
  <w:style w:type="character" w:customStyle="1" w:styleId="mnn-name-in-link">
    <w:name w:val="mnn-name-in-link"/>
    <w:basedOn w:val="DefaultParagraphFont"/>
  </w:style>
  <w:style w:type="paragraph" w:customStyle="1" w:styleId="opispole">
    <w:name w:val="opis_pole"/>
    <w:basedOn w:val="Normal"/>
    <w:pPr>
      <w:spacing w:before="100" w:beforeAutospacing="1" w:after="100" w:afterAutospacing="1" w:line="240" w:lineRule="auto"/>
      <w:jc w:val="left"/>
    </w:pPr>
    <w:rPr>
      <w:rFonts w:eastAsia="Times New Roman"/>
      <w:lang w:eastAsia="ru-RU"/>
    </w:rPr>
  </w:style>
  <w:style w:type="paragraph" w:customStyle="1" w:styleId="tablesubscr">
    <w:name w:val="tablesubscr"/>
    <w:basedOn w:val="Normal"/>
    <w:pPr>
      <w:spacing w:before="100" w:beforeAutospacing="1" w:after="100" w:afterAutospacing="1" w:line="240" w:lineRule="auto"/>
      <w:jc w:val="left"/>
    </w:pPr>
    <w:rPr>
      <w:rFonts w:eastAsia="Times New Roman"/>
      <w:lang w:eastAsia="ru-RU"/>
    </w:rPr>
  </w:style>
  <w:style w:type="character" w:customStyle="1" w:styleId="w">
    <w:name w:val="w"/>
    <w:basedOn w:val="DefaultParagraphFont"/>
  </w:style>
  <w:style w:type="character" w:customStyle="1" w:styleId="med1">
    <w:name w:val="med1"/>
    <w:basedOn w:val="DefaultParagraphFont"/>
  </w:style>
  <w:style w:type="character" w:customStyle="1" w:styleId="jlqj4b">
    <w:name w:val="jlqj4b"/>
    <w:basedOn w:val="DefaultParagraphFont"/>
  </w:style>
  <w:style w:type="character" w:customStyle="1" w:styleId="24">
    <w:name w:val="Заголовок №2_"/>
    <w:link w:val="25"/>
    <w:locked/>
    <w:rPr>
      <w:b/>
      <w:bCs/>
      <w:sz w:val="27"/>
      <w:szCs w:val="27"/>
      <w:shd w:val="clear" w:color="auto" w:fill="FFFFFF"/>
    </w:rPr>
  </w:style>
  <w:style w:type="paragraph" w:customStyle="1" w:styleId="25">
    <w:name w:val="Заголовок №2"/>
    <w:basedOn w:val="Normal"/>
    <w:link w:val="24"/>
    <w:pPr>
      <w:widowControl w:val="0"/>
      <w:shd w:val="clear" w:color="auto" w:fill="FFFFFF"/>
      <w:spacing w:after="360" w:line="240" w:lineRule="atLeast"/>
      <w:ind w:firstLine="709"/>
      <w:jc w:val="left"/>
      <w:outlineLvl w:val="1"/>
    </w:pPr>
    <w:rPr>
      <w:rFonts w:asciiTheme="minorHAnsi" w:hAnsiTheme="minorHAnsi" w:cstheme="minorBidi"/>
      <w:b/>
      <w:bCs/>
      <w:sz w:val="27"/>
      <w:szCs w:val="27"/>
      <w:lang w:eastAsia="en-US"/>
    </w:rPr>
  </w:style>
  <w:style w:type="character" w:customStyle="1" w:styleId="ad">
    <w:name w:val="Другое_"/>
    <w:basedOn w:val="DefaultParagraphFont"/>
    <w:link w:val="ae"/>
    <w:rPr>
      <w:rFonts w:ascii="Times New Roman" w:eastAsia="Times New Roman" w:hAnsi="Times New Roman" w:cs="Times New Roman"/>
      <w:shd w:val="clear" w:color="auto" w:fill="FFFFFF"/>
    </w:rPr>
  </w:style>
  <w:style w:type="paragraph" w:customStyle="1" w:styleId="ae">
    <w:name w:val="Другое"/>
    <w:basedOn w:val="Normal"/>
    <w:link w:val="ad"/>
    <w:pPr>
      <w:widowControl w:val="0"/>
      <w:shd w:val="clear" w:color="auto" w:fill="FFFFFF"/>
      <w:spacing w:after="0" w:line="394" w:lineRule="auto"/>
      <w:jc w:val="left"/>
    </w:pPr>
    <w:rPr>
      <w:rFonts w:eastAsia="Times New Roman"/>
      <w:sz w:val="22"/>
      <w:szCs w:val="22"/>
      <w:lang w:eastAsia="en-US"/>
    </w:rPr>
  </w:style>
  <w:style w:type="character" w:customStyle="1" w:styleId="NormalWebChar">
    <w:name w:val="Normal (Web) Char"/>
    <w:link w:val="NormalWeb"/>
    <w:uiPriority w:val="99"/>
    <w:locked/>
    <w:rPr>
      <w:rFonts w:ascii="Times New Roman" w:eastAsia="Times New Roman" w:hAnsi="Times New Roman" w:cs="Times New Roman"/>
      <w:sz w:val="24"/>
      <w:szCs w:val="24"/>
      <w:lang w:eastAsia="ru-RU"/>
    </w:rPr>
  </w:style>
  <w:style w:type="character" w:customStyle="1" w:styleId="ztplmc">
    <w:name w:val="ztplmc"/>
    <w:basedOn w:val="DefaultParagraphFont"/>
  </w:style>
  <w:style w:type="character" w:customStyle="1" w:styleId="q4iawc">
    <w:name w:val="q4iawc"/>
    <w:basedOn w:val="DefaultParagraphFont"/>
  </w:style>
  <w:style w:type="paragraph" w:customStyle="1" w:styleId="text">
    <w:name w:val="text"/>
    <w:basedOn w:val="Normal"/>
    <w:pPr>
      <w:spacing w:before="100" w:beforeAutospacing="1" w:after="100" w:afterAutospacing="1" w:line="240" w:lineRule="auto"/>
      <w:jc w:val="left"/>
    </w:pPr>
    <w:rPr>
      <w:rFonts w:eastAsia="Times New Roman"/>
      <w:lang w:eastAsia="ru-RU"/>
    </w:rPr>
  </w:style>
  <w:style w:type="character" w:customStyle="1" w:styleId="26">
    <w:name w:val="Неразрешенное упоминание2"/>
    <w:basedOn w:val="DefaultParagraphFont"/>
    <w:uiPriority w:val="99"/>
    <w:semiHidden/>
    <w:unhideWhenUsed/>
    <w:rPr>
      <w:color w:val="605E5C"/>
      <w:shd w:val="clear" w:color="auto" w:fill="E1DFDD"/>
    </w:rPr>
  </w:style>
  <w:style w:type="paragraph" w:customStyle="1" w:styleId="Style41">
    <w:name w:val="Style41"/>
    <w:basedOn w:val="Normal"/>
    <w:pPr>
      <w:widowControl w:val="0"/>
      <w:autoSpaceDE w:val="0"/>
      <w:autoSpaceDN w:val="0"/>
      <w:adjustRightInd w:val="0"/>
      <w:spacing w:after="0" w:line="240" w:lineRule="auto"/>
      <w:ind w:firstLine="709"/>
      <w:jc w:val="left"/>
    </w:pPr>
    <w:rPr>
      <w:rFonts w:ascii="Franklin Gothic Book" w:eastAsia="Times New Roman" w:hAnsi="Franklin Gothic Book"/>
      <w:sz w:val="22"/>
      <w:szCs w:val="20"/>
      <w:lang w:eastAsia="ru-RU"/>
    </w:rPr>
  </w:style>
  <w:style w:type="table" w:customStyle="1" w:styleId="TableNormal1">
    <w:name w:val="Table Normal1"/>
    <w:uiPriority w:val="2"/>
    <w:semiHidden/>
    <w:unhideWhenUsed/>
    <w:qFormat/>
    <w:pPr>
      <w:widowControl w:val="0"/>
      <w:autoSpaceDE w:val="0"/>
      <w:autoSpaceDN w:val="0"/>
    </w:pPr>
    <w:rPr>
      <w:rFonts w:eastAsiaTheme="minorHAnsi"/>
      <w:lang w:val="en-US"/>
    </w:rPr>
    <w:tblPr>
      <w:tblCellMar>
        <w:top w:w="0" w:type="dxa"/>
        <w:left w:w="0" w:type="dxa"/>
        <w:bottom w:w="0" w:type="dxa"/>
        <w:right w:w="0" w:type="dxa"/>
      </w:tblCellMar>
    </w:tblPr>
  </w:style>
  <w:style w:type="character" w:customStyle="1" w:styleId="32">
    <w:name w:val="Неразрешенное упоминание3"/>
    <w:basedOn w:val="DefaultParagraphFont"/>
    <w:uiPriority w:val="99"/>
    <w:semiHidden/>
    <w:unhideWhenUsed/>
    <w:rPr>
      <w:color w:val="605E5C"/>
      <w:shd w:val="clear" w:color="auto" w:fill="E1DFDD"/>
    </w:rPr>
  </w:style>
  <w:style w:type="paragraph" w:styleId="Revision">
    <w:name w:val="Revision"/>
    <w:hidden/>
    <w:uiPriority w:val="99"/>
    <w:semiHidden/>
    <w:rsid w:val="00BD59B2"/>
    <w:rPr>
      <w:rFonts w:eastAsia="MS Mincho"/>
      <w:sz w:val="24"/>
      <w:szCs w:val="24"/>
      <w:lang w:eastAsia="ja-JP"/>
    </w:rPr>
  </w:style>
  <w:style w:type="character" w:customStyle="1" w:styleId="UnresolvedMention2">
    <w:name w:val="Unresolved Mention2"/>
    <w:basedOn w:val="DefaultParagraphFont"/>
    <w:uiPriority w:val="99"/>
    <w:semiHidden/>
    <w:unhideWhenUsed/>
    <w:rsid w:val="006D7E96"/>
    <w:rPr>
      <w:color w:val="605E5C"/>
      <w:shd w:val="clear" w:color="auto" w:fill="E1DFDD"/>
    </w:rPr>
  </w:style>
  <w:style w:type="character" w:customStyle="1" w:styleId="1d">
    <w:name w:val="Текст сноски Знак1"/>
    <w:uiPriority w:val="99"/>
    <w:locked/>
    <w:rsid w:val="007F034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9913">
      <w:bodyDiv w:val="1"/>
      <w:marLeft w:val="0"/>
      <w:marRight w:val="0"/>
      <w:marTop w:val="0"/>
      <w:marBottom w:val="0"/>
      <w:divBdr>
        <w:top w:val="none" w:sz="0" w:space="0" w:color="auto"/>
        <w:left w:val="none" w:sz="0" w:space="0" w:color="auto"/>
        <w:bottom w:val="none" w:sz="0" w:space="0" w:color="auto"/>
        <w:right w:val="none" w:sz="0" w:space="0" w:color="auto"/>
      </w:divBdr>
    </w:div>
    <w:div w:id="795292734">
      <w:bodyDiv w:val="1"/>
      <w:marLeft w:val="0"/>
      <w:marRight w:val="0"/>
      <w:marTop w:val="0"/>
      <w:marBottom w:val="0"/>
      <w:divBdr>
        <w:top w:val="none" w:sz="0" w:space="0" w:color="auto"/>
        <w:left w:val="none" w:sz="0" w:space="0" w:color="auto"/>
        <w:bottom w:val="none" w:sz="0" w:space="0" w:color="auto"/>
        <w:right w:val="none" w:sz="0" w:space="0" w:color="auto"/>
      </w:divBdr>
    </w:div>
    <w:div w:id="896936973">
      <w:bodyDiv w:val="1"/>
      <w:marLeft w:val="0"/>
      <w:marRight w:val="0"/>
      <w:marTop w:val="0"/>
      <w:marBottom w:val="0"/>
      <w:divBdr>
        <w:top w:val="none" w:sz="0" w:space="0" w:color="auto"/>
        <w:left w:val="none" w:sz="0" w:space="0" w:color="auto"/>
        <w:bottom w:val="none" w:sz="0" w:space="0" w:color="auto"/>
        <w:right w:val="none" w:sz="0" w:space="0" w:color="auto"/>
      </w:divBdr>
    </w:div>
    <w:div w:id="909460140">
      <w:bodyDiv w:val="1"/>
      <w:marLeft w:val="0"/>
      <w:marRight w:val="0"/>
      <w:marTop w:val="0"/>
      <w:marBottom w:val="0"/>
      <w:divBdr>
        <w:top w:val="none" w:sz="0" w:space="0" w:color="auto"/>
        <w:left w:val="none" w:sz="0" w:space="0" w:color="auto"/>
        <w:bottom w:val="none" w:sz="0" w:space="0" w:color="auto"/>
        <w:right w:val="none" w:sz="0" w:space="0" w:color="auto"/>
      </w:divBdr>
    </w:div>
    <w:div w:id="212410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www.multitran.com/m.exe?s=%D1%81%D0%BC%D0%B5%D1%88%D0%B0%D0%BD%D0%BD%D0%B0%D1%8F+%D0%BC%D0%BE%D0%B4%D0%B5%D0%BB%D1%8C+%D0%BF%D0%BE%D0%B2%D1%82%D0%BE%D1%80%D0%BD%D1%8B%D1%85+%D0%B8%D0%B7%D0%BC%D0%B5%D1%80%D0%B5%D0%BD%D0%B8%D0%B9&amp;l1=2&amp;l2=1"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5.JPG"/><Relationship Id="rId27" Type="http://schemas.openxmlformats.org/officeDocument/2006/relationships/hyperlink" Target="https://www.ema.europa.eu/en/documents/assessment-report/jardiance-epar-public-assessment-report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Empagliflozin\&#1051;&#1077;&#1082;&#1092;&#1086;&#1088;&#1084;&#1072;\&#1058;&#1057;&#1050;&#1056;\&#1076;&#1083;&#1103;%20&#1056;&#1050;&#1048;.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05089967268222"/>
          <c:y val="7.2300150170431524E-2"/>
          <c:w val="0.80575680522745963"/>
          <c:h val="0.70431283638183373"/>
        </c:manualLayout>
      </c:layout>
      <c:scatterChart>
        <c:scatterStyle val="lineMarker"/>
        <c:varyColors val="0"/>
        <c:ser>
          <c:idx val="0"/>
          <c:order val="0"/>
          <c:tx>
            <c:v>ЭМПАГЛИФЛОЗИН тппо 10 мг, с.10423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Лист1!$A$2:$A$8</c:f>
              <c:numCache>
                <c:formatCode>General</c:formatCode>
                <c:ptCount val="7"/>
                <c:pt idx="0">
                  <c:v>0</c:v>
                </c:pt>
                <c:pt idx="1">
                  <c:v>5</c:v>
                </c:pt>
                <c:pt idx="2">
                  <c:v>10</c:v>
                </c:pt>
                <c:pt idx="3">
                  <c:v>15</c:v>
                </c:pt>
                <c:pt idx="4">
                  <c:v>20</c:v>
                </c:pt>
                <c:pt idx="5">
                  <c:v>30</c:v>
                </c:pt>
                <c:pt idx="6">
                  <c:v>45</c:v>
                </c:pt>
              </c:numCache>
            </c:numRef>
          </c:xVal>
          <c:yVal>
            <c:numRef>
              <c:f>Лист1!$B$2:$B$8</c:f>
              <c:numCache>
                <c:formatCode>General</c:formatCode>
                <c:ptCount val="7"/>
                <c:pt idx="0">
                  <c:v>0</c:v>
                </c:pt>
                <c:pt idx="1">
                  <c:v>93.7</c:v>
                </c:pt>
                <c:pt idx="2">
                  <c:v>96.4</c:v>
                </c:pt>
                <c:pt idx="3">
                  <c:v>98.1</c:v>
                </c:pt>
                <c:pt idx="4">
                  <c:v>99.2</c:v>
                </c:pt>
                <c:pt idx="5">
                  <c:v>99.7</c:v>
                </c:pt>
                <c:pt idx="6">
                  <c:v>99.7</c:v>
                </c:pt>
              </c:numCache>
            </c:numRef>
          </c:yVal>
          <c:smooth val="0"/>
          <c:extLst>
            <c:ext xmlns:c16="http://schemas.microsoft.com/office/drawing/2014/chart" uri="{C3380CC4-5D6E-409C-BE32-E72D297353CC}">
              <c16:uniqueId val="{00000000-2F2E-4A27-A89E-B6AFA0D6F1B3}"/>
            </c:ext>
          </c:extLst>
        </c:ser>
        <c:ser>
          <c:idx val="1"/>
          <c:order val="1"/>
          <c:tx>
            <c:v>Джардинс тппо 10 мг, с. 105792А</c:v>
          </c:tx>
          <c:spPr>
            <a:ln w="19050" cap="rnd">
              <a:solidFill>
                <a:schemeClr val="accent2"/>
              </a:solidFill>
              <a:prstDash val="sysDot"/>
              <a:round/>
            </a:ln>
            <a:effectLst/>
          </c:spPr>
          <c:marker>
            <c:symbol val="x"/>
            <c:size val="5"/>
            <c:spPr>
              <a:noFill/>
              <a:ln w="9525">
                <a:solidFill>
                  <a:schemeClr val="accent2"/>
                </a:solidFill>
              </a:ln>
              <a:effectLst/>
            </c:spPr>
          </c:marker>
          <c:xVal>
            <c:numRef>
              <c:f>Лист1!$A$2:$A$8</c:f>
              <c:numCache>
                <c:formatCode>General</c:formatCode>
                <c:ptCount val="7"/>
                <c:pt idx="0">
                  <c:v>0</c:v>
                </c:pt>
                <c:pt idx="1">
                  <c:v>5</c:v>
                </c:pt>
                <c:pt idx="2">
                  <c:v>10</c:v>
                </c:pt>
                <c:pt idx="3">
                  <c:v>15</c:v>
                </c:pt>
                <c:pt idx="4">
                  <c:v>20</c:v>
                </c:pt>
                <c:pt idx="5">
                  <c:v>30</c:v>
                </c:pt>
                <c:pt idx="6">
                  <c:v>45</c:v>
                </c:pt>
              </c:numCache>
            </c:numRef>
          </c:xVal>
          <c:yVal>
            <c:numRef>
              <c:f>Лист1!$C$2:$C$8</c:f>
              <c:numCache>
                <c:formatCode>General</c:formatCode>
                <c:ptCount val="7"/>
                <c:pt idx="0">
                  <c:v>0</c:v>
                </c:pt>
                <c:pt idx="1">
                  <c:v>94</c:v>
                </c:pt>
                <c:pt idx="2">
                  <c:v>97.7</c:v>
                </c:pt>
                <c:pt idx="3">
                  <c:v>100.2</c:v>
                </c:pt>
                <c:pt idx="4">
                  <c:v>101.3</c:v>
                </c:pt>
                <c:pt idx="5">
                  <c:v>101</c:v>
                </c:pt>
                <c:pt idx="6">
                  <c:v>100.8</c:v>
                </c:pt>
              </c:numCache>
            </c:numRef>
          </c:yVal>
          <c:smooth val="0"/>
          <c:extLst>
            <c:ext xmlns:c16="http://schemas.microsoft.com/office/drawing/2014/chart" uri="{C3380CC4-5D6E-409C-BE32-E72D297353CC}">
              <c16:uniqueId val="{00000001-2F2E-4A27-A89E-B6AFA0D6F1B3}"/>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02711005655"/>
              <c:y val="0.9471953089617581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2.9755065949071111E-3"/>
              <c:y val="0.151929888683188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33209028779729499"/>
          <c:y val="0.39178808531286524"/>
          <c:w val="0.59541755141569874"/>
          <c:h val="0.1564066256423829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96176659019985"/>
          <c:y val="7.8045692149443902E-2"/>
          <c:w val="0.79879151424969497"/>
          <c:h val="0.69216619620660613"/>
        </c:manualLayout>
      </c:layout>
      <c:scatterChart>
        <c:scatterStyle val="lineMarker"/>
        <c:varyColors val="0"/>
        <c:ser>
          <c:idx val="0"/>
          <c:order val="0"/>
          <c:tx>
            <c:v>ЭМПАГЛИФЛОЗИН тппо 10 мг, с.10423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Лист1!$A$13:$A$19</c:f>
              <c:numCache>
                <c:formatCode>General</c:formatCode>
                <c:ptCount val="7"/>
                <c:pt idx="0">
                  <c:v>0</c:v>
                </c:pt>
                <c:pt idx="1">
                  <c:v>5</c:v>
                </c:pt>
                <c:pt idx="2">
                  <c:v>10</c:v>
                </c:pt>
                <c:pt idx="3">
                  <c:v>15</c:v>
                </c:pt>
                <c:pt idx="4">
                  <c:v>20</c:v>
                </c:pt>
                <c:pt idx="5">
                  <c:v>30</c:v>
                </c:pt>
                <c:pt idx="6">
                  <c:v>45</c:v>
                </c:pt>
              </c:numCache>
            </c:numRef>
          </c:xVal>
          <c:yVal>
            <c:numRef>
              <c:f>Лист1!$B$13:$B$19</c:f>
              <c:numCache>
                <c:formatCode>General</c:formatCode>
                <c:ptCount val="7"/>
                <c:pt idx="0">
                  <c:v>0</c:v>
                </c:pt>
                <c:pt idx="1">
                  <c:v>94.5</c:v>
                </c:pt>
                <c:pt idx="2">
                  <c:v>96.5</c:v>
                </c:pt>
                <c:pt idx="3">
                  <c:v>98</c:v>
                </c:pt>
                <c:pt idx="4">
                  <c:v>98.6</c:v>
                </c:pt>
                <c:pt idx="5">
                  <c:v>99.5</c:v>
                </c:pt>
                <c:pt idx="6">
                  <c:v>99.3</c:v>
                </c:pt>
              </c:numCache>
            </c:numRef>
          </c:yVal>
          <c:smooth val="0"/>
          <c:extLst>
            <c:ext xmlns:c16="http://schemas.microsoft.com/office/drawing/2014/chart" uri="{C3380CC4-5D6E-409C-BE32-E72D297353CC}">
              <c16:uniqueId val="{00000000-DAC3-4CBD-A04B-5294D257FB77}"/>
            </c:ext>
          </c:extLst>
        </c:ser>
        <c:ser>
          <c:idx val="1"/>
          <c:order val="1"/>
          <c:tx>
            <c:v>Джардинс тппо 10 мг, с. 105792А</c:v>
          </c:tx>
          <c:spPr>
            <a:ln w="19050" cap="rnd">
              <a:solidFill>
                <a:schemeClr val="accent2"/>
              </a:solidFill>
              <a:prstDash val="sysDot"/>
              <a:round/>
            </a:ln>
            <a:effectLst/>
          </c:spPr>
          <c:marker>
            <c:symbol val="x"/>
            <c:size val="5"/>
            <c:spPr>
              <a:noFill/>
              <a:ln w="9525">
                <a:solidFill>
                  <a:schemeClr val="accent2"/>
                </a:solidFill>
              </a:ln>
              <a:effectLst/>
            </c:spPr>
          </c:marker>
          <c:xVal>
            <c:numRef>
              <c:f>Лист1!$A$13:$A$19</c:f>
              <c:numCache>
                <c:formatCode>General</c:formatCode>
                <c:ptCount val="7"/>
                <c:pt idx="0">
                  <c:v>0</c:v>
                </c:pt>
                <c:pt idx="1">
                  <c:v>5</c:v>
                </c:pt>
                <c:pt idx="2">
                  <c:v>10</c:v>
                </c:pt>
                <c:pt idx="3">
                  <c:v>15</c:v>
                </c:pt>
                <c:pt idx="4">
                  <c:v>20</c:v>
                </c:pt>
                <c:pt idx="5">
                  <c:v>30</c:v>
                </c:pt>
                <c:pt idx="6">
                  <c:v>45</c:v>
                </c:pt>
              </c:numCache>
            </c:numRef>
          </c:xVal>
          <c:yVal>
            <c:numRef>
              <c:f>Лист1!$C$13:$C$19</c:f>
              <c:numCache>
                <c:formatCode>General</c:formatCode>
                <c:ptCount val="7"/>
                <c:pt idx="0">
                  <c:v>0</c:v>
                </c:pt>
                <c:pt idx="1">
                  <c:v>94.6</c:v>
                </c:pt>
                <c:pt idx="2">
                  <c:v>99.3</c:v>
                </c:pt>
                <c:pt idx="3">
                  <c:v>101</c:v>
                </c:pt>
                <c:pt idx="4">
                  <c:v>101.4</c:v>
                </c:pt>
                <c:pt idx="5">
                  <c:v>100.9</c:v>
                </c:pt>
                <c:pt idx="6">
                  <c:v>100.5</c:v>
                </c:pt>
              </c:numCache>
            </c:numRef>
          </c:yVal>
          <c:smooth val="0"/>
          <c:extLst>
            <c:ext xmlns:c16="http://schemas.microsoft.com/office/drawing/2014/chart" uri="{C3380CC4-5D6E-409C-BE32-E72D297353CC}">
              <c16:uniqueId val="{00000001-DAC3-4CBD-A04B-5294D257FB77}"/>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4949039342523128"/>
              <c:y val="0.9499320272131759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2.9527559055118105E-3"/>
              <c:y val="0.1640387865955258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32606829658103759"/>
          <c:y val="0.39465180488802537"/>
          <c:w val="0.65390118558014887"/>
          <c:h val="0.1898821643110510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0435511598787"/>
          <c:y val="3.7542595311179323E-2"/>
          <c:w val="0.79732071226945689"/>
          <c:h val="0.75547755683081985"/>
        </c:manualLayout>
      </c:layout>
      <c:scatterChart>
        <c:scatterStyle val="lineMarker"/>
        <c:varyColors val="0"/>
        <c:ser>
          <c:idx val="0"/>
          <c:order val="0"/>
          <c:tx>
            <c:v>ЭМПАГЛИФЛОЗИН тппо 10 мг, с.10423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Лист1!$A$24:$A$30</c:f>
              <c:numCache>
                <c:formatCode>General</c:formatCode>
                <c:ptCount val="7"/>
                <c:pt idx="0">
                  <c:v>0</c:v>
                </c:pt>
                <c:pt idx="1">
                  <c:v>5</c:v>
                </c:pt>
                <c:pt idx="2">
                  <c:v>10</c:v>
                </c:pt>
                <c:pt idx="3">
                  <c:v>15</c:v>
                </c:pt>
                <c:pt idx="4">
                  <c:v>20</c:v>
                </c:pt>
                <c:pt idx="5">
                  <c:v>30</c:v>
                </c:pt>
                <c:pt idx="6">
                  <c:v>45</c:v>
                </c:pt>
              </c:numCache>
            </c:numRef>
          </c:xVal>
          <c:yVal>
            <c:numRef>
              <c:f>Лист1!$B$24:$B$30</c:f>
              <c:numCache>
                <c:formatCode>General</c:formatCode>
                <c:ptCount val="7"/>
                <c:pt idx="0">
                  <c:v>0</c:v>
                </c:pt>
                <c:pt idx="1">
                  <c:v>95</c:v>
                </c:pt>
                <c:pt idx="2">
                  <c:v>96</c:v>
                </c:pt>
                <c:pt idx="3">
                  <c:v>97</c:v>
                </c:pt>
                <c:pt idx="4">
                  <c:v>98.3</c:v>
                </c:pt>
                <c:pt idx="5">
                  <c:v>99.4</c:v>
                </c:pt>
                <c:pt idx="6">
                  <c:v>99.1</c:v>
                </c:pt>
              </c:numCache>
            </c:numRef>
          </c:yVal>
          <c:smooth val="0"/>
          <c:extLst>
            <c:ext xmlns:c16="http://schemas.microsoft.com/office/drawing/2014/chart" uri="{C3380CC4-5D6E-409C-BE32-E72D297353CC}">
              <c16:uniqueId val="{00000000-E318-4CE8-A72C-4285A9D9383D}"/>
            </c:ext>
          </c:extLst>
        </c:ser>
        <c:ser>
          <c:idx val="1"/>
          <c:order val="1"/>
          <c:tx>
            <c:v>Джардинс тппо 10 мг, с. 105792А</c:v>
          </c:tx>
          <c:spPr>
            <a:ln w="19050" cap="rnd">
              <a:solidFill>
                <a:schemeClr val="accent2"/>
              </a:solidFill>
              <a:prstDash val="sysDot"/>
              <a:round/>
            </a:ln>
            <a:effectLst/>
          </c:spPr>
          <c:marker>
            <c:symbol val="x"/>
            <c:size val="5"/>
            <c:spPr>
              <a:noFill/>
              <a:ln w="9525">
                <a:solidFill>
                  <a:schemeClr val="accent2"/>
                </a:solidFill>
              </a:ln>
              <a:effectLst/>
            </c:spPr>
          </c:marker>
          <c:xVal>
            <c:numRef>
              <c:f>Лист1!$A$24:$A$30</c:f>
              <c:numCache>
                <c:formatCode>General</c:formatCode>
                <c:ptCount val="7"/>
                <c:pt idx="0">
                  <c:v>0</c:v>
                </c:pt>
                <c:pt idx="1">
                  <c:v>5</c:v>
                </c:pt>
                <c:pt idx="2">
                  <c:v>10</c:v>
                </c:pt>
                <c:pt idx="3">
                  <c:v>15</c:v>
                </c:pt>
                <c:pt idx="4">
                  <c:v>20</c:v>
                </c:pt>
                <c:pt idx="5">
                  <c:v>30</c:v>
                </c:pt>
                <c:pt idx="6">
                  <c:v>45</c:v>
                </c:pt>
              </c:numCache>
            </c:numRef>
          </c:xVal>
          <c:yVal>
            <c:numRef>
              <c:f>Лист1!$C$24:$C$30</c:f>
              <c:numCache>
                <c:formatCode>General</c:formatCode>
                <c:ptCount val="7"/>
                <c:pt idx="0">
                  <c:v>0</c:v>
                </c:pt>
                <c:pt idx="1">
                  <c:v>95.9</c:v>
                </c:pt>
                <c:pt idx="2">
                  <c:v>98.8</c:v>
                </c:pt>
                <c:pt idx="3">
                  <c:v>100.6</c:v>
                </c:pt>
                <c:pt idx="4">
                  <c:v>101.4</c:v>
                </c:pt>
                <c:pt idx="5">
                  <c:v>101.1</c:v>
                </c:pt>
                <c:pt idx="6">
                  <c:v>100.5</c:v>
                </c:pt>
              </c:numCache>
            </c:numRef>
          </c:yVal>
          <c:smooth val="0"/>
          <c:extLst>
            <c:ext xmlns:c16="http://schemas.microsoft.com/office/drawing/2014/chart" uri="{C3380CC4-5D6E-409C-BE32-E72D297353CC}">
              <c16:uniqueId val="{00000001-E318-4CE8-A72C-4285A9D9383D}"/>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0559930008"/>
              <c:y val="0.9270137066200058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5.2634930067703804E-3"/>
              <c:y val="0.16403868364129121"/>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25348201286159983"/>
          <c:y val="0.39394066986213427"/>
          <c:w val="0.68714816308338822"/>
          <c:h val="0.1882515890332985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50768169795436"/>
          <c:y val="5.0055383658373073E-2"/>
          <c:w val="0.79127927763064465"/>
          <c:h val="0.79194200780799551"/>
        </c:manualLayout>
      </c:layout>
      <c:scatterChart>
        <c:scatterStyle val="lineMarker"/>
        <c:varyColors val="0"/>
        <c:ser>
          <c:idx val="0"/>
          <c:order val="0"/>
          <c:tx>
            <c:v>ЭМПАГЛИФЛОЗИН тппо 10 мг, с.10423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Лист1!$A$35:$A$41</c:f>
              <c:numCache>
                <c:formatCode>General</c:formatCode>
                <c:ptCount val="7"/>
                <c:pt idx="0">
                  <c:v>0</c:v>
                </c:pt>
                <c:pt idx="1">
                  <c:v>5</c:v>
                </c:pt>
                <c:pt idx="2">
                  <c:v>10</c:v>
                </c:pt>
                <c:pt idx="3">
                  <c:v>15</c:v>
                </c:pt>
                <c:pt idx="4">
                  <c:v>20</c:v>
                </c:pt>
                <c:pt idx="5">
                  <c:v>30</c:v>
                </c:pt>
                <c:pt idx="6">
                  <c:v>45</c:v>
                </c:pt>
              </c:numCache>
            </c:numRef>
          </c:xVal>
          <c:yVal>
            <c:numRef>
              <c:f>Лист1!$B$35:$B$41</c:f>
              <c:numCache>
                <c:formatCode>General</c:formatCode>
                <c:ptCount val="7"/>
                <c:pt idx="0">
                  <c:v>0</c:v>
                </c:pt>
                <c:pt idx="1">
                  <c:v>89.5</c:v>
                </c:pt>
                <c:pt idx="2">
                  <c:v>92.7</c:v>
                </c:pt>
                <c:pt idx="3">
                  <c:v>95.1</c:v>
                </c:pt>
                <c:pt idx="4">
                  <c:v>98.5</c:v>
                </c:pt>
                <c:pt idx="5">
                  <c:v>99.7</c:v>
                </c:pt>
                <c:pt idx="6">
                  <c:v>99.7</c:v>
                </c:pt>
              </c:numCache>
            </c:numRef>
          </c:yVal>
          <c:smooth val="0"/>
          <c:extLst>
            <c:ext xmlns:c16="http://schemas.microsoft.com/office/drawing/2014/chart" uri="{C3380CC4-5D6E-409C-BE32-E72D297353CC}">
              <c16:uniqueId val="{00000000-B157-494B-A195-3E8D0D283BE7}"/>
            </c:ext>
          </c:extLst>
        </c:ser>
        <c:ser>
          <c:idx val="1"/>
          <c:order val="1"/>
          <c:tx>
            <c:v>Джардинс тппо 10 мг, с. 105792А</c:v>
          </c:tx>
          <c:spPr>
            <a:ln w="19050" cap="rnd">
              <a:solidFill>
                <a:schemeClr val="accent2"/>
              </a:solidFill>
              <a:round/>
            </a:ln>
            <a:effectLst/>
          </c:spPr>
          <c:marker>
            <c:symbol val="x"/>
            <c:size val="5"/>
            <c:spPr>
              <a:noFill/>
              <a:ln w="9525">
                <a:solidFill>
                  <a:schemeClr val="accent2"/>
                </a:solidFill>
              </a:ln>
              <a:effectLst/>
            </c:spPr>
          </c:marker>
          <c:xVal>
            <c:numRef>
              <c:f>Лист1!$A$35:$A$41</c:f>
              <c:numCache>
                <c:formatCode>General</c:formatCode>
                <c:ptCount val="7"/>
                <c:pt idx="0">
                  <c:v>0</c:v>
                </c:pt>
                <c:pt idx="1">
                  <c:v>5</c:v>
                </c:pt>
                <c:pt idx="2">
                  <c:v>10</c:v>
                </c:pt>
                <c:pt idx="3">
                  <c:v>15</c:v>
                </c:pt>
                <c:pt idx="4">
                  <c:v>20</c:v>
                </c:pt>
                <c:pt idx="5">
                  <c:v>30</c:v>
                </c:pt>
                <c:pt idx="6">
                  <c:v>45</c:v>
                </c:pt>
              </c:numCache>
            </c:numRef>
          </c:xVal>
          <c:yVal>
            <c:numRef>
              <c:f>Лист1!$C$35:$C$41</c:f>
              <c:numCache>
                <c:formatCode>General</c:formatCode>
                <c:ptCount val="7"/>
                <c:pt idx="0">
                  <c:v>0</c:v>
                </c:pt>
                <c:pt idx="1">
                  <c:v>94.1</c:v>
                </c:pt>
                <c:pt idx="2">
                  <c:v>97.9</c:v>
                </c:pt>
                <c:pt idx="3">
                  <c:v>100.1</c:v>
                </c:pt>
                <c:pt idx="4">
                  <c:v>101.5</c:v>
                </c:pt>
                <c:pt idx="5">
                  <c:v>101.2</c:v>
                </c:pt>
                <c:pt idx="6">
                  <c:v>100.8</c:v>
                </c:pt>
              </c:numCache>
            </c:numRef>
          </c:yVal>
          <c:smooth val="0"/>
          <c:extLst>
            <c:ext xmlns:c16="http://schemas.microsoft.com/office/drawing/2014/chart" uri="{C3380CC4-5D6E-409C-BE32-E72D297353CC}">
              <c16:uniqueId val="{00000001-B157-494B-A195-3E8D0D283BE7}"/>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07999742453"/>
              <c:y val="0.949372440798170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5.2811991141520475E-3"/>
              <c:y val="0.1491327139166296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30906181110834352"/>
          <c:y val="0.37946065853003702"/>
          <c:w val="0.68752289598403171"/>
          <c:h val="0.1309366513646386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08150661084594"/>
          <c:y val="3.882196543613866E-2"/>
          <c:w val="0.81269327012624859"/>
          <c:h val="0.76352910431650589"/>
        </c:manualLayout>
      </c:layout>
      <c:scatterChart>
        <c:scatterStyle val="lineMarker"/>
        <c:varyColors val="0"/>
        <c:ser>
          <c:idx val="0"/>
          <c:order val="0"/>
          <c:tx>
            <c:v>ЭМПАГЛИФЛОЗИН тппо 25 мг, с.20423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Лист1!$K$2:$K$8</c:f>
              <c:numCache>
                <c:formatCode>General</c:formatCode>
                <c:ptCount val="7"/>
                <c:pt idx="0">
                  <c:v>0</c:v>
                </c:pt>
                <c:pt idx="1">
                  <c:v>5</c:v>
                </c:pt>
                <c:pt idx="2">
                  <c:v>10</c:v>
                </c:pt>
                <c:pt idx="3">
                  <c:v>15</c:v>
                </c:pt>
                <c:pt idx="4">
                  <c:v>20</c:v>
                </c:pt>
                <c:pt idx="5">
                  <c:v>30</c:v>
                </c:pt>
                <c:pt idx="6">
                  <c:v>45</c:v>
                </c:pt>
              </c:numCache>
            </c:numRef>
          </c:xVal>
          <c:yVal>
            <c:numRef>
              <c:f>Лист1!$L$2:$L$8</c:f>
              <c:numCache>
                <c:formatCode>General</c:formatCode>
                <c:ptCount val="7"/>
                <c:pt idx="0">
                  <c:v>0</c:v>
                </c:pt>
                <c:pt idx="1">
                  <c:v>91.1</c:v>
                </c:pt>
                <c:pt idx="2">
                  <c:v>95.4</c:v>
                </c:pt>
                <c:pt idx="3">
                  <c:v>97.4</c:v>
                </c:pt>
                <c:pt idx="4">
                  <c:v>98.5</c:v>
                </c:pt>
                <c:pt idx="5">
                  <c:v>98.8</c:v>
                </c:pt>
                <c:pt idx="6">
                  <c:v>98.9</c:v>
                </c:pt>
              </c:numCache>
            </c:numRef>
          </c:yVal>
          <c:smooth val="0"/>
          <c:extLst>
            <c:ext xmlns:c16="http://schemas.microsoft.com/office/drawing/2014/chart" uri="{C3380CC4-5D6E-409C-BE32-E72D297353CC}">
              <c16:uniqueId val="{00000000-B5E6-43E8-A945-DAD9E008138D}"/>
            </c:ext>
          </c:extLst>
        </c:ser>
        <c:ser>
          <c:idx val="1"/>
          <c:order val="1"/>
          <c:tx>
            <c:v>Джардинс тппо 25 мг, с. 007693</c:v>
          </c:tx>
          <c:spPr>
            <a:ln w="19050" cap="rnd">
              <a:solidFill>
                <a:schemeClr val="accent2"/>
              </a:solidFill>
              <a:prstDash val="dash"/>
              <a:round/>
            </a:ln>
            <a:effectLst/>
          </c:spPr>
          <c:marker>
            <c:symbol val="x"/>
            <c:size val="5"/>
            <c:spPr>
              <a:noFill/>
              <a:ln w="9525">
                <a:solidFill>
                  <a:schemeClr val="accent2"/>
                </a:solidFill>
              </a:ln>
              <a:effectLst/>
            </c:spPr>
          </c:marker>
          <c:xVal>
            <c:numRef>
              <c:f>Лист1!$K$2:$K$8</c:f>
              <c:numCache>
                <c:formatCode>General</c:formatCode>
                <c:ptCount val="7"/>
                <c:pt idx="0">
                  <c:v>0</c:v>
                </c:pt>
                <c:pt idx="1">
                  <c:v>5</c:v>
                </c:pt>
                <c:pt idx="2">
                  <c:v>10</c:v>
                </c:pt>
                <c:pt idx="3">
                  <c:v>15</c:v>
                </c:pt>
                <c:pt idx="4">
                  <c:v>20</c:v>
                </c:pt>
                <c:pt idx="5">
                  <c:v>30</c:v>
                </c:pt>
                <c:pt idx="6">
                  <c:v>45</c:v>
                </c:pt>
              </c:numCache>
            </c:numRef>
          </c:xVal>
          <c:yVal>
            <c:numRef>
              <c:f>Лист1!$M$2:$M$8</c:f>
              <c:numCache>
                <c:formatCode>General</c:formatCode>
                <c:ptCount val="7"/>
                <c:pt idx="0">
                  <c:v>0</c:v>
                </c:pt>
                <c:pt idx="1">
                  <c:v>88.6</c:v>
                </c:pt>
                <c:pt idx="2">
                  <c:v>99.7</c:v>
                </c:pt>
                <c:pt idx="3">
                  <c:v>101.1</c:v>
                </c:pt>
                <c:pt idx="4">
                  <c:v>101.2</c:v>
                </c:pt>
                <c:pt idx="5">
                  <c:v>101.9</c:v>
                </c:pt>
                <c:pt idx="6">
                  <c:v>101.3</c:v>
                </c:pt>
              </c:numCache>
            </c:numRef>
          </c:yVal>
          <c:smooth val="0"/>
          <c:extLst>
            <c:ext xmlns:c16="http://schemas.microsoft.com/office/drawing/2014/chart" uri="{C3380CC4-5D6E-409C-BE32-E72D297353CC}">
              <c16:uniqueId val="{00000001-B5E6-43E8-A945-DAD9E008138D}"/>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0559930008"/>
              <c:y val="0.9270137066200058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1.3888888888888888E-2"/>
              <c:y val="0.164038713910761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25967289647495873"/>
          <c:y val="0.33225396207067426"/>
          <c:w val="0.73756785357177768"/>
          <c:h val="0.188220108850030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0683215159906"/>
          <c:y val="3.7232364624200272E-2"/>
          <c:w val="0.79467583406006836"/>
          <c:h val="0.79437320334958117"/>
        </c:manualLayout>
      </c:layout>
      <c:scatterChart>
        <c:scatterStyle val="lineMarker"/>
        <c:varyColors val="0"/>
        <c:ser>
          <c:idx val="0"/>
          <c:order val="0"/>
          <c:tx>
            <c:v>ЭМПАГЛИФЛОЗИН тппо 25 мг, с.20423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Лист1!$K$13:$K$19</c:f>
              <c:numCache>
                <c:formatCode>General</c:formatCode>
                <c:ptCount val="7"/>
                <c:pt idx="0">
                  <c:v>0</c:v>
                </c:pt>
                <c:pt idx="1">
                  <c:v>5</c:v>
                </c:pt>
                <c:pt idx="2">
                  <c:v>10</c:v>
                </c:pt>
                <c:pt idx="3">
                  <c:v>15</c:v>
                </c:pt>
                <c:pt idx="4">
                  <c:v>20</c:v>
                </c:pt>
                <c:pt idx="5">
                  <c:v>30</c:v>
                </c:pt>
                <c:pt idx="6">
                  <c:v>45</c:v>
                </c:pt>
              </c:numCache>
            </c:numRef>
          </c:xVal>
          <c:yVal>
            <c:numRef>
              <c:f>Лист1!$L$13:$L$19</c:f>
              <c:numCache>
                <c:formatCode>General</c:formatCode>
                <c:ptCount val="7"/>
                <c:pt idx="0">
                  <c:v>0</c:v>
                </c:pt>
                <c:pt idx="1">
                  <c:v>93.4</c:v>
                </c:pt>
                <c:pt idx="2">
                  <c:v>96.7</c:v>
                </c:pt>
                <c:pt idx="3">
                  <c:v>98.1</c:v>
                </c:pt>
                <c:pt idx="4">
                  <c:v>99.5</c:v>
                </c:pt>
                <c:pt idx="5">
                  <c:v>99</c:v>
                </c:pt>
                <c:pt idx="6">
                  <c:v>98.7</c:v>
                </c:pt>
              </c:numCache>
            </c:numRef>
          </c:yVal>
          <c:smooth val="0"/>
          <c:extLst>
            <c:ext xmlns:c16="http://schemas.microsoft.com/office/drawing/2014/chart" uri="{C3380CC4-5D6E-409C-BE32-E72D297353CC}">
              <c16:uniqueId val="{00000000-7E51-4311-83B6-C9082B4899BC}"/>
            </c:ext>
          </c:extLst>
        </c:ser>
        <c:ser>
          <c:idx val="1"/>
          <c:order val="1"/>
          <c:tx>
            <c:v>Джардинс тппо 25 мг, с. 007693</c:v>
          </c:tx>
          <c:spPr>
            <a:ln w="19050" cap="rnd">
              <a:solidFill>
                <a:schemeClr val="accent2"/>
              </a:solidFill>
              <a:prstDash val="dash"/>
              <a:round/>
            </a:ln>
            <a:effectLst/>
          </c:spPr>
          <c:marker>
            <c:symbol val="x"/>
            <c:size val="5"/>
            <c:spPr>
              <a:noFill/>
              <a:ln w="9525">
                <a:solidFill>
                  <a:schemeClr val="accent2"/>
                </a:solidFill>
              </a:ln>
              <a:effectLst/>
            </c:spPr>
          </c:marker>
          <c:xVal>
            <c:numRef>
              <c:f>Лист1!$K$13:$K$19</c:f>
              <c:numCache>
                <c:formatCode>General</c:formatCode>
                <c:ptCount val="7"/>
                <c:pt idx="0">
                  <c:v>0</c:v>
                </c:pt>
                <c:pt idx="1">
                  <c:v>5</c:v>
                </c:pt>
                <c:pt idx="2">
                  <c:v>10</c:v>
                </c:pt>
                <c:pt idx="3">
                  <c:v>15</c:v>
                </c:pt>
                <c:pt idx="4">
                  <c:v>20</c:v>
                </c:pt>
                <c:pt idx="5">
                  <c:v>30</c:v>
                </c:pt>
                <c:pt idx="6">
                  <c:v>45</c:v>
                </c:pt>
              </c:numCache>
            </c:numRef>
          </c:xVal>
          <c:yVal>
            <c:numRef>
              <c:f>Лист1!$M$13:$M$19</c:f>
              <c:numCache>
                <c:formatCode>General</c:formatCode>
                <c:ptCount val="7"/>
                <c:pt idx="0">
                  <c:v>0</c:v>
                </c:pt>
                <c:pt idx="1">
                  <c:v>87.5</c:v>
                </c:pt>
                <c:pt idx="2">
                  <c:v>96</c:v>
                </c:pt>
                <c:pt idx="3">
                  <c:v>98.5</c:v>
                </c:pt>
                <c:pt idx="4">
                  <c:v>99.8</c:v>
                </c:pt>
                <c:pt idx="5">
                  <c:v>99</c:v>
                </c:pt>
                <c:pt idx="6">
                  <c:v>98.6</c:v>
                </c:pt>
              </c:numCache>
            </c:numRef>
          </c:yVal>
          <c:smooth val="0"/>
          <c:extLst>
            <c:ext xmlns:c16="http://schemas.microsoft.com/office/drawing/2014/chart" uri="{C3380CC4-5D6E-409C-BE32-E72D297353CC}">
              <c16:uniqueId val="{00000001-7E51-4311-83B6-C9082B4899BC}"/>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213745169015"/>
              <c:y val="0.947118401514647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1.388890591010754E-2"/>
              <c:y val="0.1519761025046778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22416130567948667"/>
          <c:y val="0.35766254130719072"/>
          <c:w val="0.77412840248901471"/>
          <c:h val="0.1450512530741125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25712950628733"/>
          <c:y val="4.9002404111250807E-2"/>
          <c:w val="0.78965341079486406"/>
          <c:h val="0.76538476808046063"/>
        </c:manualLayout>
      </c:layout>
      <c:scatterChart>
        <c:scatterStyle val="lineMarker"/>
        <c:varyColors val="0"/>
        <c:ser>
          <c:idx val="0"/>
          <c:order val="0"/>
          <c:tx>
            <c:v>ЭМПАГЛИФЛОЗИН тппо 25 мг, с.20423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Лист1!$K$24:$K$30</c:f>
              <c:numCache>
                <c:formatCode>General</c:formatCode>
                <c:ptCount val="7"/>
                <c:pt idx="0">
                  <c:v>0</c:v>
                </c:pt>
                <c:pt idx="1">
                  <c:v>5</c:v>
                </c:pt>
                <c:pt idx="2">
                  <c:v>10</c:v>
                </c:pt>
                <c:pt idx="3">
                  <c:v>15</c:v>
                </c:pt>
                <c:pt idx="4">
                  <c:v>20</c:v>
                </c:pt>
                <c:pt idx="5">
                  <c:v>30</c:v>
                </c:pt>
                <c:pt idx="6">
                  <c:v>45</c:v>
                </c:pt>
              </c:numCache>
            </c:numRef>
          </c:xVal>
          <c:yVal>
            <c:numRef>
              <c:f>Лист1!$L$24:$L$30</c:f>
              <c:numCache>
                <c:formatCode>General</c:formatCode>
                <c:ptCount val="7"/>
                <c:pt idx="0">
                  <c:v>0</c:v>
                </c:pt>
                <c:pt idx="1">
                  <c:v>85.1</c:v>
                </c:pt>
                <c:pt idx="2">
                  <c:v>92.3</c:v>
                </c:pt>
                <c:pt idx="3">
                  <c:v>96</c:v>
                </c:pt>
                <c:pt idx="4">
                  <c:v>97.4</c:v>
                </c:pt>
                <c:pt idx="5">
                  <c:v>98.1</c:v>
                </c:pt>
                <c:pt idx="6">
                  <c:v>97.9</c:v>
                </c:pt>
              </c:numCache>
            </c:numRef>
          </c:yVal>
          <c:smooth val="0"/>
          <c:extLst>
            <c:ext xmlns:c16="http://schemas.microsoft.com/office/drawing/2014/chart" uri="{C3380CC4-5D6E-409C-BE32-E72D297353CC}">
              <c16:uniqueId val="{00000000-BD77-491A-A537-8A2C575F559C}"/>
            </c:ext>
          </c:extLst>
        </c:ser>
        <c:ser>
          <c:idx val="1"/>
          <c:order val="1"/>
          <c:tx>
            <c:v>Джардинс тппо 25 мг, с. 007693</c:v>
          </c:tx>
          <c:spPr>
            <a:ln w="19050" cap="rnd">
              <a:solidFill>
                <a:schemeClr val="accent2"/>
              </a:solidFill>
              <a:prstDash val="dash"/>
              <a:round/>
            </a:ln>
            <a:effectLst/>
          </c:spPr>
          <c:marker>
            <c:symbol val="x"/>
            <c:size val="5"/>
            <c:spPr>
              <a:noFill/>
              <a:ln w="9525">
                <a:solidFill>
                  <a:schemeClr val="accent2"/>
                </a:solidFill>
              </a:ln>
              <a:effectLst/>
            </c:spPr>
          </c:marker>
          <c:xVal>
            <c:numRef>
              <c:f>Лист1!$K$24:$K$30</c:f>
              <c:numCache>
                <c:formatCode>General</c:formatCode>
                <c:ptCount val="7"/>
                <c:pt idx="0">
                  <c:v>0</c:v>
                </c:pt>
                <c:pt idx="1">
                  <c:v>5</c:v>
                </c:pt>
                <c:pt idx="2">
                  <c:v>10</c:v>
                </c:pt>
                <c:pt idx="3">
                  <c:v>15</c:v>
                </c:pt>
                <c:pt idx="4">
                  <c:v>20</c:v>
                </c:pt>
                <c:pt idx="5">
                  <c:v>30</c:v>
                </c:pt>
                <c:pt idx="6">
                  <c:v>45</c:v>
                </c:pt>
              </c:numCache>
            </c:numRef>
          </c:xVal>
          <c:yVal>
            <c:numRef>
              <c:f>Лист1!$M$24:$M$30</c:f>
              <c:numCache>
                <c:formatCode>General</c:formatCode>
                <c:ptCount val="7"/>
                <c:pt idx="0">
                  <c:v>0</c:v>
                </c:pt>
                <c:pt idx="1">
                  <c:v>88.4</c:v>
                </c:pt>
                <c:pt idx="2">
                  <c:v>95.1</c:v>
                </c:pt>
                <c:pt idx="3">
                  <c:v>98.8</c:v>
                </c:pt>
                <c:pt idx="4">
                  <c:v>99.2</c:v>
                </c:pt>
                <c:pt idx="5">
                  <c:v>99.5</c:v>
                </c:pt>
                <c:pt idx="6">
                  <c:v>99.4</c:v>
                </c:pt>
              </c:numCache>
            </c:numRef>
          </c:yVal>
          <c:smooth val="0"/>
          <c:extLst>
            <c:ext xmlns:c16="http://schemas.microsoft.com/office/drawing/2014/chart" uri="{C3380CC4-5D6E-409C-BE32-E72D297353CC}">
              <c16:uniqueId val="{00000001-BD77-491A-A537-8A2C575F559C}"/>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197268853354"/>
              <c:y val="0.9464612868548957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1.1674501161225532E-2"/>
              <c:y val="0.136811865844657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35135790156434171"/>
          <c:y val="0.45490096993418411"/>
          <c:w val="0.6246437862229135"/>
          <c:h val="0.1372721787839530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0270658842804"/>
          <c:y val="3.9848708867723417E-2"/>
          <c:w val="0.80588344450574256"/>
          <c:h val="0.77195887631949933"/>
        </c:manualLayout>
      </c:layout>
      <c:scatterChart>
        <c:scatterStyle val="lineMarker"/>
        <c:varyColors val="0"/>
        <c:ser>
          <c:idx val="0"/>
          <c:order val="0"/>
          <c:tx>
            <c:v>ЭМПАГЛИФЛОЗИН тппо 25 мг, с.20423</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Лист1!$K$35:$K$41</c:f>
              <c:numCache>
                <c:formatCode>General</c:formatCode>
                <c:ptCount val="7"/>
                <c:pt idx="0">
                  <c:v>0</c:v>
                </c:pt>
                <c:pt idx="1">
                  <c:v>5</c:v>
                </c:pt>
                <c:pt idx="2">
                  <c:v>10</c:v>
                </c:pt>
                <c:pt idx="3">
                  <c:v>15</c:v>
                </c:pt>
                <c:pt idx="4">
                  <c:v>20</c:v>
                </c:pt>
                <c:pt idx="5">
                  <c:v>30</c:v>
                </c:pt>
                <c:pt idx="6">
                  <c:v>45</c:v>
                </c:pt>
              </c:numCache>
            </c:numRef>
          </c:xVal>
          <c:yVal>
            <c:numRef>
              <c:f>Лист1!$L$35:$L$41</c:f>
              <c:numCache>
                <c:formatCode>General</c:formatCode>
                <c:ptCount val="7"/>
                <c:pt idx="0">
                  <c:v>0</c:v>
                </c:pt>
                <c:pt idx="1">
                  <c:v>87.8</c:v>
                </c:pt>
                <c:pt idx="2">
                  <c:v>90.4</c:v>
                </c:pt>
                <c:pt idx="3">
                  <c:v>93.3</c:v>
                </c:pt>
                <c:pt idx="4">
                  <c:v>97.8</c:v>
                </c:pt>
                <c:pt idx="5">
                  <c:v>99.5</c:v>
                </c:pt>
                <c:pt idx="6">
                  <c:v>99.5</c:v>
                </c:pt>
              </c:numCache>
            </c:numRef>
          </c:yVal>
          <c:smooth val="0"/>
          <c:extLst>
            <c:ext xmlns:c16="http://schemas.microsoft.com/office/drawing/2014/chart" uri="{C3380CC4-5D6E-409C-BE32-E72D297353CC}">
              <c16:uniqueId val="{00000000-6932-407D-822D-AA8623DAC731}"/>
            </c:ext>
          </c:extLst>
        </c:ser>
        <c:ser>
          <c:idx val="1"/>
          <c:order val="1"/>
          <c:tx>
            <c:v>Джардинс тппо 25 мг, с. 007693</c:v>
          </c:tx>
          <c:spPr>
            <a:ln w="19050" cap="rnd">
              <a:solidFill>
                <a:schemeClr val="accent2"/>
              </a:solidFill>
              <a:prstDash val="dash"/>
              <a:round/>
            </a:ln>
            <a:effectLst/>
          </c:spPr>
          <c:marker>
            <c:symbol val="x"/>
            <c:size val="5"/>
            <c:spPr>
              <a:noFill/>
              <a:ln w="9525">
                <a:solidFill>
                  <a:schemeClr val="accent2"/>
                </a:solidFill>
              </a:ln>
              <a:effectLst/>
            </c:spPr>
          </c:marker>
          <c:xVal>
            <c:numRef>
              <c:f>Лист1!$K$35:$K$41</c:f>
              <c:numCache>
                <c:formatCode>General</c:formatCode>
                <c:ptCount val="7"/>
                <c:pt idx="0">
                  <c:v>0</c:v>
                </c:pt>
                <c:pt idx="1">
                  <c:v>5</c:v>
                </c:pt>
                <c:pt idx="2">
                  <c:v>10</c:v>
                </c:pt>
                <c:pt idx="3">
                  <c:v>15</c:v>
                </c:pt>
                <c:pt idx="4">
                  <c:v>20</c:v>
                </c:pt>
                <c:pt idx="5">
                  <c:v>30</c:v>
                </c:pt>
                <c:pt idx="6">
                  <c:v>45</c:v>
                </c:pt>
              </c:numCache>
            </c:numRef>
          </c:xVal>
          <c:yVal>
            <c:numRef>
              <c:f>Лист1!$M$35:$M$41</c:f>
              <c:numCache>
                <c:formatCode>General</c:formatCode>
                <c:ptCount val="7"/>
                <c:pt idx="0">
                  <c:v>0</c:v>
                </c:pt>
                <c:pt idx="1">
                  <c:v>84.9</c:v>
                </c:pt>
                <c:pt idx="2">
                  <c:v>95.8</c:v>
                </c:pt>
                <c:pt idx="3">
                  <c:v>99.6</c:v>
                </c:pt>
                <c:pt idx="4">
                  <c:v>101.3</c:v>
                </c:pt>
                <c:pt idx="5">
                  <c:v>100.9</c:v>
                </c:pt>
                <c:pt idx="6">
                  <c:v>100.5</c:v>
                </c:pt>
              </c:numCache>
            </c:numRef>
          </c:yVal>
          <c:smooth val="0"/>
          <c:extLst>
            <c:ext xmlns:c16="http://schemas.microsoft.com/office/drawing/2014/chart" uri="{C3380CC4-5D6E-409C-BE32-E72D297353CC}">
              <c16:uniqueId val="{00000001-6932-407D-822D-AA8623DAC731}"/>
            </c:ext>
          </c:extLst>
        </c:ser>
        <c:dLbls>
          <c:showLegendKey val="0"/>
          <c:showVal val="0"/>
          <c:showCatName val="0"/>
          <c:showSerName val="0"/>
          <c:showPercent val="0"/>
          <c:showBubbleSize val="0"/>
        </c:dLbls>
        <c:axId val="223761840"/>
        <c:axId val="223762496"/>
      </c:scatterChart>
      <c:valAx>
        <c:axId val="22376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05197268853354"/>
              <c:y val="0.9492977723188501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2496"/>
        <c:crosses val="autoZero"/>
        <c:crossBetween val="midCat"/>
      </c:valAx>
      <c:valAx>
        <c:axId val="223762496"/>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эмпаглифлозина, %</a:t>
                </a:r>
              </a:p>
            </c:rich>
          </c:tx>
          <c:layout>
            <c:manualLayout>
              <c:xMode val="edge"/>
              <c:yMode val="edge"/>
              <c:x val="9.4601521798260597E-3"/>
              <c:y val="0.1640386316612930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761840"/>
        <c:crosses val="autoZero"/>
        <c:crossBetween val="midCat"/>
        <c:majorUnit val="20"/>
      </c:valAx>
      <c:spPr>
        <a:noFill/>
        <a:ln>
          <a:noFill/>
        </a:ln>
        <a:effectLst/>
      </c:spPr>
    </c:plotArea>
    <c:legend>
      <c:legendPos val="t"/>
      <c:layout>
        <c:manualLayout>
          <c:xMode val="edge"/>
          <c:yMode val="edge"/>
          <c:x val="0.25392654638276502"/>
          <c:y val="0.44159001016237875"/>
          <c:w val="0.74421863121848475"/>
          <c:h val="0.145605977525789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48C08F49-440E-4AA8-B9C7-8E242111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141</Pages>
  <Words>55681</Words>
  <Characters>317388</Characters>
  <Application>Microsoft Office Word</Application>
  <DocSecurity>0</DocSecurity>
  <Lines>2644</Lines>
  <Paragraphs>744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372325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Никольская Мария Викторовна</dc:creator>
  <cp:lastModifiedBy>Dolgorukova A</cp:lastModifiedBy>
  <cp:revision>37</cp:revision>
  <cp:lastPrinted>2018-02-02T15:14:00Z</cp:lastPrinted>
  <dcterms:created xsi:type="dcterms:W3CDTF">2023-06-07T07:57:00Z</dcterms:created>
  <dcterms:modified xsi:type="dcterms:W3CDTF">2024-12-29T10:29:00Z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D96B00112FD24EA996D6A69AF4CBDC54</vt:lpwstr>
  </property>
</Properties>
</file>